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06" w:rsidRDefault="009E6CF6" w:rsidP="009E6CF6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3BE0C6A5BCED41539317BFE41F79CFD5" style="width:450.75pt;height:407.25pt">
            <v:imagedata r:id="rId8" o:title=""/>
          </v:shape>
        </w:pict>
      </w:r>
    </w:p>
    <w:bookmarkEnd w:id="0"/>
    <w:p w:rsidR="00C67F06" w:rsidRDefault="00C67F06">
      <w:pPr>
        <w:rPr>
          <w:noProof/>
        </w:rPr>
        <w:sectPr w:rsidR="00C67F06" w:rsidSect="009E6C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B4507" w:rsidRPr="00F81C85" w:rsidRDefault="00AB4507" w:rsidP="00AB4507">
      <w:pPr>
        <w:pStyle w:val="Heading1"/>
        <w:numPr>
          <w:ilvl w:val="0"/>
          <w:numId w:val="0"/>
        </w:numPr>
        <w:ind w:left="432" w:hanging="432"/>
        <w:jc w:val="center"/>
        <w:rPr>
          <w:lang w:val="fr-FR"/>
        </w:rPr>
      </w:pPr>
      <w:bookmarkStart w:id="1" w:name="_GoBack"/>
      <w:bookmarkEnd w:id="1"/>
      <w:r w:rsidRPr="00F81C85">
        <w:rPr>
          <w:lang w:val="fr-FR"/>
        </w:rPr>
        <w:lastRenderedPageBreak/>
        <w:t>Annexe: Plan d’action pour une mobilité à faible taux d'émissions</w:t>
      </w:r>
      <w:r>
        <w:rPr>
          <w:rStyle w:val="FootnoteReference"/>
        </w:rPr>
        <w:footnoteReference w:id="1"/>
      </w:r>
    </w:p>
    <w:p w:rsidR="00AB4507" w:rsidRPr="00F81C85" w:rsidRDefault="00AB4507" w:rsidP="00AB4507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B4507" w:rsidRPr="009E6CF6" w:rsidTr="00B7546F">
        <w:tc>
          <w:tcPr>
            <w:tcW w:w="9242" w:type="dxa"/>
            <w:shd w:val="clear" w:color="auto" w:fill="auto"/>
          </w:tcPr>
          <w:p w:rsidR="00AB4507" w:rsidRPr="00F81C85" w:rsidRDefault="00AB4507" w:rsidP="00B7546F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Optimiser le système de transport et accroître son efficience</w:t>
            </w:r>
          </w:p>
        </w:tc>
      </w:tr>
      <w:tr w:rsidR="00AB4507" w:rsidRPr="009E6CF6" w:rsidTr="00B7546F">
        <w:tc>
          <w:tcPr>
            <w:tcW w:w="9242" w:type="dxa"/>
            <w:shd w:val="clear" w:color="auto" w:fill="auto"/>
          </w:tcPr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Mobilité numérique: 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Plan directeur pour le déploiement de systèmes de transport intelligents coopératifs et interopérables</w:t>
            </w:r>
          </w:p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Redevances équitables et efficientes dans le transport routier: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Révision de la directive «Eurovignette» (1999/62/CE)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Révision de la directive 2004/52/CE sur un service de péage électronique européen (SET) et de la décision de la Commission relative à la définition du service européen de télépéage et à ses aspects techniques (décision 2009/750/CE de la Commission)</w:t>
            </w:r>
          </w:p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Promotion de la multimodalité: 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Proposition de règlement du PE et du Conseil concernant des mesures de rationalisation visant à accélérer la mise en œuvre des projets d’intérêt commun relatifs au réseau transeuropéen de transport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Révision du règlement (UE) n° 913/2010 relatif au réseau ferroviaire européen pour un fret compétitif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Proposition de modification de la directive 92/106/CEE du Conseil relative à l'établissement de règles communes pour certains transports combinés de marchandises entre États membres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Révision du règlement (CE) n° 1073/2009 établissant des règles communes pour l’accès au marché international des services de transport par autocars et autobus</w:t>
            </w:r>
          </w:p>
        </w:tc>
      </w:tr>
      <w:tr w:rsidR="00AB4507" w:rsidRPr="009E6CF6" w:rsidTr="00B7546F">
        <w:tc>
          <w:tcPr>
            <w:tcW w:w="9242" w:type="dxa"/>
            <w:shd w:val="clear" w:color="auto" w:fill="auto"/>
          </w:tcPr>
          <w:p w:rsidR="00AB4507" w:rsidRPr="00F81C85" w:rsidRDefault="00AB4507" w:rsidP="00B7546F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Renforcer l’utilisation des énergies de substitution à faible taux d'émissions</w:t>
            </w:r>
          </w:p>
        </w:tc>
      </w:tr>
      <w:tr w:rsidR="00AB4507" w:rsidRPr="009E6CF6" w:rsidTr="00B7546F">
        <w:tc>
          <w:tcPr>
            <w:tcW w:w="9242" w:type="dxa"/>
            <w:shd w:val="clear" w:color="auto" w:fill="auto"/>
          </w:tcPr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Cadre efficace pour les énergies de substitution à faible taux d'émissions pour les transports: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Paquet législatif sur les sources d’énergie renouvelables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Méthode de comparaison des prix des carburants</w:t>
            </w:r>
          </w:p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Normalisation et interopérabilité en matière d’électromobilité dans le cadre des organisations européennes de normalisation</w:t>
            </w:r>
          </w:p>
        </w:tc>
      </w:tr>
      <w:tr w:rsidR="00AB4507" w:rsidRPr="009E6CF6" w:rsidTr="00B7546F">
        <w:tc>
          <w:tcPr>
            <w:tcW w:w="9242" w:type="dxa"/>
            <w:shd w:val="clear" w:color="auto" w:fill="auto"/>
          </w:tcPr>
          <w:p w:rsidR="00AB4507" w:rsidRPr="00F81C85" w:rsidRDefault="00AB4507" w:rsidP="00B7546F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Transition vers des véhicules à émissions nulles</w:t>
            </w:r>
          </w:p>
        </w:tc>
      </w:tr>
      <w:tr w:rsidR="00AB4507" w:rsidRPr="009E6CF6" w:rsidTr="00B7546F">
        <w:tc>
          <w:tcPr>
            <w:tcW w:w="9242" w:type="dxa"/>
            <w:shd w:val="clear" w:color="auto" w:fill="auto"/>
          </w:tcPr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Stratégie post-2020 en matière d'efficacité énergétique des voitures et des camionnettes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Révision des règlements (CE) n° 443/2009 et (UE) n° 510/2011 fixant les normes de performance en matière d'émissions pour les voitures et les camionnettes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Réexamen de la directive 1999/94/CE concernant la disponibilité d'informations sur la consommation de carburant et les émissions de dioxyde de carbone à l'intention des consommateurs lors de la commercialisation des voitures particulières neuves</w:t>
            </w:r>
          </w:p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Action concernant les véhicules lourds: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Proposition de procédure de certification des émissions de dioxyde de carbone des véhicules lourds (sur la base de l’outil de simulation VECTO)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lastRenderedPageBreak/>
              <w:t>Proposition de système de surveillance et de déclaration pour les véhicules lourds (camions et autobus)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 xml:space="preserve">Proposition d'établissement de normes en matière d’efficacité énergétique des véhicules lourds </w:t>
            </w:r>
          </w:p>
          <w:p w:rsidR="00AB4507" w:rsidRPr="00F81C85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Réexamen de la directive 2009/33/CE relative à la promotion de véhicules de transport routier propres et économes en énergie</w:t>
            </w:r>
          </w:p>
        </w:tc>
      </w:tr>
      <w:tr w:rsidR="00AB4507" w:rsidRPr="009E6CF6" w:rsidTr="00B7546F">
        <w:tc>
          <w:tcPr>
            <w:tcW w:w="9242" w:type="dxa"/>
            <w:shd w:val="clear" w:color="auto" w:fill="auto"/>
          </w:tcPr>
          <w:p w:rsidR="00AB4507" w:rsidRPr="00F81C85" w:rsidRDefault="00AB4507" w:rsidP="00B7546F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lastRenderedPageBreak/>
              <w:t>Instruments horizontaux à l'appui de la mobilité à faible taux d'émissions</w:t>
            </w:r>
          </w:p>
        </w:tc>
      </w:tr>
      <w:tr w:rsidR="00AB4507" w:rsidRPr="009E6CF6" w:rsidTr="00B7546F">
        <w:tc>
          <w:tcPr>
            <w:tcW w:w="9242" w:type="dxa"/>
            <w:shd w:val="clear" w:color="auto" w:fill="auto"/>
          </w:tcPr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 xml:space="preserve">Stratégie pour une union de l’énergie, y compris l’initiative sur l’organisation du marché de l’électricité qui vise à accroître la participation des consommateurs </w:t>
            </w:r>
          </w:p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Stratégie de l'UE en matière de recherche, d’innovation et de compétitivité pour l'union de l’énergie</w:t>
            </w:r>
          </w:p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Mise en œuvre du marché unique et de la stratégie relative au marché unique numérique, y compris le passage au numérique des entreprises, la libre circulation des données et les initiatives de normalisation</w:t>
            </w:r>
          </w:p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Mise en œuvre de la nouvelle stratégie en matière de compétences pour l'Europe</w:t>
            </w:r>
          </w:p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Maximisation de l'impact des financements et des instruments financiers disponibles</w:t>
            </w:r>
          </w:p>
          <w:p w:rsidR="00AB4507" w:rsidRPr="00F81C85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1C85">
              <w:rPr>
                <w:rFonts w:ascii="Times New Roman" w:hAnsi="Times New Roman"/>
                <w:sz w:val="24"/>
                <w:lang w:val="fr-FR"/>
              </w:rPr>
              <w:t>Action menée au niveau mondial dans le secteur des transports internationaux</w:t>
            </w:r>
          </w:p>
        </w:tc>
      </w:tr>
    </w:tbl>
    <w:p w:rsidR="00AB4507" w:rsidRPr="00F81C85" w:rsidRDefault="00AB4507" w:rsidP="00AB4507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C67F06" w:rsidRPr="00F81C85" w:rsidRDefault="00C67F06">
      <w:pPr>
        <w:rPr>
          <w:noProof/>
          <w:lang w:val="fr-FR"/>
        </w:rPr>
      </w:pPr>
    </w:p>
    <w:sectPr w:rsidR="00C67F06" w:rsidRPr="00F81C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06" w:rsidRDefault="00C67F06">
      <w:r>
        <w:separator/>
      </w:r>
    </w:p>
  </w:endnote>
  <w:endnote w:type="continuationSeparator" w:id="0">
    <w:p w:rsidR="00C67F06" w:rsidRDefault="00C6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F6" w:rsidRPr="009E6CF6" w:rsidRDefault="009E6CF6" w:rsidP="009E6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F6" w:rsidRPr="009E6CF6" w:rsidRDefault="009E6CF6" w:rsidP="009E6CF6">
    <w:pPr>
      <w:pStyle w:val="FooterCoverPage"/>
      <w:rPr>
        <w:rFonts w:ascii="Arial" w:hAnsi="Arial" w:cs="Arial"/>
        <w:b/>
        <w:sz w:val="48"/>
      </w:rPr>
    </w:pPr>
    <w:r w:rsidRPr="009E6CF6">
      <w:rPr>
        <w:rFonts w:ascii="Arial" w:hAnsi="Arial" w:cs="Arial"/>
        <w:b/>
        <w:sz w:val="48"/>
      </w:rPr>
      <w:t>FR</w:t>
    </w:r>
    <w:r w:rsidRPr="009E6CF6">
      <w:rPr>
        <w:rFonts w:ascii="Arial" w:hAnsi="Arial" w:cs="Arial"/>
        <w:b/>
        <w:sz w:val="48"/>
      </w:rPr>
      <w:tab/>
    </w:r>
    <w:r w:rsidRPr="009E6CF6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9E6CF6">
      <w:tab/>
    </w:r>
    <w:r w:rsidRPr="009E6CF6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F6" w:rsidRPr="009E6CF6" w:rsidRDefault="009E6CF6" w:rsidP="009E6CF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CF6">
      <w:rPr>
        <w:noProof/>
      </w:rPr>
      <w:t>3</w:t>
    </w:r>
    <w:r>
      <w:rPr>
        <w:noProof/>
      </w:rPr>
      <w:fldChar w:fldCharType="end"/>
    </w:r>
  </w:p>
  <w:p w:rsidR="00C67F06" w:rsidRDefault="00C67F0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06" w:rsidRDefault="00C67F06">
      <w:r>
        <w:separator/>
      </w:r>
    </w:p>
  </w:footnote>
  <w:footnote w:type="continuationSeparator" w:id="0">
    <w:p w:rsidR="00C67F06" w:rsidRDefault="00C67F06">
      <w:r>
        <w:continuationSeparator/>
      </w:r>
    </w:p>
  </w:footnote>
  <w:footnote w:id="1">
    <w:p w:rsidR="00AB4507" w:rsidRPr="00F81C85" w:rsidRDefault="00AB4507" w:rsidP="00AB4507">
      <w:pPr>
        <w:pStyle w:val="FootnoteText"/>
        <w:spacing w:after="0" w:line="240" w:lineRule="auto"/>
        <w:jc w:val="both"/>
        <w:rPr>
          <w:rFonts w:ascii="Times New Roman" w:hAnsi="Times New Roman"/>
          <w:lang w:val="fr-FR"/>
        </w:rPr>
      </w:pPr>
      <w:r>
        <w:rPr>
          <w:rStyle w:val="FootnoteReference"/>
          <w:rFonts w:ascii="Times New Roman" w:hAnsi="Times New Roman"/>
        </w:rPr>
        <w:footnoteRef/>
      </w:r>
      <w:r w:rsidRPr="00F81C85">
        <w:rPr>
          <w:rFonts w:ascii="Times New Roman" w:hAnsi="Times New Roman"/>
          <w:lang w:val="fr-FR"/>
        </w:rPr>
        <w:t xml:space="preserve"> Les actions mentionnées dans le présent plan d’action seront soumises à une évaluation, une consultation et une analyse d’impact appropriées, conformément aux principes en matière d’amélioration de la réglementation et aux principes de subsidiarité et de proportionnalité en vigueur dans l'UE.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F6" w:rsidRPr="009E6CF6" w:rsidRDefault="009E6CF6" w:rsidP="009E6C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F6" w:rsidRPr="009E6CF6" w:rsidRDefault="009E6CF6" w:rsidP="009E6CF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F6" w:rsidRPr="009E6CF6" w:rsidRDefault="009E6CF6" w:rsidP="009E6CF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533D"/>
    <w:multiLevelType w:val="hybridMultilevel"/>
    <w:tmpl w:val="4250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A3B9F"/>
    <w:multiLevelType w:val="multilevel"/>
    <w:tmpl w:val="EB5007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3BE0C6A5BCED41539317BFE41F79CFD5"/>
    <w:docVar w:name="LW_CROSSREFERENCE" w:val="{SWD(2016) 244 final}"/>
    <w:docVar w:name="LW_DocType" w:val="NORMAL"/>
    <w:docVar w:name="LW_EMISSION" w:val="20.7.2016"/>
    <w:docVar w:name="LW_EMISSION_ISODATE" w:val="2016-07-2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Une stratégie européenne pour une mobilité à faible taux d'émissions"/>
    <w:docVar w:name="LW_PART_NBR" w:val="1"/>
    <w:docVar w:name="LW_PART_NBR_TOTAL" w:val="1"/>
    <w:docVar w:name="LW_REF.INST.NEW" w:val="COM"/>
    <w:docVar w:name="LW_REF.INST.NEW_ADOPTED" w:val="final/2"/>
    <w:docVar w:name="LW_REF.INST.NEW_TEXT" w:val="(2016) 501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, AU COMITÉ ÉCONOMIQUE ET SOCIAL EUROPÉEN ET AU COMITÉ DES RÉGIONS"/>
  </w:docVars>
  <w:rsids>
    <w:rsidRoot w:val="000B2F94"/>
    <w:rsid w:val="000B2F94"/>
    <w:rsid w:val="0028558F"/>
    <w:rsid w:val="009E6CF6"/>
    <w:rsid w:val="00AB4507"/>
    <w:rsid w:val="00C67F06"/>
    <w:rsid w:val="00F8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134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num" w:pos="1920"/>
      </w:tabs>
      <w:spacing w:after="240"/>
      <w:ind w:left="1920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eastAsia="Times New Roman" w:hAnsi="Arial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/>
      <w:i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ind w:left="0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  <w:szCs w:val="20"/>
      <w:lang w:val="en-US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ind w:left="0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link w:val="Heading6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link w:val="Heading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link w:val="Heading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 w:cs="Times New Roman"/>
      <w:i/>
      <w:sz w:val="18"/>
      <w:szCs w:val="20"/>
    </w:rPr>
  </w:style>
  <w:style w:type="paragraph" w:styleId="FootnoteText">
    <w:name w:val="footnote text"/>
    <w:aliases w:val="Fußnotentextf,Fußnote,Fuﬂnotentextf,Footnote Text Blue,Geneva 9,Font: Geneva 9,Boston 10,f,Footnote Text Char Char Char Char Char Char,Tekst przypisu,Schriftart: 9 pt,Schriftart: 10 pt,Schriftart: 8 pt,WB-Fußnotentext,fn,Fotnotstext1,9 pt"/>
    <w:basedOn w:val="Normal"/>
    <w:link w:val="FootnoteTextChar"/>
    <w:unhideWhenUsed/>
    <w:qFormat/>
    <w:pPr>
      <w:spacing w:after="200" w:line="276" w:lineRule="auto"/>
      <w:ind w:left="0"/>
    </w:pPr>
    <w:rPr>
      <w:sz w:val="20"/>
      <w:szCs w:val="20"/>
    </w:rPr>
  </w:style>
  <w:style w:type="character" w:customStyle="1" w:styleId="FootnoteTextChar">
    <w:name w:val="Footnote Text Char"/>
    <w:aliases w:val="Fußnotentextf Char,Fußnote Char,Fuﬂnotentextf Char,Footnote Text Blue Char,Geneva 9 Char,Font: Geneva 9 Char,Boston 10 Char,f Char,Footnote Text Char Char Char Char Char Char Char,Tekst przypisu Char,Schriftart: 9 pt Char,fn Char"/>
    <w:link w:val="FootnoteText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SUPERS,-E Fußnotenzeichen,number,Footnote reference number,Footnote symbol,note TESI,Footnote number,Footnote Reference Superscript,Footnote reference superscritp,BVI fnr,stylish,Ref,de nota al pie,Footnote Refernece,E,Footnote,fr,ftr"/>
    <w:link w:val="FootnotesymbolCarZchn"/>
    <w:uiPriority w:val="99"/>
    <w:unhideWhenUsed/>
    <w:qFormat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  <w:ind w:left="0"/>
      <w:jc w:val="both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134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num" w:pos="1920"/>
      </w:tabs>
      <w:spacing w:after="240"/>
      <w:ind w:left="1920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eastAsia="Times New Roman" w:hAnsi="Arial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/>
      <w:i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ind w:left="0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  <w:szCs w:val="20"/>
      <w:lang w:val="en-US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ind w:left="0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link w:val="Heading6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link w:val="Heading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link w:val="Heading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 w:cs="Times New Roman"/>
      <w:i/>
      <w:sz w:val="18"/>
      <w:szCs w:val="20"/>
    </w:rPr>
  </w:style>
  <w:style w:type="paragraph" w:styleId="FootnoteText">
    <w:name w:val="footnote text"/>
    <w:aliases w:val="Fußnotentextf,Fußnote,Fuﬂnotentextf,Footnote Text Blue,Geneva 9,Font: Geneva 9,Boston 10,f,Footnote Text Char Char Char Char Char Char,Tekst przypisu,Schriftart: 9 pt,Schriftart: 10 pt,Schriftart: 8 pt,WB-Fußnotentext,fn,Fotnotstext1,9 pt"/>
    <w:basedOn w:val="Normal"/>
    <w:link w:val="FootnoteTextChar"/>
    <w:unhideWhenUsed/>
    <w:qFormat/>
    <w:pPr>
      <w:spacing w:after="200" w:line="276" w:lineRule="auto"/>
      <w:ind w:left="0"/>
    </w:pPr>
    <w:rPr>
      <w:sz w:val="20"/>
      <w:szCs w:val="20"/>
    </w:rPr>
  </w:style>
  <w:style w:type="character" w:customStyle="1" w:styleId="FootnoteTextChar">
    <w:name w:val="Footnote Text Char"/>
    <w:aliases w:val="Fußnotentextf Char,Fußnote Char,Fuﬂnotentextf Char,Footnote Text Blue Char,Geneva 9 Char,Font: Geneva 9 Char,Boston 10 Char,f Char,Footnote Text Char Char Char Char Char Char Char,Tekst przypisu Char,Schriftart: 9 pt Char,fn Char"/>
    <w:link w:val="FootnoteText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SUPERS,-E Fußnotenzeichen,number,Footnote reference number,Footnote symbol,note TESI,Footnote number,Footnote Reference Superscript,Footnote reference superscritp,BVI fnr,stylish,Ref,de nota al pie,Footnote Refernece,E,Footnote,fr,ftr"/>
    <w:link w:val="FootnotesymbolCarZchn"/>
    <w:uiPriority w:val="99"/>
    <w:unhideWhenUsed/>
    <w:qFormat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  <w:ind w:left="0"/>
      <w:jc w:val="both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3059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Constanze VEEH (ENER)</dc:creator>
  <cp:lastModifiedBy>PAREDES ECHAURI Cristina (CAB-ALMUNIA)</cp:lastModifiedBy>
  <cp:revision>3</cp:revision>
  <cp:lastPrinted>2016-07-19T09:09:00Z</cp:lastPrinted>
  <dcterms:created xsi:type="dcterms:W3CDTF">2016-07-28T09:30:00Z</dcterms:created>
  <dcterms:modified xsi:type="dcterms:W3CDTF">2016-07-28T09:40:00Z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