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1E" w:rsidRPr="00E35903" w:rsidRDefault="008728A3" w:rsidP="00156601">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0CF1BDAFDD94D5AA9FF9EAF1081548C" style="width:450.7pt;height:352.8pt">
            <v:imagedata r:id="rId9" o:title=""/>
          </v:shape>
        </w:pict>
      </w:r>
    </w:p>
    <w:p w:rsidR="00343236" w:rsidRPr="00E35903" w:rsidRDefault="00343236" w:rsidP="00343236">
      <w:pPr>
        <w:rPr>
          <w:noProof/>
        </w:rPr>
        <w:sectPr w:rsidR="00343236" w:rsidRPr="00E35903" w:rsidSect="000152B7">
          <w:footerReference w:type="default" r:id="rId10"/>
          <w:pgSz w:w="11907" w:h="16839"/>
          <w:pgMar w:top="1134" w:right="1417" w:bottom="1134" w:left="1417" w:header="709" w:footer="709" w:gutter="0"/>
          <w:pgNumType w:start="1"/>
          <w:cols w:space="720"/>
          <w:docGrid w:linePitch="360"/>
        </w:sectPr>
      </w:pPr>
    </w:p>
    <w:p w:rsidR="00B1291E" w:rsidRPr="00E35903" w:rsidRDefault="00B1291E" w:rsidP="00B1291E">
      <w:pPr>
        <w:pStyle w:val="Exposdesmotifstitre"/>
        <w:rPr>
          <w:noProof/>
        </w:rPr>
      </w:pPr>
    </w:p>
    <w:p w:rsidR="00B1291E" w:rsidRPr="00E35903" w:rsidRDefault="00B1291E" w:rsidP="00B1291E">
      <w:pPr>
        <w:rPr>
          <w:noProof/>
        </w:rPr>
      </w:pPr>
    </w:p>
    <w:p w:rsidR="00B1291E" w:rsidRPr="00E35903" w:rsidRDefault="00156601" w:rsidP="00156601">
      <w:pPr>
        <w:pStyle w:val="Statut"/>
        <w:rPr>
          <w:noProof/>
        </w:rPr>
      </w:pPr>
      <w:r w:rsidRPr="00156601">
        <w:t>Recommendation for a</w:t>
      </w:r>
    </w:p>
    <w:p w:rsidR="00B1291E" w:rsidRPr="00E35903" w:rsidRDefault="00156601" w:rsidP="00156601">
      <w:pPr>
        <w:pStyle w:val="Typedudocument"/>
        <w:rPr>
          <w:noProof/>
        </w:rPr>
      </w:pPr>
      <w:r w:rsidRPr="00156601">
        <w:t>COUNCIL DECISION</w:t>
      </w:r>
    </w:p>
    <w:p w:rsidR="00B1291E" w:rsidRPr="00E35903" w:rsidRDefault="00156601" w:rsidP="00156601">
      <w:pPr>
        <w:pStyle w:val="Titreobjet"/>
        <w:rPr>
          <w:noProof/>
        </w:rPr>
      </w:pPr>
      <w:r w:rsidRPr="00156601">
        <w:t>giving notice to Spain to take measures for the deficit reduction judged necessary in order to remedy the situation of excessive deficit</w:t>
      </w:r>
    </w:p>
    <w:p w:rsidR="00B1291E" w:rsidRPr="00E35903" w:rsidRDefault="00B1291E" w:rsidP="00B1291E">
      <w:pPr>
        <w:pStyle w:val="Institutionquiagit"/>
        <w:rPr>
          <w:noProof/>
        </w:rPr>
      </w:pPr>
      <w:r w:rsidRPr="00E35903">
        <w:rPr>
          <w:noProof/>
        </w:rPr>
        <w:t xml:space="preserve">THE COUNCIL OF THE EUROPEAN </w:t>
      </w:r>
      <w:smartTag w:uri="urn:schemas-microsoft-com:office:smarttags" w:element="place">
        <w:r w:rsidRPr="00E35903">
          <w:rPr>
            <w:noProof/>
          </w:rPr>
          <w:t>UNION</w:t>
        </w:r>
      </w:smartTag>
      <w:r w:rsidRPr="00E35903">
        <w:rPr>
          <w:noProof/>
        </w:rPr>
        <w:t>,</w:t>
      </w:r>
    </w:p>
    <w:p w:rsidR="00B1291E" w:rsidRPr="00E35903" w:rsidRDefault="00B1291E" w:rsidP="00B1291E">
      <w:pPr>
        <w:rPr>
          <w:noProof/>
          <w:color w:val="000000"/>
        </w:rPr>
      </w:pPr>
      <w:r w:rsidRPr="00E35903">
        <w:rPr>
          <w:noProof/>
          <w:color w:val="000000"/>
        </w:rPr>
        <w:t>Having regard to the Treaty on the Functioning of the European Union, and in particular Article 126(9) thereof,</w:t>
      </w:r>
    </w:p>
    <w:p w:rsidR="00B1291E" w:rsidRPr="00E35903" w:rsidRDefault="00B1291E" w:rsidP="00B1291E">
      <w:pPr>
        <w:tabs>
          <w:tab w:val="num" w:pos="709"/>
        </w:tabs>
        <w:rPr>
          <w:noProof/>
          <w:color w:val="000000"/>
        </w:rPr>
      </w:pPr>
      <w:r w:rsidRPr="00E35903">
        <w:rPr>
          <w:noProof/>
          <w:color w:val="000000"/>
        </w:rPr>
        <w:t>Having regard to the recommendation from the European Commission,</w:t>
      </w:r>
    </w:p>
    <w:p w:rsidR="00B1291E" w:rsidRPr="00E35903" w:rsidRDefault="00B1291E" w:rsidP="00B1291E">
      <w:pPr>
        <w:tabs>
          <w:tab w:val="num" w:pos="709"/>
        </w:tabs>
        <w:rPr>
          <w:noProof/>
          <w:color w:val="000000"/>
        </w:rPr>
      </w:pPr>
      <w:r w:rsidRPr="00E35903">
        <w:rPr>
          <w:noProof/>
          <w:color w:val="000000"/>
        </w:rPr>
        <w:t>Whereas:</w:t>
      </w:r>
    </w:p>
    <w:p w:rsidR="00B1291E" w:rsidRPr="005B0086" w:rsidRDefault="00B9610A" w:rsidP="00B9610A">
      <w:pPr>
        <w:pStyle w:val="ManualConsidrant"/>
        <w:rPr>
          <w:noProof/>
        </w:rPr>
      </w:pPr>
      <w:r w:rsidRPr="00E35903">
        <w:t>(1)</w:t>
      </w:r>
      <w:r w:rsidRPr="00E35903">
        <w:tab/>
      </w:r>
      <w:r w:rsidR="00B1291E" w:rsidRPr="00E35903">
        <w:rPr>
          <w:noProof/>
        </w:rPr>
        <w:t xml:space="preserve">According to Article 126 </w:t>
      </w:r>
      <w:r w:rsidR="008E40BF">
        <w:rPr>
          <w:noProof/>
        </w:rPr>
        <w:t xml:space="preserve">of the </w:t>
      </w:r>
      <w:r w:rsidR="00B1291E" w:rsidRPr="00E35903">
        <w:rPr>
          <w:noProof/>
          <w:color w:val="000000"/>
        </w:rPr>
        <w:t>Treaty</w:t>
      </w:r>
      <w:r w:rsidR="00276D04">
        <w:rPr>
          <w:noProof/>
          <w:color w:val="000000"/>
        </w:rPr>
        <w:t xml:space="preserve"> </w:t>
      </w:r>
      <w:r w:rsidR="00276D04" w:rsidRPr="0026397F">
        <w:rPr>
          <w:rStyle w:val="Corpsdutexte"/>
        </w:rPr>
        <w:t>on the Functioning of the European Union</w:t>
      </w:r>
      <w:r w:rsidR="00940AC1">
        <w:rPr>
          <w:rStyle w:val="Corpsdutexte"/>
        </w:rPr>
        <w:t xml:space="preserve"> (TFEU)</w:t>
      </w:r>
      <w:r w:rsidR="008E40BF">
        <w:rPr>
          <w:noProof/>
          <w:color w:val="000000"/>
        </w:rPr>
        <w:t>,</w:t>
      </w:r>
      <w:r w:rsidR="00B1291E" w:rsidRPr="00E35903">
        <w:rPr>
          <w:noProof/>
          <w:color w:val="000000"/>
        </w:rPr>
        <w:t xml:space="preserve"> </w:t>
      </w:r>
      <w:r w:rsidR="00B1291E" w:rsidRPr="005B0086">
        <w:rPr>
          <w:noProof/>
        </w:rPr>
        <w:t>Member States shall avoid excessive government deficits.</w:t>
      </w:r>
    </w:p>
    <w:p w:rsidR="00B1291E" w:rsidRPr="005B0086" w:rsidRDefault="00B9610A" w:rsidP="00B9610A">
      <w:pPr>
        <w:pStyle w:val="ManualConsidrant"/>
        <w:rPr>
          <w:noProof/>
        </w:rPr>
      </w:pPr>
      <w:r w:rsidRPr="005B0086">
        <w:t>(2)</w:t>
      </w:r>
      <w:r w:rsidRPr="005B0086">
        <w:tab/>
      </w:r>
      <w:r w:rsidR="00B1291E" w:rsidRPr="005B0086">
        <w:rPr>
          <w:noProof/>
        </w:rPr>
        <w:t>The Stability and Growth Pact is based on the objective of sound government finances as a means of strengthening the conditions for price stability and for strong sustainable growth conducive to employment creation.</w:t>
      </w:r>
      <w:r w:rsidR="007B19EF" w:rsidRPr="005B0086">
        <w:rPr>
          <w:noProof/>
        </w:rPr>
        <w:t xml:space="preserve"> The Stability and Growth Pact includes Council Regulation (EC) No 1467/97 of 7 July 1997</w:t>
      </w:r>
      <w:r w:rsidR="005354A0">
        <w:rPr>
          <w:i/>
          <w:noProof/>
        </w:rPr>
        <w:t xml:space="preserve"> </w:t>
      </w:r>
      <w:r w:rsidR="007B19EF" w:rsidRPr="003A2A4E">
        <w:rPr>
          <w:noProof/>
        </w:rPr>
        <w:t>on speeding up and clarifying the implementation of the excessive deficit procedure</w:t>
      </w:r>
      <w:r w:rsidR="007B19EF" w:rsidRPr="005B0086">
        <w:rPr>
          <w:rStyle w:val="FootnoteReference"/>
          <w:noProof/>
        </w:rPr>
        <w:footnoteReference w:id="2"/>
      </w:r>
      <w:r w:rsidR="007B19EF" w:rsidRPr="005B0086">
        <w:rPr>
          <w:noProof/>
        </w:rPr>
        <w:t>, which was adopted in order to further the prompt correction of excessive general government deficits.</w:t>
      </w:r>
    </w:p>
    <w:p w:rsidR="009C471B" w:rsidRPr="005B0086" w:rsidRDefault="00B9610A" w:rsidP="00B9610A">
      <w:pPr>
        <w:pStyle w:val="ManualConsidrant"/>
      </w:pPr>
      <w:r w:rsidRPr="005B0086">
        <w:t>(3)</w:t>
      </w:r>
      <w:r w:rsidRPr="005B0086">
        <w:tab/>
      </w:r>
      <w:r w:rsidR="00696DD8" w:rsidRPr="005B0086">
        <w:t>On 27 April 2009, the Council decided, in accordance with Article 104(6) of the Treaty establishing the European Community</w:t>
      </w:r>
      <w:r w:rsidR="004E0807" w:rsidRPr="005B0086">
        <w:t xml:space="preserve"> (TEC)</w:t>
      </w:r>
      <w:r w:rsidR="00696DD8" w:rsidRPr="005B0086">
        <w:t xml:space="preserve"> that an excessive deficit existed in Spain and </w:t>
      </w:r>
      <w:r w:rsidR="008E40BF" w:rsidRPr="008E40BF">
        <w:t>issued a recommendation to correct the excessive deficit by 2012</w:t>
      </w:r>
      <w:r w:rsidR="008E40BF">
        <w:t xml:space="preserve"> at the latest, </w:t>
      </w:r>
      <w:r w:rsidR="00696DD8" w:rsidRPr="005B0086">
        <w:t xml:space="preserve">in accordance with Article 104(7) </w:t>
      </w:r>
      <w:r w:rsidR="008E40BF">
        <w:t>of that Treaty.</w:t>
      </w:r>
      <w:r w:rsidR="00696DD8" w:rsidRPr="005B0086">
        <w:t xml:space="preserve"> Since then, the Council </w:t>
      </w:r>
      <w:r w:rsidR="00F05BD8">
        <w:t xml:space="preserve">has </w:t>
      </w:r>
      <w:r w:rsidR="00696DD8" w:rsidRPr="005B0086">
        <w:t xml:space="preserve">issued three new recommendations to Spain </w:t>
      </w:r>
      <w:r w:rsidR="00F05BD8">
        <w:t>(</w:t>
      </w:r>
      <w:r w:rsidR="00F05BD8" w:rsidRPr="00F05BD8">
        <w:t>on 2 December 2009, 10 July 2012 and 21 June 2013</w:t>
      </w:r>
      <w:r w:rsidR="00F05BD8">
        <w:t xml:space="preserve">) </w:t>
      </w:r>
      <w:r w:rsidR="00696DD8" w:rsidRPr="005B0086">
        <w:t>on the basis of Article 126(7)</w:t>
      </w:r>
      <w:r w:rsidR="00276D04" w:rsidRPr="00276D04">
        <w:t xml:space="preserve"> </w:t>
      </w:r>
      <w:r w:rsidR="00940AC1">
        <w:t>TFEU</w:t>
      </w:r>
      <w:r w:rsidR="00696DD8" w:rsidRPr="005B0086">
        <w:t xml:space="preserve">, </w:t>
      </w:r>
      <w:r w:rsidR="00F05BD8">
        <w:t xml:space="preserve">which </w:t>
      </w:r>
      <w:r w:rsidR="00696DD8" w:rsidRPr="005B0086">
        <w:t>extend</w:t>
      </w:r>
      <w:r w:rsidR="00F05BD8">
        <w:t xml:space="preserve">ed </w:t>
      </w:r>
      <w:r w:rsidR="00696DD8" w:rsidRPr="005B0086">
        <w:t>the deadline for correcting the excessive deficit to 2013, 2014 and 2016 respectively</w:t>
      </w:r>
      <w:r w:rsidR="00F05BD8">
        <w:t>. In all three recommendations</w:t>
      </w:r>
      <w:r w:rsidR="00696DD8" w:rsidRPr="005B0086">
        <w:t>, the Council considered that Spain had taken effective action, but unexpected adverse economic events with major unfavourable consequences for government finances had occurre</w:t>
      </w:r>
      <w:r w:rsidR="00696DD8" w:rsidRPr="00276D04">
        <w:t>d</w:t>
      </w:r>
      <w:r w:rsidR="00ED48EF">
        <w:rPr>
          <w:rStyle w:val="FootnoteReference"/>
        </w:rPr>
        <w:footnoteReference w:id="3"/>
      </w:r>
      <w:r w:rsidR="00940AC1">
        <w:t>.</w:t>
      </w:r>
      <w:r w:rsidR="00ED48EF">
        <w:rPr>
          <w:rStyle w:val="CommentReference"/>
        </w:rPr>
        <w:t xml:space="preserve"> </w:t>
      </w:r>
      <w:r w:rsidR="00E07948" w:rsidRPr="005B0086">
        <w:t xml:space="preserve"> </w:t>
      </w:r>
    </w:p>
    <w:p w:rsidR="00B1291E" w:rsidRPr="005B0086" w:rsidRDefault="009C471B" w:rsidP="00B9610A">
      <w:pPr>
        <w:pStyle w:val="ManualConsidrant"/>
        <w:rPr>
          <w:noProof/>
        </w:rPr>
      </w:pPr>
      <w:r w:rsidRPr="005B0086">
        <w:t xml:space="preserve"> </w:t>
      </w:r>
      <w:r w:rsidR="00B9610A" w:rsidRPr="005B0086">
        <w:t>(4)</w:t>
      </w:r>
      <w:r w:rsidR="00B9610A" w:rsidRPr="005B0086">
        <w:tab/>
      </w:r>
      <w:r w:rsidR="00B1291E" w:rsidRPr="005B0086">
        <w:rPr>
          <w:noProof/>
        </w:rPr>
        <w:t xml:space="preserve">According to the provisions of Article 126(8) </w:t>
      </w:r>
      <w:r w:rsidR="00BD7832" w:rsidRPr="005B0086">
        <w:rPr>
          <w:noProof/>
        </w:rPr>
        <w:t>of the Treaty</w:t>
      </w:r>
      <w:r w:rsidR="00B1291E" w:rsidRPr="005B0086">
        <w:rPr>
          <w:noProof/>
        </w:rPr>
        <w:t xml:space="preserve">, the Council decided on </w:t>
      </w:r>
      <w:r w:rsidR="00276D04">
        <w:rPr>
          <w:noProof/>
        </w:rPr>
        <w:t>12</w:t>
      </w:r>
      <w:r w:rsidR="003C38CC">
        <w:rPr>
          <w:noProof/>
        </w:rPr>
        <w:t xml:space="preserve"> July</w:t>
      </w:r>
      <w:r w:rsidR="00E07948" w:rsidRPr="005B0086">
        <w:rPr>
          <w:noProof/>
        </w:rPr>
        <w:t xml:space="preserve"> </w:t>
      </w:r>
      <w:r w:rsidR="00B1291E" w:rsidRPr="005B0086">
        <w:rPr>
          <w:noProof/>
        </w:rPr>
        <w:t>201</w:t>
      </w:r>
      <w:r w:rsidR="005C0144" w:rsidRPr="005B0086">
        <w:rPr>
          <w:noProof/>
        </w:rPr>
        <w:t>6</w:t>
      </w:r>
      <w:r w:rsidR="00B1291E" w:rsidRPr="005B0086">
        <w:rPr>
          <w:noProof/>
        </w:rPr>
        <w:t xml:space="preserve"> that </w:t>
      </w:r>
      <w:r w:rsidR="005C0144" w:rsidRPr="005B0086">
        <w:rPr>
          <w:noProof/>
        </w:rPr>
        <w:t>Spain</w:t>
      </w:r>
      <w:r w:rsidR="00B1291E" w:rsidRPr="005B0086">
        <w:rPr>
          <w:noProof/>
        </w:rPr>
        <w:t xml:space="preserve"> did not take effective action in response to the Council </w:t>
      </w:r>
      <w:r w:rsidR="008E40BF">
        <w:rPr>
          <w:noProof/>
        </w:rPr>
        <w:t>R</w:t>
      </w:r>
      <w:r w:rsidR="00B1291E" w:rsidRPr="005B0086">
        <w:rPr>
          <w:noProof/>
        </w:rPr>
        <w:t>ecommendation</w:t>
      </w:r>
      <w:r w:rsidR="00276D04">
        <w:rPr>
          <w:noProof/>
        </w:rPr>
        <w:t xml:space="preserve"> </w:t>
      </w:r>
      <w:r w:rsidR="00276D04" w:rsidRPr="0026397F">
        <w:t>of 21 June 2013</w:t>
      </w:r>
      <w:r w:rsidR="008E40BF">
        <w:rPr>
          <w:noProof/>
        </w:rPr>
        <w:t>.</w:t>
      </w:r>
    </w:p>
    <w:p w:rsidR="004F412A" w:rsidRPr="005B0086" w:rsidRDefault="00B9610A" w:rsidP="00B9610A">
      <w:pPr>
        <w:pStyle w:val="ManualConsidrant"/>
        <w:rPr>
          <w:noProof/>
        </w:rPr>
      </w:pPr>
      <w:r w:rsidRPr="005B0086">
        <w:t>(5)</w:t>
      </w:r>
      <w:r w:rsidRPr="005B0086">
        <w:tab/>
      </w:r>
      <w:r w:rsidR="00E07948" w:rsidRPr="005B0086">
        <w:t>According to Article 10(2) of Regulation (EC) No 1467/97, if action by a participating Member State is not being implemented or, in the Council's view, is proving to be inadequate, the Council shall immediately take a decision under Article 126(9)</w:t>
      </w:r>
      <w:r w:rsidR="003C38CC">
        <w:t xml:space="preserve"> </w:t>
      </w:r>
      <w:r w:rsidR="00BF608F">
        <w:t>of the Treaty</w:t>
      </w:r>
      <w:r w:rsidR="00E07948" w:rsidRPr="005B0086">
        <w:t>.</w:t>
      </w:r>
      <w:r w:rsidR="004F412A" w:rsidRPr="005B0086">
        <w:rPr>
          <w:noProof/>
        </w:rPr>
        <w:t xml:space="preserve"> </w:t>
      </w:r>
    </w:p>
    <w:p w:rsidR="002B6E72" w:rsidRPr="005B0086" w:rsidRDefault="00B9610A" w:rsidP="004F2EA9">
      <w:pPr>
        <w:ind w:left="709" w:hanging="709"/>
        <w:rPr>
          <w:noProof/>
        </w:rPr>
      </w:pPr>
      <w:r w:rsidRPr="005B0086">
        <w:lastRenderedPageBreak/>
        <w:t>(6)</w:t>
      </w:r>
      <w:r w:rsidRPr="005B0086">
        <w:tab/>
      </w:r>
      <w:r w:rsidR="00BF6687" w:rsidRPr="00C75EFC">
        <w:t xml:space="preserve">The Commission has updated its 2016 spring forecast with information available until </w:t>
      </w:r>
      <w:r w:rsidR="004B6A72">
        <w:t>19</w:t>
      </w:r>
      <w:r w:rsidR="004B6A72" w:rsidRPr="00C75EFC">
        <w:t xml:space="preserve"> </w:t>
      </w:r>
      <w:r w:rsidR="00BF6687" w:rsidRPr="00C75EFC">
        <w:t xml:space="preserve">July 2016. On this basis, the real GDP growth forecast for </w:t>
      </w:r>
      <w:r w:rsidR="001D78FE" w:rsidRPr="00C75EFC">
        <w:t>2016</w:t>
      </w:r>
      <w:r w:rsidR="00BF6687" w:rsidRPr="00C75EFC">
        <w:t xml:space="preserve"> has been revised upwards by 0.</w:t>
      </w:r>
      <w:r w:rsidR="00FB2BC5" w:rsidRPr="00C75EFC">
        <w:t xml:space="preserve">3 </w:t>
      </w:r>
      <w:r w:rsidR="00BF6687" w:rsidRPr="00C75EFC">
        <w:t>p</w:t>
      </w:r>
      <w:r w:rsidR="001D78FE" w:rsidRPr="00C75EFC">
        <w:t xml:space="preserve">ercentage </w:t>
      </w:r>
      <w:r w:rsidR="00BF6687" w:rsidRPr="00C75EFC">
        <w:t>p</w:t>
      </w:r>
      <w:r w:rsidR="001D78FE" w:rsidRPr="00C75EFC">
        <w:t>oints in comparison</w:t>
      </w:r>
      <w:r w:rsidR="00BF6687" w:rsidRPr="00C75EFC">
        <w:t xml:space="preserve"> to </w:t>
      </w:r>
      <w:r w:rsidR="001D78FE" w:rsidRPr="00C75EFC">
        <w:t xml:space="preserve">the </w:t>
      </w:r>
      <w:r w:rsidR="00BF6687" w:rsidRPr="00C75EFC">
        <w:t>spring</w:t>
      </w:r>
      <w:r w:rsidR="001D78FE" w:rsidRPr="00C75EFC">
        <w:t xml:space="preserve"> forecast</w:t>
      </w:r>
      <w:r w:rsidR="00BF6687" w:rsidRPr="00C75EFC">
        <w:t>, to 2.</w:t>
      </w:r>
      <w:r w:rsidR="00FB2BC5" w:rsidRPr="00C75EFC">
        <w:t>9</w:t>
      </w:r>
      <w:r w:rsidR="00BF6687" w:rsidRPr="00C75EFC">
        <w:t>%</w:t>
      </w:r>
      <w:r w:rsidR="00FB2BC5" w:rsidRPr="00C75EFC">
        <w:t xml:space="preserve">, </w:t>
      </w:r>
      <w:r w:rsidR="00F51F82" w:rsidRPr="00C75EFC">
        <w:t xml:space="preserve">and downwards for 2017 (2.3% </w:t>
      </w:r>
      <w:r w:rsidR="001749B3" w:rsidRPr="00C75EFC">
        <w:t>vs.</w:t>
      </w:r>
      <w:r w:rsidR="00F51F82" w:rsidRPr="00C75EFC">
        <w:t xml:space="preserve"> 2.5% in spring)</w:t>
      </w:r>
      <w:r w:rsidR="00BF6687" w:rsidRPr="00C75EFC">
        <w:t>.</w:t>
      </w:r>
      <w:r w:rsidR="002732A0">
        <w:t xml:space="preserve"> For 2018, real GDP is forecast to grow by 2.1%</w:t>
      </w:r>
      <w:r w:rsidR="00931E5D">
        <w:t>.</w:t>
      </w:r>
      <w:r w:rsidR="00BF6687" w:rsidRPr="001749B3">
        <w:t xml:space="preserve"> This compares</w:t>
      </w:r>
      <w:r w:rsidR="00BF6687" w:rsidRPr="00D471FA">
        <w:t xml:space="preserve"> to growth of </w:t>
      </w:r>
      <w:r w:rsidR="00E07948" w:rsidRPr="00D471FA">
        <w:t>3.2%</w:t>
      </w:r>
      <w:r w:rsidR="00BF6687" w:rsidRPr="00D471FA">
        <w:t xml:space="preserve"> in 2015</w:t>
      </w:r>
      <w:r w:rsidR="00E07948" w:rsidRPr="00D471FA">
        <w:t xml:space="preserve">. Economic growth is </w:t>
      </w:r>
      <w:r w:rsidR="00F15D95">
        <w:t xml:space="preserve">therefore </w:t>
      </w:r>
      <w:r w:rsidR="00E07948" w:rsidRPr="00D471FA">
        <w:t>set to eas</w:t>
      </w:r>
      <w:r w:rsidR="00D16C13">
        <w:t>e</w:t>
      </w:r>
      <w:r w:rsidR="00E07948" w:rsidRPr="00D471FA">
        <w:t xml:space="preserve"> but to remain robust, </w:t>
      </w:r>
      <w:r w:rsidR="0024639A" w:rsidRPr="001749B3">
        <w:t>still benefitting from reforms undertaken in response to the crisis and the successful completion of the financial assistance programme. The recovery continues to be accompanied by strong job creation, in a context of continued wage moderation and benefitting from the labour market reforms. L</w:t>
      </w:r>
      <w:r w:rsidR="00E07948" w:rsidRPr="001749B3">
        <w:t>ow oil prices</w:t>
      </w:r>
      <w:r w:rsidR="0024639A" w:rsidRPr="001749B3">
        <w:t xml:space="preserve"> also support growth</w:t>
      </w:r>
      <w:r w:rsidR="00E07948" w:rsidRPr="001749B3">
        <w:t>.</w:t>
      </w:r>
      <w:r w:rsidR="008F041E" w:rsidRPr="001749B3">
        <w:t xml:space="preserve"> At the same time, inflation is expected to be </w:t>
      </w:r>
      <w:r w:rsidR="00497B6B" w:rsidRPr="00C75EFC">
        <w:t>−</w:t>
      </w:r>
      <w:r w:rsidR="008F041E" w:rsidRPr="00C75EFC">
        <w:t xml:space="preserve">0.3% </w:t>
      </w:r>
      <w:r w:rsidR="001D78FE" w:rsidRPr="00C75EFC">
        <w:t>in 2016</w:t>
      </w:r>
      <w:r w:rsidR="008F041E" w:rsidRPr="00C75EFC">
        <w:t xml:space="preserve">. There are, however, downside risks to the growth forecast, especially </w:t>
      </w:r>
      <w:r w:rsidR="002732A0">
        <w:t>as from</w:t>
      </w:r>
      <w:r w:rsidR="002732A0" w:rsidRPr="00C75EFC">
        <w:t xml:space="preserve"> </w:t>
      </w:r>
      <w:r w:rsidR="008F041E" w:rsidRPr="00C75EFC">
        <w:t xml:space="preserve">2017, related among others, to the </w:t>
      </w:r>
      <w:r w:rsidR="00FE1859" w:rsidRPr="00C75EFC">
        <w:t>outcome of the referendum in the United Kingdom on the membership of the European Union</w:t>
      </w:r>
      <w:r w:rsidR="008F041E" w:rsidRPr="00C75EFC">
        <w:t>, which has increased uncertainty, with potential negative implications for trade and domestic demand</w:t>
      </w:r>
      <w:r w:rsidR="005F32C1" w:rsidRPr="00C75EFC">
        <w:t>.</w:t>
      </w:r>
    </w:p>
    <w:p w:rsidR="00B1291E" w:rsidRPr="005B0086" w:rsidRDefault="00B9610A" w:rsidP="00B9610A">
      <w:pPr>
        <w:pStyle w:val="ManualConsidrant"/>
        <w:rPr>
          <w:noProof/>
        </w:rPr>
      </w:pPr>
      <w:r w:rsidRPr="005B0086">
        <w:t>(7)</w:t>
      </w:r>
      <w:r w:rsidRPr="005B0086">
        <w:tab/>
      </w:r>
      <w:r w:rsidR="004F412A" w:rsidRPr="00C75EFC">
        <w:t>A</w:t>
      </w:r>
      <w:r w:rsidR="00FC3B55" w:rsidRPr="00C75EFC">
        <w:rPr>
          <w:noProof/>
        </w:rPr>
        <w:t xml:space="preserve">ccording to the </w:t>
      </w:r>
      <w:r w:rsidR="004A4B72" w:rsidRPr="00C75EFC">
        <w:rPr>
          <w:noProof/>
        </w:rPr>
        <w:t xml:space="preserve">updated </w:t>
      </w:r>
      <w:r w:rsidR="00B1291E" w:rsidRPr="00C75EFC">
        <w:rPr>
          <w:noProof/>
        </w:rPr>
        <w:t xml:space="preserve">Commission </w:t>
      </w:r>
      <w:r w:rsidR="00FC3B55" w:rsidRPr="00C75EFC">
        <w:rPr>
          <w:noProof/>
        </w:rPr>
        <w:t>2016</w:t>
      </w:r>
      <w:r w:rsidR="00B1291E" w:rsidRPr="00C75EFC">
        <w:rPr>
          <w:noProof/>
        </w:rPr>
        <w:t xml:space="preserve"> </w:t>
      </w:r>
      <w:r w:rsidR="00FC3B55" w:rsidRPr="00C75EFC">
        <w:rPr>
          <w:noProof/>
        </w:rPr>
        <w:t>s</w:t>
      </w:r>
      <w:r w:rsidR="00B1291E" w:rsidRPr="00C75EFC">
        <w:rPr>
          <w:noProof/>
        </w:rPr>
        <w:t xml:space="preserve">pring </w:t>
      </w:r>
      <w:r w:rsidR="00FC3B55" w:rsidRPr="00C75EFC">
        <w:rPr>
          <w:noProof/>
        </w:rPr>
        <w:t>f</w:t>
      </w:r>
      <w:r w:rsidR="00B1291E" w:rsidRPr="00C75EFC">
        <w:rPr>
          <w:noProof/>
        </w:rPr>
        <w:t>orecast</w:t>
      </w:r>
      <w:r w:rsidR="00FC3B55" w:rsidRPr="00C75EFC">
        <w:rPr>
          <w:noProof/>
        </w:rPr>
        <w:t xml:space="preserve">, </w:t>
      </w:r>
      <w:r w:rsidR="00B1291E" w:rsidRPr="00C75EFC">
        <w:rPr>
          <w:noProof/>
        </w:rPr>
        <w:t xml:space="preserve">the </w:t>
      </w:r>
      <w:r w:rsidR="00BD7832" w:rsidRPr="00C75EFC">
        <w:rPr>
          <w:noProof/>
        </w:rPr>
        <w:t xml:space="preserve">general government </w:t>
      </w:r>
      <w:r w:rsidR="00B1291E" w:rsidRPr="00C75EFC">
        <w:rPr>
          <w:noProof/>
        </w:rPr>
        <w:t xml:space="preserve">deficit </w:t>
      </w:r>
      <w:r w:rsidR="00FC3B55" w:rsidRPr="00C75EFC">
        <w:rPr>
          <w:noProof/>
        </w:rPr>
        <w:t xml:space="preserve">is expected to narrow to </w:t>
      </w:r>
      <w:r w:rsidR="004A4B72" w:rsidRPr="00C75EFC">
        <w:rPr>
          <w:noProof/>
        </w:rPr>
        <w:t>4.</w:t>
      </w:r>
      <w:r w:rsidR="00931E5D">
        <w:rPr>
          <w:noProof/>
        </w:rPr>
        <w:t>6</w:t>
      </w:r>
      <w:r w:rsidR="00FC3B55" w:rsidRPr="00C75EFC">
        <w:rPr>
          <w:noProof/>
        </w:rPr>
        <w:t>% of GDP in 2016</w:t>
      </w:r>
      <w:r w:rsidR="002732A0">
        <w:rPr>
          <w:noProof/>
        </w:rPr>
        <w:t>,</w:t>
      </w:r>
      <w:r w:rsidR="0073426A" w:rsidRPr="00C75EFC">
        <w:rPr>
          <w:noProof/>
        </w:rPr>
        <w:t xml:space="preserve"> 3.</w:t>
      </w:r>
      <w:r w:rsidR="00D471FA" w:rsidRPr="00C75EFC">
        <w:rPr>
          <w:noProof/>
        </w:rPr>
        <w:t>3</w:t>
      </w:r>
      <w:r w:rsidR="0073426A" w:rsidRPr="00C75EFC">
        <w:rPr>
          <w:noProof/>
        </w:rPr>
        <w:t>% of GDP in 2017</w:t>
      </w:r>
      <w:r w:rsidR="00B301A2" w:rsidRPr="00C75EFC">
        <w:rPr>
          <w:noProof/>
        </w:rPr>
        <w:t xml:space="preserve"> </w:t>
      </w:r>
      <w:r w:rsidR="002732A0">
        <w:rPr>
          <w:noProof/>
        </w:rPr>
        <w:t xml:space="preserve">and 2.7% of GDP in 2018 </w:t>
      </w:r>
      <w:r w:rsidR="00B301A2" w:rsidRPr="00C75EFC">
        <w:rPr>
          <w:noProof/>
        </w:rPr>
        <w:t xml:space="preserve">(compared to </w:t>
      </w:r>
      <w:r w:rsidR="007C68CE" w:rsidRPr="00C75EFC">
        <w:rPr>
          <w:noProof/>
        </w:rPr>
        <w:t xml:space="preserve">Stability </w:t>
      </w:r>
      <w:r w:rsidR="005D6E81" w:rsidRPr="00C75EFC">
        <w:rPr>
          <w:noProof/>
        </w:rPr>
        <w:t xml:space="preserve">Programme </w:t>
      </w:r>
      <w:r w:rsidR="007C68CE" w:rsidRPr="00C75EFC">
        <w:rPr>
          <w:noProof/>
        </w:rPr>
        <w:t xml:space="preserve">targets </w:t>
      </w:r>
      <w:r w:rsidR="00B301A2" w:rsidRPr="00C75EFC">
        <w:rPr>
          <w:noProof/>
        </w:rPr>
        <w:t>of</w:t>
      </w:r>
      <w:r w:rsidR="007C68CE" w:rsidRPr="00C75EFC">
        <w:rPr>
          <w:noProof/>
        </w:rPr>
        <w:t xml:space="preserve"> 3.6%</w:t>
      </w:r>
      <w:r w:rsidR="002732A0">
        <w:rPr>
          <w:noProof/>
        </w:rPr>
        <w:t>,</w:t>
      </w:r>
      <w:r w:rsidR="007C68CE" w:rsidRPr="00C75EFC">
        <w:rPr>
          <w:noProof/>
        </w:rPr>
        <w:t xml:space="preserve"> 2.9%</w:t>
      </w:r>
      <w:r w:rsidR="002732A0">
        <w:rPr>
          <w:noProof/>
        </w:rPr>
        <w:t xml:space="preserve"> and 2.2% </w:t>
      </w:r>
      <w:r w:rsidR="007C68CE" w:rsidRPr="00C75EFC">
        <w:rPr>
          <w:noProof/>
        </w:rPr>
        <w:t>of GDP in 2016</w:t>
      </w:r>
      <w:r w:rsidR="002732A0">
        <w:rPr>
          <w:noProof/>
        </w:rPr>
        <w:t>,</w:t>
      </w:r>
      <w:r w:rsidR="007C68CE" w:rsidRPr="00C75EFC">
        <w:rPr>
          <w:noProof/>
        </w:rPr>
        <w:t xml:space="preserve"> 2017</w:t>
      </w:r>
      <w:r w:rsidR="002732A0">
        <w:rPr>
          <w:noProof/>
        </w:rPr>
        <w:t xml:space="preserve"> and 2018</w:t>
      </w:r>
      <w:r w:rsidR="007C68CE" w:rsidRPr="00C75EFC">
        <w:rPr>
          <w:noProof/>
        </w:rPr>
        <w:t xml:space="preserve">, </w:t>
      </w:r>
      <w:r w:rsidR="009B0649" w:rsidRPr="00C75EFC">
        <w:rPr>
          <w:noProof/>
        </w:rPr>
        <w:t>respectively</w:t>
      </w:r>
      <w:r w:rsidR="00206F4F">
        <w:rPr>
          <w:noProof/>
        </w:rPr>
        <w:t xml:space="preserve"> and </w:t>
      </w:r>
      <w:r w:rsidR="00DA1E3C">
        <w:rPr>
          <w:noProof/>
        </w:rPr>
        <w:t>a projec</w:t>
      </w:r>
      <w:r w:rsidR="00206F4F">
        <w:rPr>
          <w:noProof/>
        </w:rPr>
        <w:t>ted deficit outcome of 3.</w:t>
      </w:r>
      <w:r w:rsidR="00DA1E3C">
        <w:rPr>
          <w:noProof/>
        </w:rPr>
        <w:t>9</w:t>
      </w:r>
      <w:r w:rsidR="00CF36CE">
        <w:rPr>
          <w:noProof/>
        </w:rPr>
        <w:t>%</w:t>
      </w:r>
      <w:r w:rsidR="00206F4F">
        <w:rPr>
          <w:noProof/>
        </w:rPr>
        <w:t xml:space="preserve"> </w:t>
      </w:r>
      <w:r w:rsidR="00CF36CE">
        <w:rPr>
          <w:noProof/>
        </w:rPr>
        <w:t>of GDP in 2016 and 3.1% of GDP in 2017 in the spring forecast</w:t>
      </w:r>
      <w:r w:rsidR="00B301A2" w:rsidRPr="00C75EFC">
        <w:rPr>
          <w:noProof/>
        </w:rPr>
        <w:t>)</w:t>
      </w:r>
      <w:r w:rsidR="009B0649" w:rsidRPr="00C75EFC">
        <w:rPr>
          <w:noProof/>
        </w:rPr>
        <w:t xml:space="preserve">. </w:t>
      </w:r>
      <w:r w:rsidR="00206F4F">
        <w:rPr>
          <w:noProof/>
        </w:rPr>
        <w:t xml:space="preserve">The </w:t>
      </w:r>
      <w:r w:rsidR="00CD657A">
        <w:rPr>
          <w:noProof/>
        </w:rPr>
        <w:t xml:space="preserve">higher </w:t>
      </w:r>
      <w:r w:rsidR="00370A44">
        <w:rPr>
          <w:noProof/>
        </w:rPr>
        <w:t xml:space="preserve">deficit forecast </w:t>
      </w:r>
      <w:r w:rsidR="00B40937" w:rsidRPr="00370A44">
        <w:rPr>
          <w:noProof/>
        </w:rPr>
        <w:t>is due partly</w:t>
      </w:r>
      <w:r w:rsidR="00B40937">
        <w:rPr>
          <w:noProof/>
        </w:rPr>
        <w:t xml:space="preserve"> </w:t>
      </w:r>
      <w:r w:rsidR="00CD657A" w:rsidRPr="00CD657A">
        <w:rPr>
          <w:noProof/>
        </w:rPr>
        <w:t xml:space="preserve">to </w:t>
      </w:r>
      <w:r w:rsidR="00D101F1">
        <w:rPr>
          <w:noProof/>
        </w:rPr>
        <w:t xml:space="preserve">the fact that the updated Commission forecast takes on board </w:t>
      </w:r>
      <w:r w:rsidR="00CD657A" w:rsidRPr="00CD657A">
        <w:rPr>
          <w:noProof/>
        </w:rPr>
        <w:t xml:space="preserve">a </w:t>
      </w:r>
      <w:r w:rsidR="009477E5">
        <w:rPr>
          <w:noProof/>
        </w:rPr>
        <w:t xml:space="preserve">lower </w:t>
      </w:r>
      <w:r w:rsidR="008450C1">
        <w:rPr>
          <w:noProof/>
        </w:rPr>
        <w:t xml:space="preserve">amount </w:t>
      </w:r>
      <w:r w:rsidR="00D16C13">
        <w:rPr>
          <w:noProof/>
        </w:rPr>
        <w:t xml:space="preserve">of </w:t>
      </w:r>
      <w:r w:rsidR="009477E5">
        <w:rPr>
          <w:noProof/>
        </w:rPr>
        <w:t xml:space="preserve">measures </w:t>
      </w:r>
      <w:r w:rsidR="00D101F1" w:rsidRPr="00D101F1">
        <w:rPr>
          <w:noProof/>
        </w:rPr>
        <w:t xml:space="preserve">to contain expenditure at central and regional government level </w:t>
      </w:r>
      <w:r w:rsidR="009477E5" w:rsidRPr="009477E5">
        <w:rPr>
          <w:noProof/>
        </w:rPr>
        <w:t>in response to the March 2016 Commission Recommendation</w:t>
      </w:r>
      <w:r w:rsidR="00D101F1">
        <w:rPr>
          <w:noProof/>
        </w:rPr>
        <w:t xml:space="preserve"> (0.2% of GDP) than the </w:t>
      </w:r>
      <w:r w:rsidR="009477E5">
        <w:rPr>
          <w:noProof/>
        </w:rPr>
        <w:t>Stability Programme</w:t>
      </w:r>
      <w:r w:rsidR="00D101F1">
        <w:rPr>
          <w:noProof/>
        </w:rPr>
        <w:t xml:space="preserve"> forecast </w:t>
      </w:r>
      <w:r w:rsidR="00D101F1" w:rsidRPr="00D101F1">
        <w:rPr>
          <w:noProof/>
        </w:rPr>
        <w:t>(0.4% of GDP)</w:t>
      </w:r>
      <w:r w:rsidR="00370A44">
        <w:rPr>
          <w:noProof/>
        </w:rPr>
        <w:t xml:space="preserve"> on account that some of these measures have not yet been sufficiently specified to be included in the Commission forecast on the basis of the usual no-policy-change assumption</w:t>
      </w:r>
      <w:r w:rsidR="00385364">
        <w:rPr>
          <w:noProof/>
        </w:rPr>
        <w:t xml:space="preserve">. However, </w:t>
      </w:r>
      <w:r w:rsidR="00370A44">
        <w:rPr>
          <w:noProof/>
        </w:rPr>
        <w:t>most of the difference stems from</w:t>
      </w:r>
      <w:r w:rsidR="00385364">
        <w:rPr>
          <w:noProof/>
        </w:rPr>
        <w:t xml:space="preserve"> </w:t>
      </w:r>
      <w:r w:rsidR="00CD657A" w:rsidRPr="00CD657A">
        <w:rPr>
          <w:noProof/>
        </w:rPr>
        <w:t xml:space="preserve">changes made to the </w:t>
      </w:r>
      <w:r w:rsidR="00AF1C64" w:rsidRPr="00AF1C64">
        <w:rPr>
          <w:noProof/>
        </w:rPr>
        <w:t xml:space="preserve">corporate income tax </w:t>
      </w:r>
      <w:r w:rsidR="00CD657A" w:rsidRPr="00CD657A">
        <w:rPr>
          <w:noProof/>
        </w:rPr>
        <w:t>legal framework</w:t>
      </w:r>
      <w:r w:rsidR="00AF1C64">
        <w:rPr>
          <w:noProof/>
        </w:rPr>
        <w:t>,</w:t>
      </w:r>
      <w:r w:rsidR="00385364">
        <w:rPr>
          <w:noProof/>
        </w:rPr>
        <w:t xml:space="preserve"> leading to l</w:t>
      </w:r>
      <w:r w:rsidR="00AF1C64">
        <w:rPr>
          <w:noProof/>
        </w:rPr>
        <w:t>ower</w:t>
      </w:r>
      <w:r w:rsidR="00CD657A" w:rsidRPr="00CD657A">
        <w:rPr>
          <w:noProof/>
        </w:rPr>
        <w:t xml:space="preserve"> </w:t>
      </w:r>
      <w:r w:rsidR="00370A44">
        <w:rPr>
          <w:noProof/>
        </w:rPr>
        <w:t xml:space="preserve">advanced </w:t>
      </w:r>
      <w:r w:rsidR="00CD657A" w:rsidRPr="00CD657A">
        <w:rPr>
          <w:noProof/>
        </w:rPr>
        <w:t xml:space="preserve">payments </w:t>
      </w:r>
      <w:r w:rsidR="00AF1C64">
        <w:rPr>
          <w:noProof/>
        </w:rPr>
        <w:t xml:space="preserve">by companies </w:t>
      </w:r>
      <w:r w:rsidR="00CD657A" w:rsidRPr="00CD657A">
        <w:rPr>
          <w:noProof/>
        </w:rPr>
        <w:t>(</w:t>
      </w:r>
      <w:r w:rsidR="00370A44">
        <w:rPr>
          <w:noProof/>
        </w:rPr>
        <w:t>'</w:t>
      </w:r>
      <w:r w:rsidR="00CD657A" w:rsidRPr="00C75EFC">
        <w:rPr>
          <w:i/>
          <w:noProof/>
        </w:rPr>
        <w:t>pagos fraccionados</w:t>
      </w:r>
      <w:r w:rsidR="00370A44">
        <w:rPr>
          <w:noProof/>
        </w:rPr>
        <w:t>'</w:t>
      </w:r>
      <w:r w:rsidR="00CD657A" w:rsidRPr="00CD657A">
        <w:rPr>
          <w:noProof/>
        </w:rPr>
        <w:t>)</w:t>
      </w:r>
      <w:r w:rsidR="00370A44">
        <w:rPr>
          <w:noProof/>
        </w:rPr>
        <w:t xml:space="preserve"> in 2016.</w:t>
      </w:r>
      <w:r w:rsidR="00FF3399">
        <w:rPr>
          <w:noProof/>
        </w:rPr>
        <w:t xml:space="preserve"> The shortfalls in advanced payments </w:t>
      </w:r>
      <w:r w:rsidR="00AF1C64">
        <w:rPr>
          <w:noProof/>
        </w:rPr>
        <w:t>were not qua</w:t>
      </w:r>
      <w:r w:rsidR="00B40937" w:rsidRPr="00370A44">
        <w:rPr>
          <w:noProof/>
        </w:rPr>
        <w:t>n</w:t>
      </w:r>
      <w:r w:rsidR="00AF1C64">
        <w:rPr>
          <w:noProof/>
        </w:rPr>
        <w:t>tified in the Stability Programme</w:t>
      </w:r>
      <w:r w:rsidR="00433056">
        <w:rPr>
          <w:noProof/>
        </w:rPr>
        <w:t xml:space="preserve"> </w:t>
      </w:r>
      <w:r w:rsidR="00FF3399">
        <w:rPr>
          <w:noProof/>
        </w:rPr>
        <w:t xml:space="preserve">and only became apparent in April, at the time of the first instalment, after the cut-off date of the spring forecast. The </w:t>
      </w:r>
      <w:r w:rsidR="00FF04AB">
        <w:rPr>
          <w:noProof/>
        </w:rPr>
        <w:t xml:space="preserve">updated </w:t>
      </w:r>
      <w:r w:rsidR="00FF3399">
        <w:rPr>
          <w:noProof/>
        </w:rPr>
        <w:t xml:space="preserve">Commission 2016 spring forecast </w:t>
      </w:r>
      <w:r w:rsidR="00433056">
        <w:rPr>
          <w:noProof/>
        </w:rPr>
        <w:t>estimate</w:t>
      </w:r>
      <w:r w:rsidR="00FF3399">
        <w:rPr>
          <w:noProof/>
        </w:rPr>
        <w:t>s</w:t>
      </w:r>
      <w:r w:rsidR="00433056">
        <w:rPr>
          <w:noProof/>
        </w:rPr>
        <w:t xml:space="preserve"> </w:t>
      </w:r>
      <w:r w:rsidR="00FF3399">
        <w:rPr>
          <w:noProof/>
        </w:rPr>
        <w:t xml:space="preserve">these shortfalls </w:t>
      </w:r>
      <w:r w:rsidR="00433056">
        <w:rPr>
          <w:noProof/>
        </w:rPr>
        <w:t xml:space="preserve">at 0.5% of GDP </w:t>
      </w:r>
      <w:r w:rsidR="00FF3399">
        <w:rPr>
          <w:noProof/>
        </w:rPr>
        <w:t>in 2016. As t</w:t>
      </w:r>
      <w:r w:rsidR="00AF1C64">
        <w:rPr>
          <w:noProof/>
        </w:rPr>
        <w:t>he</w:t>
      </w:r>
      <w:r w:rsidR="00410673">
        <w:rPr>
          <w:noProof/>
        </w:rPr>
        <w:t xml:space="preserve"> abovementioned </w:t>
      </w:r>
      <w:r w:rsidR="00AF1C64">
        <w:rPr>
          <w:noProof/>
        </w:rPr>
        <w:t xml:space="preserve">changes </w:t>
      </w:r>
      <w:r w:rsidR="00410673">
        <w:rPr>
          <w:noProof/>
        </w:rPr>
        <w:t>create</w:t>
      </w:r>
      <w:r w:rsidR="00FF3399">
        <w:rPr>
          <w:noProof/>
        </w:rPr>
        <w:t xml:space="preserve"> a permanent delay in the payment of taxes, but not to a change in the tax rate or tax base, they would not affect revenue from corporate income taxes</w:t>
      </w:r>
      <w:r w:rsidR="007054D6" w:rsidRPr="007054D6">
        <w:t xml:space="preserve"> </w:t>
      </w:r>
      <w:r w:rsidR="007054D6" w:rsidRPr="007054D6">
        <w:rPr>
          <w:noProof/>
        </w:rPr>
        <w:t>in a new steady state (starting in 2017)</w:t>
      </w:r>
      <w:r w:rsidR="00FF3399">
        <w:rPr>
          <w:noProof/>
        </w:rPr>
        <w:t xml:space="preserve">. </w:t>
      </w:r>
      <w:r w:rsidR="00433056">
        <w:rPr>
          <w:noProof/>
        </w:rPr>
        <w:t xml:space="preserve">They </w:t>
      </w:r>
      <w:r w:rsidR="00410673">
        <w:rPr>
          <w:noProof/>
        </w:rPr>
        <w:t>result in</w:t>
      </w:r>
      <w:r w:rsidR="00433056">
        <w:rPr>
          <w:noProof/>
        </w:rPr>
        <w:t xml:space="preserve"> a tempor</w:t>
      </w:r>
      <w:r w:rsidR="00920D55">
        <w:rPr>
          <w:noProof/>
        </w:rPr>
        <w:t xml:space="preserve">ary </w:t>
      </w:r>
      <w:r w:rsidR="00433056">
        <w:rPr>
          <w:noProof/>
        </w:rPr>
        <w:t xml:space="preserve">loss of </w:t>
      </w:r>
      <w:r w:rsidR="007D273B">
        <w:rPr>
          <w:noProof/>
        </w:rPr>
        <w:t>tax col</w:t>
      </w:r>
      <w:r w:rsidR="00B40937" w:rsidRPr="00370A44">
        <w:rPr>
          <w:noProof/>
        </w:rPr>
        <w:t>l</w:t>
      </w:r>
      <w:r w:rsidR="007D273B">
        <w:rPr>
          <w:noProof/>
        </w:rPr>
        <w:t>ection in 2016</w:t>
      </w:r>
      <w:r w:rsidR="00920D55">
        <w:rPr>
          <w:noProof/>
        </w:rPr>
        <w:t>, which has been</w:t>
      </w:r>
      <w:r w:rsidR="007D273B">
        <w:rPr>
          <w:noProof/>
        </w:rPr>
        <w:t xml:space="preserve"> treated as a one-</w:t>
      </w:r>
      <w:r w:rsidR="00920D55">
        <w:rPr>
          <w:noProof/>
        </w:rPr>
        <w:t>off</w:t>
      </w:r>
      <w:r w:rsidR="007D273B">
        <w:rPr>
          <w:noProof/>
        </w:rPr>
        <w:t xml:space="preserve"> in the updated spring forecast</w:t>
      </w:r>
      <w:r w:rsidR="00920D55">
        <w:rPr>
          <w:noProof/>
        </w:rPr>
        <w:t>.</w:t>
      </w:r>
      <w:r w:rsidR="00433056">
        <w:rPr>
          <w:noProof/>
        </w:rPr>
        <w:t xml:space="preserve"> </w:t>
      </w:r>
      <w:r w:rsidR="00385364">
        <w:rPr>
          <w:noProof/>
        </w:rPr>
        <w:t xml:space="preserve">For 2017, </w:t>
      </w:r>
      <w:r w:rsidR="00D83DA9">
        <w:rPr>
          <w:noProof/>
        </w:rPr>
        <w:t>the differe</w:t>
      </w:r>
      <w:r w:rsidR="009477E5">
        <w:rPr>
          <w:noProof/>
        </w:rPr>
        <w:t>nces between the updated spring</w:t>
      </w:r>
      <w:r w:rsidR="00D83DA9">
        <w:rPr>
          <w:noProof/>
        </w:rPr>
        <w:t xml:space="preserve"> foreca</w:t>
      </w:r>
      <w:r w:rsidR="009477E5">
        <w:rPr>
          <w:noProof/>
        </w:rPr>
        <w:t xml:space="preserve">st and the Stability Programme stem from </w:t>
      </w:r>
      <w:r w:rsidR="009477E5" w:rsidRPr="009477E5">
        <w:rPr>
          <w:noProof/>
        </w:rPr>
        <w:t xml:space="preserve">the worse-than-expected starting position and the fact that the savings measures taken in response to the March 2016 Commission Recommendation are </w:t>
      </w:r>
      <w:r w:rsidR="00AC217A">
        <w:rPr>
          <w:noProof/>
        </w:rPr>
        <w:t xml:space="preserve">not yet sufficiently specified to be taken into account on the basis of the usual no-policy-change assumption. </w:t>
      </w:r>
      <w:r w:rsidR="00575F9A">
        <w:rPr>
          <w:noProof/>
        </w:rPr>
        <w:t>T</w:t>
      </w:r>
      <w:r w:rsidR="00696DD8" w:rsidRPr="00C75EFC">
        <w:rPr>
          <w:noProof/>
        </w:rPr>
        <w:t xml:space="preserve">he structural </w:t>
      </w:r>
      <w:r w:rsidR="00696DD8" w:rsidRPr="00727EB6">
        <w:rPr>
          <w:noProof/>
        </w:rPr>
        <w:t>def</w:t>
      </w:r>
      <w:r w:rsidR="00F23390" w:rsidRPr="00727EB6">
        <w:rPr>
          <w:noProof/>
        </w:rPr>
        <w:t>i</w:t>
      </w:r>
      <w:r w:rsidR="00696DD8" w:rsidRPr="00727EB6">
        <w:rPr>
          <w:noProof/>
        </w:rPr>
        <w:t xml:space="preserve">cit is expected to </w:t>
      </w:r>
      <w:r w:rsidR="00477585" w:rsidRPr="00727EB6">
        <w:rPr>
          <w:noProof/>
        </w:rPr>
        <w:t>increase</w:t>
      </w:r>
      <w:r w:rsidR="00696DD8" w:rsidRPr="00727EB6">
        <w:rPr>
          <w:noProof/>
        </w:rPr>
        <w:t xml:space="preserve"> by 0.</w:t>
      </w:r>
      <w:r w:rsidR="009A2402" w:rsidRPr="00727EB6">
        <w:rPr>
          <w:noProof/>
        </w:rPr>
        <w:t>4</w:t>
      </w:r>
      <w:r w:rsidR="00BD7832" w:rsidRPr="00727EB6">
        <w:rPr>
          <w:noProof/>
        </w:rPr>
        <w:t>%</w:t>
      </w:r>
      <w:r w:rsidR="00931E5D">
        <w:rPr>
          <w:noProof/>
        </w:rPr>
        <w:t xml:space="preserve"> and</w:t>
      </w:r>
      <w:r w:rsidR="00F23390" w:rsidRPr="00727EB6">
        <w:rPr>
          <w:noProof/>
        </w:rPr>
        <w:t xml:space="preserve"> 0.1</w:t>
      </w:r>
      <w:r w:rsidR="00BD7832" w:rsidRPr="00727EB6">
        <w:rPr>
          <w:noProof/>
        </w:rPr>
        <w:t>%</w:t>
      </w:r>
      <w:r w:rsidR="009A2402" w:rsidRPr="00727EB6">
        <w:rPr>
          <w:noProof/>
        </w:rPr>
        <w:t xml:space="preserve"> </w:t>
      </w:r>
      <w:r w:rsidR="00BD7832" w:rsidRPr="00727EB6">
        <w:rPr>
          <w:noProof/>
        </w:rPr>
        <w:t xml:space="preserve">of GDP </w:t>
      </w:r>
      <w:r w:rsidR="00696DD8" w:rsidRPr="00727EB6">
        <w:rPr>
          <w:noProof/>
        </w:rPr>
        <w:t xml:space="preserve">in 2016 </w:t>
      </w:r>
      <w:r w:rsidR="00F23390" w:rsidRPr="00727EB6">
        <w:rPr>
          <w:noProof/>
        </w:rPr>
        <w:t>and 2017, respe</w:t>
      </w:r>
      <w:r w:rsidR="00F23390" w:rsidRPr="00C75EFC">
        <w:rPr>
          <w:noProof/>
        </w:rPr>
        <w:t>ctively</w:t>
      </w:r>
      <w:r w:rsidR="009A2402">
        <w:rPr>
          <w:noProof/>
        </w:rPr>
        <w:t>, and to remain unchanged in 2018</w:t>
      </w:r>
      <w:r w:rsidR="00F23390" w:rsidRPr="00C75EFC">
        <w:rPr>
          <w:noProof/>
        </w:rPr>
        <w:t xml:space="preserve">. </w:t>
      </w:r>
      <w:r w:rsidR="008F041E" w:rsidRPr="00C75EFC">
        <w:rPr>
          <w:noProof/>
        </w:rPr>
        <w:t>However, in 2016, the projected increase of the structural deficit is partly driven by the fact that the current outlook for inflation and nominal GDP growth is lower than the one underpinning the 2016 budget, which adversely affected structural government revenue while not allowing to adjust expenditure.</w:t>
      </w:r>
    </w:p>
    <w:p w:rsidR="00B1291E" w:rsidRDefault="00B9610A" w:rsidP="00B9610A">
      <w:pPr>
        <w:pStyle w:val="ManualConsidrant"/>
        <w:rPr>
          <w:noProof/>
        </w:rPr>
      </w:pPr>
      <w:r w:rsidRPr="005B0086">
        <w:t>(</w:t>
      </w:r>
      <w:r w:rsidR="00E07948" w:rsidRPr="005B0086">
        <w:t>8</w:t>
      </w:r>
      <w:r w:rsidRPr="005B0086">
        <w:t>)</w:t>
      </w:r>
      <w:r w:rsidRPr="005B0086">
        <w:tab/>
      </w:r>
      <w:r w:rsidR="00BD7832" w:rsidRPr="005B0086">
        <w:t xml:space="preserve">The general government </w:t>
      </w:r>
      <w:r w:rsidR="00BD7832" w:rsidRPr="005B0086">
        <w:rPr>
          <w:noProof/>
        </w:rPr>
        <w:t xml:space="preserve">gross </w:t>
      </w:r>
      <w:r w:rsidR="00B1291E" w:rsidRPr="005B0086">
        <w:rPr>
          <w:noProof/>
        </w:rPr>
        <w:t>debt</w:t>
      </w:r>
      <w:r w:rsidR="00BD7832" w:rsidRPr="005B0086">
        <w:rPr>
          <w:noProof/>
        </w:rPr>
        <w:t>-to-GDP ratio</w:t>
      </w:r>
      <w:r w:rsidR="00B1291E" w:rsidRPr="005B0086">
        <w:rPr>
          <w:noProof/>
        </w:rPr>
        <w:t xml:space="preserve"> rose from </w:t>
      </w:r>
      <w:r w:rsidR="00C1720D" w:rsidRPr="005B0086">
        <w:rPr>
          <w:noProof/>
        </w:rPr>
        <w:t>36</w:t>
      </w:r>
      <w:r w:rsidR="00B1291E" w:rsidRPr="005B0086">
        <w:rPr>
          <w:noProof/>
        </w:rPr>
        <w:t xml:space="preserve">% in 2007 to </w:t>
      </w:r>
      <w:r w:rsidR="00C1720D" w:rsidRPr="005B0086">
        <w:rPr>
          <w:noProof/>
        </w:rPr>
        <w:t>about 99</w:t>
      </w:r>
      <w:r w:rsidR="00B1291E" w:rsidRPr="005B0086">
        <w:rPr>
          <w:noProof/>
        </w:rPr>
        <w:t>% in 201</w:t>
      </w:r>
      <w:r w:rsidR="00C1720D" w:rsidRPr="005B0086">
        <w:rPr>
          <w:noProof/>
        </w:rPr>
        <w:t>4</w:t>
      </w:r>
      <w:r w:rsidR="00B1291E" w:rsidRPr="005B0086">
        <w:rPr>
          <w:noProof/>
        </w:rPr>
        <w:t xml:space="preserve">. </w:t>
      </w:r>
      <w:r w:rsidR="00C1720D" w:rsidRPr="005B0086">
        <w:rPr>
          <w:noProof/>
        </w:rPr>
        <w:t xml:space="preserve">In </w:t>
      </w:r>
      <w:r w:rsidR="00C1720D" w:rsidRPr="00A74535">
        <w:rPr>
          <w:noProof/>
        </w:rPr>
        <w:t xml:space="preserve">2015, the debt ratio was more or less stable, </w:t>
      </w:r>
      <w:r w:rsidR="00124991" w:rsidRPr="008450C1">
        <w:rPr>
          <w:noProof/>
        </w:rPr>
        <w:t xml:space="preserve">as </w:t>
      </w:r>
      <w:r w:rsidR="00E07948" w:rsidRPr="008450C1">
        <w:rPr>
          <w:noProof/>
        </w:rPr>
        <w:t xml:space="preserve">net sales of financial assets offset the </w:t>
      </w:r>
      <w:r w:rsidR="00124991" w:rsidRPr="008450C1">
        <w:rPr>
          <w:noProof/>
        </w:rPr>
        <w:t xml:space="preserve">negative </w:t>
      </w:r>
      <w:r w:rsidR="00E07948" w:rsidRPr="008450C1">
        <w:rPr>
          <w:noProof/>
        </w:rPr>
        <w:t>impact of the deficit growing faster than nominal GDP growth</w:t>
      </w:r>
      <w:r w:rsidR="00B1291E" w:rsidRPr="008450C1">
        <w:rPr>
          <w:noProof/>
        </w:rPr>
        <w:t xml:space="preserve">. </w:t>
      </w:r>
      <w:r w:rsidR="00B1291E" w:rsidRPr="00C75EFC">
        <w:rPr>
          <w:noProof/>
        </w:rPr>
        <w:t xml:space="preserve">According to the </w:t>
      </w:r>
      <w:r w:rsidR="004A4B72" w:rsidRPr="00C75EFC">
        <w:rPr>
          <w:noProof/>
        </w:rPr>
        <w:t>updated</w:t>
      </w:r>
      <w:r w:rsidR="007054D6">
        <w:rPr>
          <w:noProof/>
        </w:rPr>
        <w:t xml:space="preserve"> </w:t>
      </w:r>
      <w:r w:rsidR="00B1291E" w:rsidRPr="00C75EFC">
        <w:rPr>
          <w:noProof/>
        </w:rPr>
        <w:t>Commission 201</w:t>
      </w:r>
      <w:r w:rsidR="00C1720D" w:rsidRPr="00C75EFC">
        <w:rPr>
          <w:noProof/>
        </w:rPr>
        <w:t>6</w:t>
      </w:r>
      <w:r w:rsidR="00B1291E" w:rsidRPr="00C75EFC">
        <w:rPr>
          <w:noProof/>
        </w:rPr>
        <w:t xml:space="preserve"> </w:t>
      </w:r>
      <w:r w:rsidR="00C1720D" w:rsidRPr="00C75EFC">
        <w:rPr>
          <w:noProof/>
        </w:rPr>
        <w:t>s</w:t>
      </w:r>
      <w:r w:rsidR="00B1291E" w:rsidRPr="00C75EFC">
        <w:rPr>
          <w:noProof/>
        </w:rPr>
        <w:t xml:space="preserve">pring </w:t>
      </w:r>
      <w:r w:rsidR="00C1720D" w:rsidRPr="00C75EFC">
        <w:rPr>
          <w:noProof/>
        </w:rPr>
        <w:t>f</w:t>
      </w:r>
      <w:r w:rsidR="00B1291E" w:rsidRPr="00C75EFC">
        <w:rPr>
          <w:noProof/>
        </w:rPr>
        <w:t xml:space="preserve">orecast, </w:t>
      </w:r>
      <w:r w:rsidR="00C1720D" w:rsidRPr="00C75EFC">
        <w:rPr>
          <w:noProof/>
        </w:rPr>
        <w:t xml:space="preserve">the debt ratio </w:t>
      </w:r>
      <w:r w:rsidR="00B1291E" w:rsidRPr="00C75EFC">
        <w:rPr>
          <w:noProof/>
        </w:rPr>
        <w:t xml:space="preserve">is expected to </w:t>
      </w:r>
      <w:r w:rsidR="00C1720D" w:rsidRPr="00C75EFC">
        <w:rPr>
          <w:noProof/>
        </w:rPr>
        <w:t>peak at 100</w:t>
      </w:r>
      <w:r w:rsidR="00575F9A" w:rsidRPr="00C75EFC">
        <w:rPr>
          <w:noProof/>
        </w:rPr>
        <w:t>.6</w:t>
      </w:r>
      <w:r w:rsidR="00C1720D" w:rsidRPr="00C75EFC">
        <w:rPr>
          <w:noProof/>
        </w:rPr>
        <w:t xml:space="preserve">% of GDP </w:t>
      </w:r>
      <w:r w:rsidR="00757CC5" w:rsidRPr="00C75EFC">
        <w:rPr>
          <w:noProof/>
        </w:rPr>
        <w:t xml:space="preserve">in </w:t>
      </w:r>
      <w:r w:rsidR="00575F9A" w:rsidRPr="00C75EFC">
        <w:rPr>
          <w:noProof/>
        </w:rPr>
        <w:t xml:space="preserve">2017, </w:t>
      </w:r>
      <w:r w:rsidR="00A74535" w:rsidRPr="00C75EFC">
        <w:rPr>
          <w:noProof/>
        </w:rPr>
        <w:t>whereas the spring forecast projected the debt to peak at 100.3% of GDP in 2016.</w:t>
      </w:r>
      <w:r w:rsidR="00B1291E" w:rsidRPr="00A74535">
        <w:rPr>
          <w:noProof/>
        </w:rPr>
        <w:t xml:space="preserve"> </w:t>
      </w:r>
      <w:r w:rsidR="00E35903" w:rsidRPr="008450C1">
        <w:rPr>
          <w:noProof/>
        </w:rPr>
        <w:t>Although Spain does not appear to face immediate risks of fiscal stress arising from this</w:t>
      </w:r>
      <w:r w:rsidR="00E35903" w:rsidRPr="005B0086">
        <w:rPr>
          <w:noProof/>
        </w:rPr>
        <w:t xml:space="preserve"> high debt ratio, debt-sustainability risks </w:t>
      </w:r>
      <w:r w:rsidR="00ED7721">
        <w:rPr>
          <w:noProof/>
        </w:rPr>
        <w:t xml:space="preserve">will </w:t>
      </w:r>
      <w:r w:rsidR="00E35903" w:rsidRPr="005B0086">
        <w:rPr>
          <w:noProof/>
        </w:rPr>
        <w:t xml:space="preserve">significantly increase in the medium term if the budgetary position is not improved. In the longer term, risks to fiscal sustainability are </w:t>
      </w:r>
      <w:r w:rsidR="00ED7721">
        <w:rPr>
          <w:noProof/>
        </w:rPr>
        <w:t xml:space="preserve">set to be </w:t>
      </w:r>
      <w:r w:rsidR="00E35903" w:rsidRPr="005B0086">
        <w:rPr>
          <w:noProof/>
        </w:rPr>
        <w:t>reduced thanks to the positive impact of reductions in age-related expenditure</w:t>
      </w:r>
      <w:r w:rsidR="00ED48EF">
        <w:rPr>
          <w:rStyle w:val="FootnoteReference"/>
          <w:noProof/>
        </w:rPr>
        <w:footnoteReference w:id="4"/>
      </w:r>
      <w:r w:rsidR="00E35903" w:rsidRPr="005B0086">
        <w:rPr>
          <w:noProof/>
        </w:rPr>
        <w:t>.</w:t>
      </w:r>
    </w:p>
    <w:p w:rsidR="00477585" w:rsidRPr="00C75EFC" w:rsidRDefault="00B9610A" w:rsidP="00841ADB">
      <w:pPr>
        <w:pStyle w:val="ManualConsidrant"/>
        <w:rPr>
          <w:noProof/>
        </w:rPr>
      </w:pPr>
      <w:r w:rsidRPr="005B0086">
        <w:t>(</w:t>
      </w:r>
      <w:r w:rsidR="00E07948" w:rsidRPr="005B0086">
        <w:t>9</w:t>
      </w:r>
      <w:r w:rsidRPr="005B0086">
        <w:t>)</w:t>
      </w:r>
      <w:r w:rsidRPr="005B0086">
        <w:tab/>
      </w:r>
      <w:r w:rsidR="00E07948" w:rsidRPr="005B0086">
        <w:rPr>
          <w:noProof/>
        </w:rPr>
        <w:t xml:space="preserve">According to Article 5 of Regulation (EC) No 1467/97, in the Council decision to give notice to take measures for the deficit reduction in accordance with Article 126(9) </w:t>
      </w:r>
      <w:r w:rsidR="00DD542C" w:rsidRPr="005B0086">
        <w:rPr>
          <w:noProof/>
        </w:rPr>
        <w:t>of the Treaty</w:t>
      </w:r>
      <w:r w:rsidR="00E07948" w:rsidRPr="005B0086">
        <w:rPr>
          <w:noProof/>
        </w:rPr>
        <w:t>, the Council shall request that the Member State achieve annual budgetary targets which, on the basis of the forecast underpinning the notice, are consistent with a minimum annual improvement of at least 0.5% of GDP as a benchmark, in its cyclically adjusted balance net of one-off and temporary measures.</w:t>
      </w:r>
      <w:r w:rsidR="00EC11EF" w:rsidRPr="005B0086">
        <w:rPr>
          <w:noProof/>
        </w:rPr>
        <w:t xml:space="preserve"> </w:t>
      </w:r>
      <w:r w:rsidR="00692226">
        <w:rPr>
          <w:noProof/>
        </w:rPr>
        <w:t xml:space="preserve">However, </w:t>
      </w:r>
      <w:r w:rsidR="001C2735" w:rsidRPr="00AC217A">
        <w:rPr>
          <w:noProof/>
        </w:rPr>
        <w:t xml:space="preserve">the fact that this Council decision to give notice is adopted in the second </w:t>
      </w:r>
      <w:r w:rsidR="001C2735" w:rsidRPr="00C75EFC">
        <w:rPr>
          <w:noProof/>
        </w:rPr>
        <w:t xml:space="preserve">half of the year amplifies the fiscal effort needed to achieve a </w:t>
      </w:r>
      <w:r w:rsidR="009A2402" w:rsidRPr="00C75EFC">
        <w:rPr>
          <w:noProof/>
        </w:rPr>
        <w:t>given</w:t>
      </w:r>
      <w:r w:rsidR="001C2735" w:rsidRPr="00C75EFC">
        <w:rPr>
          <w:noProof/>
        </w:rPr>
        <w:t xml:space="preserve"> annual improvement of the structural balance.</w:t>
      </w:r>
      <w:r w:rsidR="001E238C" w:rsidRPr="00C75EFC">
        <w:rPr>
          <w:noProof/>
        </w:rPr>
        <w:t xml:space="preserve"> </w:t>
      </w:r>
      <w:r w:rsidR="008F041E" w:rsidRPr="00C75EFC">
        <w:rPr>
          <w:noProof/>
        </w:rPr>
        <w:t xml:space="preserve">It is also important to bear in mind that the baseline scenario for the new adjustment path starts with a deterioration of </w:t>
      </w:r>
      <w:r w:rsidR="008F041E" w:rsidRPr="007638A8">
        <w:t>0.</w:t>
      </w:r>
      <w:r w:rsidR="009A2402" w:rsidRPr="00C75EFC">
        <w:rPr>
          <w:noProof/>
        </w:rPr>
        <w:t>4</w:t>
      </w:r>
      <w:r w:rsidR="008F041E" w:rsidRPr="007638A8">
        <w:t>%</w:t>
      </w:r>
      <w:r w:rsidR="008F041E" w:rsidRPr="00C75EFC">
        <w:rPr>
          <w:noProof/>
        </w:rPr>
        <w:t xml:space="preserve"> of GDP of the structural deficit, which is at least in part the result of the inflation turning out lower than projected in the scenario underpinning the 2016 budget – an event that is largely outside the control of the government. </w:t>
      </w:r>
      <w:r w:rsidR="00A20A2E" w:rsidRPr="00C75EFC">
        <w:rPr>
          <w:noProof/>
        </w:rPr>
        <w:t>Taking this into account, it appears appropriate not to request further structural measures in 2016.</w:t>
      </w:r>
    </w:p>
    <w:p w:rsidR="00A20A2E" w:rsidRPr="00C75EFC" w:rsidRDefault="00841ADB">
      <w:pPr>
        <w:pStyle w:val="ManualConsidrant"/>
      </w:pPr>
      <w:r w:rsidRPr="00C75EFC">
        <w:t>(10)</w:t>
      </w:r>
      <w:r w:rsidRPr="00C75EFC">
        <w:tab/>
      </w:r>
      <w:r w:rsidR="00224816" w:rsidRPr="00C75EFC">
        <w:t>Considering that no further structural measures should be requested in 2016</w:t>
      </w:r>
      <w:r w:rsidR="00A20A2E" w:rsidRPr="00C75EFC">
        <w:t>, granting Spain one additional year for the correction of its excessive deficit, which is the rule according to Council Regulation (EC) No 1467/97, would require an annual improvement of the structural balance in 2017 which would have a too negative impact on growth. Therefore, it seems adequate to extend the deadline for Spain to bring an end to its excessive deficit situation by two years.</w:t>
      </w:r>
    </w:p>
    <w:p w:rsidR="00D326C4" w:rsidRPr="00C75EFC" w:rsidRDefault="00A20A2E" w:rsidP="00A20A2E">
      <w:pPr>
        <w:pStyle w:val="ManualConsidrant"/>
      </w:pPr>
      <w:r w:rsidRPr="00C75EFC">
        <w:t>(1</w:t>
      </w:r>
      <w:r w:rsidR="00224816" w:rsidRPr="00C75EFC">
        <w:t>1</w:t>
      </w:r>
      <w:r w:rsidRPr="00C75EFC">
        <w:t>)</w:t>
      </w:r>
      <w:r w:rsidRPr="00C75EFC">
        <w:tab/>
      </w:r>
      <w:r w:rsidR="00841ADB" w:rsidRPr="00C75EFC">
        <w:t>Therefore</w:t>
      </w:r>
      <w:r w:rsidR="00841ADB" w:rsidRPr="00C75EFC">
        <w:rPr>
          <w:noProof/>
        </w:rPr>
        <w:t xml:space="preserve">, </w:t>
      </w:r>
      <w:r w:rsidR="00EC11EF" w:rsidRPr="00C75EFC">
        <w:rPr>
          <w:noProof/>
        </w:rPr>
        <w:t xml:space="preserve">a credible and </w:t>
      </w:r>
      <w:r w:rsidR="00EC11EF" w:rsidRPr="009B6093">
        <w:rPr>
          <w:noProof/>
        </w:rPr>
        <w:t xml:space="preserve">sustainable adjustment path would require Spain to reach a general government deficit of </w:t>
      </w:r>
      <w:r w:rsidR="003A22EC" w:rsidRPr="009B6093">
        <w:rPr>
          <w:noProof/>
        </w:rPr>
        <w:t>4.</w:t>
      </w:r>
      <w:r w:rsidR="00ED06E1" w:rsidRPr="009B6093">
        <w:rPr>
          <w:noProof/>
        </w:rPr>
        <w:t>6</w:t>
      </w:r>
      <w:r w:rsidR="00841ADB" w:rsidRPr="009B6093">
        <w:rPr>
          <w:noProof/>
        </w:rPr>
        <w:t>%</w:t>
      </w:r>
      <w:r w:rsidR="009A2402" w:rsidRPr="009B6093">
        <w:rPr>
          <w:noProof/>
        </w:rPr>
        <w:t>,</w:t>
      </w:r>
      <w:r w:rsidR="00841ADB" w:rsidRPr="009B6093">
        <w:rPr>
          <w:noProof/>
        </w:rPr>
        <w:t xml:space="preserve"> </w:t>
      </w:r>
      <w:r w:rsidR="009A2402" w:rsidRPr="007638A8">
        <w:t>3.</w:t>
      </w:r>
      <w:r w:rsidR="009A2402" w:rsidRPr="009B6093">
        <w:rPr>
          <w:noProof/>
        </w:rPr>
        <w:t>1</w:t>
      </w:r>
      <w:r w:rsidR="00841ADB" w:rsidRPr="009B6093">
        <w:rPr>
          <w:noProof/>
        </w:rPr>
        <w:t>%</w:t>
      </w:r>
      <w:r w:rsidR="00841ADB" w:rsidRPr="00C75EFC">
        <w:rPr>
          <w:noProof/>
        </w:rPr>
        <w:t xml:space="preserve"> </w:t>
      </w:r>
      <w:r w:rsidR="009A2402" w:rsidRPr="00C75EFC">
        <w:rPr>
          <w:noProof/>
        </w:rPr>
        <w:t xml:space="preserve">and </w:t>
      </w:r>
      <w:r w:rsidR="009A2402" w:rsidRPr="007638A8">
        <w:t>2.</w:t>
      </w:r>
      <w:r w:rsidR="003A22EC" w:rsidRPr="00C75EFC">
        <w:rPr>
          <w:noProof/>
        </w:rPr>
        <w:t>2</w:t>
      </w:r>
      <w:r w:rsidR="009A2402" w:rsidRPr="00C75EFC">
        <w:rPr>
          <w:noProof/>
        </w:rPr>
        <w:t xml:space="preserve">% </w:t>
      </w:r>
      <w:r w:rsidR="00841ADB" w:rsidRPr="00C75EFC">
        <w:rPr>
          <w:noProof/>
        </w:rPr>
        <w:t>of GDP in 2016</w:t>
      </w:r>
      <w:r w:rsidR="009A2402" w:rsidRPr="00C75EFC">
        <w:rPr>
          <w:noProof/>
        </w:rPr>
        <w:t>,</w:t>
      </w:r>
      <w:r w:rsidR="00841ADB" w:rsidRPr="00C75EFC">
        <w:rPr>
          <w:noProof/>
        </w:rPr>
        <w:t xml:space="preserve"> 2017</w:t>
      </w:r>
      <w:r w:rsidR="009A2402" w:rsidRPr="00C75EFC">
        <w:rPr>
          <w:noProof/>
        </w:rPr>
        <w:t xml:space="preserve"> and 2018</w:t>
      </w:r>
      <w:r w:rsidR="00841ADB" w:rsidRPr="00C75EFC">
        <w:rPr>
          <w:noProof/>
        </w:rPr>
        <w:t xml:space="preserve">, respectively, which is consistent with </w:t>
      </w:r>
      <w:r w:rsidR="003A22EC" w:rsidRPr="007638A8">
        <w:t xml:space="preserve">a </w:t>
      </w:r>
      <w:r w:rsidR="003A22EC" w:rsidRPr="00C75EFC">
        <w:rPr>
          <w:noProof/>
        </w:rPr>
        <w:t>deterioration</w:t>
      </w:r>
      <w:r w:rsidR="003A22EC" w:rsidRPr="007638A8">
        <w:t xml:space="preserve"> of the structural balance </w:t>
      </w:r>
      <w:r w:rsidR="003A22EC" w:rsidRPr="00C75EFC">
        <w:rPr>
          <w:noProof/>
        </w:rPr>
        <w:t xml:space="preserve">of 0.4% of GDP </w:t>
      </w:r>
      <w:r w:rsidR="00841ADB" w:rsidRPr="007638A8">
        <w:t xml:space="preserve">in 2016 and </w:t>
      </w:r>
      <w:r w:rsidR="00827104" w:rsidRPr="007638A8">
        <w:t xml:space="preserve">a </w:t>
      </w:r>
      <w:r w:rsidR="009409AF" w:rsidRPr="007638A8">
        <w:t>0.5</w:t>
      </w:r>
      <w:r w:rsidR="00841ADB" w:rsidRPr="007638A8">
        <w:t xml:space="preserve">% of GDP </w:t>
      </w:r>
      <w:r w:rsidR="00827104" w:rsidRPr="007638A8">
        <w:t xml:space="preserve">improvement </w:t>
      </w:r>
      <w:r w:rsidR="00841ADB" w:rsidRPr="007638A8">
        <w:t xml:space="preserve">in </w:t>
      </w:r>
      <w:r w:rsidR="009A2402" w:rsidRPr="00C75EFC">
        <w:rPr>
          <w:noProof/>
        </w:rPr>
        <w:t xml:space="preserve">both </w:t>
      </w:r>
      <w:r w:rsidR="00841ADB" w:rsidRPr="007638A8">
        <w:t>2017</w:t>
      </w:r>
      <w:r w:rsidR="009A2402" w:rsidRPr="00C75EFC">
        <w:rPr>
          <w:noProof/>
        </w:rPr>
        <w:t xml:space="preserve"> and 2018</w:t>
      </w:r>
      <w:r w:rsidR="0024639A" w:rsidRPr="00C75EFC">
        <w:rPr>
          <w:noProof/>
        </w:rPr>
        <w:t xml:space="preserve">. </w:t>
      </w:r>
      <w:r w:rsidR="00827104" w:rsidRPr="00C75EFC">
        <w:rPr>
          <w:noProof/>
        </w:rPr>
        <w:t xml:space="preserve">These </w:t>
      </w:r>
      <w:r w:rsidR="00054CA0" w:rsidRPr="00C75EFC">
        <w:rPr>
          <w:noProof/>
        </w:rPr>
        <w:t xml:space="preserve">budgetary targets </w:t>
      </w:r>
      <w:r w:rsidR="00827104" w:rsidRPr="00C75EFC">
        <w:rPr>
          <w:noProof/>
        </w:rPr>
        <w:t xml:space="preserve">also </w:t>
      </w:r>
      <w:r w:rsidR="00054CA0" w:rsidRPr="00C75EFC">
        <w:rPr>
          <w:noProof/>
        </w:rPr>
        <w:t>take into account the need to compensate for second-round effects of fiscal consolidation on public finances, through its impact on the wider economy.</w:t>
      </w:r>
      <w:r w:rsidR="007518F7" w:rsidRPr="00C75EFC">
        <w:rPr>
          <w:noProof/>
        </w:rPr>
        <w:t xml:space="preserve"> </w:t>
      </w:r>
    </w:p>
    <w:p w:rsidR="00841ADB" w:rsidRPr="00C75EFC" w:rsidRDefault="00D326C4" w:rsidP="00841ADB">
      <w:pPr>
        <w:pStyle w:val="ManualConsidrant"/>
        <w:rPr>
          <w:noProof/>
        </w:rPr>
      </w:pPr>
      <w:r w:rsidRPr="00C75EFC">
        <w:rPr>
          <w:noProof/>
        </w:rPr>
        <w:t>(</w:t>
      </w:r>
      <w:r w:rsidR="00A20A2E" w:rsidRPr="00C75EFC">
        <w:rPr>
          <w:noProof/>
        </w:rPr>
        <w:t>12</w:t>
      </w:r>
      <w:r w:rsidRPr="00C75EFC">
        <w:rPr>
          <w:noProof/>
        </w:rPr>
        <w:t>)</w:t>
      </w:r>
      <w:r w:rsidRPr="00C75EFC">
        <w:rPr>
          <w:noProof/>
        </w:rPr>
        <w:tab/>
      </w:r>
      <w:r w:rsidR="00ED06E1" w:rsidRPr="009B6093">
        <w:rPr>
          <w:noProof/>
        </w:rPr>
        <w:t>I</w:t>
      </w:r>
      <w:r w:rsidR="008C49CF" w:rsidRPr="007638A8">
        <w:rPr>
          <w:noProof/>
        </w:rPr>
        <w:t>n order to reach those targets</w:t>
      </w:r>
      <w:r w:rsidR="00FE20BE" w:rsidRPr="007638A8">
        <w:rPr>
          <w:noProof/>
        </w:rPr>
        <w:t xml:space="preserve">, </w:t>
      </w:r>
      <w:r w:rsidR="008C49CF" w:rsidRPr="007638A8">
        <w:rPr>
          <w:noProof/>
        </w:rPr>
        <w:t xml:space="preserve">further structural </w:t>
      </w:r>
      <w:r w:rsidR="00841ADB" w:rsidRPr="007638A8">
        <w:rPr>
          <w:noProof/>
        </w:rPr>
        <w:t xml:space="preserve">measures with an estimated impact of </w:t>
      </w:r>
      <w:r w:rsidR="003A22EC" w:rsidRPr="007638A8">
        <w:rPr>
          <w:noProof/>
        </w:rPr>
        <w:t xml:space="preserve">0.5% of GDP in both </w:t>
      </w:r>
      <w:r w:rsidR="00350DE7" w:rsidRPr="007638A8">
        <w:rPr>
          <w:noProof/>
        </w:rPr>
        <w:t>2017</w:t>
      </w:r>
      <w:r w:rsidR="005979ED" w:rsidRPr="007638A8">
        <w:rPr>
          <w:noProof/>
        </w:rPr>
        <w:t xml:space="preserve"> and 2018</w:t>
      </w:r>
      <w:r w:rsidR="00515229" w:rsidRPr="007638A8">
        <w:rPr>
          <w:noProof/>
        </w:rPr>
        <w:t>,</w:t>
      </w:r>
      <w:r w:rsidR="00841ADB" w:rsidRPr="007638A8">
        <w:rPr>
          <w:noProof/>
        </w:rPr>
        <w:t xml:space="preserve"> are considered necessary.</w:t>
      </w:r>
      <w:r w:rsidR="00841ADB" w:rsidRPr="00C75EFC">
        <w:rPr>
          <w:noProof/>
        </w:rPr>
        <w:t xml:space="preserve"> </w:t>
      </w:r>
      <w:r w:rsidR="003A22EC" w:rsidRPr="00C75EFC">
        <w:rPr>
          <w:noProof/>
        </w:rPr>
        <w:t>S</w:t>
      </w:r>
      <w:r w:rsidR="004C76BA" w:rsidRPr="00C75EFC">
        <w:rPr>
          <w:noProof/>
        </w:rPr>
        <w:t xml:space="preserve">avings </w:t>
      </w:r>
      <w:r w:rsidR="003A22EC" w:rsidRPr="00C75EFC">
        <w:rPr>
          <w:noProof/>
        </w:rPr>
        <w:t xml:space="preserve">for 2017 and 2018 could among others include </w:t>
      </w:r>
      <w:r w:rsidR="00E35903" w:rsidRPr="00C75EFC">
        <w:rPr>
          <w:noProof/>
        </w:rPr>
        <w:t xml:space="preserve">the reduction of the number and scope of tax expenditures, in particular </w:t>
      </w:r>
      <w:r w:rsidR="00AD7635" w:rsidRPr="00C75EFC">
        <w:rPr>
          <w:noProof/>
        </w:rPr>
        <w:t xml:space="preserve">the </w:t>
      </w:r>
      <w:r w:rsidR="00E35903" w:rsidRPr="00C75EFC">
        <w:rPr>
          <w:noProof/>
        </w:rPr>
        <w:t>reduced VAT rates</w:t>
      </w:r>
      <w:r w:rsidR="00AD7635" w:rsidRPr="00C75EFC">
        <w:rPr>
          <w:noProof/>
        </w:rPr>
        <w:t xml:space="preserve">, </w:t>
      </w:r>
      <w:r w:rsidR="003A22EC" w:rsidRPr="00C75EFC">
        <w:rPr>
          <w:noProof/>
        </w:rPr>
        <w:t xml:space="preserve">in order </w:t>
      </w:r>
      <w:r w:rsidR="004C76BA" w:rsidRPr="00C75EFC">
        <w:rPr>
          <w:noProof/>
        </w:rPr>
        <w:t>to achieve the required</w:t>
      </w:r>
      <w:r w:rsidR="00627CD1" w:rsidRPr="00C75EFC">
        <w:rPr>
          <w:noProof/>
        </w:rPr>
        <w:t xml:space="preserve"> </w:t>
      </w:r>
      <w:r w:rsidR="004C76BA" w:rsidRPr="00C75EFC">
        <w:rPr>
          <w:noProof/>
        </w:rPr>
        <w:t xml:space="preserve">structural effort. </w:t>
      </w:r>
    </w:p>
    <w:p w:rsidR="00871646" w:rsidRPr="00C75EFC" w:rsidRDefault="00B9610A" w:rsidP="00B9610A">
      <w:pPr>
        <w:pStyle w:val="ManualConsidrant"/>
        <w:rPr>
          <w:noProof/>
        </w:rPr>
      </w:pPr>
      <w:r w:rsidRPr="00C75EFC">
        <w:t>(1</w:t>
      </w:r>
      <w:r w:rsidR="00A20A2E" w:rsidRPr="00C75EFC">
        <w:t>3</w:t>
      </w:r>
      <w:r w:rsidRPr="00C75EFC">
        <w:t>)</w:t>
      </w:r>
      <w:r w:rsidRPr="00C75EFC">
        <w:tab/>
      </w:r>
      <w:r w:rsidR="005854F7" w:rsidRPr="00C75EFC">
        <w:rPr>
          <w:noProof/>
        </w:rPr>
        <w:t xml:space="preserve">In addition, strict </w:t>
      </w:r>
      <w:r w:rsidR="00537BC4" w:rsidRPr="00C75EFC">
        <w:rPr>
          <w:noProof/>
        </w:rPr>
        <w:t xml:space="preserve">enforcement </w:t>
      </w:r>
      <w:r w:rsidR="005854F7" w:rsidRPr="00C75EFC">
        <w:rPr>
          <w:noProof/>
        </w:rPr>
        <w:t xml:space="preserve">at all government levels of the preventive and corrective mechanisms provided for in </w:t>
      </w:r>
      <w:r w:rsidR="00537BC4" w:rsidRPr="00C75EFC">
        <w:rPr>
          <w:noProof/>
        </w:rPr>
        <w:t>Spain's</w:t>
      </w:r>
      <w:r w:rsidR="005854F7" w:rsidRPr="00C75EFC">
        <w:rPr>
          <w:noProof/>
        </w:rPr>
        <w:t xml:space="preserve"> Stability Law </w:t>
      </w:r>
      <w:r w:rsidR="007C68CE" w:rsidRPr="00C75EFC">
        <w:rPr>
          <w:noProof/>
        </w:rPr>
        <w:t>c</w:t>
      </w:r>
      <w:r w:rsidR="00474F1E" w:rsidRPr="00C75EFC">
        <w:rPr>
          <w:noProof/>
        </w:rPr>
        <w:t xml:space="preserve">ould be conducive </w:t>
      </w:r>
      <w:r w:rsidR="005854F7" w:rsidRPr="00C75EFC">
        <w:rPr>
          <w:noProof/>
        </w:rPr>
        <w:t xml:space="preserve">to </w:t>
      </w:r>
      <w:r w:rsidR="00474F1E" w:rsidRPr="00C75EFC">
        <w:rPr>
          <w:noProof/>
        </w:rPr>
        <w:t>a timely and durable correction of the excessive deficit</w:t>
      </w:r>
      <w:r w:rsidR="005854F7" w:rsidRPr="00C75EFC">
        <w:rPr>
          <w:noProof/>
        </w:rPr>
        <w:t xml:space="preserve">. This could be achieved </w:t>
      </w:r>
      <w:r w:rsidR="007C68CE" w:rsidRPr="00C75EFC">
        <w:rPr>
          <w:noProof/>
        </w:rPr>
        <w:t>through</w:t>
      </w:r>
      <w:r w:rsidR="005854F7" w:rsidRPr="00C75EFC">
        <w:rPr>
          <w:noProof/>
        </w:rPr>
        <w:t xml:space="preserve"> greater automaticity in their </w:t>
      </w:r>
      <w:r w:rsidR="006C459E" w:rsidRPr="00C75EFC">
        <w:rPr>
          <w:noProof/>
        </w:rPr>
        <w:t>implementation</w:t>
      </w:r>
      <w:r w:rsidR="005854F7" w:rsidRPr="00C75EFC">
        <w:rPr>
          <w:noProof/>
        </w:rPr>
        <w:t xml:space="preserve">. Moreover, the contribution of the Stability Law's spending rule to the sustainability of public finances could be enhanced by further clarifying the </w:t>
      </w:r>
      <w:r w:rsidR="00537BC4" w:rsidRPr="00C75EFC">
        <w:rPr>
          <w:noProof/>
        </w:rPr>
        <w:t xml:space="preserve">coverage and </w:t>
      </w:r>
      <w:r w:rsidR="00D0486A" w:rsidRPr="00C75EFC">
        <w:rPr>
          <w:noProof/>
        </w:rPr>
        <w:t xml:space="preserve">definition </w:t>
      </w:r>
      <w:r w:rsidR="005854F7" w:rsidRPr="00C75EFC">
        <w:rPr>
          <w:noProof/>
        </w:rPr>
        <w:t xml:space="preserve">of </w:t>
      </w:r>
      <w:r w:rsidR="006C459E" w:rsidRPr="00C75EFC">
        <w:rPr>
          <w:noProof/>
        </w:rPr>
        <w:t xml:space="preserve">the </w:t>
      </w:r>
      <w:r w:rsidR="005854F7" w:rsidRPr="00C75EFC">
        <w:rPr>
          <w:noProof/>
        </w:rPr>
        <w:t xml:space="preserve">spending categories </w:t>
      </w:r>
      <w:r w:rsidR="00871646" w:rsidRPr="00C75EFC">
        <w:rPr>
          <w:noProof/>
        </w:rPr>
        <w:t>needed for</w:t>
      </w:r>
      <w:r w:rsidR="005854F7" w:rsidRPr="00C75EFC">
        <w:rPr>
          <w:noProof/>
        </w:rPr>
        <w:t xml:space="preserve"> its computat</w:t>
      </w:r>
      <w:r w:rsidR="007C525F" w:rsidRPr="00C75EFC">
        <w:rPr>
          <w:noProof/>
        </w:rPr>
        <w:t>ion and by explicitly calling on the non-compliant public administratio</w:t>
      </w:r>
      <w:r w:rsidR="00871646" w:rsidRPr="00C75EFC">
        <w:rPr>
          <w:noProof/>
        </w:rPr>
        <w:t>n</w:t>
      </w:r>
      <w:r w:rsidR="00537BC4" w:rsidRPr="00C75EFC">
        <w:rPr>
          <w:noProof/>
        </w:rPr>
        <w:t>s</w:t>
      </w:r>
      <w:r w:rsidR="00871646" w:rsidRPr="00C75EFC">
        <w:rPr>
          <w:noProof/>
        </w:rPr>
        <w:t xml:space="preserve"> to make up for spending slippages in the year</w:t>
      </w:r>
      <w:r w:rsidR="00442E87" w:rsidRPr="00C75EFC">
        <w:rPr>
          <w:noProof/>
        </w:rPr>
        <w:t xml:space="preserve"> following their occurrence</w:t>
      </w:r>
      <w:r w:rsidR="00871646" w:rsidRPr="00C75EFC">
        <w:rPr>
          <w:noProof/>
        </w:rPr>
        <w:t xml:space="preserve">. </w:t>
      </w:r>
    </w:p>
    <w:p w:rsidR="00604273" w:rsidRPr="00C75EFC" w:rsidRDefault="008F62F2" w:rsidP="00526C2F">
      <w:pPr>
        <w:pStyle w:val="ManualConsidrant"/>
        <w:rPr>
          <w:noProof/>
        </w:rPr>
      </w:pPr>
      <w:r w:rsidRPr="00C75EFC">
        <w:rPr>
          <w:noProof/>
        </w:rPr>
        <w:t>(1</w:t>
      </w:r>
      <w:r w:rsidR="00A20A2E" w:rsidRPr="00C75EFC">
        <w:rPr>
          <w:noProof/>
        </w:rPr>
        <w:t>4</w:t>
      </w:r>
      <w:r w:rsidRPr="00C75EFC">
        <w:rPr>
          <w:noProof/>
        </w:rPr>
        <w:t>)</w:t>
      </w:r>
      <w:r w:rsidRPr="00C75EFC">
        <w:rPr>
          <w:noProof/>
        </w:rPr>
        <w:tab/>
      </w:r>
      <w:r w:rsidR="003B0FDB" w:rsidRPr="00C75EFC">
        <w:rPr>
          <w:noProof/>
        </w:rPr>
        <w:t>Spain should also pay due attention to the qualitative aspects of public finances, including its public procurement policy.</w:t>
      </w:r>
      <w:r w:rsidR="00FB7567" w:rsidRPr="00C75EFC">
        <w:rPr>
          <w:noProof/>
        </w:rPr>
        <w:t xml:space="preserve"> </w:t>
      </w:r>
      <w:r w:rsidR="008B43CF" w:rsidRPr="00C75EFC">
        <w:rPr>
          <w:noProof/>
        </w:rPr>
        <w:t>T</w:t>
      </w:r>
      <w:r w:rsidRPr="00C75EFC">
        <w:rPr>
          <w:noProof/>
        </w:rPr>
        <w:t xml:space="preserve">he number of </w:t>
      </w:r>
      <w:r w:rsidR="00B00B38" w:rsidRPr="00C75EFC">
        <w:rPr>
          <w:noProof/>
        </w:rPr>
        <w:t>wrongdoings having an impact on the application</w:t>
      </w:r>
      <w:r w:rsidRPr="00C75EFC">
        <w:rPr>
          <w:noProof/>
        </w:rPr>
        <w:t xml:space="preserve"> of EU public procurement legislation brought to the Commission’s attention in recent years has been </w:t>
      </w:r>
      <w:r w:rsidR="00B00B38" w:rsidRPr="00C75EFC">
        <w:rPr>
          <w:noProof/>
        </w:rPr>
        <w:t>significant</w:t>
      </w:r>
      <w:r w:rsidRPr="00C75EFC">
        <w:rPr>
          <w:noProof/>
        </w:rPr>
        <w:t xml:space="preserve">. </w:t>
      </w:r>
      <w:r w:rsidR="00526C2F" w:rsidRPr="00C75EFC">
        <w:rPr>
          <w:noProof/>
        </w:rPr>
        <w:t>The</w:t>
      </w:r>
      <w:r w:rsidR="008D54D1" w:rsidRPr="00C75EFC">
        <w:rPr>
          <w:noProof/>
        </w:rPr>
        <w:t xml:space="preserve"> data </w:t>
      </w:r>
      <w:r w:rsidR="00526C2F" w:rsidRPr="00C75EFC">
        <w:rPr>
          <w:noProof/>
        </w:rPr>
        <w:t xml:space="preserve">show that there are disparities in the implementation of public procurement across </w:t>
      </w:r>
      <w:r w:rsidR="00604273" w:rsidRPr="00C75EFC">
        <w:rPr>
          <w:noProof/>
        </w:rPr>
        <w:t xml:space="preserve">contracting authorities and entities </w:t>
      </w:r>
      <w:r w:rsidR="00526C2F" w:rsidRPr="00C75EFC">
        <w:rPr>
          <w:noProof/>
        </w:rPr>
        <w:t xml:space="preserve">and </w:t>
      </w:r>
      <w:r w:rsidR="00930CAE" w:rsidRPr="00C75EFC">
        <w:rPr>
          <w:noProof/>
        </w:rPr>
        <w:t xml:space="preserve">that </w:t>
      </w:r>
      <w:r w:rsidR="00526C2F" w:rsidRPr="00C75EFC">
        <w:rPr>
          <w:noProof/>
        </w:rPr>
        <w:t xml:space="preserve">insufficient </w:t>
      </w:r>
      <w:r w:rsidR="00D22070" w:rsidRPr="00C75EFC">
        <w:rPr>
          <w:noProof/>
        </w:rPr>
        <w:t>ex-ante and ex-</w:t>
      </w:r>
      <w:r w:rsidR="00604273" w:rsidRPr="00C75EFC">
        <w:rPr>
          <w:noProof/>
        </w:rPr>
        <w:t xml:space="preserve">post </w:t>
      </w:r>
      <w:r w:rsidR="00526C2F" w:rsidRPr="00C75EFC">
        <w:rPr>
          <w:noProof/>
        </w:rPr>
        <w:t xml:space="preserve">control mechanisms hinder the correct </w:t>
      </w:r>
      <w:r w:rsidR="008D54D1" w:rsidRPr="00C75EFC">
        <w:rPr>
          <w:noProof/>
        </w:rPr>
        <w:t xml:space="preserve">and uniform </w:t>
      </w:r>
      <w:r w:rsidR="00526C2F" w:rsidRPr="00C75EFC">
        <w:rPr>
          <w:noProof/>
        </w:rPr>
        <w:t xml:space="preserve">application of public procurement </w:t>
      </w:r>
      <w:r w:rsidR="00A64D45" w:rsidRPr="00C75EFC">
        <w:rPr>
          <w:noProof/>
        </w:rPr>
        <w:t>legislation</w:t>
      </w:r>
      <w:r w:rsidR="00526C2F" w:rsidRPr="00C75EFC">
        <w:rPr>
          <w:noProof/>
        </w:rPr>
        <w:t xml:space="preserve">. </w:t>
      </w:r>
      <w:r w:rsidR="00B00B38" w:rsidRPr="00C75EFC">
        <w:rPr>
          <w:noProof/>
        </w:rPr>
        <w:t>Spain stands out for a low publication rate of contract notices</w:t>
      </w:r>
      <w:r w:rsidR="00AB69A2" w:rsidRPr="00C75EFC">
        <w:rPr>
          <w:noProof/>
        </w:rPr>
        <w:t xml:space="preserve"> and </w:t>
      </w:r>
      <w:r w:rsidR="00B00B38" w:rsidRPr="00C75EFC">
        <w:rPr>
          <w:noProof/>
        </w:rPr>
        <w:t>a relatively high use of the negotiated procedure without prior publication</w:t>
      </w:r>
      <w:r w:rsidR="00276A60" w:rsidRPr="00C75EFC">
        <w:rPr>
          <w:noProof/>
        </w:rPr>
        <w:t xml:space="preserve"> compared with other Member States</w:t>
      </w:r>
      <w:r w:rsidR="00B00B38" w:rsidRPr="00C75EFC">
        <w:rPr>
          <w:noProof/>
        </w:rPr>
        <w:t xml:space="preserve">. This translates into limited competition from undertakings from other EU countries and frequently, into direct awards, with </w:t>
      </w:r>
      <w:r w:rsidR="00AB69A2" w:rsidRPr="00C75EFC">
        <w:rPr>
          <w:noProof/>
        </w:rPr>
        <w:t>implications in terms of higher general government expenditure</w:t>
      </w:r>
      <w:r w:rsidR="00B00B38" w:rsidRPr="00C75EFC">
        <w:rPr>
          <w:noProof/>
        </w:rPr>
        <w:t xml:space="preserve">. </w:t>
      </w:r>
      <w:r w:rsidR="00420012" w:rsidRPr="00C75EFC">
        <w:rPr>
          <w:noProof/>
        </w:rPr>
        <w:t xml:space="preserve">The limited use of centralised </w:t>
      </w:r>
      <w:r w:rsidR="00381FFD" w:rsidRPr="00C75EFC">
        <w:rPr>
          <w:noProof/>
        </w:rPr>
        <w:t xml:space="preserve">or joint </w:t>
      </w:r>
      <w:r w:rsidR="00420012" w:rsidRPr="00C75EFC">
        <w:rPr>
          <w:noProof/>
        </w:rPr>
        <w:t xml:space="preserve">procurement instruments </w:t>
      </w:r>
      <w:r w:rsidR="00F93B51" w:rsidRPr="00C75EFC">
        <w:rPr>
          <w:noProof/>
        </w:rPr>
        <w:t>prevent</w:t>
      </w:r>
      <w:r w:rsidR="006F3023" w:rsidRPr="00C75EFC">
        <w:rPr>
          <w:noProof/>
        </w:rPr>
        <w:t>s</w:t>
      </w:r>
      <w:r w:rsidR="00604273" w:rsidRPr="00C75EFC">
        <w:rPr>
          <w:noProof/>
        </w:rPr>
        <w:t xml:space="preserve"> </w:t>
      </w:r>
      <w:r w:rsidR="00420012" w:rsidRPr="00C75EFC">
        <w:rPr>
          <w:noProof/>
        </w:rPr>
        <w:t>efficiency gains which would contribute to fiscal savings.</w:t>
      </w:r>
      <w:r w:rsidR="009E0599" w:rsidRPr="00C75EFC">
        <w:rPr>
          <w:noProof/>
        </w:rPr>
        <w:t xml:space="preserve"> </w:t>
      </w:r>
      <w:r w:rsidR="00455FF0" w:rsidRPr="00C75EFC">
        <w:rPr>
          <w:noProof/>
        </w:rPr>
        <w:t>T</w:t>
      </w:r>
      <w:r w:rsidR="0092486A" w:rsidRPr="00C75EFC">
        <w:rPr>
          <w:noProof/>
        </w:rPr>
        <w:t xml:space="preserve">he </w:t>
      </w:r>
      <w:r w:rsidR="00604273" w:rsidRPr="00C75EFC">
        <w:rPr>
          <w:noProof/>
        </w:rPr>
        <w:t xml:space="preserve">absence of an independent body </w:t>
      </w:r>
      <w:r w:rsidR="00C477F9" w:rsidRPr="00C75EFC">
        <w:rPr>
          <w:noProof/>
        </w:rPr>
        <w:t xml:space="preserve">in charge of ensuring </w:t>
      </w:r>
      <w:r w:rsidR="004A125E" w:rsidRPr="00C75EFC">
        <w:rPr>
          <w:noProof/>
        </w:rPr>
        <w:t xml:space="preserve">efficiency and </w:t>
      </w:r>
      <w:r w:rsidR="00C477F9" w:rsidRPr="00C75EFC">
        <w:rPr>
          <w:noProof/>
        </w:rPr>
        <w:t xml:space="preserve">legal compliance in public procurement </w:t>
      </w:r>
      <w:r w:rsidR="004A125E" w:rsidRPr="00C75EFC">
        <w:rPr>
          <w:noProof/>
        </w:rPr>
        <w:t xml:space="preserve">throughout the country </w:t>
      </w:r>
      <w:r w:rsidR="00C477F9" w:rsidRPr="00C75EFC">
        <w:rPr>
          <w:noProof/>
        </w:rPr>
        <w:t>h</w:t>
      </w:r>
      <w:r w:rsidR="00A64D45" w:rsidRPr="00C75EFC">
        <w:rPr>
          <w:noProof/>
        </w:rPr>
        <w:t xml:space="preserve">ampers </w:t>
      </w:r>
      <w:r w:rsidR="00C477F9" w:rsidRPr="00C75EFC">
        <w:rPr>
          <w:noProof/>
        </w:rPr>
        <w:t xml:space="preserve">the </w:t>
      </w:r>
      <w:r w:rsidR="004A125E" w:rsidRPr="00C75EFC">
        <w:rPr>
          <w:noProof/>
        </w:rPr>
        <w:t xml:space="preserve">proper </w:t>
      </w:r>
      <w:r w:rsidR="00C477F9" w:rsidRPr="00C75EFC">
        <w:rPr>
          <w:noProof/>
        </w:rPr>
        <w:t xml:space="preserve">implementation of procurement </w:t>
      </w:r>
      <w:r w:rsidR="006F3023" w:rsidRPr="00C75EFC">
        <w:rPr>
          <w:noProof/>
        </w:rPr>
        <w:t xml:space="preserve">rules </w:t>
      </w:r>
      <w:r w:rsidR="00C477F9" w:rsidRPr="00C75EFC">
        <w:rPr>
          <w:noProof/>
        </w:rPr>
        <w:t>and may create opportunities for wrongdoings</w:t>
      </w:r>
      <w:r w:rsidR="00E82755" w:rsidRPr="00C75EFC">
        <w:rPr>
          <w:noProof/>
        </w:rPr>
        <w:t>, both of which have negative impacts on the situation of Spain's public finances.</w:t>
      </w:r>
    </w:p>
    <w:p w:rsidR="004E0807" w:rsidRPr="00C75EFC" w:rsidRDefault="004E0807" w:rsidP="00B9610A">
      <w:pPr>
        <w:pStyle w:val="ManualConsidrant"/>
        <w:rPr>
          <w:noProof/>
        </w:rPr>
      </w:pPr>
      <w:r w:rsidRPr="00C75EFC">
        <w:rPr>
          <w:noProof/>
        </w:rPr>
        <w:t>(</w:t>
      </w:r>
      <w:r w:rsidR="008F62F2" w:rsidRPr="00C75EFC">
        <w:rPr>
          <w:noProof/>
        </w:rPr>
        <w:t>1</w:t>
      </w:r>
      <w:r w:rsidR="00224816" w:rsidRPr="00C75EFC">
        <w:rPr>
          <w:noProof/>
        </w:rPr>
        <w:t>5</w:t>
      </w:r>
      <w:r w:rsidRPr="00C75EFC">
        <w:rPr>
          <w:noProof/>
        </w:rPr>
        <w:t>)</w:t>
      </w:r>
      <w:r w:rsidRPr="00C75EFC">
        <w:rPr>
          <w:noProof/>
        </w:rPr>
        <w:tab/>
        <w:t>To facilitate the success of the fiscal consolidation strategy, it will also be important to back the fiscal consolidation by comprehensive structural reforms, in line with the Council recommendations addressed to Spain in the context of the</w:t>
      </w:r>
      <w:r w:rsidR="00DF700E" w:rsidRPr="00C75EFC">
        <w:rPr>
          <w:noProof/>
        </w:rPr>
        <w:t xml:space="preserve"> 2016</w:t>
      </w:r>
      <w:r w:rsidRPr="00C75EFC">
        <w:rPr>
          <w:noProof/>
        </w:rPr>
        <w:t xml:space="preserve"> European Semester and in particular those related to the </w:t>
      </w:r>
      <w:r w:rsidR="00054CA0" w:rsidRPr="00C75EFC">
        <w:rPr>
          <w:noProof/>
        </w:rPr>
        <w:t>correction of its m</w:t>
      </w:r>
      <w:r w:rsidRPr="00C75EFC">
        <w:rPr>
          <w:noProof/>
        </w:rPr>
        <w:t xml:space="preserve">acroeconomic </w:t>
      </w:r>
      <w:r w:rsidR="00054CA0" w:rsidRPr="00C75EFC">
        <w:rPr>
          <w:noProof/>
        </w:rPr>
        <w:t>i</w:t>
      </w:r>
      <w:r w:rsidRPr="00C75EFC">
        <w:rPr>
          <w:noProof/>
        </w:rPr>
        <w:t>mbalances.</w:t>
      </w:r>
    </w:p>
    <w:p w:rsidR="00B1291E" w:rsidRPr="00727EB6" w:rsidRDefault="00E07948" w:rsidP="00B9610A">
      <w:pPr>
        <w:pStyle w:val="ManualConsidrant"/>
        <w:rPr>
          <w:noProof/>
        </w:rPr>
      </w:pPr>
      <w:r w:rsidRPr="00C75EFC">
        <w:rPr>
          <w:noProof/>
        </w:rPr>
        <w:t>(</w:t>
      </w:r>
      <w:r w:rsidR="008F62F2" w:rsidRPr="00C75EFC">
        <w:rPr>
          <w:noProof/>
        </w:rPr>
        <w:t>1</w:t>
      </w:r>
      <w:r w:rsidR="00224816" w:rsidRPr="00C75EFC">
        <w:rPr>
          <w:noProof/>
        </w:rPr>
        <w:t>6</w:t>
      </w:r>
      <w:r w:rsidRPr="00C75EFC">
        <w:rPr>
          <w:noProof/>
        </w:rPr>
        <w:t>)</w:t>
      </w:r>
      <w:r w:rsidRPr="00C75EFC">
        <w:rPr>
          <w:noProof/>
        </w:rPr>
        <w:tab/>
      </w:r>
      <w:r w:rsidR="004C5E71" w:rsidRPr="00C75EFC">
        <w:rPr>
          <w:noProof/>
        </w:rPr>
        <w:t xml:space="preserve">According to Article 126(9) of the Treaty, the Council may, as part of its </w:t>
      </w:r>
      <w:r w:rsidR="004269A8" w:rsidRPr="00C75EFC">
        <w:rPr>
          <w:noProof/>
        </w:rPr>
        <w:t xml:space="preserve">decision to </w:t>
      </w:r>
      <w:r w:rsidR="004C5E71" w:rsidRPr="00C75EFC">
        <w:rPr>
          <w:noProof/>
        </w:rPr>
        <w:t>giv</w:t>
      </w:r>
      <w:r w:rsidR="004269A8" w:rsidRPr="00C75EFC">
        <w:rPr>
          <w:noProof/>
        </w:rPr>
        <w:t>e</w:t>
      </w:r>
      <w:r w:rsidR="004C5E71" w:rsidRPr="00C75EFC">
        <w:rPr>
          <w:noProof/>
        </w:rPr>
        <w:t xml:space="preserve"> notice under this Article, request the Member State concerned to submit reports on the adjustment effort in accordance with a specific timetable. According to Article 5(1a) of Regulation </w:t>
      </w:r>
      <w:r w:rsidR="00B64083" w:rsidRPr="00C75EFC">
        <w:rPr>
          <w:noProof/>
        </w:rPr>
        <w:t xml:space="preserve">(EC) </w:t>
      </w:r>
      <w:r w:rsidR="004C5E71" w:rsidRPr="00C75EFC">
        <w:rPr>
          <w:noProof/>
        </w:rPr>
        <w:t xml:space="preserve">No. 1467/97, the Member State report shall include the targets for government expenditure and revenue and specify the fiscal policy measures on both the expenditure and the revenue side, as well as information on the policy actions being taken in response to the specific Council </w:t>
      </w:r>
      <w:r w:rsidR="0041129F" w:rsidRPr="00C75EFC">
        <w:rPr>
          <w:noProof/>
        </w:rPr>
        <w:t>decisions</w:t>
      </w:r>
      <w:r w:rsidR="004C5E71" w:rsidRPr="00C75EFC">
        <w:rPr>
          <w:noProof/>
        </w:rPr>
        <w:t xml:space="preserve">. </w:t>
      </w:r>
      <w:r w:rsidR="00054CA0" w:rsidRPr="00C75EFC">
        <w:rPr>
          <w:noProof/>
        </w:rPr>
        <w:t>In order to facilitate the monitoring of the deadline for compliance with the recommendations contained in this notice, as well as the deadl</w:t>
      </w:r>
      <w:r w:rsidR="00054CA0" w:rsidRPr="00727EB6">
        <w:rPr>
          <w:noProof/>
        </w:rPr>
        <w:t xml:space="preserve">ine for correction of the excessive deficit, Spain is requested to submit such a report </w:t>
      </w:r>
      <w:r w:rsidR="00AF6320" w:rsidRPr="00727EB6">
        <w:rPr>
          <w:noProof/>
        </w:rPr>
        <w:t xml:space="preserve">by </w:t>
      </w:r>
      <w:r w:rsidR="00A75C63" w:rsidRPr="00727EB6">
        <w:rPr>
          <w:noProof/>
        </w:rPr>
        <w:t>1</w:t>
      </w:r>
      <w:r w:rsidR="00B00B38" w:rsidRPr="00727EB6">
        <w:rPr>
          <w:noProof/>
        </w:rPr>
        <w:t xml:space="preserve">5 October </w:t>
      </w:r>
      <w:r w:rsidR="00AF6320" w:rsidRPr="00727EB6">
        <w:rPr>
          <w:noProof/>
        </w:rPr>
        <w:t>2016</w:t>
      </w:r>
      <w:r w:rsidR="00B117A7">
        <w:rPr>
          <w:noProof/>
        </w:rPr>
        <w:t xml:space="preserve">, in parallel </w:t>
      </w:r>
      <w:r w:rsidR="00B117A7">
        <w:t>with its 2017 Draft Budgetary Plan</w:t>
      </w:r>
      <w:r w:rsidR="00054CA0" w:rsidRPr="00727EB6">
        <w:rPr>
          <w:noProof/>
        </w:rPr>
        <w:t>.</w:t>
      </w:r>
      <w:r w:rsidR="0041129F" w:rsidRPr="00727EB6">
        <w:rPr>
          <w:noProof/>
        </w:rPr>
        <w:t xml:space="preserve"> </w:t>
      </w:r>
    </w:p>
    <w:p w:rsidR="00B64083" w:rsidRPr="005B0086" w:rsidRDefault="00B64083" w:rsidP="00477585">
      <w:pPr>
        <w:pStyle w:val="ManualConsidrant"/>
        <w:rPr>
          <w:noProof/>
        </w:rPr>
      </w:pPr>
      <w:r w:rsidRPr="00727EB6">
        <w:rPr>
          <w:noProof/>
        </w:rPr>
        <w:t>(1</w:t>
      </w:r>
      <w:r w:rsidR="00224816" w:rsidRPr="00727EB6">
        <w:rPr>
          <w:noProof/>
        </w:rPr>
        <w:t>7</w:t>
      </w:r>
      <w:r w:rsidRPr="00727EB6">
        <w:rPr>
          <w:noProof/>
        </w:rPr>
        <w:t>)</w:t>
      </w:r>
      <w:r w:rsidRPr="00727EB6">
        <w:rPr>
          <w:noProof/>
        </w:rPr>
        <w:tab/>
        <w:t>Spain should also report to t</w:t>
      </w:r>
      <w:r w:rsidRPr="00C75EFC">
        <w:rPr>
          <w:noProof/>
        </w:rPr>
        <w:t>he Commission and the Economic and Financial Committee as required under Article 10 of Council Regulation (EU) No 473/2013 in</w:t>
      </w:r>
      <w:r w:rsidRPr="00B64083">
        <w:rPr>
          <w:noProof/>
        </w:rPr>
        <w:t xml:space="preserve"> accordance with the specifications laid down in Commission Delegated Regulation (EU) </w:t>
      </w:r>
      <w:r w:rsidRPr="00727EB6">
        <w:rPr>
          <w:noProof/>
        </w:rPr>
        <w:t xml:space="preserve">No 877/2013. The report should be submitted for the first time by </w:t>
      </w:r>
      <w:r w:rsidR="00FF04AB" w:rsidRPr="00727EB6">
        <w:rPr>
          <w:noProof/>
        </w:rPr>
        <w:t>15 January 2017</w:t>
      </w:r>
      <w:r w:rsidRPr="00727EB6">
        <w:rPr>
          <w:noProof/>
        </w:rPr>
        <w:t xml:space="preserve"> a</w:t>
      </w:r>
      <w:r w:rsidRPr="00B64083">
        <w:rPr>
          <w:noProof/>
        </w:rPr>
        <w:t>nd on a three-monthly basis thereafter.</w:t>
      </w:r>
    </w:p>
    <w:p w:rsidR="00EE2D03" w:rsidRDefault="00EE2D03" w:rsidP="00F55588">
      <w:pPr>
        <w:rPr>
          <w:noProof/>
        </w:rPr>
      </w:pPr>
    </w:p>
    <w:p w:rsidR="00B1291E" w:rsidRPr="005B0086" w:rsidRDefault="00B1291E" w:rsidP="00B1291E">
      <w:pPr>
        <w:pStyle w:val="Formuledadoption"/>
        <w:rPr>
          <w:noProof/>
        </w:rPr>
      </w:pPr>
      <w:r w:rsidRPr="005B0086">
        <w:rPr>
          <w:noProof/>
        </w:rPr>
        <w:t>HAS ADOPTED THIS DECISION:</w:t>
      </w:r>
    </w:p>
    <w:p w:rsidR="00B1291E" w:rsidRPr="005B0086" w:rsidRDefault="00B1291E" w:rsidP="00B1291E">
      <w:pPr>
        <w:pStyle w:val="Titrearticle"/>
        <w:outlineLvl w:val="0"/>
        <w:rPr>
          <w:noProof/>
        </w:rPr>
      </w:pPr>
      <w:r w:rsidRPr="005B0086">
        <w:rPr>
          <w:noProof/>
        </w:rPr>
        <w:t>Article 1</w:t>
      </w:r>
    </w:p>
    <w:p w:rsidR="00B1291E" w:rsidRPr="005B0086" w:rsidRDefault="00B1291E" w:rsidP="00B1291E">
      <w:pPr>
        <w:pStyle w:val="ManualNumPar1"/>
        <w:rPr>
          <w:noProof/>
        </w:rPr>
      </w:pPr>
      <w:r w:rsidRPr="005B0086">
        <w:rPr>
          <w:noProof/>
        </w:rPr>
        <w:t>1.</w:t>
      </w:r>
      <w:r w:rsidRPr="005B0086">
        <w:rPr>
          <w:noProof/>
        </w:rPr>
        <w:tab/>
      </w:r>
      <w:r w:rsidR="00EB7688" w:rsidRPr="005B0086">
        <w:rPr>
          <w:noProof/>
        </w:rPr>
        <w:t xml:space="preserve">Spain </w:t>
      </w:r>
      <w:r w:rsidRPr="005B0086">
        <w:rPr>
          <w:noProof/>
        </w:rPr>
        <w:t>shall put an end to the present exc</w:t>
      </w:r>
      <w:r w:rsidR="00EB7688" w:rsidRPr="005B0086">
        <w:rPr>
          <w:noProof/>
        </w:rPr>
        <w:t>essive deficit situation by 201</w:t>
      </w:r>
      <w:r w:rsidR="008924BC">
        <w:rPr>
          <w:noProof/>
        </w:rPr>
        <w:t>8</w:t>
      </w:r>
      <w:r w:rsidRPr="005B0086">
        <w:rPr>
          <w:noProof/>
        </w:rPr>
        <w:t>.</w:t>
      </w:r>
    </w:p>
    <w:p w:rsidR="00B1291E" w:rsidRPr="00C75EFC" w:rsidRDefault="00B1291E" w:rsidP="00B1291E">
      <w:pPr>
        <w:pStyle w:val="ManualNumPar1"/>
        <w:rPr>
          <w:noProof/>
          <w:color w:val="000000"/>
        </w:rPr>
      </w:pPr>
      <w:r w:rsidRPr="005B0086">
        <w:rPr>
          <w:noProof/>
          <w:color w:val="000000"/>
        </w:rPr>
        <w:t>2.</w:t>
      </w:r>
      <w:r w:rsidRPr="005B0086">
        <w:rPr>
          <w:noProof/>
          <w:color w:val="000000"/>
        </w:rPr>
        <w:tab/>
      </w:r>
      <w:r w:rsidR="00EB7688" w:rsidRPr="005B0086">
        <w:rPr>
          <w:noProof/>
          <w:color w:val="000000"/>
        </w:rPr>
        <w:t>Spain</w:t>
      </w:r>
      <w:r w:rsidRPr="005B0086">
        <w:rPr>
          <w:noProof/>
          <w:color w:val="000000"/>
        </w:rPr>
        <w:t xml:space="preserve"> </w:t>
      </w:r>
      <w:r w:rsidRPr="0096078F">
        <w:rPr>
          <w:noProof/>
          <w:color w:val="000000"/>
        </w:rPr>
        <w:t xml:space="preserve">shall reduce </w:t>
      </w:r>
      <w:r w:rsidRPr="00C75EFC">
        <w:rPr>
          <w:noProof/>
          <w:color w:val="000000"/>
        </w:rPr>
        <w:t xml:space="preserve">the </w:t>
      </w:r>
      <w:r w:rsidR="00971DB5" w:rsidRPr="00C75EFC">
        <w:rPr>
          <w:noProof/>
          <w:color w:val="000000"/>
        </w:rPr>
        <w:t xml:space="preserve">general government </w:t>
      </w:r>
      <w:r w:rsidRPr="00C75EFC">
        <w:rPr>
          <w:noProof/>
          <w:color w:val="000000"/>
        </w:rPr>
        <w:t>defici</w:t>
      </w:r>
      <w:r w:rsidRPr="009B6093">
        <w:rPr>
          <w:noProof/>
          <w:color w:val="000000"/>
        </w:rPr>
        <w:t xml:space="preserve">t to </w:t>
      </w:r>
      <w:r w:rsidR="003A22EC" w:rsidRPr="009B6093">
        <w:rPr>
          <w:noProof/>
          <w:color w:val="000000"/>
        </w:rPr>
        <w:t>4.</w:t>
      </w:r>
      <w:r w:rsidR="00ED06E1" w:rsidRPr="009B6093">
        <w:rPr>
          <w:noProof/>
          <w:color w:val="000000"/>
        </w:rPr>
        <w:t>6</w:t>
      </w:r>
      <w:r w:rsidR="00EB7688" w:rsidRPr="009B6093">
        <w:rPr>
          <w:noProof/>
          <w:color w:val="000000"/>
        </w:rPr>
        <w:t>% of</w:t>
      </w:r>
      <w:r w:rsidR="00EB7688" w:rsidRPr="00C75EFC">
        <w:rPr>
          <w:noProof/>
          <w:color w:val="000000"/>
        </w:rPr>
        <w:t xml:space="preserve"> GDP in 2016</w:t>
      </w:r>
      <w:r w:rsidR="002732A0" w:rsidRPr="00C75EFC">
        <w:rPr>
          <w:noProof/>
          <w:color w:val="000000"/>
        </w:rPr>
        <w:t>,</w:t>
      </w:r>
      <w:r w:rsidR="00EB7688" w:rsidRPr="00C75EFC">
        <w:rPr>
          <w:noProof/>
          <w:color w:val="000000"/>
        </w:rPr>
        <w:t xml:space="preserve"> to </w:t>
      </w:r>
      <w:r w:rsidR="002732A0" w:rsidRPr="007638A8">
        <w:rPr>
          <w:noProof/>
          <w:color w:val="000000"/>
        </w:rPr>
        <w:t>3</w:t>
      </w:r>
      <w:r w:rsidR="00893AB4" w:rsidRPr="007638A8">
        <w:rPr>
          <w:noProof/>
          <w:color w:val="000000"/>
        </w:rPr>
        <w:t>.</w:t>
      </w:r>
      <w:r w:rsidR="002732A0" w:rsidRPr="007638A8">
        <w:rPr>
          <w:noProof/>
          <w:color w:val="000000"/>
        </w:rPr>
        <w:t>1</w:t>
      </w:r>
      <w:r w:rsidR="00EB7688" w:rsidRPr="00C75EFC">
        <w:rPr>
          <w:noProof/>
          <w:color w:val="000000"/>
        </w:rPr>
        <w:t>% of GDP in 2017</w:t>
      </w:r>
      <w:r w:rsidR="002732A0" w:rsidRPr="00C75EFC">
        <w:rPr>
          <w:noProof/>
          <w:color w:val="000000"/>
        </w:rPr>
        <w:t xml:space="preserve"> and to </w:t>
      </w:r>
      <w:r w:rsidR="002732A0" w:rsidRPr="007638A8">
        <w:rPr>
          <w:noProof/>
          <w:color w:val="000000"/>
        </w:rPr>
        <w:t>2.</w:t>
      </w:r>
      <w:r w:rsidR="003A22EC" w:rsidRPr="007638A8">
        <w:rPr>
          <w:noProof/>
          <w:color w:val="000000"/>
        </w:rPr>
        <w:t>2</w:t>
      </w:r>
      <w:r w:rsidR="002732A0" w:rsidRPr="00C75EFC">
        <w:rPr>
          <w:noProof/>
          <w:color w:val="000000"/>
        </w:rPr>
        <w:t>% of GDP in 2018</w:t>
      </w:r>
      <w:r w:rsidR="00EB7688" w:rsidRPr="001204B8">
        <w:rPr>
          <w:noProof/>
          <w:color w:val="000000"/>
        </w:rPr>
        <w:t>.</w:t>
      </w:r>
      <w:r w:rsidRPr="001204B8">
        <w:rPr>
          <w:noProof/>
          <w:color w:val="000000"/>
        </w:rPr>
        <w:t xml:space="preserve"> </w:t>
      </w:r>
      <w:r w:rsidRPr="00C75EFC">
        <w:rPr>
          <w:noProof/>
          <w:color w:val="000000"/>
        </w:rPr>
        <w:t>This improvement</w:t>
      </w:r>
      <w:r w:rsidR="0041129F" w:rsidRPr="00C75EFC">
        <w:t xml:space="preserve"> in the general government deficit</w:t>
      </w:r>
      <w:r w:rsidR="0041129F" w:rsidRPr="00C75EFC">
        <w:rPr>
          <w:noProof/>
          <w:color w:val="000000"/>
        </w:rPr>
        <w:t xml:space="preserve"> </w:t>
      </w:r>
      <w:r w:rsidRPr="00C75EFC">
        <w:rPr>
          <w:noProof/>
          <w:color w:val="000000"/>
        </w:rPr>
        <w:t xml:space="preserve">is consistent with </w:t>
      </w:r>
      <w:r w:rsidRPr="007638A8">
        <w:rPr>
          <w:noProof/>
          <w:color w:val="000000"/>
        </w:rPr>
        <w:t>a</w:t>
      </w:r>
      <w:r w:rsidR="00827104" w:rsidRPr="007638A8">
        <w:rPr>
          <w:noProof/>
          <w:color w:val="000000"/>
        </w:rPr>
        <w:t xml:space="preserve"> </w:t>
      </w:r>
      <w:r w:rsidR="003A22EC" w:rsidRPr="007638A8">
        <w:rPr>
          <w:noProof/>
          <w:color w:val="000000"/>
        </w:rPr>
        <w:t xml:space="preserve">deterioration of the structural balance by 0.4% of GDP in 2016 </w:t>
      </w:r>
      <w:r w:rsidR="00EB7688" w:rsidRPr="007638A8">
        <w:rPr>
          <w:noProof/>
          <w:color w:val="000000"/>
        </w:rPr>
        <w:t xml:space="preserve">and </w:t>
      </w:r>
      <w:r w:rsidR="00827104" w:rsidRPr="007638A8">
        <w:rPr>
          <w:noProof/>
          <w:color w:val="000000"/>
        </w:rPr>
        <w:t xml:space="preserve">a </w:t>
      </w:r>
      <w:r w:rsidR="00474F1E" w:rsidRPr="007638A8">
        <w:rPr>
          <w:noProof/>
          <w:color w:val="000000"/>
        </w:rPr>
        <w:t>0.5</w:t>
      </w:r>
      <w:r w:rsidR="00EB7688" w:rsidRPr="007638A8">
        <w:rPr>
          <w:noProof/>
          <w:color w:val="000000"/>
        </w:rPr>
        <w:t xml:space="preserve">% </w:t>
      </w:r>
      <w:r w:rsidRPr="007638A8">
        <w:rPr>
          <w:noProof/>
          <w:color w:val="000000"/>
        </w:rPr>
        <w:t xml:space="preserve">of GDP </w:t>
      </w:r>
      <w:r w:rsidR="00827104" w:rsidRPr="007638A8">
        <w:rPr>
          <w:noProof/>
          <w:color w:val="000000"/>
        </w:rPr>
        <w:t xml:space="preserve">improvement </w:t>
      </w:r>
      <w:r w:rsidR="00EB7688" w:rsidRPr="007638A8">
        <w:rPr>
          <w:noProof/>
          <w:color w:val="000000"/>
        </w:rPr>
        <w:t xml:space="preserve">in </w:t>
      </w:r>
      <w:r w:rsidR="002732A0" w:rsidRPr="007638A8">
        <w:rPr>
          <w:noProof/>
          <w:color w:val="000000"/>
        </w:rPr>
        <w:t xml:space="preserve">both </w:t>
      </w:r>
      <w:r w:rsidR="00EB7688" w:rsidRPr="007638A8">
        <w:rPr>
          <w:noProof/>
          <w:color w:val="000000"/>
        </w:rPr>
        <w:t>2017</w:t>
      </w:r>
      <w:r w:rsidR="002732A0" w:rsidRPr="007638A8">
        <w:rPr>
          <w:noProof/>
          <w:color w:val="000000"/>
        </w:rPr>
        <w:t xml:space="preserve"> and 2018</w:t>
      </w:r>
      <w:r w:rsidRPr="00C75EFC">
        <w:rPr>
          <w:noProof/>
          <w:color w:val="000000"/>
        </w:rPr>
        <w:t xml:space="preserve">, based on the </w:t>
      </w:r>
      <w:r w:rsidR="003A6A9F" w:rsidRPr="00C75EFC">
        <w:rPr>
          <w:noProof/>
          <w:color w:val="000000"/>
        </w:rPr>
        <w:t xml:space="preserve">updated </w:t>
      </w:r>
      <w:r w:rsidRPr="00C75EFC">
        <w:rPr>
          <w:noProof/>
          <w:color w:val="000000"/>
        </w:rPr>
        <w:t xml:space="preserve">Commission </w:t>
      </w:r>
      <w:r w:rsidR="00EB7688" w:rsidRPr="00C75EFC">
        <w:rPr>
          <w:noProof/>
          <w:color w:val="000000"/>
        </w:rPr>
        <w:t>2016</w:t>
      </w:r>
      <w:r w:rsidRPr="00C75EFC">
        <w:rPr>
          <w:noProof/>
          <w:color w:val="000000"/>
        </w:rPr>
        <w:t xml:space="preserve"> </w:t>
      </w:r>
      <w:r w:rsidR="00EB7688" w:rsidRPr="00C75EFC">
        <w:rPr>
          <w:noProof/>
          <w:color w:val="000000"/>
        </w:rPr>
        <w:t>s</w:t>
      </w:r>
      <w:r w:rsidRPr="00C75EFC">
        <w:rPr>
          <w:noProof/>
          <w:color w:val="000000"/>
        </w:rPr>
        <w:t xml:space="preserve">pring </w:t>
      </w:r>
      <w:r w:rsidR="00EB7688" w:rsidRPr="00C75EFC">
        <w:rPr>
          <w:noProof/>
          <w:color w:val="000000"/>
        </w:rPr>
        <w:t>f</w:t>
      </w:r>
      <w:r w:rsidRPr="00C75EFC">
        <w:rPr>
          <w:noProof/>
          <w:color w:val="000000"/>
        </w:rPr>
        <w:t xml:space="preserve">orecast. </w:t>
      </w:r>
      <w:r w:rsidR="00827104" w:rsidRPr="00C75EFC">
        <w:rPr>
          <w:noProof/>
          <w:color w:val="000000"/>
        </w:rPr>
        <w:t xml:space="preserve">Spain shall also use all windfall gains to accerelate the deficit and debt reduction. </w:t>
      </w:r>
    </w:p>
    <w:p w:rsidR="0041129F" w:rsidRPr="00C75EFC" w:rsidRDefault="00B1291E" w:rsidP="0041129F">
      <w:pPr>
        <w:pStyle w:val="ManualNumPar1"/>
        <w:rPr>
          <w:noProof/>
        </w:rPr>
      </w:pPr>
      <w:r w:rsidRPr="00C75EFC">
        <w:rPr>
          <w:noProof/>
        </w:rPr>
        <w:t>3.</w:t>
      </w:r>
      <w:r w:rsidRPr="00C75EFC">
        <w:rPr>
          <w:noProof/>
        </w:rPr>
        <w:tab/>
      </w:r>
      <w:r w:rsidR="007B19EF" w:rsidRPr="00C75EFC">
        <w:rPr>
          <w:noProof/>
        </w:rPr>
        <w:t xml:space="preserve">In addition to the savings already included in the </w:t>
      </w:r>
      <w:r w:rsidR="003A6A9F" w:rsidRPr="00C75EFC">
        <w:rPr>
          <w:noProof/>
        </w:rPr>
        <w:t xml:space="preserve">updated </w:t>
      </w:r>
      <w:r w:rsidR="007B19EF" w:rsidRPr="00C75EFC">
        <w:rPr>
          <w:noProof/>
        </w:rPr>
        <w:t xml:space="preserve">Commission 2016 spring forecast, </w:t>
      </w:r>
      <w:r w:rsidR="00EB7688" w:rsidRPr="00C75EFC">
        <w:rPr>
          <w:noProof/>
        </w:rPr>
        <w:t>Spain</w:t>
      </w:r>
      <w:r w:rsidRPr="00C75EFC">
        <w:rPr>
          <w:noProof/>
        </w:rPr>
        <w:t xml:space="preserve"> shall adopt and fully implement </w:t>
      </w:r>
      <w:r w:rsidR="007B19EF" w:rsidRPr="00C75EFC">
        <w:rPr>
          <w:noProof/>
        </w:rPr>
        <w:t xml:space="preserve">consolidation measures </w:t>
      </w:r>
      <w:r w:rsidR="00DF700E" w:rsidRPr="00C75EFC">
        <w:rPr>
          <w:noProof/>
        </w:rPr>
        <w:t xml:space="preserve">for </w:t>
      </w:r>
      <w:r w:rsidR="007B19EF" w:rsidRPr="00C75EFC">
        <w:rPr>
          <w:noProof/>
        </w:rPr>
        <w:t>the amount of 0.</w:t>
      </w:r>
      <w:r w:rsidR="00FF04AB" w:rsidRPr="007638A8">
        <w:rPr>
          <w:noProof/>
        </w:rPr>
        <w:t>5</w:t>
      </w:r>
      <w:r w:rsidR="007B19EF" w:rsidRPr="00C75EFC">
        <w:rPr>
          <w:noProof/>
        </w:rPr>
        <w:t xml:space="preserve">% of GDP in </w:t>
      </w:r>
      <w:r w:rsidR="003A22EC" w:rsidRPr="00C75EFC">
        <w:rPr>
          <w:noProof/>
        </w:rPr>
        <w:t xml:space="preserve">both </w:t>
      </w:r>
      <w:r w:rsidR="007B19EF" w:rsidRPr="00C75EFC">
        <w:rPr>
          <w:noProof/>
        </w:rPr>
        <w:t>201</w:t>
      </w:r>
      <w:r w:rsidR="00881EB8" w:rsidRPr="00C75EFC">
        <w:rPr>
          <w:noProof/>
        </w:rPr>
        <w:t>7</w:t>
      </w:r>
      <w:r w:rsidR="002732A0" w:rsidRPr="00C75EFC">
        <w:rPr>
          <w:noProof/>
        </w:rPr>
        <w:t xml:space="preserve"> and 2018</w:t>
      </w:r>
      <w:r w:rsidR="007B19EF" w:rsidRPr="00C75EFC">
        <w:rPr>
          <w:noProof/>
        </w:rPr>
        <w:t xml:space="preserve">. </w:t>
      </w:r>
    </w:p>
    <w:p w:rsidR="00B1291E" w:rsidRPr="005B0086" w:rsidRDefault="00B1291E" w:rsidP="00B1291E">
      <w:pPr>
        <w:pStyle w:val="ManualNumPar1"/>
        <w:rPr>
          <w:noProof/>
        </w:rPr>
      </w:pPr>
      <w:r w:rsidRPr="00C75EFC">
        <w:rPr>
          <w:noProof/>
        </w:rPr>
        <w:t>4.</w:t>
      </w:r>
      <w:r w:rsidRPr="00C75EFC">
        <w:rPr>
          <w:noProof/>
        </w:rPr>
        <w:tab/>
      </w:r>
      <w:r w:rsidR="00EB7688" w:rsidRPr="00C75EFC">
        <w:rPr>
          <w:noProof/>
        </w:rPr>
        <w:t xml:space="preserve">Spain shall </w:t>
      </w:r>
      <w:r w:rsidRPr="00C75EFC">
        <w:rPr>
          <w:noProof/>
        </w:rPr>
        <w:t>stand ready to adopt further measures should risks</w:t>
      </w:r>
      <w:r w:rsidRPr="005B0086">
        <w:rPr>
          <w:noProof/>
        </w:rPr>
        <w:t xml:space="preserve"> to the budgetary plans materialise. </w:t>
      </w:r>
      <w:r w:rsidR="0041129F">
        <w:rPr>
          <w:noProof/>
        </w:rPr>
        <w:t>Fiscal</w:t>
      </w:r>
      <w:r w:rsidRPr="005B0086">
        <w:rPr>
          <w:noProof/>
        </w:rPr>
        <w:t xml:space="preserve"> consolidation measures sh</w:t>
      </w:r>
      <w:r w:rsidR="009A4391">
        <w:rPr>
          <w:noProof/>
        </w:rPr>
        <w:t>all</w:t>
      </w:r>
      <w:r w:rsidRPr="005B0086">
        <w:rPr>
          <w:noProof/>
        </w:rPr>
        <w:t xml:space="preserve"> secure a lasting improvement in the general government structural balance in a growth-friendly manner.</w:t>
      </w:r>
    </w:p>
    <w:p w:rsidR="00052336" w:rsidRDefault="00052336" w:rsidP="0034067F">
      <w:pPr>
        <w:pStyle w:val="ManualNumPar1"/>
        <w:rPr>
          <w:noProof/>
        </w:rPr>
      </w:pPr>
      <w:r w:rsidRPr="005B0086">
        <w:rPr>
          <w:noProof/>
        </w:rPr>
        <w:t>5.</w:t>
      </w:r>
      <w:r w:rsidRPr="005B0086">
        <w:rPr>
          <w:noProof/>
        </w:rPr>
        <w:tab/>
        <w:t>Spain shall adopt measures to strengthen its fiscal framework, in particular with a view to increasing the automaticity of mechanisms to prevent and correct deviations from the deficit, debt and expenditure targets and to strengthening the contribution of the Stability Law's spending rule to public finance sustainability.</w:t>
      </w:r>
      <w:r w:rsidR="008B016B">
        <w:rPr>
          <w:noProof/>
        </w:rPr>
        <w:t xml:space="preserve"> </w:t>
      </w:r>
    </w:p>
    <w:p w:rsidR="008B016B" w:rsidRPr="00727EB6" w:rsidRDefault="00FB290C" w:rsidP="008B016B">
      <w:pPr>
        <w:pStyle w:val="ManualNumPar1"/>
        <w:rPr>
          <w:noProof/>
        </w:rPr>
      </w:pPr>
      <w:r>
        <w:t>6.</w:t>
      </w:r>
      <w:r>
        <w:tab/>
      </w:r>
      <w:r w:rsidR="003B0FDB" w:rsidRPr="003B0FDB">
        <w:t>Spain shall set up a consistent framework to ensure transparency and coordination of public procurement policy across all contracting authorities and entities with a view to guaranteeing economic efficiency and a high level of competition. Such framework shall include appropriate ex-ante and ex-post control mechanisms for public procurement to ensure efficiency and legal complianc</w:t>
      </w:r>
      <w:r w:rsidR="003B0FDB" w:rsidRPr="00727EB6">
        <w:t>e.</w:t>
      </w:r>
      <w:r w:rsidR="008B016B" w:rsidRPr="00727EB6">
        <w:t xml:space="preserve"> </w:t>
      </w:r>
    </w:p>
    <w:p w:rsidR="00B1291E" w:rsidRPr="00727EB6" w:rsidRDefault="00B1291E" w:rsidP="00B1291E">
      <w:pPr>
        <w:pStyle w:val="Titrearticle"/>
        <w:outlineLvl w:val="0"/>
        <w:rPr>
          <w:noProof/>
        </w:rPr>
      </w:pPr>
      <w:r w:rsidRPr="00727EB6">
        <w:rPr>
          <w:noProof/>
        </w:rPr>
        <w:t>Article 2</w:t>
      </w:r>
    </w:p>
    <w:p w:rsidR="00052336" w:rsidRPr="005B0086" w:rsidRDefault="00971DB5" w:rsidP="007638A8">
      <w:pPr>
        <w:pStyle w:val="ManualNumPar1"/>
        <w:ind w:left="0" w:firstLine="0"/>
      </w:pPr>
      <w:r w:rsidRPr="00727EB6">
        <w:rPr>
          <w:noProof/>
        </w:rPr>
        <w:t xml:space="preserve">The Council establishes the deadline of </w:t>
      </w:r>
      <w:r w:rsidR="00B00B38" w:rsidRPr="00727EB6">
        <w:rPr>
          <w:noProof/>
        </w:rPr>
        <w:t xml:space="preserve">15 October </w:t>
      </w:r>
      <w:r w:rsidR="00871CBD" w:rsidRPr="00727EB6">
        <w:rPr>
          <w:noProof/>
        </w:rPr>
        <w:t>2016</w:t>
      </w:r>
      <w:r w:rsidRPr="00727EB6">
        <w:rPr>
          <w:noProof/>
        </w:rPr>
        <w:t xml:space="preserve"> f</w:t>
      </w:r>
      <w:r w:rsidRPr="0038748A">
        <w:rPr>
          <w:noProof/>
        </w:rPr>
        <w:t>or Spain to</w:t>
      </w:r>
      <w:r w:rsidRPr="005B0086">
        <w:rPr>
          <w:noProof/>
        </w:rPr>
        <w:t xml:space="preserve"> take effective action</w:t>
      </w:r>
      <w:r w:rsidR="00A75C63">
        <w:rPr>
          <w:noProof/>
        </w:rPr>
        <w:t xml:space="preserve"> </w:t>
      </w:r>
      <w:r w:rsidRPr="005B0086">
        <w:rPr>
          <w:noProof/>
        </w:rPr>
        <w:t xml:space="preserve">and, in accordance with Article 5(1a) of Regulation (EC) No 1467/97, to submit a report to the Council and the Commission on action taken in response to the Council notice. The report shall include the targets for government expenditure and revenue and specify the discretionary measures on both the expenditure and the revenue side, as well as information </w:t>
      </w:r>
      <w:r w:rsidR="003B0FDB" w:rsidRPr="003B0FDB">
        <w:rPr>
          <w:noProof/>
        </w:rPr>
        <w:t xml:space="preserve">on the actions being taken in response to the specific Council recommendations to strengthen </w:t>
      </w:r>
      <w:r w:rsidR="00D46C59">
        <w:rPr>
          <w:noProof/>
        </w:rPr>
        <w:t>its</w:t>
      </w:r>
      <w:r w:rsidR="00D46C59" w:rsidRPr="003B0FDB">
        <w:rPr>
          <w:noProof/>
        </w:rPr>
        <w:t xml:space="preserve"> </w:t>
      </w:r>
      <w:r w:rsidR="003B0FDB" w:rsidRPr="003B0FDB">
        <w:rPr>
          <w:noProof/>
        </w:rPr>
        <w:t xml:space="preserve">fiscal framework and </w:t>
      </w:r>
      <w:r w:rsidR="00D46C59">
        <w:rPr>
          <w:noProof/>
        </w:rPr>
        <w:t xml:space="preserve">its </w:t>
      </w:r>
      <w:r w:rsidR="003B0FDB" w:rsidRPr="003B0FDB">
        <w:rPr>
          <w:noProof/>
        </w:rPr>
        <w:t>public procurement policy</w:t>
      </w:r>
      <w:r w:rsidR="00D46C59">
        <w:rPr>
          <w:noProof/>
        </w:rPr>
        <w:t xml:space="preserve"> framework in accordance with paragraphs 5 and 6 of Article </w:t>
      </w:r>
      <w:r w:rsidR="00503C80">
        <w:rPr>
          <w:noProof/>
        </w:rPr>
        <w:t>1</w:t>
      </w:r>
      <w:r w:rsidR="00D46C59">
        <w:rPr>
          <w:noProof/>
        </w:rPr>
        <w:t xml:space="preserve">. </w:t>
      </w:r>
    </w:p>
    <w:p w:rsidR="00B1291E" w:rsidRPr="005B0086" w:rsidRDefault="00B1291E" w:rsidP="00475AF0">
      <w:pPr>
        <w:pStyle w:val="Titrearticle"/>
        <w:outlineLvl w:val="0"/>
        <w:rPr>
          <w:noProof/>
        </w:rPr>
      </w:pPr>
      <w:r w:rsidRPr="005B0086">
        <w:rPr>
          <w:noProof/>
        </w:rPr>
        <w:t>Article 3</w:t>
      </w:r>
    </w:p>
    <w:p w:rsidR="00B1291E" w:rsidRPr="005B0086" w:rsidRDefault="00B1291E" w:rsidP="00B1291E">
      <w:pPr>
        <w:keepNext/>
        <w:keepLines/>
        <w:rPr>
          <w:noProof/>
        </w:rPr>
      </w:pPr>
      <w:r w:rsidRPr="005B0086">
        <w:rPr>
          <w:noProof/>
        </w:rPr>
        <w:t xml:space="preserve">This Decision is addressed to the </w:t>
      </w:r>
      <w:smartTag w:uri="urn:schemas-microsoft-com:office:smarttags" w:element="PlaceType">
        <w:r w:rsidRPr="005B0086">
          <w:rPr>
            <w:noProof/>
          </w:rPr>
          <w:t>Kingdom</w:t>
        </w:r>
      </w:smartTag>
      <w:r w:rsidRPr="005B0086">
        <w:rPr>
          <w:noProof/>
        </w:rPr>
        <w:t xml:space="preserve"> of </w:t>
      </w:r>
      <w:r w:rsidR="00362160" w:rsidRPr="005B0086">
        <w:rPr>
          <w:noProof/>
        </w:rPr>
        <w:t>Spain</w:t>
      </w:r>
      <w:r w:rsidRPr="005B0086">
        <w:rPr>
          <w:noProof/>
        </w:rPr>
        <w:t>.</w:t>
      </w:r>
    </w:p>
    <w:p w:rsidR="00B1291E" w:rsidRPr="005B0086" w:rsidRDefault="00156601" w:rsidP="00156601">
      <w:pPr>
        <w:pStyle w:val="Fait"/>
        <w:rPr>
          <w:noProof/>
        </w:rPr>
      </w:pPr>
      <w:r w:rsidRPr="00156601">
        <w:t>Done at Brussels,</w:t>
      </w:r>
    </w:p>
    <w:p w:rsidR="00B1291E" w:rsidRPr="005B0086" w:rsidRDefault="00B1291E" w:rsidP="00475AF0">
      <w:pPr>
        <w:pStyle w:val="Institutionquisigne"/>
        <w:rPr>
          <w:noProof/>
        </w:rPr>
      </w:pPr>
      <w:r w:rsidRPr="005B0086">
        <w:rPr>
          <w:noProof/>
        </w:rPr>
        <w:tab/>
        <w:t>For the Council</w:t>
      </w:r>
    </w:p>
    <w:p w:rsidR="00B1291E" w:rsidRPr="00B1291E" w:rsidRDefault="00B1291E" w:rsidP="00B1291E">
      <w:pPr>
        <w:pStyle w:val="Personnequisigne"/>
        <w:rPr>
          <w:noProof/>
        </w:rPr>
      </w:pPr>
      <w:r w:rsidRPr="005B0086">
        <w:rPr>
          <w:noProof/>
        </w:rPr>
        <w:tab/>
        <w:t>The President</w:t>
      </w:r>
    </w:p>
    <w:sectPr w:rsidR="00B1291E" w:rsidRPr="00B1291E" w:rsidSect="000152B7">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17" w:rsidRDefault="00CB7217" w:rsidP="00B1291E">
      <w:pPr>
        <w:spacing w:before="0" w:after="0"/>
      </w:pPr>
      <w:r>
        <w:separator/>
      </w:r>
    </w:p>
  </w:endnote>
  <w:endnote w:type="continuationSeparator" w:id="0">
    <w:p w:rsidR="00CB7217" w:rsidRDefault="00CB7217" w:rsidP="00B1291E">
      <w:pPr>
        <w:spacing w:before="0" w:after="0"/>
      </w:pPr>
      <w:r>
        <w:continuationSeparator/>
      </w:r>
    </w:p>
  </w:endnote>
  <w:endnote w:type="continuationNotice" w:id="1">
    <w:p w:rsidR="00CB7217" w:rsidRDefault="00CB72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B7" w:rsidRPr="000152B7" w:rsidRDefault="000152B7" w:rsidP="000152B7">
    <w:pPr>
      <w:pStyle w:val="Footer"/>
      <w:rPr>
        <w:rFonts w:ascii="Arial" w:hAnsi="Arial" w:cs="Arial"/>
        <w:b/>
        <w:sz w:val="48"/>
      </w:rPr>
    </w:pPr>
    <w:r w:rsidRPr="000152B7">
      <w:rPr>
        <w:rFonts w:ascii="Arial" w:hAnsi="Arial" w:cs="Arial"/>
        <w:b/>
        <w:sz w:val="48"/>
      </w:rPr>
      <w:t>EN</w:t>
    </w:r>
    <w:r w:rsidRPr="000152B7">
      <w:rPr>
        <w:rFonts w:ascii="Arial" w:hAnsi="Arial" w:cs="Arial"/>
        <w:b/>
        <w:sz w:val="48"/>
      </w:rPr>
      <w:tab/>
    </w:r>
    <w:r w:rsidRPr="000152B7">
      <w:rPr>
        <w:rFonts w:ascii="Arial" w:hAnsi="Arial" w:cs="Arial"/>
        <w:b/>
        <w:sz w:val="48"/>
      </w:rPr>
      <w:tab/>
    </w:r>
    <w:r w:rsidR="008728A3">
      <w:fldChar w:fldCharType="begin"/>
    </w:r>
    <w:r w:rsidR="008728A3">
      <w:instrText xml:space="preserve"> DOCVARIABLE "LW_Confidence" \* MERGEFORMAT </w:instrText>
    </w:r>
    <w:r w:rsidR="008728A3">
      <w:fldChar w:fldCharType="separate"/>
    </w:r>
    <w:r>
      <w:t xml:space="preserve"> </w:t>
    </w:r>
    <w:r w:rsidR="008728A3">
      <w:fldChar w:fldCharType="end"/>
    </w:r>
    <w:r w:rsidRPr="000152B7">
      <w:tab/>
    </w:r>
    <w:r w:rsidRPr="000152B7">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B7" w:rsidRPr="000152B7" w:rsidRDefault="000152B7" w:rsidP="000152B7">
    <w:pPr>
      <w:pStyle w:val="Footer"/>
      <w:rPr>
        <w:rFonts w:ascii="Arial" w:hAnsi="Arial" w:cs="Arial"/>
        <w:b/>
        <w:sz w:val="48"/>
      </w:rPr>
    </w:pPr>
    <w:r w:rsidRPr="000152B7">
      <w:rPr>
        <w:rFonts w:ascii="Arial" w:hAnsi="Arial" w:cs="Arial"/>
        <w:b/>
        <w:sz w:val="48"/>
      </w:rPr>
      <w:t>EN</w:t>
    </w:r>
    <w:r w:rsidRPr="000152B7">
      <w:rPr>
        <w:rFonts w:ascii="Arial" w:hAnsi="Arial" w:cs="Arial"/>
        <w:b/>
        <w:sz w:val="48"/>
      </w:rPr>
      <w:tab/>
    </w:r>
    <w:r>
      <w:fldChar w:fldCharType="begin"/>
    </w:r>
    <w:r>
      <w:instrText xml:space="preserve"> PAGE  \* MERGEFORMAT </w:instrText>
    </w:r>
    <w:r>
      <w:fldChar w:fldCharType="separate"/>
    </w:r>
    <w:r w:rsidR="008728A3">
      <w:rPr>
        <w:noProof/>
      </w:rPr>
      <w:t>2</w:t>
    </w:r>
    <w:r>
      <w:fldChar w:fldCharType="end"/>
    </w:r>
    <w:r>
      <w:tab/>
    </w:r>
    <w:r w:rsidR="008728A3">
      <w:fldChar w:fldCharType="begin"/>
    </w:r>
    <w:r w:rsidR="008728A3">
      <w:instrText xml:space="preserve"> DOCVARIABLE "LW_Confidence" \* MERGEFORMAT </w:instrText>
    </w:r>
    <w:r w:rsidR="008728A3">
      <w:fldChar w:fldCharType="separate"/>
    </w:r>
    <w:r>
      <w:t xml:space="preserve"> </w:t>
    </w:r>
    <w:r w:rsidR="008728A3">
      <w:fldChar w:fldCharType="end"/>
    </w:r>
    <w:r w:rsidRPr="000152B7">
      <w:tab/>
    </w:r>
    <w:r w:rsidRPr="000152B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B7" w:rsidRDefault="000152B7" w:rsidP="00015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17" w:rsidRDefault="00CB7217" w:rsidP="00B1291E">
      <w:pPr>
        <w:spacing w:before="0" w:after="0"/>
      </w:pPr>
      <w:r>
        <w:separator/>
      </w:r>
    </w:p>
  </w:footnote>
  <w:footnote w:type="continuationSeparator" w:id="0">
    <w:p w:rsidR="00CB7217" w:rsidRDefault="00CB7217" w:rsidP="00B1291E">
      <w:pPr>
        <w:spacing w:before="0" w:after="0"/>
      </w:pPr>
      <w:r>
        <w:continuationSeparator/>
      </w:r>
    </w:p>
  </w:footnote>
  <w:footnote w:type="continuationNotice" w:id="1">
    <w:p w:rsidR="00CB7217" w:rsidRDefault="00CB7217">
      <w:pPr>
        <w:spacing w:before="0" w:after="0"/>
      </w:pPr>
    </w:p>
  </w:footnote>
  <w:footnote w:id="2">
    <w:p w:rsidR="007B19EF" w:rsidRPr="005B0086" w:rsidRDefault="007B19EF" w:rsidP="007B19EF">
      <w:pPr>
        <w:pStyle w:val="FootnoteText"/>
      </w:pPr>
      <w:r>
        <w:rPr>
          <w:rStyle w:val="FootnoteReference"/>
        </w:rPr>
        <w:footnoteRef/>
      </w:r>
      <w:r w:rsidRPr="005B0086">
        <w:tab/>
      </w:r>
      <w:r w:rsidRPr="005038C2">
        <w:t>OJ L 209, 2.8.1997, p. 6.</w:t>
      </w:r>
    </w:p>
  </w:footnote>
  <w:footnote w:id="3">
    <w:p w:rsidR="00ED48EF" w:rsidRPr="00ED48EF" w:rsidRDefault="00ED48EF" w:rsidP="00ED48EF">
      <w:pPr>
        <w:pStyle w:val="FootnoteText"/>
      </w:pPr>
      <w:r>
        <w:rPr>
          <w:rStyle w:val="FootnoteReference"/>
        </w:rPr>
        <w:footnoteRef/>
      </w:r>
      <w:r w:rsidRPr="00ED48EF">
        <w:tab/>
        <w:t>All documents related to the excessive deficit procedure of Spain can be found at:</w:t>
      </w:r>
    </w:p>
    <w:p w:rsidR="00ED48EF" w:rsidRPr="00594332" w:rsidRDefault="008728A3" w:rsidP="00C75EFC">
      <w:pPr>
        <w:pStyle w:val="FootnoteText"/>
        <w:ind w:firstLine="0"/>
      </w:pPr>
      <w:hyperlink r:id="rId1" w:history="1">
        <w:r w:rsidR="00ED48EF" w:rsidRPr="00ED48EF">
          <w:rPr>
            <w:rStyle w:val="Hyperlink"/>
          </w:rPr>
          <w:t>http://ec.europa.eu/economy_finance/economic_governance/sgp/deficit/countries/spain_en.htm</w:t>
        </w:r>
      </w:hyperlink>
      <w:r w:rsidR="00ED48EF" w:rsidRPr="00ED48EF">
        <w:t xml:space="preserve"> .</w:t>
      </w:r>
    </w:p>
  </w:footnote>
  <w:footnote w:id="4">
    <w:p w:rsidR="00ED48EF" w:rsidRPr="00ED48EF" w:rsidRDefault="00ED48EF">
      <w:pPr>
        <w:pStyle w:val="FootnoteText"/>
        <w:rPr>
          <w:lang w:val="fr-BE"/>
        </w:rPr>
      </w:pPr>
      <w:r>
        <w:rPr>
          <w:rStyle w:val="FootnoteReference"/>
        </w:rPr>
        <w:footnoteRef/>
      </w:r>
      <w:r>
        <w:rPr>
          <w:lang w:val="fr-BE"/>
        </w:rPr>
        <w:tab/>
      </w:r>
      <w:r w:rsidRPr="00ED48EF">
        <w:t>European Commission (2016), "Fiscal Sustainability Report 2015", European Economy, Institutional Paper No.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F83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B5A19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E8AE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0E33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E481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46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5C6C3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787E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7 13:17: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70CF1BDAFDD94D5AA9FF9EAF1081548C"/>
    <w:docVar w:name="LW_CROSSREFERENCE" w:val="{SWD(2016) 263 final}"/>
    <w:docVar w:name="LW_DocType" w:val="COM"/>
    <w:docVar w:name="LW_EMISSION" w:val="27.7.2016"/>
    <w:docVar w:name="LW_EMISSION_ISODATE" w:val="2016-07-27"/>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lt;EMPTY&gt;"/>
    <w:docVar w:name="LW_REF.INST.NEW_TEXT" w:val="(2016) 518 final"/>
    <w:docVar w:name="LW_REF.INTERNE" w:val="&lt;UNUSED&gt;"/>
    <w:docVar w:name="LW_SOUS.TITRE.OBJ.CP" w:val="&lt;UNUSED&gt;"/>
    <w:docVar w:name="LW_STATUT.CP" w:val="Recommendation for a"/>
    <w:docVar w:name="LW_SUPERTITRE" w:val="&lt;UNUSED&gt;"/>
    <w:docVar w:name="LW_TITRE.OBJ.CP" w:val="giving notice to Spain to take measures for the deficit reduction judged necessary in order to remedy the situation of excessive deficit"/>
    <w:docVar w:name="LW_TYPE.DOC.CP" w:val="COUNCIL DECISION"/>
  </w:docVars>
  <w:rsids>
    <w:rsidRoot w:val="00B1291E"/>
    <w:rsid w:val="0000492B"/>
    <w:rsid w:val="000062E9"/>
    <w:rsid w:val="000137BE"/>
    <w:rsid w:val="000152B7"/>
    <w:rsid w:val="000224DC"/>
    <w:rsid w:val="00027563"/>
    <w:rsid w:val="00045D9B"/>
    <w:rsid w:val="00052336"/>
    <w:rsid w:val="00054CA0"/>
    <w:rsid w:val="00056964"/>
    <w:rsid w:val="00057F53"/>
    <w:rsid w:val="00060665"/>
    <w:rsid w:val="00061BA8"/>
    <w:rsid w:val="00073F90"/>
    <w:rsid w:val="000756A2"/>
    <w:rsid w:val="0009642B"/>
    <w:rsid w:val="000A0487"/>
    <w:rsid w:val="000A12D3"/>
    <w:rsid w:val="000A1BE2"/>
    <w:rsid w:val="000B11D8"/>
    <w:rsid w:val="000B456A"/>
    <w:rsid w:val="000D2FB9"/>
    <w:rsid w:val="000D4B2D"/>
    <w:rsid w:val="000E152E"/>
    <w:rsid w:val="000E6C05"/>
    <w:rsid w:val="00106D55"/>
    <w:rsid w:val="001204B8"/>
    <w:rsid w:val="001216DB"/>
    <w:rsid w:val="00124991"/>
    <w:rsid w:val="00133418"/>
    <w:rsid w:val="001361B3"/>
    <w:rsid w:val="00140011"/>
    <w:rsid w:val="00147993"/>
    <w:rsid w:val="00156601"/>
    <w:rsid w:val="00157B2F"/>
    <w:rsid w:val="001749B3"/>
    <w:rsid w:val="0017680B"/>
    <w:rsid w:val="00191355"/>
    <w:rsid w:val="00192F0A"/>
    <w:rsid w:val="0019398F"/>
    <w:rsid w:val="00195FB1"/>
    <w:rsid w:val="001A509E"/>
    <w:rsid w:val="001A5BE0"/>
    <w:rsid w:val="001C1ABB"/>
    <w:rsid w:val="001C2735"/>
    <w:rsid w:val="001D4BA0"/>
    <w:rsid w:val="001D67D7"/>
    <w:rsid w:val="001D78FE"/>
    <w:rsid w:val="001E238C"/>
    <w:rsid w:val="001F5A9F"/>
    <w:rsid w:val="001F6017"/>
    <w:rsid w:val="002003DB"/>
    <w:rsid w:val="002036AE"/>
    <w:rsid w:val="002041A7"/>
    <w:rsid w:val="00206F4F"/>
    <w:rsid w:val="00211AFA"/>
    <w:rsid w:val="00212814"/>
    <w:rsid w:val="0022086A"/>
    <w:rsid w:val="00224816"/>
    <w:rsid w:val="00231906"/>
    <w:rsid w:val="0024247B"/>
    <w:rsid w:val="00243111"/>
    <w:rsid w:val="0024639A"/>
    <w:rsid w:val="00255332"/>
    <w:rsid w:val="00262F01"/>
    <w:rsid w:val="00266C9A"/>
    <w:rsid w:val="002732A0"/>
    <w:rsid w:val="00276A60"/>
    <w:rsid w:val="00276D04"/>
    <w:rsid w:val="00287438"/>
    <w:rsid w:val="00292FFE"/>
    <w:rsid w:val="00297140"/>
    <w:rsid w:val="002A257D"/>
    <w:rsid w:val="002B5FB7"/>
    <w:rsid w:val="002B6E72"/>
    <w:rsid w:val="002B7CB5"/>
    <w:rsid w:val="002C0F91"/>
    <w:rsid w:val="002C158F"/>
    <w:rsid w:val="002C6B2B"/>
    <w:rsid w:val="002C7CEC"/>
    <w:rsid w:val="002D1B9D"/>
    <w:rsid w:val="002D5D5A"/>
    <w:rsid w:val="002F6312"/>
    <w:rsid w:val="00306227"/>
    <w:rsid w:val="00324168"/>
    <w:rsid w:val="00333047"/>
    <w:rsid w:val="00334EE7"/>
    <w:rsid w:val="0034067F"/>
    <w:rsid w:val="00341965"/>
    <w:rsid w:val="00343236"/>
    <w:rsid w:val="00344B9C"/>
    <w:rsid w:val="00350DE7"/>
    <w:rsid w:val="00351EF8"/>
    <w:rsid w:val="003528E6"/>
    <w:rsid w:val="00354677"/>
    <w:rsid w:val="00357530"/>
    <w:rsid w:val="00362160"/>
    <w:rsid w:val="00370A44"/>
    <w:rsid w:val="00381FFD"/>
    <w:rsid w:val="0038220D"/>
    <w:rsid w:val="00385364"/>
    <w:rsid w:val="0038748A"/>
    <w:rsid w:val="003942EC"/>
    <w:rsid w:val="0039660A"/>
    <w:rsid w:val="003A22EC"/>
    <w:rsid w:val="003A2A4E"/>
    <w:rsid w:val="003A6A9F"/>
    <w:rsid w:val="003B0FDB"/>
    <w:rsid w:val="003B5209"/>
    <w:rsid w:val="003B5AC7"/>
    <w:rsid w:val="003B62E1"/>
    <w:rsid w:val="003C38CC"/>
    <w:rsid w:val="003E326A"/>
    <w:rsid w:val="003E343A"/>
    <w:rsid w:val="003F2B32"/>
    <w:rsid w:val="00400F4C"/>
    <w:rsid w:val="00400FE4"/>
    <w:rsid w:val="00405F07"/>
    <w:rsid w:val="00410673"/>
    <w:rsid w:val="0041129F"/>
    <w:rsid w:val="00415F6C"/>
    <w:rsid w:val="00420012"/>
    <w:rsid w:val="004232B4"/>
    <w:rsid w:val="00426926"/>
    <w:rsid w:val="004269A8"/>
    <w:rsid w:val="00433056"/>
    <w:rsid w:val="0043484D"/>
    <w:rsid w:val="0043774A"/>
    <w:rsid w:val="004413D3"/>
    <w:rsid w:val="00442E87"/>
    <w:rsid w:val="00447A8D"/>
    <w:rsid w:val="0045013F"/>
    <w:rsid w:val="00455FF0"/>
    <w:rsid w:val="00467C5A"/>
    <w:rsid w:val="004706AF"/>
    <w:rsid w:val="00474F1E"/>
    <w:rsid w:val="00475AF0"/>
    <w:rsid w:val="0047669E"/>
    <w:rsid w:val="00477585"/>
    <w:rsid w:val="004833F8"/>
    <w:rsid w:val="004921AC"/>
    <w:rsid w:val="004946AC"/>
    <w:rsid w:val="004951B1"/>
    <w:rsid w:val="00497B6B"/>
    <w:rsid w:val="00497D52"/>
    <w:rsid w:val="00497F73"/>
    <w:rsid w:val="004A125E"/>
    <w:rsid w:val="004A2BEA"/>
    <w:rsid w:val="004A3FA8"/>
    <w:rsid w:val="004A4B72"/>
    <w:rsid w:val="004B25C5"/>
    <w:rsid w:val="004B6A72"/>
    <w:rsid w:val="004C2BC5"/>
    <w:rsid w:val="004C5E71"/>
    <w:rsid w:val="004C76BA"/>
    <w:rsid w:val="004D2C5F"/>
    <w:rsid w:val="004D2FB5"/>
    <w:rsid w:val="004D73CE"/>
    <w:rsid w:val="004E0807"/>
    <w:rsid w:val="004E5200"/>
    <w:rsid w:val="004F0D98"/>
    <w:rsid w:val="004F2EA9"/>
    <w:rsid w:val="004F412A"/>
    <w:rsid w:val="004F4C42"/>
    <w:rsid w:val="00503831"/>
    <w:rsid w:val="00503C80"/>
    <w:rsid w:val="00503EA1"/>
    <w:rsid w:val="00511C14"/>
    <w:rsid w:val="005132EB"/>
    <w:rsid w:val="00515229"/>
    <w:rsid w:val="00523116"/>
    <w:rsid w:val="00526C2F"/>
    <w:rsid w:val="005354A0"/>
    <w:rsid w:val="00535D85"/>
    <w:rsid w:val="00537BC4"/>
    <w:rsid w:val="005416C5"/>
    <w:rsid w:val="00542448"/>
    <w:rsid w:val="005427D6"/>
    <w:rsid w:val="005563A8"/>
    <w:rsid w:val="005570D1"/>
    <w:rsid w:val="005657B6"/>
    <w:rsid w:val="0057088E"/>
    <w:rsid w:val="00575F9A"/>
    <w:rsid w:val="005778E4"/>
    <w:rsid w:val="005854F7"/>
    <w:rsid w:val="0058755F"/>
    <w:rsid w:val="00594332"/>
    <w:rsid w:val="00595EF9"/>
    <w:rsid w:val="005979ED"/>
    <w:rsid w:val="005A57B5"/>
    <w:rsid w:val="005B0086"/>
    <w:rsid w:val="005B2999"/>
    <w:rsid w:val="005B575A"/>
    <w:rsid w:val="005C0144"/>
    <w:rsid w:val="005C6B8B"/>
    <w:rsid w:val="005D46E3"/>
    <w:rsid w:val="005D6E81"/>
    <w:rsid w:val="005D7B6E"/>
    <w:rsid w:val="005F32C1"/>
    <w:rsid w:val="005F57F1"/>
    <w:rsid w:val="00600AF1"/>
    <w:rsid w:val="00604273"/>
    <w:rsid w:val="00610465"/>
    <w:rsid w:val="006119E2"/>
    <w:rsid w:val="00615488"/>
    <w:rsid w:val="00616315"/>
    <w:rsid w:val="00622ED3"/>
    <w:rsid w:val="00627CD1"/>
    <w:rsid w:val="00631E28"/>
    <w:rsid w:val="00645742"/>
    <w:rsid w:val="006465A9"/>
    <w:rsid w:val="00646823"/>
    <w:rsid w:val="006568CA"/>
    <w:rsid w:val="00656CEA"/>
    <w:rsid w:val="00667722"/>
    <w:rsid w:val="006748DC"/>
    <w:rsid w:val="00680EA5"/>
    <w:rsid w:val="00683E0B"/>
    <w:rsid w:val="00686C13"/>
    <w:rsid w:val="00686C63"/>
    <w:rsid w:val="00692226"/>
    <w:rsid w:val="006945BE"/>
    <w:rsid w:val="006957A9"/>
    <w:rsid w:val="00696DD8"/>
    <w:rsid w:val="006B4D14"/>
    <w:rsid w:val="006C459E"/>
    <w:rsid w:val="006D500D"/>
    <w:rsid w:val="006E0CC8"/>
    <w:rsid w:val="006F0D55"/>
    <w:rsid w:val="006F18F9"/>
    <w:rsid w:val="006F3023"/>
    <w:rsid w:val="006F496B"/>
    <w:rsid w:val="007011AE"/>
    <w:rsid w:val="007054D6"/>
    <w:rsid w:val="00711832"/>
    <w:rsid w:val="00715887"/>
    <w:rsid w:val="00724CB1"/>
    <w:rsid w:val="00727EB6"/>
    <w:rsid w:val="007310BE"/>
    <w:rsid w:val="0073426A"/>
    <w:rsid w:val="00743EE8"/>
    <w:rsid w:val="007518F7"/>
    <w:rsid w:val="00757CC5"/>
    <w:rsid w:val="00757ECA"/>
    <w:rsid w:val="007638A8"/>
    <w:rsid w:val="00765670"/>
    <w:rsid w:val="00794281"/>
    <w:rsid w:val="007A0DB9"/>
    <w:rsid w:val="007A451F"/>
    <w:rsid w:val="007B1574"/>
    <w:rsid w:val="007B19EF"/>
    <w:rsid w:val="007C181E"/>
    <w:rsid w:val="007C525F"/>
    <w:rsid w:val="007C68CE"/>
    <w:rsid w:val="007C7BA2"/>
    <w:rsid w:val="007C7FB8"/>
    <w:rsid w:val="007D273B"/>
    <w:rsid w:val="007E1022"/>
    <w:rsid w:val="007F7396"/>
    <w:rsid w:val="008022E3"/>
    <w:rsid w:val="0080583E"/>
    <w:rsid w:val="00807D26"/>
    <w:rsid w:val="00824B79"/>
    <w:rsid w:val="00824C1C"/>
    <w:rsid w:val="00827104"/>
    <w:rsid w:val="00841ADB"/>
    <w:rsid w:val="00843389"/>
    <w:rsid w:val="00843978"/>
    <w:rsid w:val="008450C1"/>
    <w:rsid w:val="00855143"/>
    <w:rsid w:val="00866135"/>
    <w:rsid w:val="00871646"/>
    <w:rsid w:val="00871CBD"/>
    <w:rsid w:val="008728A3"/>
    <w:rsid w:val="00881EB8"/>
    <w:rsid w:val="008924BC"/>
    <w:rsid w:val="00893AB4"/>
    <w:rsid w:val="00896AA9"/>
    <w:rsid w:val="008A366C"/>
    <w:rsid w:val="008B016B"/>
    <w:rsid w:val="008B43CF"/>
    <w:rsid w:val="008B66BA"/>
    <w:rsid w:val="008C21A6"/>
    <w:rsid w:val="008C21D5"/>
    <w:rsid w:val="008C24DB"/>
    <w:rsid w:val="008C49CF"/>
    <w:rsid w:val="008D21CD"/>
    <w:rsid w:val="008D37D8"/>
    <w:rsid w:val="008D54D1"/>
    <w:rsid w:val="008D5502"/>
    <w:rsid w:val="008D561F"/>
    <w:rsid w:val="008E40BF"/>
    <w:rsid w:val="008E6359"/>
    <w:rsid w:val="008F041E"/>
    <w:rsid w:val="008F4B46"/>
    <w:rsid w:val="008F62F2"/>
    <w:rsid w:val="009120BB"/>
    <w:rsid w:val="00920D55"/>
    <w:rsid w:val="0092486A"/>
    <w:rsid w:val="009252B8"/>
    <w:rsid w:val="00930CAE"/>
    <w:rsid w:val="00931E5D"/>
    <w:rsid w:val="009409AF"/>
    <w:rsid w:val="00940AC1"/>
    <w:rsid w:val="00941524"/>
    <w:rsid w:val="009477E5"/>
    <w:rsid w:val="0095297E"/>
    <w:rsid w:val="0096078F"/>
    <w:rsid w:val="0096234D"/>
    <w:rsid w:val="00971DB5"/>
    <w:rsid w:val="00981E35"/>
    <w:rsid w:val="00982F0D"/>
    <w:rsid w:val="00984630"/>
    <w:rsid w:val="009927D0"/>
    <w:rsid w:val="009927FA"/>
    <w:rsid w:val="009A2402"/>
    <w:rsid w:val="009A27D0"/>
    <w:rsid w:val="009A2AD6"/>
    <w:rsid w:val="009A4391"/>
    <w:rsid w:val="009B0649"/>
    <w:rsid w:val="009B6093"/>
    <w:rsid w:val="009B772C"/>
    <w:rsid w:val="009C10D2"/>
    <w:rsid w:val="009C471B"/>
    <w:rsid w:val="009C6EF7"/>
    <w:rsid w:val="009E0599"/>
    <w:rsid w:val="009E36D8"/>
    <w:rsid w:val="009F2A11"/>
    <w:rsid w:val="009F5064"/>
    <w:rsid w:val="009F6E95"/>
    <w:rsid w:val="00A01776"/>
    <w:rsid w:val="00A06A7D"/>
    <w:rsid w:val="00A131ED"/>
    <w:rsid w:val="00A20038"/>
    <w:rsid w:val="00A20A2E"/>
    <w:rsid w:val="00A3440B"/>
    <w:rsid w:val="00A40ED6"/>
    <w:rsid w:val="00A42A1A"/>
    <w:rsid w:val="00A50BEA"/>
    <w:rsid w:val="00A50D53"/>
    <w:rsid w:val="00A50EEF"/>
    <w:rsid w:val="00A5100C"/>
    <w:rsid w:val="00A55630"/>
    <w:rsid w:val="00A64D45"/>
    <w:rsid w:val="00A74425"/>
    <w:rsid w:val="00A74535"/>
    <w:rsid w:val="00A75C63"/>
    <w:rsid w:val="00A97ACB"/>
    <w:rsid w:val="00AB33C9"/>
    <w:rsid w:val="00AB69A2"/>
    <w:rsid w:val="00AC217A"/>
    <w:rsid w:val="00AC55DE"/>
    <w:rsid w:val="00AD476F"/>
    <w:rsid w:val="00AD4986"/>
    <w:rsid w:val="00AD7635"/>
    <w:rsid w:val="00AE3B1B"/>
    <w:rsid w:val="00AF1C64"/>
    <w:rsid w:val="00AF4B51"/>
    <w:rsid w:val="00AF6320"/>
    <w:rsid w:val="00B0071B"/>
    <w:rsid w:val="00B00B38"/>
    <w:rsid w:val="00B10BD5"/>
    <w:rsid w:val="00B117A7"/>
    <w:rsid w:val="00B1291E"/>
    <w:rsid w:val="00B2251F"/>
    <w:rsid w:val="00B301A2"/>
    <w:rsid w:val="00B3284D"/>
    <w:rsid w:val="00B40937"/>
    <w:rsid w:val="00B45CCB"/>
    <w:rsid w:val="00B6046D"/>
    <w:rsid w:val="00B64083"/>
    <w:rsid w:val="00B64ACC"/>
    <w:rsid w:val="00B71FC4"/>
    <w:rsid w:val="00B74E84"/>
    <w:rsid w:val="00B80488"/>
    <w:rsid w:val="00B81B73"/>
    <w:rsid w:val="00B845F1"/>
    <w:rsid w:val="00B95DEC"/>
    <w:rsid w:val="00B9610A"/>
    <w:rsid w:val="00B965CB"/>
    <w:rsid w:val="00B97137"/>
    <w:rsid w:val="00BB4DE7"/>
    <w:rsid w:val="00BB5DED"/>
    <w:rsid w:val="00BB6E2C"/>
    <w:rsid w:val="00BC2D55"/>
    <w:rsid w:val="00BC38AE"/>
    <w:rsid w:val="00BC7668"/>
    <w:rsid w:val="00BD0835"/>
    <w:rsid w:val="00BD7832"/>
    <w:rsid w:val="00BF608F"/>
    <w:rsid w:val="00BF6687"/>
    <w:rsid w:val="00C026C7"/>
    <w:rsid w:val="00C06402"/>
    <w:rsid w:val="00C1208E"/>
    <w:rsid w:val="00C13064"/>
    <w:rsid w:val="00C167D9"/>
    <w:rsid w:val="00C1720D"/>
    <w:rsid w:val="00C254AA"/>
    <w:rsid w:val="00C30C3D"/>
    <w:rsid w:val="00C477F9"/>
    <w:rsid w:val="00C52CF0"/>
    <w:rsid w:val="00C755E0"/>
    <w:rsid w:val="00C75EFC"/>
    <w:rsid w:val="00C84D0F"/>
    <w:rsid w:val="00C865AF"/>
    <w:rsid w:val="00CA23F8"/>
    <w:rsid w:val="00CB33C0"/>
    <w:rsid w:val="00CB68C7"/>
    <w:rsid w:val="00CB7217"/>
    <w:rsid w:val="00CD657A"/>
    <w:rsid w:val="00CE57FC"/>
    <w:rsid w:val="00CF31F8"/>
    <w:rsid w:val="00CF36CE"/>
    <w:rsid w:val="00CF6277"/>
    <w:rsid w:val="00D03A1D"/>
    <w:rsid w:val="00D0486A"/>
    <w:rsid w:val="00D101F1"/>
    <w:rsid w:val="00D16500"/>
    <w:rsid w:val="00D16C13"/>
    <w:rsid w:val="00D17227"/>
    <w:rsid w:val="00D22070"/>
    <w:rsid w:val="00D326C4"/>
    <w:rsid w:val="00D3283B"/>
    <w:rsid w:val="00D35036"/>
    <w:rsid w:val="00D423B6"/>
    <w:rsid w:val="00D44FF5"/>
    <w:rsid w:val="00D45662"/>
    <w:rsid w:val="00D46C59"/>
    <w:rsid w:val="00D471FA"/>
    <w:rsid w:val="00D51316"/>
    <w:rsid w:val="00D622FC"/>
    <w:rsid w:val="00D636AB"/>
    <w:rsid w:val="00D65AAA"/>
    <w:rsid w:val="00D7073F"/>
    <w:rsid w:val="00D72E05"/>
    <w:rsid w:val="00D81D15"/>
    <w:rsid w:val="00D83DA9"/>
    <w:rsid w:val="00D87748"/>
    <w:rsid w:val="00D920D3"/>
    <w:rsid w:val="00D95653"/>
    <w:rsid w:val="00DA1E3C"/>
    <w:rsid w:val="00DA6347"/>
    <w:rsid w:val="00DB0DBD"/>
    <w:rsid w:val="00DB64BE"/>
    <w:rsid w:val="00DD03A3"/>
    <w:rsid w:val="00DD46D8"/>
    <w:rsid w:val="00DD542C"/>
    <w:rsid w:val="00DD7668"/>
    <w:rsid w:val="00DF700E"/>
    <w:rsid w:val="00E01CD9"/>
    <w:rsid w:val="00E07948"/>
    <w:rsid w:val="00E1176D"/>
    <w:rsid w:val="00E141BC"/>
    <w:rsid w:val="00E1460B"/>
    <w:rsid w:val="00E151ED"/>
    <w:rsid w:val="00E2581D"/>
    <w:rsid w:val="00E3271E"/>
    <w:rsid w:val="00E354F8"/>
    <w:rsid w:val="00E35903"/>
    <w:rsid w:val="00E42CB5"/>
    <w:rsid w:val="00E4372D"/>
    <w:rsid w:val="00E45C0B"/>
    <w:rsid w:val="00E5190A"/>
    <w:rsid w:val="00E6273F"/>
    <w:rsid w:val="00E62E74"/>
    <w:rsid w:val="00E82755"/>
    <w:rsid w:val="00E95006"/>
    <w:rsid w:val="00E96607"/>
    <w:rsid w:val="00EA10A4"/>
    <w:rsid w:val="00EB05F3"/>
    <w:rsid w:val="00EB6B6A"/>
    <w:rsid w:val="00EB7688"/>
    <w:rsid w:val="00EC11EF"/>
    <w:rsid w:val="00EC14D4"/>
    <w:rsid w:val="00ED06E1"/>
    <w:rsid w:val="00ED48EF"/>
    <w:rsid w:val="00ED7721"/>
    <w:rsid w:val="00EE082B"/>
    <w:rsid w:val="00EE2D00"/>
    <w:rsid w:val="00EE2D03"/>
    <w:rsid w:val="00EE5B85"/>
    <w:rsid w:val="00EF380F"/>
    <w:rsid w:val="00EF5ECF"/>
    <w:rsid w:val="00F01139"/>
    <w:rsid w:val="00F05BD8"/>
    <w:rsid w:val="00F10AC7"/>
    <w:rsid w:val="00F114E3"/>
    <w:rsid w:val="00F15D95"/>
    <w:rsid w:val="00F23390"/>
    <w:rsid w:val="00F27CFF"/>
    <w:rsid w:val="00F42DE8"/>
    <w:rsid w:val="00F51F82"/>
    <w:rsid w:val="00F53448"/>
    <w:rsid w:val="00F55588"/>
    <w:rsid w:val="00F7351C"/>
    <w:rsid w:val="00F8082D"/>
    <w:rsid w:val="00F81193"/>
    <w:rsid w:val="00F837AE"/>
    <w:rsid w:val="00F93B51"/>
    <w:rsid w:val="00F96DD0"/>
    <w:rsid w:val="00F97243"/>
    <w:rsid w:val="00FA5C76"/>
    <w:rsid w:val="00FB290C"/>
    <w:rsid w:val="00FB2BC5"/>
    <w:rsid w:val="00FB5F1E"/>
    <w:rsid w:val="00FB7567"/>
    <w:rsid w:val="00FC0CB8"/>
    <w:rsid w:val="00FC3B55"/>
    <w:rsid w:val="00FD617C"/>
    <w:rsid w:val="00FE1859"/>
    <w:rsid w:val="00FE20BE"/>
    <w:rsid w:val="00FF04AB"/>
    <w:rsid w:val="00FF3399"/>
    <w:rsid w:val="00FF3707"/>
    <w:rsid w:val="00FF42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rsid w:val="007D53B6"/>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06227"/>
    <w:rPr>
      <w:b/>
      <w:bCs/>
      <w:sz w:val="20"/>
      <w:szCs w:val="20"/>
    </w:rPr>
  </w:style>
  <w:style w:type="paragraph" w:styleId="TableofFigures">
    <w:name w:val="table of figures"/>
    <w:basedOn w:val="Normal"/>
    <w:next w:val="Normal"/>
    <w:rsid w:val="00306227"/>
  </w:style>
  <w:style w:type="paragraph" w:styleId="ListBullet">
    <w:name w:val="List Bullet"/>
    <w:basedOn w:val="Normal"/>
    <w:rsid w:val="00306227"/>
    <w:pPr>
      <w:numPr>
        <w:numId w:val="1"/>
      </w:numPr>
      <w:contextualSpacing/>
    </w:pPr>
  </w:style>
  <w:style w:type="paragraph" w:styleId="ListBullet2">
    <w:name w:val="List Bullet 2"/>
    <w:basedOn w:val="Normal"/>
    <w:rsid w:val="00306227"/>
    <w:pPr>
      <w:numPr>
        <w:numId w:val="2"/>
      </w:numPr>
      <w:contextualSpacing/>
    </w:pPr>
  </w:style>
  <w:style w:type="paragraph" w:styleId="ListBullet3">
    <w:name w:val="List Bullet 3"/>
    <w:basedOn w:val="Normal"/>
    <w:rsid w:val="00306227"/>
    <w:pPr>
      <w:numPr>
        <w:numId w:val="3"/>
      </w:numPr>
      <w:contextualSpacing/>
    </w:pPr>
  </w:style>
  <w:style w:type="paragraph" w:styleId="ListBullet4">
    <w:name w:val="List Bullet 4"/>
    <w:basedOn w:val="Normal"/>
    <w:rsid w:val="00306227"/>
    <w:pPr>
      <w:numPr>
        <w:numId w:val="4"/>
      </w:numPr>
      <w:contextualSpacing/>
    </w:pPr>
  </w:style>
  <w:style w:type="paragraph" w:styleId="ListNumber">
    <w:name w:val="List Number"/>
    <w:basedOn w:val="Normal"/>
    <w:rsid w:val="00306227"/>
    <w:pPr>
      <w:numPr>
        <w:numId w:val="5"/>
      </w:numPr>
      <w:contextualSpacing/>
    </w:pPr>
  </w:style>
  <w:style w:type="paragraph" w:styleId="ListNumber2">
    <w:name w:val="List Number 2"/>
    <w:basedOn w:val="Normal"/>
    <w:rsid w:val="00306227"/>
    <w:pPr>
      <w:numPr>
        <w:numId w:val="6"/>
      </w:numPr>
      <w:contextualSpacing/>
    </w:pPr>
  </w:style>
  <w:style w:type="paragraph" w:styleId="ListNumber3">
    <w:name w:val="List Number 3"/>
    <w:basedOn w:val="Normal"/>
    <w:rsid w:val="00306227"/>
    <w:pPr>
      <w:numPr>
        <w:numId w:val="7"/>
      </w:numPr>
      <w:contextualSpacing/>
    </w:pPr>
  </w:style>
  <w:style w:type="paragraph" w:styleId="ListNumber4">
    <w:name w:val="List Number 4"/>
    <w:basedOn w:val="Normal"/>
    <w:rsid w:val="00306227"/>
    <w:pPr>
      <w:numPr>
        <w:numId w:val="8"/>
      </w:numPr>
      <w:contextualSpacing/>
    </w:pPr>
  </w:style>
  <w:style w:type="character" w:styleId="CommentReference">
    <w:name w:val="annotation reference"/>
    <w:rsid w:val="003F2B32"/>
    <w:rPr>
      <w:sz w:val="16"/>
      <w:szCs w:val="16"/>
    </w:rPr>
  </w:style>
  <w:style w:type="paragraph" w:styleId="CommentText">
    <w:name w:val="annotation text"/>
    <w:basedOn w:val="Normal"/>
    <w:link w:val="CommentTextChar"/>
    <w:rsid w:val="003F2B32"/>
    <w:rPr>
      <w:sz w:val="20"/>
      <w:szCs w:val="20"/>
    </w:rPr>
  </w:style>
  <w:style w:type="character" w:customStyle="1" w:styleId="CommentTextChar">
    <w:name w:val="Comment Text Char"/>
    <w:link w:val="CommentText"/>
    <w:rsid w:val="003F2B32"/>
    <w:rPr>
      <w:lang w:val="en-GB" w:eastAsia="en-US"/>
    </w:rPr>
  </w:style>
  <w:style w:type="paragraph" w:styleId="CommentSubject">
    <w:name w:val="annotation subject"/>
    <w:basedOn w:val="CommentText"/>
    <w:next w:val="CommentText"/>
    <w:link w:val="CommentSubjectChar"/>
    <w:rsid w:val="003F2B32"/>
    <w:rPr>
      <w:b/>
      <w:bCs/>
    </w:rPr>
  </w:style>
  <w:style w:type="character" w:customStyle="1" w:styleId="CommentSubjectChar">
    <w:name w:val="Comment Subject Char"/>
    <w:link w:val="CommentSubject"/>
    <w:rsid w:val="003F2B32"/>
    <w:rPr>
      <w:b/>
      <w:bCs/>
      <w:lang w:val="en-GB" w:eastAsia="en-US"/>
    </w:rPr>
  </w:style>
  <w:style w:type="character" w:styleId="Hyperlink">
    <w:name w:val="Hyperlink"/>
    <w:rsid w:val="003F2B32"/>
    <w:rPr>
      <w:color w:val="0000FF"/>
      <w:u w:val="single"/>
    </w:rPr>
  </w:style>
  <w:style w:type="paragraph" w:styleId="BalloonText">
    <w:name w:val="Balloon Text"/>
    <w:basedOn w:val="Normal"/>
    <w:link w:val="BalloonTextChar"/>
    <w:rsid w:val="003F2B32"/>
    <w:pPr>
      <w:spacing w:before="0" w:after="0"/>
    </w:pPr>
    <w:rPr>
      <w:rFonts w:ascii="Tahoma" w:hAnsi="Tahoma" w:cs="Tahoma"/>
      <w:sz w:val="16"/>
      <w:szCs w:val="16"/>
    </w:rPr>
  </w:style>
  <w:style w:type="character" w:customStyle="1" w:styleId="BalloonTextChar">
    <w:name w:val="Balloon Text Char"/>
    <w:link w:val="BalloonText"/>
    <w:rsid w:val="003F2B32"/>
    <w:rPr>
      <w:rFonts w:ascii="Tahoma" w:hAnsi="Tahoma" w:cs="Tahoma"/>
      <w:sz w:val="16"/>
      <w:szCs w:val="16"/>
      <w:lang w:val="en-GB" w:eastAsia="en-US"/>
    </w:rPr>
  </w:style>
  <w:style w:type="character" w:customStyle="1" w:styleId="Corpsdutexte">
    <w:name w:val="Corps du texte_"/>
    <w:link w:val="Corpsdutexte0"/>
    <w:rsid w:val="00276D04"/>
    <w:rPr>
      <w:shd w:val="clear" w:color="auto" w:fill="FFFFFF"/>
    </w:rPr>
  </w:style>
  <w:style w:type="paragraph" w:customStyle="1" w:styleId="Corpsdutexte0">
    <w:name w:val="Corps du texte"/>
    <w:basedOn w:val="Normal"/>
    <w:link w:val="Corpsdutexte"/>
    <w:rsid w:val="00276D04"/>
    <w:pPr>
      <w:widowControl w:val="0"/>
      <w:shd w:val="clear" w:color="auto" w:fill="FFFFFF"/>
      <w:spacing w:before="0" w:after="0" w:line="278" w:lineRule="exact"/>
      <w:ind w:hanging="840"/>
      <w:jc w:val="left"/>
    </w:pPr>
    <w:rPr>
      <w:sz w:val="22"/>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3"/>
      </w:numPr>
    </w:pPr>
  </w:style>
  <w:style w:type="paragraph" w:customStyle="1" w:styleId="Tiret1">
    <w:name w:val="Tiret 1"/>
    <w:basedOn w:val="Point1"/>
    <w:rsid w:val="007D53B6"/>
    <w:pPr>
      <w:numPr>
        <w:numId w:val="24"/>
      </w:numPr>
    </w:pPr>
  </w:style>
  <w:style w:type="paragraph" w:customStyle="1" w:styleId="Tiret2">
    <w:name w:val="Tiret 2"/>
    <w:basedOn w:val="Point2"/>
    <w:rsid w:val="007D53B6"/>
    <w:pPr>
      <w:numPr>
        <w:numId w:val="25"/>
      </w:numPr>
    </w:pPr>
  </w:style>
  <w:style w:type="paragraph" w:customStyle="1" w:styleId="Tiret3">
    <w:name w:val="Tiret 3"/>
    <w:basedOn w:val="Point3"/>
    <w:rsid w:val="007D53B6"/>
    <w:pPr>
      <w:numPr>
        <w:numId w:val="26"/>
      </w:numPr>
    </w:pPr>
  </w:style>
  <w:style w:type="paragraph" w:customStyle="1" w:styleId="Tiret4">
    <w:name w:val="Tiret 4"/>
    <w:basedOn w:val="Point4"/>
    <w:rsid w:val="007D53B6"/>
    <w:pPr>
      <w:numPr>
        <w:numId w:val="2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8"/>
      </w:numPr>
    </w:pPr>
  </w:style>
  <w:style w:type="paragraph" w:customStyle="1" w:styleId="NumPar2">
    <w:name w:val="NumPar 2"/>
    <w:basedOn w:val="Normal"/>
    <w:next w:val="Text1"/>
    <w:rsid w:val="007D53B6"/>
    <w:pPr>
      <w:numPr>
        <w:ilvl w:val="1"/>
        <w:numId w:val="28"/>
      </w:numPr>
    </w:pPr>
  </w:style>
  <w:style w:type="paragraph" w:customStyle="1" w:styleId="NumPar3">
    <w:name w:val="NumPar 3"/>
    <w:basedOn w:val="Normal"/>
    <w:next w:val="Text1"/>
    <w:rsid w:val="007D53B6"/>
    <w:pPr>
      <w:numPr>
        <w:ilvl w:val="2"/>
        <w:numId w:val="28"/>
      </w:numPr>
    </w:pPr>
  </w:style>
  <w:style w:type="paragraph" w:customStyle="1" w:styleId="NumPar4">
    <w:name w:val="NumPar 4"/>
    <w:basedOn w:val="Normal"/>
    <w:next w:val="Text1"/>
    <w:rsid w:val="007D53B6"/>
    <w:pPr>
      <w:numPr>
        <w:ilvl w:val="3"/>
        <w:numId w:val="2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0"/>
      </w:numPr>
    </w:pPr>
  </w:style>
  <w:style w:type="paragraph" w:customStyle="1" w:styleId="Point1number">
    <w:name w:val="Point 1 (number)"/>
    <w:basedOn w:val="Normal"/>
    <w:rsid w:val="007D53B6"/>
    <w:pPr>
      <w:numPr>
        <w:ilvl w:val="2"/>
        <w:numId w:val="30"/>
      </w:numPr>
    </w:pPr>
  </w:style>
  <w:style w:type="paragraph" w:customStyle="1" w:styleId="Point2number">
    <w:name w:val="Point 2 (number)"/>
    <w:basedOn w:val="Normal"/>
    <w:rsid w:val="007D53B6"/>
    <w:pPr>
      <w:numPr>
        <w:ilvl w:val="4"/>
        <w:numId w:val="30"/>
      </w:numPr>
    </w:pPr>
  </w:style>
  <w:style w:type="paragraph" w:customStyle="1" w:styleId="Point3number">
    <w:name w:val="Point 3 (number)"/>
    <w:basedOn w:val="Normal"/>
    <w:rsid w:val="007D53B6"/>
    <w:pPr>
      <w:numPr>
        <w:ilvl w:val="6"/>
        <w:numId w:val="30"/>
      </w:numPr>
    </w:pPr>
  </w:style>
  <w:style w:type="paragraph" w:customStyle="1" w:styleId="Point0letter">
    <w:name w:val="Point 0 (letter)"/>
    <w:basedOn w:val="Normal"/>
    <w:rsid w:val="007D53B6"/>
    <w:pPr>
      <w:numPr>
        <w:ilvl w:val="1"/>
        <w:numId w:val="30"/>
      </w:numPr>
    </w:pPr>
  </w:style>
  <w:style w:type="paragraph" w:customStyle="1" w:styleId="Point1letter">
    <w:name w:val="Point 1 (letter)"/>
    <w:basedOn w:val="Normal"/>
    <w:rsid w:val="007D53B6"/>
    <w:pPr>
      <w:numPr>
        <w:ilvl w:val="3"/>
        <w:numId w:val="30"/>
      </w:numPr>
    </w:pPr>
  </w:style>
  <w:style w:type="paragraph" w:customStyle="1" w:styleId="Point2letter">
    <w:name w:val="Point 2 (letter)"/>
    <w:basedOn w:val="Normal"/>
    <w:rsid w:val="007D53B6"/>
    <w:pPr>
      <w:numPr>
        <w:ilvl w:val="5"/>
        <w:numId w:val="30"/>
      </w:numPr>
    </w:pPr>
  </w:style>
  <w:style w:type="paragraph" w:customStyle="1" w:styleId="Point3letter">
    <w:name w:val="Point 3 (letter)"/>
    <w:basedOn w:val="Normal"/>
    <w:rsid w:val="007D53B6"/>
    <w:pPr>
      <w:numPr>
        <w:ilvl w:val="7"/>
        <w:numId w:val="30"/>
      </w:numPr>
    </w:pPr>
  </w:style>
  <w:style w:type="paragraph" w:customStyle="1" w:styleId="Point4letter">
    <w:name w:val="Point 4 (letter)"/>
    <w:basedOn w:val="Normal"/>
    <w:rsid w:val="007D53B6"/>
    <w:pPr>
      <w:numPr>
        <w:ilvl w:val="8"/>
        <w:numId w:val="30"/>
      </w:numPr>
    </w:pPr>
  </w:style>
  <w:style w:type="paragraph" w:customStyle="1" w:styleId="Bullet0">
    <w:name w:val="Bullet 0"/>
    <w:basedOn w:val="Normal"/>
    <w:rsid w:val="007D53B6"/>
    <w:pPr>
      <w:numPr>
        <w:numId w:val="31"/>
      </w:numPr>
    </w:pPr>
  </w:style>
  <w:style w:type="paragraph" w:customStyle="1" w:styleId="Bullet1">
    <w:name w:val="Bullet 1"/>
    <w:basedOn w:val="Normal"/>
    <w:rsid w:val="007D53B6"/>
    <w:pPr>
      <w:numPr>
        <w:numId w:val="32"/>
      </w:numPr>
    </w:pPr>
  </w:style>
  <w:style w:type="paragraph" w:customStyle="1" w:styleId="Bullet2">
    <w:name w:val="Bullet 2"/>
    <w:basedOn w:val="Normal"/>
    <w:rsid w:val="007D53B6"/>
    <w:pPr>
      <w:numPr>
        <w:numId w:val="33"/>
      </w:numPr>
    </w:pPr>
  </w:style>
  <w:style w:type="paragraph" w:customStyle="1" w:styleId="Bullet3">
    <w:name w:val="Bullet 3"/>
    <w:basedOn w:val="Normal"/>
    <w:rsid w:val="007D53B6"/>
    <w:pPr>
      <w:numPr>
        <w:numId w:val="34"/>
      </w:numPr>
    </w:pPr>
  </w:style>
  <w:style w:type="paragraph" w:customStyle="1" w:styleId="Bullet4">
    <w:name w:val="Bullet 4"/>
    <w:basedOn w:val="Normal"/>
    <w:rsid w:val="007D53B6"/>
    <w:pPr>
      <w:numPr>
        <w:numId w:val="3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rsid w:val="007D53B6"/>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06227"/>
    <w:rPr>
      <w:b/>
      <w:bCs/>
      <w:sz w:val="20"/>
      <w:szCs w:val="20"/>
    </w:rPr>
  </w:style>
  <w:style w:type="paragraph" w:styleId="TableofFigures">
    <w:name w:val="table of figures"/>
    <w:basedOn w:val="Normal"/>
    <w:next w:val="Normal"/>
    <w:rsid w:val="00306227"/>
  </w:style>
  <w:style w:type="paragraph" w:styleId="ListBullet">
    <w:name w:val="List Bullet"/>
    <w:basedOn w:val="Normal"/>
    <w:rsid w:val="00306227"/>
    <w:pPr>
      <w:numPr>
        <w:numId w:val="1"/>
      </w:numPr>
      <w:contextualSpacing/>
    </w:pPr>
  </w:style>
  <w:style w:type="paragraph" w:styleId="ListBullet2">
    <w:name w:val="List Bullet 2"/>
    <w:basedOn w:val="Normal"/>
    <w:rsid w:val="00306227"/>
    <w:pPr>
      <w:numPr>
        <w:numId w:val="2"/>
      </w:numPr>
      <w:contextualSpacing/>
    </w:pPr>
  </w:style>
  <w:style w:type="paragraph" w:styleId="ListBullet3">
    <w:name w:val="List Bullet 3"/>
    <w:basedOn w:val="Normal"/>
    <w:rsid w:val="00306227"/>
    <w:pPr>
      <w:numPr>
        <w:numId w:val="3"/>
      </w:numPr>
      <w:contextualSpacing/>
    </w:pPr>
  </w:style>
  <w:style w:type="paragraph" w:styleId="ListBullet4">
    <w:name w:val="List Bullet 4"/>
    <w:basedOn w:val="Normal"/>
    <w:rsid w:val="00306227"/>
    <w:pPr>
      <w:numPr>
        <w:numId w:val="4"/>
      </w:numPr>
      <w:contextualSpacing/>
    </w:pPr>
  </w:style>
  <w:style w:type="paragraph" w:styleId="ListNumber">
    <w:name w:val="List Number"/>
    <w:basedOn w:val="Normal"/>
    <w:rsid w:val="00306227"/>
    <w:pPr>
      <w:numPr>
        <w:numId w:val="5"/>
      </w:numPr>
      <w:contextualSpacing/>
    </w:pPr>
  </w:style>
  <w:style w:type="paragraph" w:styleId="ListNumber2">
    <w:name w:val="List Number 2"/>
    <w:basedOn w:val="Normal"/>
    <w:rsid w:val="00306227"/>
    <w:pPr>
      <w:numPr>
        <w:numId w:val="6"/>
      </w:numPr>
      <w:contextualSpacing/>
    </w:pPr>
  </w:style>
  <w:style w:type="paragraph" w:styleId="ListNumber3">
    <w:name w:val="List Number 3"/>
    <w:basedOn w:val="Normal"/>
    <w:rsid w:val="00306227"/>
    <w:pPr>
      <w:numPr>
        <w:numId w:val="7"/>
      </w:numPr>
      <w:contextualSpacing/>
    </w:pPr>
  </w:style>
  <w:style w:type="paragraph" w:styleId="ListNumber4">
    <w:name w:val="List Number 4"/>
    <w:basedOn w:val="Normal"/>
    <w:rsid w:val="00306227"/>
    <w:pPr>
      <w:numPr>
        <w:numId w:val="8"/>
      </w:numPr>
      <w:contextualSpacing/>
    </w:pPr>
  </w:style>
  <w:style w:type="character" w:styleId="CommentReference">
    <w:name w:val="annotation reference"/>
    <w:rsid w:val="003F2B32"/>
    <w:rPr>
      <w:sz w:val="16"/>
      <w:szCs w:val="16"/>
    </w:rPr>
  </w:style>
  <w:style w:type="paragraph" w:styleId="CommentText">
    <w:name w:val="annotation text"/>
    <w:basedOn w:val="Normal"/>
    <w:link w:val="CommentTextChar"/>
    <w:rsid w:val="003F2B32"/>
    <w:rPr>
      <w:sz w:val="20"/>
      <w:szCs w:val="20"/>
    </w:rPr>
  </w:style>
  <w:style w:type="character" w:customStyle="1" w:styleId="CommentTextChar">
    <w:name w:val="Comment Text Char"/>
    <w:link w:val="CommentText"/>
    <w:rsid w:val="003F2B32"/>
    <w:rPr>
      <w:lang w:val="en-GB" w:eastAsia="en-US"/>
    </w:rPr>
  </w:style>
  <w:style w:type="paragraph" w:styleId="CommentSubject">
    <w:name w:val="annotation subject"/>
    <w:basedOn w:val="CommentText"/>
    <w:next w:val="CommentText"/>
    <w:link w:val="CommentSubjectChar"/>
    <w:rsid w:val="003F2B32"/>
    <w:rPr>
      <w:b/>
      <w:bCs/>
    </w:rPr>
  </w:style>
  <w:style w:type="character" w:customStyle="1" w:styleId="CommentSubjectChar">
    <w:name w:val="Comment Subject Char"/>
    <w:link w:val="CommentSubject"/>
    <w:rsid w:val="003F2B32"/>
    <w:rPr>
      <w:b/>
      <w:bCs/>
      <w:lang w:val="en-GB" w:eastAsia="en-US"/>
    </w:rPr>
  </w:style>
  <w:style w:type="character" w:styleId="Hyperlink">
    <w:name w:val="Hyperlink"/>
    <w:rsid w:val="003F2B32"/>
    <w:rPr>
      <w:color w:val="0000FF"/>
      <w:u w:val="single"/>
    </w:rPr>
  </w:style>
  <w:style w:type="paragraph" w:styleId="BalloonText">
    <w:name w:val="Balloon Text"/>
    <w:basedOn w:val="Normal"/>
    <w:link w:val="BalloonTextChar"/>
    <w:rsid w:val="003F2B32"/>
    <w:pPr>
      <w:spacing w:before="0" w:after="0"/>
    </w:pPr>
    <w:rPr>
      <w:rFonts w:ascii="Tahoma" w:hAnsi="Tahoma" w:cs="Tahoma"/>
      <w:sz w:val="16"/>
      <w:szCs w:val="16"/>
    </w:rPr>
  </w:style>
  <w:style w:type="character" w:customStyle="1" w:styleId="BalloonTextChar">
    <w:name w:val="Balloon Text Char"/>
    <w:link w:val="BalloonText"/>
    <w:rsid w:val="003F2B32"/>
    <w:rPr>
      <w:rFonts w:ascii="Tahoma" w:hAnsi="Tahoma" w:cs="Tahoma"/>
      <w:sz w:val="16"/>
      <w:szCs w:val="16"/>
      <w:lang w:val="en-GB" w:eastAsia="en-US"/>
    </w:rPr>
  </w:style>
  <w:style w:type="character" w:customStyle="1" w:styleId="Corpsdutexte">
    <w:name w:val="Corps du texte_"/>
    <w:link w:val="Corpsdutexte0"/>
    <w:rsid w:val="00276D04"/>
    <w:rPr>
      <w:shd w:val="clear" w:color="auto" w:fill="FFFFFF"/>
    </w:rPr>
  </w:style>
  <w:style w:type="paragraph" w:customStyle="1" w:styleId="Corpsdutexte0">
    <w:name w:val="Corps du texte"/>
    <w:basedOn w:val="Normal"/>
    <w:link w:val="Corpsdutexte"/>
    <w:rsid w:val="00276D04"/>
    <w:pPr>
      <w:widowControl w:val="0"/>
      <w:shd w:val="clear" w:color="auto" w:fill="FFFFFF"/>
      <w:spacing w:before="0" w:after="0" w:line="278" w:lineRule="exact"/>
      <w:ind w:hanging="840"/>
      <w:jc w:val="left"/>
    </w:pPr>
    <w:rPr>
      <w:sz w:val="22"/>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3"/>
      </w:numPr>
    </w:pPr>
  </w:style>
  <w:style w:type="paragraph" w:customStyle="1" w:styleId="Tiret1">
    <w:name w:val="Tiret 1"/>
    <w:basedOn w:val="Point1"/>
    <w:rsid w:val="007D53B6"/>
    <w:pPr>
      <w:numPr>
        <w:numId w:val="24"/>
      </w:numPr>
    </w:pPr>
  </w:style>
  <w:style w:type="paragraph" w:customStyle="1" w:styleId="Tiret2">
    <w:name w:val="Tiret 2"/>
    <w:basedOn w:val="Point2"/>
    <w:rsid w:val="007D53B6"/>
    <w:pPr>
      <w:numPr>
        <w:numId w:val="25"/>
      </w:numPr>
    </w:pPr>
  </w:style>
  <w:style w:type="paragraph" w:customStyle="1" w:styleId="Tiret3">
    <w:name w:val="Tiret 3"/>
    <w:basedOn w:val="Point3"/>
    <w:rsid w:val="007D53B6"/>
    <w:pPr>
      <w:numPr>
        <w:numId w:val="26"/>
      </w:numPr>
    </w:pPr>
  </w:style>
  <w:style w:type="paragraph" w:customStyle="1" w:styleId="Tiret4">
    <w:name w:val="Tiret 4"/>
    <w:basedOn w:val="Point4"/>
    <w:rsid w:val="007D53B6"/>
    <w:pPr>
      <w:numPr>
        <w:numId w:val="2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8"/>
      </w:numPr>
    </w:pPr>
  </w:style>
  <w:style w:type="paragraph" w:customStyle="1" w:styleId="NumPar2">
    <w:name w:val="NumPar 2"/>
    <w:basedOn w:val="Normal"/>
    <w:next w:val="Text1"/>
    <w:rsid w:val="007D53B6"/>
    <w:pPr>
      <w:numPr>
        <w:ilvl w:val="1"/>
        <w:numId w:val="28"/>
      </w:numPr>
    </w:pPr>
  </w:style>
  <w:style w:type="paragraph" w:customStyle="1" w:styleId="NumPar3">
    <w:name w:val="NumPar 3"/>
    <w:basedOn w:val="Normal"/>
    <w:next w:val="Text1"/>
    <w:rsid w:val="007D53B6"/>
    <w:pPr>
      <w:numPr>
        <w:ilvl w:val="2"/>
        <w:numId w:val="28"/>
      </w:numPr>
    </w:pPr>
  </w:style>
  <w:style w:type="paragraph" w:customStyle="1" w:styleId="NumPar4">
    <w:name w:val="NumPar 4"/>
    <w:basedOn w:val="Normal"/>
    <w:next w:val="Text1"/>
    <w:rsid w:val="007D53B6"/>
    <w:pPr>
      <w:numPr>
        <w:ilvl w:val="3"/>
        <w:numId w:val="2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0"/>
      </w:numPr>
    </w:pPr>
  </w:style>
  <w:style w:type="paragraph" w:customStyle="1" w:styleId="Point1number">
    <w:name w:val="Point 1 (number)"/>
    <w:basedOn w:val="Normal"/>
    <w:rsid w:val="007D53B6"/>
    <w:pPr>
      <w:numPr>
        <w:ilvl w:val="2"/>
        <w:numId w:val="30"/>
      </w:numPr>
    </w:pPr>
  </w:style>
  <w:style w:type="paragraph" w:customStyle="1" w:styleId="Point2number">
    <w:name w:val="Point 2 (number)"/>
    <w:basedOn w:val="Normal"/>
    <w:rsid w:val="007D53B6"/>
    <w:pPr>
      <w:numPr>
        <w:ilvl w:val="4"/>
        <w:numId w:val="30"/>
      </w:numPr>
    </w:pPr>
  </w:style>
  <w:style w:type="paragraph" w:customStyle="1" w:styleId="Point3number">
    <w:name w:val="Point 3 (number)"/>
    <w:basedOn w:val="Normal"/>
    <w:rsid w:val="007D53B6"/>
    <w:pPr>
      <w:numPr>
        <w:ilvl w:val="6"/>
        <w:numId w:val="30"/>
      </w:numPr>
    </w:pPr>
  </w:style>
  <w:style w:type="paragraph" w:customStyle="1" w:styleId="Point0letter">
    <w:name w:val="Point 0 (letter)"/>
    <w:basedOn w:val="Normal"/>
    <w:rsid w:val="007D53B6"/>
    <w:pPr>
      <w:numPr>
        <w:ilvl w:val="1"/>
        <w:numId w:val="30"/>
      </w:numPr>
    </w:pPr>
  </w:style>
  <w:style w:type="paragraph" w:customStyle="1" w:styleId="Point1letter">
    <w:name w:val="Point 1 (letter)"/>
    <w:basedOn w:val="Normal"/>
    <w:rsid w:val="007D53B6"/>
    <w:pPr>
      <w:numPr>
        <w:ilvl w:val="3"/>
        <w:numId w:val="30"/>
      </w:numPr>
    </w:pPr>
  </w:style>
  <w:style w:type="paragraph" w:customStyle="1" w:styleId="Point2letter">
    <w:name w:val="Point 2 (letter)"/>
    <w:basedOn w:val="Normal"/>
    <w:rsid w:val="007D53B6"/>
    <w:pPr>
      <w:numPr>
        <w:ilvl w:val="5"/>
        <w:numId w:val="30"/>
      </w:numPr>
    </w:pPr>
  </w:style>
  <w:style w:type="paragraph" w:customStyle="1" w:styleId="Point3letter">
    <w:name w:val="Point 3 (letter)"/>
    <w:basedOn w:val="Normal"/>
    <w:rsid w:val="007D53B6"/>
    <w:pPr>
      <w:numPr>
        <w:ilvl w:val="7"/>
        <w:numId w:val="30"/>
      </w:numPr>
    </w:pPr>
  </w:style>
  <w:style w:type="paragraph" w:customStyle="1" w:styleId="Point4letter">
    <w:name w:val="Point 4 (letter)"/>
    <w:basedOn w:val="Normal"/>
    <w:rsid w:val="007D53B6"/>
    <w:pPr>
      <w:numPr>
        <w:ilvl w:val="8"/>
        <w:numId w:val="30"/>
      </w:numPr>
    </w:pPr>
  </w:style>
  <w:style w:type="paragraph" w:customStyle="1" w:styleId="Bullet0">
    <w:name w:val="Bullet 0"/>
    <w:basedOn w:val="Normal"/>
    <w:rsid w:val="007D53B6"/>
    <w:pPr>
      <w:numPr>
        <w:numId w:val="31"/>
      </w:numPr>
    </w:pPr>
  </w:style>
  <w:style w:type="paragraph" w:customStyle="1" w:styleId="Bullet1">
    <w:name w:val="Bullet 1"/>
    <w:basedOn w:val="Normal"/>
    <w:rsid w:val="007D53B6"/>
    <w:pPr>
      <w:numPr>
        <w:numId w:val="32"/>
      </w:numPr>
    </w:pPr>
  </w:style>
  <w:style w:type="paragraph" w:customStyle="1" w:styleId="Bullet2">
    <w:name w:val="Bullet 2"/>
    <w:basedOn w:val="Normal"/>
    <w:rsid w:val="007D53B6"/>
    <w:pPr>
      <w:numPr>
        <w:numId w:val="33"/>
      </w:numPr>
    </w:pPr>
  </w:style>
  <w:style w:type="paragraph" w:customStyle="1" w:styleId="Bullet3">
    <w:name w:val="Bullet 3"/>
    <w:basedOn w:val="Normal"/>
    <w:rsid w:val="007D53B6"/>
    <w:pPr>
      <w:numPr>
        <w:numId w:val="34"/>
      </w:numPr>
    </w:pPr>
  </w:style>
  <w:style w:type="paragraph" w:customStyle="1" w:styleId="Bullet4">
    <w:name w:val="Bullet 4"/>
    <w:basedOn w:val="Normal"/>
    <w:rsid w:val="007D53B6"/>
    <w:pPr>
      <w:numPr>
        <w:numId w:val="3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24527">
      <w:bodyDiv w:val="1"/>
      <w:marLeft w:val="0"/>
      <w:marRight w:val="0"/>
      <w:marTop w:val="0"/>
      <w:marBottom w:val="0"/>
      <w:divBdr>
        <w:top w:val="none" w:sz="0" w:space="0" w:color="auto"/>
        <w:left w:val="none" w:sz="0" w:space="0" w:color="auto"/>
        <w:bottom w:val="none" w:sz="0" w:space="0" w:color="auto"/>
        <w:right w:val="none" w:sz="0" w:space="0" w:color="auto"/>
      </w:divBdr>
    </w:div>
    <w:div w:id="196307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spain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5176-D698-4DA6-8426-58466C9D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2468</Words>
  <Characters>12992</Characters>
  <Application>Microsoft Office Word</Application>
  <DocSecurity>0</DocSecurity>
  <Lines>210</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15433</CharactersWithSpaces>
  <SharedDoc>false</SharedDoc>
  <HLinks>
    <vt:vector size="6" baseType="variant">
      <vt:variant>
        <vt:i4>7405656</vt:i4>
      </vt:variant>
      <vt:variant>
        <vt:i4>0</vt:i4>
      </vt:variant>
      <vt:variant>
        <vt:i4>0</vt:i4>
      </vt:variant>
      <vt:variant>
        <vt:i4>5</vt:i4>
      </vt:variant>
      <vt:variant>
        <vt:lpwstr>http://ec.europa.eu/economy_finance/economic_governance/sgp/deficit/countries/spain_en.htm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GREVESMUHL Oskar (ECFIN)</dc:creator>
  <cp:lastModifiedBy>Stefanie Heilemann</cp:lastModifiedBy>
  <cp:revision>3</cp:revision>
  <cp:lastPrinted>2016-07-20T13:17:00Z</cp:lastPrinted>
  <dcterms:created xsi:type="dcterms:W3CDTF">2016-07-27T11:17:00Z</dcterms:created>
  <dcterms:modified xsi:type="dcterms:W3CDTF">2016-07-27T11:17:00Z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SG-001</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