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B896DCF7AB4471898A0B2AF6EE96122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Между 24 септември и 5 октомври 2016 г. в южноафриканската столица Йоханесбург ще се проведе 17-ата Конференция на страните (CоP17) по Конвенцията по международната търговия със застрашени видове от дивата фауна и флора (CITES). Целта на CITES е да гарантира, че международната търговия с диви животни и растения не представлява заплаха за оцеляването на дивите видове. CITES регулира международната търговия с над 35 000 растителни и животински вида, които са или могат да бъдат застрашени от такава търговия. Конференцията на страните по CITES е управляващият орган на конвенцията, който обикновено заседава на всеки три години.</w:t>
      </w:r>
    </w:p>
    <w:p>
      <w:pPr>
        <w:rPr>
          <w:noProof/>
        </w:rPr>
      </w:pPr>
      <w:r>
        <w:rPr>
          <w:noProof/>
        </w:rPr>
        <w:t>В рамките на CoP17 страните по CITES ще проведат дискусии и ще вземат решения относно предложения за</w:t>
      </w:r>
      <w:r>
        <w:rPr>
          <w:noProof/>
          <w:lang w:val="ru-RU"/>
        </w:rPr>
        <w:t>:</w:t>
      </w:r>
      <w:r>
        <w:rPr>
          <w:noProof/>
        </w:rPr>
        <w:t xml:space="preserve"> i) изменения на приложения I и II към конвенцията</w:t>
      </w:r>
      <w:r>
        <w:rPr>
          <w:noProof/>
          <w:lang w:val="ru-RU"/>
        </w:rPr>
        <w:t>,</w:t>
      </w:r>
      <w:r>
        <w:rPr>
          <w:noProof/>
        </w:rPr>
        <w:t xml:space="preserve"> и ii) нейното тълкуване и прилагане. Много от точките от дневния ред на CoP17 са резултат от междусесийната работа, извършена от комитетите по животните и растенията и Постоянния комитет към CITES по време на предходни конференции. Други точки от дневния ред са включени от страните по CITES. Редица предложения, свързани с резолюции и решения на CITES, както и предложения за изменение на приложенията към нея, бяха представени от ЕС и неговите държави членки на Секретариата на CITES на 26 април 2016 г. за включване в дневния ред на CоP17. Дневният ред на CоP17 по CITES включва общо 180 точки. </w:t>
      </w:r>
    </w:p>
    <w:p>
      <w:pPr>
        <w:rPr>
          <w:noProof/>
        </w:rPr>
      </w:pPr>
      <w:r>
        <w:rPr>
          <w:noProof/>
        </w:rPr>
        <w:t>През юли 2015 г. Съюзът стана договаряща страна по CITES. Конвенцията се прилага в Европейския съюз чрез Регламент (ЕО) № 338/97 на Съвета относно защитата на видовете от дивата флора и фауна чрез регулиране на търговията с тях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свързани регламенти на Комисията. Предвид компетентността на Съюза по въпросите относно търговията и околната среда и с оглед на въздействието на решенията, взети от Конференцията на страните относно прилагането на Регламент (ЕО) № 338/97 на Съвета, е необходимо да се приеме позиция на Съюза по предложенията, представени на конференцията.</w:t>
      </w:r>
    </w:p>
    <w:p>
      <w:pPr>
        <w:rPr>
          <w:noProof/>
        </w:rPr>
      </w:pPr>
      <w:r>
        <w:rPr>
          <w:noProof/>
        </w:rPr>
        <w:t xml:space="preserve">В настоящия документ се излага предложението на Комисията за позицията на ЕС по точки от дневния ред на Конференцията на страните. То е съобразено с амбициозната политика на ЕС за опазване на биологичното разнообразие, за насърчаване на устойчивата търговия и борбата с трафика на екземпляри от дивата флора и фауна, която по-конкретно е отразена в стратегията на ЕС за биологичното разнообразие, стратегията на ЕС „Търговията — за всички“, общата политика на ЕС в областта на рибарството, плановете за действие на ЕС срещу трафика на екземпляри от дивата флора и фауна и за опазване и управление на популациите от акули, и отчита финансираното от ЕС изследване „По-голям от слоновете. Принос към стратегически подход на ЕС за опазване на дивата природа в Африка“.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</w:rPr>
        <w:t xml:space="preserve">Процедурното правно основание за предложеното решение на Съвета е член 218, параграф 9 от ДФЕС, който представлява подходящо основание за акт, определящ позицията на ЕС в рамките на орган, създаден с международно споразумение (като </w:t>
      </w:r>
      <w:r>
        <w:rPr>
          <w:noProof/>
        </w:rPr>
        <w:lastRenderedPageBreak/>
        <w:t xml:space="preserve">например Конференцията на страните по CITES), когато този орган има за задача да приема актове с правно действие. </w:t>
      </w:r>
    </w:p>
    <w:p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</w:rPr>
        <w:t xml:space="preserve">Материалноправните основания са член 207 и член 192, параграф 1 от ДФЕС с оглед на това, че макар приетите мерки съгласно CITES да преследват цел в областта на околната среда, тяхното естество е свързано до голяма степен с търговията.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КОНСУЛТАЦИИТЕ СЪС ЗАИНТЕРЕСОВАНИТЕ СТРАНИ И ОЦЕНКИ НА ВЪЗДЕЙСТВИЕТО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Комисията поддържа редовен контакт със заинтересованите страни, чиито интереси са свързани с въпроси, попадащи в обхвата на CITES, като например природозащитни неправителствени организации, стопански сектори, занимаващи се с търговия с продукти на дивата природа, и ловни организации. На 23 май 2016 г. службите на Комисията проведоха специална консултативна среща със заинтересованите страни, за да се запознаят с мненията им по въпросите, които ще се обсъждат на CoP17 по CITES. На 24 май 2016 г. службите на Комисията проведоха неофициална среща с експерти от държавите членки, за да обсъдят въпросите, предвидени за обсъждане на Конференцията на страните. Становищата на заинтересованите страни и експертите от държавите членки бяха надлежно взети под внимание от Комисията при изготвянето на предложеното решение на Съвета. 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Мненията на други експерти, като например извършеният от Секретариата на CITES, от Международния съюз за опазване на природата и природните ресурси (IUCN) и от програмата Traffic анализ на всички предложения, представени на CoP17 по CITES, както и становището на експертната група на Организацията по прехраната и земеделието (ФАО) за оценка на предложенията за изменение на списъците с видове по CITES, не бяха взети предвид, тъй като не бяха предоставени навреме за предложението на Комисията, но следва изцяло да бъдат взети под внимание при обсъждането с държавите членки в Съвета. 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Промените в приложенията към CITES трябва да бъдат отразени в достиженията на правото на ЕС чрез съответните промени в Регламент (ЕО) № 338/97 на Съвета. Това ще доведе до установяването или премахването на ограничения върху търговията от, със и в рамките на ЕС за видовете, засегнати от тези промени. Обемът и стойността на свързаната с ЕС търговия, която може да бъде засегната от направените по време на CoP17 предложения за изменение на приложенията към CITES, са ограничени с цел социално-икономическите и административните разходи за тяхното прилагане да бъдат умерени.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Като страна ЕС трябва да предостави годишна вноска в доверителния фонд на CITES. Тази вноска ще се променя в зависимост от заключенията на обсъжданията на CoP17 по CITES относно бюджета за периода 2017—2019 г. Годишната вноска на ЕС за 2016 г. възлиза на 140 000 EUR, които бяха покрити в рамките на съществуващите пакети.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rPr>
          <w:noProof/>
        </w:rPr>
      </w:pPr>
      <w:r>
        <w:rPr>
          <w:noProof/>
        </w:rPr>
        <w:t>Голям брой документи за CoP17 по CITES не бяха на разположение достатъчно рано, за да може Комисията да предложи позиция на Съюза към настоящия момент (по-</w:t>
      </w:r>
      <w:r>
        <w:rPr>
          <w:noProof/>
        </w:rPr>
        <w:lastRenderedPageBreak/>
        <w:t>специално работните документи — вж. раздел 1 от приложение II към настоящия документ). Поради това Комисията предлага позицията по тези въпроси да бъде установена по време на обсъжданията в работната група на Съвета въз основа на оценката на Комисията или по време на CоP17 в съответствие с член 2 от проекторешението на Съвета за документи, които са на разположение само по време на заседанието на Конференцията на страните.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2016/0200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установяване на позиция, която да бъде приета от името на Европейския съюз по отношение на някои предложения, представени в рамките на 17-ата Конференция на страните (CоP17) по Конвенцията по международната търговия със застрашени видове от дивата фауна и флора (CITES), Йоханесбург, Южна Африка, 24 септември—5 октомври 2016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207 и член 192, параграф 1, във връзка с член 218, параграф 9,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Съюзът е страна по CITES и разпоредбите на CITES се прилагат в Съюза чрез Регламент (ЕО) № 338/97 на Съвета от 9 декември 1996 г.</w:t>
      </w:r>
      <w:r>
        <w:rPr>
          <w:rStyle w:val="FootnoteReference"/>
          <w:noProof/>
        </w:rPr>
        <w:footnoteReference w:id="2"/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На CoP17 ще бъдат взети решения по редица точки от дневния ред, много от които ще засегнат съответното законодателство на Съюза, като в някои случаи ще наложат изменения в него,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Позицията на Съвета е в съответствие с приложенията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Когато има вероятност позицията, посочена в член 1, да бъде повлияна от нова научна или техническа информация, представена след приемането на настоящото решение и преди или по време на CоP17, или когато на това заседание са направени нови предложения, по които Съюзът все още не е установил позиция, позицията на Съюза се установява чрез съгласуване на място, преди предложенията да се подложат на гласуване от Конференцията на страните. В такива случаи позицията на Съюза трябва да е съобразена с принципите, изложени в приложение 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 3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неговото приемане.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61, 3.3.1997 г., стр. 1.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61, 3.3.1997 г., стр. 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68B8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B848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B823E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3404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78A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6E079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99CCC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B581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docVars>
    <w:docVar w:name="COVERPAGE_EXISTS" w:val="True"/>
    <w:docVar w:name="DQCDateTime" w:val="2016-07-25 10:45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7B896DCF7AB4471898A0B2AF6EE96122"/>
    <w:docVar w:name="LW_CROSSREFERENCE" w:val="&lt;UNUSED&gt;"/>
    <w:docVar w:name="LW_DocType" w:val="COM"/>
    <w:docVar w:name="LW_EMISSION" w:val="1.7.2016"/>
    <w:docVar w:name="LW_EMISSION_ISODATE" w:val="2016-07-0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00"/>
    <w:docVar w:name="LW_REF.II.NEW.CP_YEAR" w:val="2016"/>
    <w:docVar w:name="LW_REF.INST.NEW" w:val="COM"/>
    <w:docVar w:name="LW_REF.INST.NEW_ADOPTED" w:val="final"/>
    <w:docVar w:name="LW_REF.INST.NEW_TEXT" w:val="(2016) 43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91?\u1089?\u1090?\u1072?\u1085?\u1086?\u1074?\u1103?\u1074?\u1072?\u1085?\u1077? \u1085?\u1072? \u1087?\u1086?\u1079?\u1080?\u1094?\u1080?\u1103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87?\u1086? \u1086?\u1090?\u1085?\u1086?\u1096?\u1077?\u1085?\u1080?\u1077? \u1085?\u1072? \u1085?\u1103?\u1082?\u1086?\u1080? \u1087?\u1088?\u1077?\u1076?\u1083?\u1086?\u1078?\u1077?\u1085?\u1080?\u1103?, \u1087?\u1088?\u1077?\u1076?\u1089?\u1090?\u1072?\u1074?\u1077?\u1085?\u1080? \u1074? \u1088?\u1072?\u1084?\u1082?\u1080?\u1090?\u1077? \u1085?\u1072? 17-\u1072?\u1090?\u1072? \u1050?\u1086?\u1085?\u1092?\u1077?\u1088?\u1077?\u1085?\u1094?\u1080?\u1103? \u1085?\u1072? \u1089?\u1090?\u1088?\u1072?\u1085?\u1080?\u1090?\u1077? (C\u1086?P17) \u1087?\u1086? \u1050?\u1086?\u1085?\u1074?\u1077?\u1085?\u1094?\u1080?\u1103?\u1090?\u1072? \u1087?\u1086? \u1084?\u1077?\u1078?\u1076?\u1091?\u1085?\u1072?\u1088?\u1086?\u1076?\u1085?\u1072?\u1090?\u1072? \u1090?\u1098?\u1088?\u1075?\u1086?\u1074?\u1080?\u1103? \u1089?\u1098?\u1089? \u1079?\u1072?\u1089?\u1090?\u1088?\u1072?\u1096?\u1077?\u1085?\u1080? \u1074?\u1080?\u1076?\u1086?\u1074?\u1077? \u1086?\u1090? \u1076?\u1080?\u1074?\u1072?\u1090?\u1072? \u1092?\u1072?\u1091?\u1085?\u1072? \u1080? \u1092?\u1083?\u1086?\u1088?\u1072? (CITES), \u1049?\u1086?\u1093?\u1072?\u1085?\u1077?\u1089?\u1073?\u1091?\u1088?\u1075?, \u1070?\u1078?\u1085?\u1072? \u1040?\u1092?\u1088?\u1080?\u1082?\u1072?, 24 \u1089?\u1077?\u1087?\u1090?\u1077?\u1084?\u1074?\u1088?\u1080?\u8212?5 \u1086?\u1082?\u1090?\u1086?\u1084?\u1074?\u1088?\u1080? 2016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D53B6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D53B6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D53B6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rsid w:val="00CC5C90"/>
    <w:pPr>
      <w:jc w:val="center"/>
    </w:pPr>
    <w:rPr>
      <w:rFonts w:eastAsia="Times New Roman"/>
      <w:b/>
      <w:szCs w:val="24"/>
      <w:u w:val="single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8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D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23F1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22715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715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715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7150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7F9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7F9F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847F9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F9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F9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F9F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87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7C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E78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9552E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53B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D53B6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B6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B6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B6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D53B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0"/>
      </w:numPr>
    </w:pPr>
  </w:style>
  <w:style w:type="paragraph" w:customStyle="1" w:styleId="Tiret1">
    <w:name w:val="Tiret 1"/>
    <w:basedOn w:val="Point1"/>
    <w:rsid w:val="007D53B6"/>
    <w:pPr>
      <w:numPr>
        <w:numId w:val="11"/>
      </w:numPr>
    </w:pPr>
  </w:style>
  <w:style w:type="paragraph" w:customStyle="1" w:styleId="Tiret2">
    <w:name w:val="Tiret 2"/>
    <w:basedOn w:val="Point2"/>
    <w:rsid w:val="007D53B6"/>
    <w:pPr>
      <w:numPr>
        <w:numId w:val="12"/>
      </w:numPr>
    </w:pPr>
  </w:style>
  <w:style w:type="paragraph" w:customStyle="1" w:styleId="Tiret3">
    <w:name w:val="Tiret 3"/>
    <w:basedOn w:val="Point3"/>
    <w:rsid w:val="007D53B6"/>
    <w:pPr>
      <w:numPr>
        <w:numId w:val="13"/>
      </w:numPr>
    </w:pPr>
  </w:style>
  <w:style w:type="paragraph" w:customStyle="1" w:styleId="Tiret4">
    <w:name w:val="Tiret 4"/>
    <w:basedOn w:val="Point4"/>
    <w:rsid w:val="007D53B6"/>
    <w:pPr>
      <w:numPr>
        <w:numId w:val="14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basedOn w:val="DefaultParagraphFont"/>
    <w:rsid w:val="007D53B6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D53B6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7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7D53B6"/>
    <w:pPr>
      <w:numPr>
        <w:numId w:val="18"/>
      </w:numPr>
    </w:pPr>
  </w:style>
  <w:style w:type="paragraph" w:customStyle="1" w:styleId="Bullet1">
    <w:name w:val="Bullet 1"/>
    <w:basedOn w:val="Normal"/>
    <w:rsid w:val="007D53B6"/>
    <w:pPr>
      <w:numPr>
        <w:numId w:val="19"/>
      </w:numPr>
    </w:pPr>
  </w:style>
  <w:style w:type="paragraph" w:customStyle="1" w:styleId="Bullet2">
    <w:name w:val="Bullet 2"/>
    <w:basedOn w:val="Normal"/>
    <w:rsid w:val="007D53B6"/>
    <w:pPr>
      <w:numPr>
        <w:numId w:val="20"/>
      </w:numPr>
    </w:pPr>
  </w:style>
  <w:style w:type="paragraph" w:customStyle="1" w:styleId="Bullet3">
    <w:name w:val="Bullet 3"/>
    <w:basedOn w:val="Normal"/>
    <w:rsid w:val="007D53B6"/>
    <w:pPr>
      <w:numPr>
        <w:numId w:val="21"/>
      </w:numPr>
    </w:pPr>
  </w:style>
  <w:style w:type="paragraph" w:customStyle="1" w:styleId="Bullet4">
    <w:name w:val="Bullet 4"/>
    <w:basedOn w:val="Normal"/>
    <w:rsid w:val="007D53B6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7D53B6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D121-ED24-4FBA-AB0D-4CF2508F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1276</Words>
  <Characters>6921</Characters>
  <Application>Microsoft Office Word</Application>
  <DocSecurity>0</DocSecurity>
  <Lines>128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2016-07-20T07:42:00Z</dcterms:created>
  <dcterms:modified xsi:type="dcterms:W3CDTF">2016-07-25T08:45:00Z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COM/PL/ORG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SJ-019</vt:lpwstr>
  </property>
  <property fmtid="{D5CDD505-2E9C-101B-9397-08002B2CF9AE}" pid="8" name="DQCStatus">
    <vt:lpwstr>Green (DQC version 03)</vt:lpwstr>
  </property>
</Properties>
</file>