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2171932A9664ECA9BA1692D6EB76174"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r>
        <w:rPr>
          <w:b/>
          <w:noProof/>
          <w:u w:val="single"/>
        </w:rPr>
        <w:lastRenderedPageBreak/>
        <w:t>Позиция на Съюза по някои предложения, представени в рамките на 17-ата Конференция на страните по Конвенцията по международната търговия със застрашени видове от дивата фауна и флора (CITES), Йоханесбург, Южна Африка, 24 септември—5 октомври 2016 г.</w:t>
      </w:r>
    </w:p>
    <w:p>
      <w:pPr>
        <w:pStyle w:val="ManualHeading1"/>
        <w:rPr>
          <w:noProof/>
        </w:rPr>
      </w:pPr>
      <w:r>
        <w:rPr>
          <w:noProof/>
        </w:rPr>
        <w:t>1.</w:t>
      </w:r>
      <w:r>
        <w:rPr>
          <w:noProof/>
        </w:rPr>
        <w:tab/>
        <w:t>Работни документи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097"/>
        <w:gridCol w:w="1405"/>
        <w:gridCol w:w="3119"/>
        <w:gridCol w:w="992"/>
      </w:tblGrid>
      <w:tr>
        <w:trPr>
          <w:tblHeader/>
        </w:trPr>
        <w:tc>
          <w:tcPr>
            <w:tcW w:w="851" w:type="dxa"/>
            <w:shd w:val="clear" w:color="auto" w:fill="auto"/>
          </w:tcPr>
          <w:p>
            <w:pPr>
              <w:spacing w:before="0" w:after="0"/>
              <w:jc w:val="center"/>
              <w:rPr>
                <w:b/>
                <w:noProof/>
                <w:sz w:val="20"/>
                <w:szCs w:val="20"/>
              </w:rPr>
            </w:pPr>
            <w:r>
              <w:rPr>
                <w:b/>
                <w:noProof/>
                <w:sz w:val="20"/>
              </w:rPr>
              <w:t>Точка №</w:t>
            </w:r>
          </w:p>
        </w:tc>
        <w:tc>
          <w:tcPr>
            <w:tcW w:w="3097" w:type="dxa"/>
            <w:shd w:val="clear" w:color="auto" w:fill="auto"/>
          </w:tcPr>
          <w:p>
            <w:pPr>
              <w:spacing w:before="0" w:after="0"/>
              <w:jc w:val="left"/>
              <w:rPr>
                <w:noProof/>
                <w:sz w:val="20"/>
                <w:szCs w:val="20"/>
              </w:rPr>
            </w:pPr>
          </w:p>
        </w:tc>
        <w:tc>
          <w:tcPr>
            <w:tcW w:w="1405" w:type="dxa"/>
            <w:shd w:val="clear" w:color="auto" w:fill="auto"/>
          </w:tcPr>
          <w:p>
            <w:pPr>
              <w:spacing w:before="0" w:after="0"/>
              <w:jc w:val="center"/>
              <w:rPr>
                <w:noProof/>
                <w:sz w:val="20"/>
                <w:szCs w:val="20"/>
              </w:rPr>
            </w:pPr>
            <w:r>
              <w:rPr>
                <w:b/>
                <w:noProof/>
                <w:sz w:val="20"/>
              </w:rPr>
              <w:t>Вносител</w:t>
            </w:r>
          </w:p>
        </w:tc>
        <w:tc>
          <w:tcPr>
            <w:tcW w:w="3119" w:type="dxa"/>
            <w:shd w:val="clear" w:color="auto" w:fill="auto"/>
          </w:tcPr>
          <w:p>
            <w:pPr>
              <w:spacing w:before="0" w:after="0"/>
              <w:jc w:val="center"/>
              <w:rPr>
                <w:noProof/>
                <w:sz w:val="20"/>
                <w:szCs w:val="20"/>
              </w:rPr>
            </w:pPr>
            <w:r>
              <w:rPr>
                <w:b/>
                <w:noProof/>
                <w:sz w:val="20"/>
              </w:rPr>
              <w:t>Коментари</w:t>
            </w:r>
          </w:p>
        </w:tc>
        <w:tc>
          <w:tcPr>
            <w:tcW w:w="992" w:type="dxa"/>
            <w:shd w:val="clear" w:color="auto" w:fill="auto"/>
          </w:tcPr>
          <w:p>
            <w:pPr>
              <w:spacing w:before="0" w:after="0"/>
              <w:jc w:val="center"/>
              <w:rPr>
                <w:noProof/>
                <w:sz w:val="20"/>
                <w:szCs w:val="20"/>
              </w:rPr>
            </w:pPr>
            <w:r>
              <w:rPr>
                <w:b/>
                <w:noProof/>
                <w:sz w:val="20"/>
              </w:rPr>
              <w:t>Позиция</w:t>
            </w:r>
          </w:p>
        </w:tc>
      </w:tr>
      <w:tr>
        <w:tc>
          <w:tcPr>
            <w:tcW w:w="851" w:type="dxa"/>
            <w:shd w:val="clear" w:color="auto" w:fill="auto"/>
          </w:tcPr>
          <w:p>
            <w:pPr>
              <w:spacing w:before="0" w:after="0"/>
              <w:rPr>
                <w:noProof/>
                <w:sz w:val="20"/>
                <w:szCs w:val="20"/>
              </w:rPr>
            </w:pPr>
          </w:p>
        </w:tc>
        <w:tc>
          <w:tcPr>
            <w:tcW w:w="3097" w:type="dxa"/>
            <w:shd w:val="clear" w:color="auto" w:fill="auto"/>
          </w:tcPr>
          <w:p>
            <w:pPr>
              <w:spacing w:before="0" w:after="0"/>
              <w:jc w:val="left"/>
              <w:rPr>
                <w:noProof/>
                <w:sz w:val="20"/>
                <w:szCs w:val="20"/>
              </w:rPr>
            </w:pPr>
            <w:r>
              <w:rPr>
                <w:noProof/>
                <w:sz w:val="20"/>
              </w:rPr>
              <w:t>Церемония по откриването</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noProof/>
                <w:sz w:val="20"/>
                <w:szCs w:val="20"/>
              </w:rPr>
            </w:pPr>
          </w:p>
        </w:tc>
        <w:tc>
          <w:tcPr>
            <w:tcW w:w="3097" w:type="dxa"/>
            <w:shd w:val="clear" w:color="auto" w:fill="auto"/>
          </w:tcPr>
          <w:p>
            <w:pPr>
              <w:spacing w:before="0" w:after="0"/>
              <w:jc w:val="left"/>
              <w:rPr>
                <w:noProof/>
                <w:sz w:val="20"/>
                <w:szCs w:val="20"/>
              </w:rPr>
            </w:pPr>
            <w:r>
              <w:rPr>
                <w:noProof/>
                <w:sz w:val="20"/>
              </w:rPr>
              <w:t>Встъпителни адреси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tcPr>
          <w:p>
            <w:pPr>
              <w:jc w:val="left"/>
              <w:rPr>
                <w:noProof/>
                <w:sz w:val="20"/>
                <w:szCs w:val="20"/>
              </w:rPr>
            </w:pPr>
            <w:r>
              <w:rPr>
                <w:b/>
                <w:noProof/>
                <w:sz w:val="20"/>
              </w:rPr>
              <w:t>Административни и финансови въпроси</w:t>
            </w:r>
          </w:p>
        </w:tc>
      </w:tr>
      <w:tr>
        <w:tc>
          <w:tcPr>
            <w:tcW w:w="851" w:type="dxa"/>
            <w:shd w:val="clear" w:color="auto" w:fill="auto"/>
          </w:tcPr>
          <w:p>
            <w:pPr>
              <w:spacing w:before="0" w:after="0"/>
              <w:rPr>
                <w:rFonts w:eastAsia="Times New Roman"/>
                <w:noProof/>
                <w:sz w:val="20"/>
                <w:szCs w:val="20"/>
              </w:rPr>
            </w:pPr>
            <w:r>
              <w:rPr>
                <w:noProof/>
                <w:sz w:val="20"/>
              </w:rPr>
              <w:t>1.</w:t>
            </w:r>
          </w:p>
        </w:tc>
        <w:tc>
          <w:tcPr>
            <w:tcW w:w="3097" w:type="dxa"/>
            <w:shd w:val="clear" w:color="auto" w:fill="auto"/>
          </w:tcPr>
          <w:p>
            <w:pPr>
              <w:spacing w:before="0" w:after="0"/>
              <w:jc w:val="left"/>
              <w:rPr>
                <w:rFonts w:eastAsia="Times New Roman"/>
                <w:noProof/>
                <w:sz w:val="20"/>
                <w:szCs w:val="20"/>
              </w:rPr>
            </w:pPr>
            <w:r>
              <w:rPr>
                <w:noProof/>
                <w:sz w:val="20"/>
              </w:rPr>
              <w:t>Избор на председател, заместник-председател и двама помощник-председатели на заседанието, както и на председатели на комитети I и II</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w:t>
            </w:r>
          </w:p>
        </w:tc>
        <w:tc>
          <w:tcPr>
            <w:tcW w:w="3097" w:type="dxa"/>
            <w:shd w:val="clear" w:color="auto" w:fill="auto"/>
          </w:tcPr>
          <w:p>
            <w:pPr>
              <w:spacing w:before="0" w:after="0"/>
              <w:jc w:val="left"/>
              <w:rPr>
                <w:rFonts w:eastAsia="Times New Roman"/>
                <w:noProof/>
                <w:sz w:val="20"/>
                <w:szCs w:val="20"/>
              </w:rPr>
            </w:pPr>
            <w:r>
              <w:rPr>
                <w:noProof/>
                <w:sz w:val="20"/>
              </w:rPr>
              <w:t>Приемане на дневния ред</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w:t>
            </w:r>
          </w:p>
        </w:tc>
        <w:tc>
          <w:tcPr>
            <w:tcW w:w="3097" w:type="dxa"/>
            <w:shd w:val="clear" w:color="auto" w:fill="auto"/>
          </w:tcPr>
          <w:p>
            <w:pPr>
              <w:spacing w:before="0" w:after="0"/>
              <w:jc w:val="left"/>
              <w:rPr>
                <w:rFonts w:eastAsia="Times New Roman"/>
                <w:noProof/>
                <w:sz w:val="20"/>
                <w:szCs w:val="20"/>
              </w:rPr>
            </w:pPr>
            <w:r>
              <w:rPr>
                <w:noProof/>
                <w:sz w:val="20"/>
              </w:rPr>
              <w:t>Приемане на работната програма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w:t>
            </w:r>
          </w:p>
        </w:tc>
        <w:tc>
          <w:tcPr>
            <w:tcW w:w="3097" w:type="dxa"/>
            <w:shd w:val="clear" w:color="auto" w:fill="auto"/>
          </w:tcPr>
          <w:p>
            <w:pPr>
              <w:spacing w:before="0" w:after="0"/>
              <w:jc w:val="left"/>
              <w:rPr>
                <w:rFonts w:eastAsia="Times New Roman"/>
                <w:noProof/>
                <w:sz w:val="20"/>
                <w:szCs w:val="20"/>
              </w:rPr>
            </w:pPr>
            <w:r>
              <w:rPr>
                <w:noProof/>
                <w:sz w:val="20"/>
              </w:rPr>
              <w:t>Приемане на процедурния правилник</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4.1</w:t>
            </w:r>
          </w:p>
        </w:tc>
        <w:tc>
          <w:tcPr>
            <w:tcW w:w="3097" w:type="dxa"/>
            <w:shd w:val="clear" w:color="auto" w:fill="auto"/>
          </w:tcPr>
          <w:p>
            <w:pPr>
              <w:spacing w:before="0" w:after="0"/>
              <w:jc w:val="left"/>
              <w:rPr>
                <w:rFonts w:eastAsia="Times New Roman"/>
                <w:noProof/>
                <w:sz w:val="20"/>
                <w:szCs w:val="20"/>
              </w:rPr>
            </w:pPr>
            <w:r>
              <w:rPr>
                <w:noProof/>
                <w:sz w:val="20"/>
              </w:rPr>
              <w:t>Доклад на Секретариата</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r>
              <w:rPr>
                <w:noProof/>
                <w:sz w:val="20"/>
              </w:rPr>
              <w:t>Подкрепа за предложения нов процедурен правилник на Конференцията на страните по отношение на участието на ЕС в заседанието; приложените към него „практически мерки“ обаче съдържат условия, които ненужно ограничават правата на глас на ЕС, поради което не могат да бъдат подкрепени в настоящата им форма.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4.2</w:t>
            </w:r>
          </w:p>
        </w:tc>
        <w:tc>
          <w:tcPr>
            <w:tcW w:w="3097" w:type="dxa"/>
            <w:shd w:val="clear" w:color="auto" w:fill="auto"/>
          </w:tcPr>
          <w:p>
            <w:pPr>
              <w:spacing w:before="0" w:after="0"/>
              <w:jc w:val="left"/>
              <w:rPr>
                <w:rFonts w:eastAsia="Times New Roman"/>
                <w:noProof/>
                <w:sz w:val="20"/>
                <w:szCs w:val="20"/>
              </w:rPr>
            </w:pPr>
            <w:r>
              <w:rPr>
                <w:noProof/>
                <w:sz w:val="20"/>
              </w:rPr>
              <w:t>Предложение на Ботсуана и Южна Африка</w:t>
            </w:r>
          </w:p>
        </w:tc>
        <w:tc>
          <w:tcPr>
            <w:tcW w:w="1405" w:type="dxa"/>
            <w:shd w:val="clear" w:color="auto" w:fill="auto"/>
          </w:tcPr>
          <w:p>
            <w:pPr>
              <w:spacing w:before="0" w:after="0"/>
              <w:jc w:val="left"/>
              <w:rPr>
                <w:noProof/>
                <w:sz w:val="20"/>
                <w:szCs w:val="20"/>
              </w:rPr>
            </w:pPr>
            <w:r>
              <w:rPr>
                <w:noProof/>
                <w:sz w:val="20"/>
              </w:rPr>
              <w:t>BW, ZA</w:t>
            </w:r>
          </w:p>
        </w:tc>
        <w:tc>
          <w:tcPr>
            <w:tcW w:w="3119" w:type="dxa"/>
            <w:shd w:val="clear" w:color="auto" w:fill="auto"/>
          </w:tcPr>
          <w:p>
            <w:pPr>
              <w:spacing w:before="0" w:after="0"/>
              <w:jc w:val="left"/>
              <w:rPr>
                <w:noProof/>
                <w:sz w:val="20"/>
                <w:szCs w:val="20"/>
              </w:rPr>
            </w:pPr>
            <w:r>
              <w:rPr>
                <w:noProof/>
                <w:sz w:val="20"/>
              </w:rPr>
              <w:t xml:space="preserve">На предходна Конференция на страните ЕС възрази, че е необходимо мнозинство от 2/3 (вместо обикновено мнозинство) за промяна на процедурния правилник, но следва да има готовност да демонстрира гъвкавост по отношение на това предложение предвид необходимостта от широко съгласие между страните относно начина на провеждане на заседанието. </w:t>
            </w:r>
          </w:p>
        </w:tc>
        <w:tc>
          <w:tcPr>
            <w:tcW w:w="992" w:type="dxa"/>
            <w:shd w:val="clear" w:color="auto" w:fill="auto"/>
          </w:tcPr>
          <w:p>
            <w:pPr>
              <w:spacing w:before="0" w:after="0"/>
              <w:jc w:val="center"/>
              <w:rPr>
                <w:noProof/>
                <w:sz w:val="20"/>
                <w:szCs w:val="20"/>
              </w:rPr>
            </w:pPr>
            <w:r>
              <w:rPr>
                <w:noProof/>
                <w:sz w:val="20"/>
              </w:rPr>
              <w:t>0</w:t>
            </w:r>
          </w:p>
        </w:tc>
      </w:tr>
      <w:tr>
        <w:tc>
          <w:tcPr>
            <w:tcW w:w="851" w:type="dxa"/>
            <w:shd w:val="clear" w:color="auto" w:fill="auto"/>
          </w:tcPr>
          <w:p>
            <w:pPr>
              <w:spacing w:before="0" w:after="0"/>
              <w:rPr>
                <w:rFonts w:eastAsia="Times New Roman"/>
                <w:noProof/>
                <w:sz w:val="20"/>
                <w:szCs w:val="20"/>
              </w:rPr>
            </w:pPr>
            <w:r>
              <w:rPr>
                <w:noProof/>
                <w:sz w:val="20"/>
              </w:rPr>
              <w:t>4.3</w:t>
            </w:r>
          </w:p>
        </w:tc>
        <w:tc>
          <w:tcPr>
            <w:tcW w:w="3097" w:type="dxa"/>
            <w:shd w:val="clear" w:color="auto" w:fill="auto"/>
          </w:tcPr>
          <w:p>
            <w:pPr>
              <w:spacing w:before="0" w:after="0"/>
              <w:jc w:val="left"/>
              <w:rPr>
                <w:rFonts w:eastAsia="Times New Roman"/>
                <w:noProof/>
                <w:sz w:val="20"/>
                <w:szCs w:val="20"/>
              </w:rPr>
            </w:pPr>
            <w:r>
              <w:rPr>
                <w:noProof/>
                <w:sz w:val="20"/>
              </w:rPr>
              <w:t>Предложение на Израел</w:t>
            </w:r>
          </w:p>
        </w:tc>
        <w:tc>
          <w:tcPr>
            <w:tcW w:w="1405" w:type="dxa"/>
            <w:shd w:val="clear" w:color="auto" w:fill="auto"/>
          </w:tcPr>
          <w:p>
            <w:pPr>
              <w:spacing w:before="0" w:after="0"/>
              <w:jc w:val="left"/>
              <w:rPr>
                <w:noProof/>
                <w:sz w:val="20"/>
                <w:szCs w:val="20"/>
              </w:rPr>
            </w:pPr>
            <w:r>
              <w:rPr>
                <w:noProof/>
                <w:sz w:val="20"/>
              </w:rPr>
              <w:t>IL</w:t>
            </w:r>
          </w:p>
        </w:tc>
        <w:tc>
          <w:tcPr>
            <w:tcW w:w="3119" w:type="dxa"/>
            <w:shd w:val="clear" w:color="auto" w:fill="auto"/>
          </w:tcPr>
          <w:p>
            <w:pPr>
              <w:spacing w:before="0" w:after="0"/>
              <w:jc w:val="left"/>
              <w:rPr>
                <w:noProof/>
                <w:sz w:val="20"/>
                <w:szCs w:val="20"/>
              </w:rPr>
            </w:pPr>
            <w:r>
              <w:rPr>
                <w:noProof/>
                <w:sz w:val="20"/>
              </w:rPr>
              <w:t xml:space="preserve">Подкрепа за предложенията относно правило 23 (като се започне с предложенията, които са най-ограничаващи за търговията) и правило 25, параграф 2 (повишаване на прага за тайно гласуване). Отхвърляне на предложението за нов параграф по правило 25, което надхвърля предложението на Секретариата за ограничаване на </w:t>
            </w:r>
            <w:r>
              <w:rPr>
                <w:noProof/>
                <w:sz w:val="20"/>
              </w:rPr>
              <w:lastRenderedPageBreak/>
              <w:t xml:space="preserve">гласовете на регионалните организации за икономическа интеграция до броя на присъстващите и акредитирани държави членки като несъответстващо на изменението от Габороне. </w:t>
            </w:r>
          </w:p>
        </w:tc>
        <w:tc>
          <w:tcPr>
            <w:tcW w:w="992" w:type="dxa"/>
            <w:shd w:val="clear" w:color="auto" w:fill="auto"/>
          </w:tcPr>
          <w:p>
            <w:pPr>
              <w:spacing w:before="0" w:after="0"/>
              <w:jc w:val="center"/>
              <w:rPr>
                <w:noProof/>
                <w:sz w:val="20"/>
                <w:szCs w:val="20"/>
              </w:rPr>
            </w:pPr>
            <w:r>
              <w:rPr>
                <w:noProof/>
                <w:sz w:val="20"/>
              </w:rPr>
              <w:lastRenderedPageBreak/>
              <w:t>+/-</w:t>
            </w:r>
          </w:p>
        </w:tc>
      </w:tr>
      <w:tr>
        <w:tc>
          <w:tcPr>
            <w:tcW w:w="851" w:type="dxa"/>
            <w:shd w:val="clear" w:color="auto" w:fill="auto"/>
          </w:tcPr>
          <w:p>
            <w:pPr>
              <w:spacing w:before="0" w:after="0"/>
              <w:rPr>
                <w:rFonts w:eastAsia="Times New Roman"/>
                <w:noProof/>
                <w:sz w:val="20"/>
                <w:szCs w:val="20"/>
              </w:rPr>
            </w:pPr>
            <w:r>
              <w:rPr>
                <w:noProof/>
                <w:sz w:val="20"/>
              </w:rPr>
              <w:lastRenderedPageBreak/>
              <w:t>5.</w:t>
            </w:r>
          </w:p>
        </w:tc>
        <w:tc>
          <w:tcPr>
            <w:tcW w:w="3097" w:type="dxa"/>
            <w:shd w:val="clear" w:color="auto" w:fill="auto"/>
          </w:tcPr>
          <w:p>
            <w:pPr>
              <w:spacing w:before="0" w:after="0"/>
              <w:jc w:val="left"/>
              <w:rPr>
                <w:rFonts w:eastAsia="Times New Roman"/>
                <w:noProof/>
                <w:sz w:val="20"/>
                <w:szCs w:val="20"/>
              </w:rPr>
            </w:pPr>
            <w:r>
              <w:rPr>
                <w:noProof/>
                <w:sz w:val="20"/>
              </w:rPr>
              <w:t>Комитет за проверка на правомощията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5.1</w:t>
            </w:r>
          </w:p>
        </w:tc>
        <w:tc>
          <w:tcPr>
            <w:tcW w:w="3097" w:type="dxa"/>
            <w:shd w:val="clear" w:color="auto" w:fill="auto"/>
          </w:tcPr>
          <w:p>
            <w:pPr>
              <w:spacing w:before="0" w:after="0"/>
              <w:jc w:val="left"/>
              <w:rPr>
                <w:rFonts w:eastAsia="Times New Roman"/>
                <w:noProof/>
                <w:sz w:val="20"/>
                <w:szCs w:val="20"/>
              </w:rPr>
            </w:pPr>
            <w:r>
              <w:rPr>
                <w:noProof/>
                <w:sz w:val="20"/>
              </w:rPr>
              <w:t>Създаване на Комитета за проверка на правомощията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5.2</w:t>
            </w:r>
          </w:p>
        </w:tc>
        <w:tc>
          <w:tcPr>
            <w:tcW w:w="3097" w:type="dxa"/>
            <w:shd w:val="clear" w:color="auto" w:fill="auto"/>
          </w:tcPr>
          <w:p>
            <w:pPr>
              <w:spacing w:before="0" w:after="0"/>
              <w:jc w:val="left"/>
              <w:rPr>
                <w:rFonts w:eastAsia="Times New Roman"/>
                <w:noProof/>
                <w:sz w:val="20"/>
                <w:szCs w:val="20"/>
              </w:rPr>
            </w:pPr>
            <w:r>
              <w:rPr>
                <w:noProof/>
                <w:sz w:val="20"/>
              </w:rPr>
              <w:t>Доклад на Комитета за проверка на правомощията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w:t>
            </w:r>
          </w:p>
        </w:tc>
        <w:tc>
          <w:tcPr>
            <w:tcW w:w="3097" w:type="dxa"/>
            <w:shd w:val="clear" w:color="auto" w:fill="auto"/>
          </w:tcPr>
          <w:p>
            <w:pPr>
              <w:spacing w:before="0" w:after="0"/>
              <w:jc w:val="left"/>
              <w:rPr>
                <w:rFonts w:eastAsia="Times New Roman"/>
                <w:noProof/>
                <w:sz w:val="20"/>
                <w:szCs w:val="20"/>
              </w:rPr>
            </w:pPr>
            <w:r>
              <w:rPr>
                <w:noProof/>
                <w:sz w:val="20"/>
              </w:rPr>
              <w:t>Приемане на наблюдатели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w:t>
            </w:r>
          </w:p>
        </w:tc>
        <w:tc>
          <w:tcPr>
            <w:tcW w:w="3097" w:type="dxa"/>
            <w:shd w:val="clear" w:color="auto" w:fill="auto"/>
          </w:tcPr>
          <w:p>
            <w:pPr>
              <w:spacing w:before="0" w:after="0"/>
              <w:jc w:val="left"/>
              <w:rPr>
                <w:rFonts w:eastAsia="Times New Roman"/>
                <w:noProof/>
                <w:sz w:val="20"/>
                <w:szCs w:val="20"/>
              </w:rPr>
            </w:pPr>
            <w:r>
              <w:rPr>
                <w:noProof/>
                <w:sz w:val="20"/>
              </w:rPr>
              <w:t>Администрация, финанси и бюджет на Секретариата и на заседанията на Конференцията на страните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7.1</w:t>
            </w:r>
          </w:p>
        </w:tc>
        <w:tc>
          <w:tcPr>
            <w:tcW w:w="3097" w:type="dxa"/>
            <w:shd w:val="clear" w:color="auto" w:fill="auto"/>
          </w:tcPr>
          <w:p>
            <w:pPr>
              <w:spacing w:before="0" w:after="0"/>
              <w:jc w:val="left"/>
              <w:rPr>
                <w:rFonts w:eastAsia="Times New Roman"/>
                <w:noProof/>
                <w:sz w:val="20"/>
                <w:szCs w:val="20"/>
              </w:rPr>
            </w:pPr>
            <w:r>
              <w:rPr>
                <w:noProof/>
                <w:sz w:val="20"/>
              </w:rPr>
              <w:t>Администрация на Секретариата</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7.2</w:t>
            </w:r>
          </w:p>
        </w:tc>
        <w:tc>
          <w:tcPr>
            <w:tcW w:w="3097" w:type="dxa"/>
            <w:shd w:val="clear" w:color="auto" w:fill="auto"/>
          </w:tcPr>
          <w:p>
            <w:pPr>
              <w:spacing w:before="0" w:after="0"/>
              <w:jc w:val="left"/>
              <w:rPr>
                <w:rFonts w:eastAsia="Times New Roman"/>
                <w:noProof/>
                <w:sz w:val="20"/>
                <w:szCs w:val="20"/>
              </w:rPr>
            </w:pPr>
            <w:r>
              <w:rPr>
                <w:noProof/>
                <w:sz w:val="20"/>
              </w:rPr>
              <w:t>Доклад на изпълнителния директор на Програмата за опазване на околната среда на ООН (UNEP) относно административни и други въпроси</w:t>
            </w:r>
          </w:p>
        </w:tc>
        <w:tc>
          <w:tcPr>
            <w:tcW w:w="1405" w:type="dxa"/>
            <w:shd w:val="clear" w:color="auto" w:fill="auto"/>
          </w:tcPr>
          <w:p>
            <w:pPr>
              <w:spacing w:before="0" w:after="0"/>
              <w:jc w:val="left"/>
              <w:rPr>
                <w:noProof/>
                <w:sz w:val="20"/>
                <w:szCs w:val="20"/>
              </w:rPr>
            </w:pPr>
            <w:r>
              <w:rPr>
                <w:noProof/>
                <w:sz w:val="20"/>
              </w:rPr>
              <w:t>UNEP</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7.3</w:t>
            </w:r>
          </w:p>
        </w:tc>
        <w:tc>
          <w:tcPr>
            <w:tcW w:w="3097" w:type="dxa"/>
            <w:shd w:val="clear" w:color="auto" w:fill="auto"/>
          </w:tcPr>
          <w:p>
            <w:pPr>
              <w:spacing w:before="0" w:after="0"/>
              <w:jc w:val="left"/>
              <w:rPr>
                <w:rFonts w:eastAsia="Times New Roman"/>
                <w:noProof/>
                <w:sz w:val="20"/>
                <w:szCs w:val="20"/>
              </w:rPr>
            </w:pPr>
            <w:r>
              <w:rPr>
                <w:noProof/>
                <w:sz w:val="20"/>
              </w:rPr>
              <w:t>Финансови отчети за периода 2014—2016 г.</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1: Финансов отчет за остойностената програма за работа за 2014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2: Доверителен фонд на CITES — състояние на вноските към 31 декември 2014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3: Външен доверителен фонд на CITES — състояние на вноските към 31 декември 2014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4: Финансов отчет за остойностената програма за работа за 2015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5: Доверителен фонд на CITES — състояние на вноските към 31 декември 2015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6: Доверителен фонд на CITES — годишно разпределение на неплатените вноски към 31 декември 2015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7: Външен доверителен фонд на CITES — състояние на вноските към 31 декември 2015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 xml:space="preserve">Приложение 8: Отчет за приходите и разходите и промени в резерва и баланса на </w:t>
            </w:r>
            <w:r>
              <w:rPr>
                <w:noProof/>
                <w:sz w:val="20"/>
              </w:rPr>
              <w:lastRenderedPageBreak/>
              <w:t>средствата за периода 2014—2015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9: Финансов отчет за остойностената програма за работа за 2016 г. </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10: Доверителен фонд на CITES — състояние на вноските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11: Доверителен фонд на CITES — годишно разпределение на неплатените вноски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12: Външен доверителен фонд на CITES — състояние на вноските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7.4</w:t>
            </w:r>
          </w:p>
        </w:tc>
        <w:tc>
          <w:tcPr>
            <w:tcW w:w="3097" w:type="dxa"/>
            <w:shd w:val="clear" w:color="auto" w:fill="auto"/>
          </w:tcPr>
          <w:p>
            <w:pPr>
              <w:spacing w:before="0" w:after="0"/>
              <w:jc w:val="left"/>
              <w:rPr>
                <w:rFonts w:eastAsia="Times New Roman"/>
                <w:noProof/>
                <w:sz w:val="20"/>
                <w:szCs w:val="20"/>
              </w:rPr>
            </w:pPr>
            <w:r>
              <w:rPr>
                <w:noProof/>
                <w:sz w:val="20"/>
              </w:rPr>
              <w:t>Бюджет и работна програма за периода 2017—2019 г.</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1: Задачи на Секретариата съгласно резолюция и решения — CoP16—CoP17</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2: Бюджетен сценарий — нулев номинален растеж</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3: Бюджетен сценарий — нулев реален растеж</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4: Бюджетен сценарий — постъпателен растеж</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p>
        </w:tc>
        <w:tc>
          <w:tcPr>
            <w:tcW w:w="3097" w:type="dxa"/>
            <w:shd w:val="clear" w:color="auto" w:fill="auto"/>
          </w:tcPr>
          <w:p>
            <w:pPr>
              <w:spacing w:before="0" w:after="0"/>
              <w:jc w:val="left"/>
              <w:rPr>
                <w:rFonts w:eastAsia="Times New Roman"/>
                <w:noProof/>
                <w:sz w:val="20"/>
                <w:szCs w:val="20"/>
              </w:rPr>
            </w:pPr>
            <w:r>
              <w:rPr>
                <w:noProof/>
                <w:sz w:val="20"/>
              </w:rPr>
              <w:t>Приложение 5: Проекторезолюция относно финансирането и остойностената програма за работа за тригодишния период 2017—2019 г.</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7.5</w:t>
            </w:r>
          </w:p>
        </w:tc>
        <w:tc>
          <w:tcPr>
            <w:tcW w:w="3097" w:type="dxa"/>
            <w:shd w:val="clear" w:color="auto" w:fill="auto"/>
          </w:tcPr>
          <w:p>
            <w:pPr>
              <w:spacing w:before="0" w:after="0"/>
              <w:jc w:val="left"/>
              <w:rPr>
                <w:rFonts w:eastAsia="Times New Roman"/>
                <w:noProof/>
                <w:sz w:val="20"/>
                <w:szCs w:val="20"/>
              </w:rPr>
            </w:pPr>
            <w:r>
              <w:rPr>
                <w:noProof/>
                <w:sz w:val="20"/>
              </w:rPr>
              <w:t>Достъп до финансиране, включително финансиране от Глобалния екологичен фонд</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w:t>
            </w:r>
          </w:p>
        </w:tc>
        <w:tc>
          <w:tcPr>
            <w:tcW w:w="3097" w:type="dxa"/>
            <w:shd w:val="clear" w:color="auto" w:fill="auto"/>
          </w:tcPr>
          <w:p>
            <w:pPr>
              <w:spacing w:before="0" w:after="0"/>
              <w:jc w:val="left"/>
              <w:rPr>
                <w:rFonts w:eastAsia="Times New Roman"/>
                <w:noProof/>
                <w:sz w:val="20"/>
                <w:szCs w:val="20"/>
              </w:rPr>
            </w:pPr>
            <w:r>
              <w:rPr>
                <w:noProof/>
                <w:sz w:val="20"/>
              </w:rPr>
              <w:t>Проект за спонсорирани делегати</w:t>
            </w:r>
          </w:p>
        </w:tc>
        <w:tc>
          <w:tcPr>
            <w:tcW w:w="1405" w:type="dxa"/>
            <w:shd w:val="clear" w:color="auto" w:fill="auto"/>
          </w:tcPr>
          <w:p>
            <w:pPr>
              <w:spacing w:before="0" w:after="0"/>
              <w:jc w:val="left"/>
              <w:rPr>
                <w:noProof/>
                <w:sz w:val="20"/>
                <w:szCs w:val="20"/>
              </w:rPr>
            </w:pPr>
            <w:r>
              <w:rPr>
                <w:noProof/>
                <w:sz w:val="20"/>
              </w:rPr>
              <w:t>EU, SN</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b/>
                <w:noProof/>
                <w:sz w:val="20"/>
              </w:rPr>
              <w:t>Стратегически въпроси</w:t>
            </w:r>
          </w:p>
        </w:tc>
      </w:tr>
      <w:tr>
        <w:tc>
          <w:tcPr>
            <w:tcW w:w="851" w:type="dxa"/>
            <w:shd w:val="clear" w:color="auto" w:fill="auto"/>
          </w:tcPr>
          <w:p>
            <w:pPr>
              <w:spacing w:before="0" w:after="0"/>
              <w:rPr>
                <w:rFonts w:eastAsia="Times New Roman"/>
                <w:noProof/>
                <w:sz w:val="20"/>
                <w:szCs w:val="20"/>
              </w:rPr>
            </w:pPr>
            <w:r>
              <w:rPr>
                <w:noProof/>
                <w:sz w:val="20"/>
              </w:rPr>
              <w:t>9.</w:t>
            </w:r>
          </w:p>
        </w:tc>
        <w:tc>
          <w:tcPr>
            <w:tcW w:w="3097" w:type="dxa"/>
            <w:shd w:val="clear" w:color="auto" w:fill="auto"/>
          </w:tcPr>
          <w:p>
            <w:pPr>
              <w:spacing w:before="0" w:after="0"/>
              <w:jc w:val="left"/>
              <w:rPr>
                <w:rFonts w:eastAsia="Times New Roman"/>
                <w:noProof/>
                <w:sz w:val="20"/>
                <w:szCs w:val="20"/>
              </w:rPr>
            </w:pPr>
            <w:r>
              <w:rPr>
                <w:noProof/>
                <w:sz w:val="20"/>
              </w:rPr>
              <w:t>Преразглеждане на стратегическите намерения на CITES: 2008—2020 г.</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r>
              <w:rPr>
                <w:noProof/>
                <w:sz w:val="20"/>
              </w:rPr>
              <w:t>Може да се окаже подкрепа.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10.</w:t>
            </w:r>
          </w:p>
        </w:tc>
        <w:tc>
          <w:tcPr>
            <w:tcW w:w="3097" w:type="dxa"/>
            <w:shd w:val="clear" w:color="auto" w:fill="auto"/>
          </w:tcPr>
          <w:p>
            <w:pPr>
              <w:spacing w:before="0" w:after="0"/>
              <w:jc w:val="left"/>
              <w:rPr>
                <w:rFonts w:eastAsia="Times New Roman"/>
                <w:noProof/>
                <w:sz w:val="20"/>
                <w:szCs w:val="20"/>
              </w:rPr>
            </w:pPr>
            <w:r>
              <w:rPr>
                <w:noProof/>
                <w:sz w:val="20"/>
              </w:rPr>
              <w:t>Доклади и препоръки на комитета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10.1</w:t>
            </w:r>
          </w:p>
        </w:tc>
        <w:tc>
          <w:tcPr>
            <w:tcW w:w="3097" w:type="dxa"/>
            <w:shd w:val="clear" w:color="auto" w:fill="auto"/>
          </w:tcPr>
          <w:p>
            <w:pPr>
              <w:spacing w:before="0" w:after="0"/>
              <w:jc w:val="left"/>
              <w:rPr>
                <w:rFonts w:eastAsia="Times New Roman"/>
                <w:noProof/>
                <w:sz w:val="20"/>
                <w:szCs w:val="20"/>
              </w:rPr>
            </w:pPr>
            <w:r>
              <w:rPr>
                <w:noProof/>
                <w:sz w:val="20"/>
              </w:rPr>
              <w:t>Постоянен комитет</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10.1.1</w:t>
            </w:r>
          </w:p>
        </w:tc>
        <w:tc>
          <w:tcPr>
            <w:tcW w:w="3097" w:type="dxa"/>
            <w:shd w:val="clear" w:color="auto" w:fill="auto"/>
          </w:tcPr>
          <w:p>
            <w:pPr>
              <w:spacing w:before="0" w:after="0"/>
              <w:jc w:val="left"/>
              <w:rPr>
                <w:rFonts w:eastAsia="Times New Roman"/>
                <w:noProof/>
                <w:sz w:val="20"/>
                <w:szCs w:val="20"/>
              </w:rPr>
            </w:pPr>
            <w:r>
              <w:rPr>
                <w:noProof/>
                <w:sz w:val="20"/>
              </w:rPr>
              <w:t>Доклад на председателя</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10.1.2</w:t>
            </w:r>
          </w:p>
        </w:tc>
        <w:tc>
          <w:tcPr>
            <w:tcW w:w="3097" w:type="dxa"/>
            <w:shd w:val="clear" w:color="auto" w:fill="auto"/>
          </w:tcPr>
          <w:p>
            <w:pPr>
              <w:spacing w:before="0" w:after="0"/>
              <w:jc w:val="left"/>
              <w:rPr>
                <w:rFonts w:eastAsia="Times New Roman"/>
                <w:noProof/>
                <w:sz w:val="20"/>
                <w:szCs w:val="20"/>
              </w:rPr>
            </w:pPr>
            <w:r>
              <w:rPr>
                <w:noProof/>
                <w:sz w:val="20"/>
              </w:rPr>
              <w:t>Избор на нови регионални членове и техни заместници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10.2</w:t>
            </w:r>
          </w:p>
        </w:tc>
        <w:tc>
          <w:tcPr>
            <w:tcW w:w="3097" w:type="dxa"/>
            <w:shd w:val="clear" w:color="auto" w:fill="auto"/>
          </w:tcPr>
          <w:p>
            <w:pPr>
              <w:spacing w:before="0" w:after="0"/>
              <w:jc w:val="left"/>
              <w:rPr>
                <w:rFonts w:eastAsia="Times New Roman"/>
                <w:noProof/>
                <w:sz w:val="20"/>
                <w:szCs w:val="20"/>
              </w:rPr>
            </w:pPr>
            <w:r>
              <w:rPr>
                <w:noProof/>
                <w:sz w:val="20"/>
              </w:rPr>
              <w:t>Комитет по животните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10.2.1</w:t>
            </w:r>
          </w:p>
        </w:tc>
        <w:tc>
          <w:tcPr>
            <w:tcW w:w="3097" w:type="dxa"/>
            <w:shd w:val="clear" w:color="auto" w:fill="auto"/>
          </w:tcPr>
          <w:p>
            <w:pPr>
              <w:spacing w:before="0" w:after="0"/>
              <w:jc w:val="left"/>
              <w:rPr>
                <w:rFonts w:eastAsia="Times New Roman"/>
                <w:noProof/>
                <w:sz w:val="20"/>
                <w:szCs w:val="20"/>
              </w:rPr>
            </w:pPr>
            <w:r>
              <w:rPr>
                <w:noProof/>
                <w:sz w:val="20"/>
              </w:rPr>
              <w:t>Доклад на председателя</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10.2.2</w:t>
            </w:r>
          </w:p>
        </w:tc>
        <w:tc>
          <w:tcPr>
            <w:tcW w:w="3097" w:type="dxa"/>
            <w:shd w:val="clear" w:color="auto" w:fill="auto"/>
          </w:tcPr>
          <w:p>
            <w:pPr>
              <w:spacing w:before="0" w:after="0"/>
              <w:jc w:val="left"/>
              <w:rPr>
                <w:rFonts w:eastAsia="Times New Roman"/>
                <w:noProof/>
                <w:sz w:val="20"/>
                <w:szCs w:val="20"/>
              </w:rPr>
            </w:pPr>
            <w:r>
              <w:rPr>
                <w:noProof/>
                <w:sz w:val="20"/>
              </w:rPr>
              <w:t>Избор на нови регионални членове и техни заместници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10.3</w:t>
            </w:r>
          </w:p>
        </w:tc>
        <w:tc>
          <w:tcPr>
            <w:tcW w:w="3097" w:type="dxa"/>
            <w:shd w:val="clear" w:color="auto" w:fill="auto"/>
          </w:tcPr>
          <w:p>
            <w:pPr>
              <w:spacing w:before="0" w:after="0"/>
              <w:jc w:val="left"/>
              <w:rPr>
                <w:rFonts w:eastAsia="Times New Roman"/>
                <w:noProof/>
                <w:sz w:val="20"/>
                <w:szCs w:val="20"/>
              </w:rPr>
            </w:pPr>
            <w:r>
              <w:rPr>
                <w:noProof/>
                <w:sz w:val="20"/>
              </w:rPr>
              <w:t>Комитет по растенията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10.3.1</w:t>
            </w:r>
          </w:p>
        </w:tc>
        <w:tc>
          <w:tcPr>
            <w:tcW w:w="3097" w:type="dxa"/>
            <w:shd w:val="clear" w:color="auto" w:fill="auto"/>
          </w:tcPr>
          <w:p>
            <w:pPr>
              <w:spacing w:before="0" w:after="0"/>
              <w:jc w:val="left"/>
              <w:rPr>
                <w:rFonts w:eastAsia="Times New Roman"/>
                <w:noProof/>
                <w:sz w:val="20"/>
                <w:szCs w:val="20"/>
              </w:rPr>
            </w:pPr>
            <w:r>
              <w:rPr>
                <w:noProof/>
                <w:sz w:val="20"/>
              </w:rPr>
              <w:t>Доклад на председателя</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10.3.2</w:t>
            </w:r>
          </w:p>
        </w:tc>
        <w:tc>
          <w:tcPr>
            <w:tcW w:w="3097" w:type="dxa"/>
            <w:shd w:val="clear" w:color="auto" w:fill="auto"/>
          </w:tcPr>
          <w:p>
            <w:pPr>
              <w:spacing w:before="0" w:after="0"/>
              <w:jc w:val="left"/>
              <w:rPr>
                <w:rFonts w:eastAsia="Times New Roman"/>
                <w:noProof/>
                <w:sz w:val="20"/>
                <w:szCs w:val="20"/>
              </w:rPr>
            </w:pPr>
            <w:r>
              <w:rPr>
                <w:noProof/>
                <w:sz w:val="20"/>
              </w:rPr>
              <w:t>Избор на нови регионални членове и техни заместници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11.</w:t>
            </w:r>
          </w:p>
        </w:tc>
        <w:tc>
          <w:tcPr>
            <w:tcW w:w="3097" w:type="dxa"/>
            <w:shd w:val="clear" w:color="auto" w:fill="auto"/>
          </w:tcPr>
          <w:p>
            <w:pPr>
              <w:spacing w:before="0" w:after="0"/>
              <w:jc w:val="left"/>
              <w:rPr>
                <w:rFonts w:eastAsia="Times New Roman"/>
                <w:noProof/>
                <w:sz w:val="20"/>
                <w:szCs w:val="20"/>
              </w:rPr>
            </w:pPr>
            <w:r>
              <w:rPr>
                <w:noProof/>
                <w:sz w:val="20"/>
              </w:rPr>
              <w:t>Процедурен правилник за органите на CITES</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12.</w:t>
            </w:r>
          </w:p>
        </w:tc>
        <w:tc>
          <w:tcPr>
            <w:tcW w:w="3097" w:type="dxa"/>
            <w:shd w:val="clear" w:color="auto" w:fill="auto"/>
          </w:tcPr>
          <w:p>
            <w:pPr>
              <w:spacing w:before="0" w:after="0"/>
              <w:jc w:val="left"/>
              <w:rPr>
                <w:rFonts w:eastAsia="Times New Roman"/>
                <w:noProof/>
                <w:sz w:val="20"/>
                <w:szCs w:val="20"/>
              </w:rPr>
            </w:pPr>
            <w:r>
              <w:rPr>
                <w:noProof/>
                <w:sz w:val="20"/>
              </w:rPr>
              <w:t>Потенциални конфликти на интереси в комитетите по животните и растенията</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Подкрепа, но с искане текстът на двете решения да бъде изменен, така че да се даде възможност за доклад на Секретариата до Постоянния комитет по време на 69-ото му заседание през 2017 г. (вместо събирането от Секретариата на примери за процедури по конфликт на интереси съгласно други свързани споразумения и организации да се отлага до 70-ото заседание на комитета).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13.</w:t>
            </w:r>
          </w:p>
        </w:tc>
        <w:tc>
          <w:tcPr>
            <w:tcW w:w="3097" w:type="dxa"/>
            <w:shd w:val="clear" w:color="auto" w:fill="auto"/>
          </w:tcPr>
          <w:p>
            <w:pPr>
              <w:spacing w:before="0" w:after="0"/>
              <w:jc w:val="left"/>
              <w:rPr>
                <w:rFonts w:eastAsia="Times New Roman"/>
                <w:noProof/>
                <w:sz w:val="20"/>
                <w:szCs w:val="20"/>
              </w:rPr>
            </w:pPr>
            <w:r>
              <w:rPr>
                <w:noProof/>
                <w:sz w:val="20"/>
              </w:rPr>
              <w:t>Създаване на Комитета по селските общности на Конференцията на страните</w:t>
            </w:r>
          </w:p>
        </w:tc>
        <w:tc>
          <w:tcPr>
            <w:tcW w:w="1405" w:type="dxa"/>
            <w:shd w:val="clear" w:color="auto" w:fill="auto"/>
          </w:tcPr>
          <w:p>
            <w:pPr>
              <w:spacing w:before="0" w:after="0"/>
              <w:jc w:val="left"/>
              <w:rPr>
                <w:noProof/>
                <w:sz w:val="20"/>
                <w:szCs w:val="20"/>
              </w:rPr>
            </w:pPr>
            <w:r>
              <w:rPr>
                <w:noProof/>
                <w:sz w:val="20"/>
              </w:rPr>
              <w:t>NA, TZ, ZM, ZW</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w:t>
            </w:r>
          </w:p>
        </w:tc>
        <w:tc>
          <w:tcPr>
            <w:tcW w:w="3097" w:type="dxa"/>
            <w:shd w:val="clear" w:color="auto" w:fill="auto"/>
          </w:tcPr>
          <w:p>
            <w:pPr>
              <w:spacing w:before="0" w:after="0"/>
              <w:jc w:val="left"/>
              <w:rPr>
                <w:rFonts w:eastAsia="Times New Roman"/>
                <w:noProof/>
                <w:sz w:val="20"/>
                <w:szCs w:val="20"/>
              </w:rPr>
            </w:pPr>
            <w:r>
              <w:rPr>
                <w:noProof/>
                <w:sz w:val="20"/>
              </w:rPr>
              <w:t>Сътрудничество с организации и многостранни споразумения в областта на околната среда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14.1</w:t>
            </w:r>
          </w:p>
        </w:tc>
        <w:tc>
          <w:tcPr>
            <w:tcW w:w="3097" w:type="dxa"/>
            <w:shd w:val="clear" w:color="auto" w:fill="auto"/>
          </w:tcPr>
          <w:p>
            <w:pPr>
              <w:spacing w:before="0" w:after="0"/>
              <w:jc w:val="left"/>
              <w:rPr>
                <w:rFonts w:eastAsia="Times New Roman"/>
                <w:noProof/>
                <w:sz w:val="20"/>
                <w:szCs w:val="20"/>
              </w:rPr>
            </w:pPr>
            <w:r>
              <w:rPr>
                <w:noProof/>
                <w:sz w:val="20"/>
              </w:rPr>
              <w:t>Сътрудничество с други конвенции за биологичното разнообразие</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Подкрепа за решение по този въпрос, което следва да бъде по-амбициозно, за да се отчетат най-актуалните промени; ще бъде предоставена формулировка.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14.2</w:t>
            </w:r>
          </w:p>
        </w:tc>
        <w:tc>
          <w:tcPr>
            <w:tcW w:w="3097" w:type="dxa"/>
            <w:shd w:val="clear" w:color="auto" w:fill="auto"/>
          </w:tcPr>
          <w:p>
            <w:pPr>
              <w:spacing w:before="0" w:after="0"/>
              <w:jc w:val="left"/>
              <w:rPr>
                <w:rFonts w:eastAsia="Times New Roman"/>
                <w:noProof/>
                <w:sz w:val="20"/>
                <w:szCs w:val="20"/>
              </w:rPr>
            </w:pPr>
            <w:r>
              <w:rPr>
                <w:noProof/>
                <w:sz w:val="20"/>
              </w:rPr>
              <w:t>Международен консорциум за борба с престъпленията спрямо дивата природа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14.3</w:t>
            </w:r>
          </w:p>
        </w:tc>
        <w:tc>
          <w:tcPr>
            <w:tcW w:w="3097" w:type="dxa"/>
            <w:shd w:val="clear" w:color="auto" w:fill="auto"/>
          </w:tcPr>
          <w:p>
            <w:pPr>
              <w:spacing w:before="0" w:after="0"/>
              <w:jc w:val="left"/>
              <w:rPr>
                <w:rFonts w:eastAsia="Times New Roman"/>
                <w:noProof/>
                <w:sz w:val="20"/>
                <w:szCs w:val="20"/>
              </w:rPr>
            </w:pPr>
            <w:r>
              <w:rPr>
                <w:noProof/>
                <w:sz w:val="20"/>
              </w:rPr>
              <w:t>Комисия за опазване на антарктическите живи морски ресурси</w:t>
            </w:r>
          </w:p>
        </w:tc>
        <w:tc>
          <w:tcPr>
            <w:tcW w:w="1405" w:type="dxa"/>
            <w:shd w:val="clear" w:color="auto" w:fill="auto"/>
          </w:tcPr>
          <w:p>
            <w:pPr>
              <w:spacing w:before="0" w:after="0"/>
              <w:jc w:val="left"/>
              <w:rPr>
                <w:noProof/>
                <w:sz w:val="20"/>
                <w:szCs w:val="20"/>
              </w:rPr>
            </w:pPr>
            <w:r>
              <w:rPr>
                <w:noProof/>
                <w:sz w:val="20"/>
              </w:rPr>
              <w:t xml:space="preserve">Секретариат </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14.4</w:t>
            </w:r>
          </w:p>
        </w:tc>
        <w:tc>
          <w:tcPr>
            <w:tcW w:w="3097" w:type="dxa"/>
            <w:shd w:val="clear" w:color="auto" w:fill="auto"/>
          </w:tcPr>
          <w:p>
            <w:pPr>
              <w:spacing w:before="0" w:after="0"/>
              <w:jc w:val="left"/>
              <w:rPr>
                <w:rFonts w:eastAsia="Times New Roman"/>
                <w:noProof/>
                <w:sz w:val="20"/>
                <w:szCs w:val="20"/>
              </w:rPr>
            </w:pPr>
            <w:r>
              <w:rPr>
                <w:noProof/>
                <w:sz w:val="20"/>
              </w:rPr>
              <w:t>Междуправителствена научно-политическа платформа относно биологичното разнообразие и екосистемните услуги</w:t>
            </w:r>
          </w:p>
        </w:tc>
        <w:tc>
          <w:tcPr>
            <w:tcW w:w="1405" w:type="dxa"/>
            <w:shd w:val="clear" w:color="auto" w:fill="auto"/>
          </w:tcPr>
          <w:p>
            <w:pPr>
              <w:spacing w:before="0" w:after="0"/>
              <w:jc w:val="left"/>
              <w:rPr>
                <w:noProof/>
                <w:sz w:val="20"/>
                <w:szCs w:val="20"/>
              </w:rPr>
            </w:pPr>
            <w:r>
              <w:rPr>
                <w:noProof/>
                <w:sz w:val="20"/>
              </w:rPr>
              <w:t>Секретариат, Постоянен комитет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14.5</w:t>
            </w:r>
          </w:p>
        </w:tc>
        <w:tc>
          <w:tcPr>
            <w:tcW w:w="3097" w:type="dxa"/>
            <w:shd w:val="clear" w:color="auto" w:fill="auto"/>
          </w:tcPr>
          <w:p>
            <w:pPr>
              <w:spacing w:before="0" w:after="0"/>
              <w:jc w:val="left"/>
              <w:rPr>
                <w:rFonts w:eastAsia="Times New Roman"/>
                <w:noProof/>
                <w:sz w:val="20"/>
                <w:szCs w:val="20"/>
              </w:rPr>
            </w:pPr>
            <w:r>
              <w:rPr>
                <w:noProof/>
                <w:sz w:val="20"/>
              </w:rPr>
              <w:t>Сътрудничество с други организации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14.6</w:t>
            </w:r>
          </w:p>
        </w:tc>
        <w:tc>
          <w:tcPr>
            <w:tcW w:w="3097" w:type="dxa"/>
            <w:shd w:val="clear" w:color="auto" w:fill="auto"/>
          </w:tcPr>
          <w:p>
            <w:pPr>
              <w:spacing w:before="0" w:after="0"/>
              <w:jc w:val="left"/>
              <w:rPr>
                <w:rFonts w:eastAsia="Times New Roman"/>
                <w:noProof/>
                <w:sz w:val="20"/>
                <w:szCs w:val="20"/>
              </w:rPr>
            </w:pPr>
            <w:r>
              <w:rPr>
                <w:noProof/>
                <w:sz w:val="20"/>
              </w:rPr>
              <w:t>Сътрудничество със Световната стратегия за опазване на растенията относно биологичното разнообразие</w:t>
            </w:r>
          </w:p>
        </w:tc>
        <w:tc>
          <w:tcPr>
            <w:tcW w:w="1405" w:type="dxa"/>
            <w:shd w:val="clear" w:color="auto" w:fill="auto"/>
          </w:tcPr>
          <w:p>
            <w:pPr>
              <w:spacing w:before="0" w:after="0"/>
              <w:jc w:val="left"/>
              <w:rPr>
                <w:noProof/>
                <w:sz w:val="20"/>
                <w:szCs w:val="20"/>
              </w:rPr>
            </w:pPr>
            <w:r>
              <w:rPr>
                <w:noProof/>
                <w:sz w:val="20"/>
              </w:rPr>
              <w:t>MX</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15.</w:t>
            </w:r>
          </w:p>
        </w:tc>
        <w:tc>
          <w:tcPr>
            <w:tcW w:w="3097" w:type="dxa"/>
            <w:shd w:val="clear" w:color="auto" w:fill="auto"/>
          </w:tcPr>
          <w:p>
            <w:pPr>
              <w:spacing w:before="0" w:after="0"/>
              <w:jc w:val="left"/>
              <w:rPr>
                <w:rFonts w:eastAsia="Times New Roman"/>
                <w:noProof/>
                <w:sz w:val="20"/>
                <w:szCs w:val="20"/>
              </w:rPr>
            </w:pPr>
            <w:r>
              <w:rPr>
                <w:noProof/>
                <w:sz w:val="20"/>
              </w:rPr>
              <w:t>Изграждане на капацитет</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16.</w:t>
            </w:r>
          </w:p>
        </w:tc>
        <w:tc>
          <w:tcPr>
            <w:tcW w:w="3097" w:type="dxa"/>
            <w:shd w:val="clear" w:color="auto" w:fill="auto"/>
          </w:tcPr>
          <w:p>
            <w:pPr>
              <w:spacing w:before="0" w:after="0"/>
              <w:jc w:val="left"/>
              <w:rPr>
                <w:rFonts w:eastAsia="Times New Roman"/>
                <w:noProof/>
                <w:sz w:val="20"/>
                <w:szCs w:val="20"/>
              </w:rPr>
            </w:pPr>
            <w:r>
              <w:rPr>
                <w:noProof/>
                <w:sz w:val="20"/>
              </w:rPr>
              <w:t>CITES и прехрана</w:t>
            </w:r>
          </w:p>
        </w:tc>
        <w:tc>
          <w:tcPr>
            <w:tcW w:w="1405" w:type="dxa"/>
            <w:shd w:val="clear" w:color="auto" w:fill="auto"/>
          </w:tcPr>
          <w:p>
            <w:pPr>
              <w:spacing w:before="0" w:after="0"/>
              <w:jc w:val="left"/>
              <w:rPr>
                <w:noProof/>
                <w:sz w:val="20"/>
                <w:szCs w:val="20"/>
              </w:rPr>
            </w:pPr>
            <w:r>
              <w:rPr>
                <w:noProof/>
                <w:sz w:val="20"/>
              </w:rPr>
              <w:t>Постоянен комитет, Секретариат</w:t>
            </w:r>
          </w:p>
        </w:tc>
        <w:tc>
          <w:tcPr>
            <w:tcW w:w="3119" w:type="dxa"/>
            <w:shd w:val="clear" w:color="auto" w:fill="auto"/>
          </w:tcPr>
          <w:p>
            <w:pPr>
              <w:spacing w:before="0" w:after="0"/>
              <w:jc w:val="left"/>
              <w:rPr>
                <w:noProof/>
                <w:sz w:val="20"/>
                <w:szCs w:val="20"/>
              </w:rPr>
            </w:pPr>
            <w:r>
              <w:rPr>
                <w:noProof/>
                <w:sz w:val="20"/>
              </w:rPr>
              <w:t xml:space="preserve">Подкрепа за препоръките на Секретариата с две допълнения за резолюцията: в нея да бъде включено позоваване на резолюцията на UNEA относно трафика на екземпляри от дивата флора и фауна и да се посочи не само цел за устойчиво развитие 15.в, но и 15.7 (относно </w:t>
            </w:r>
            <w:r>
              <w:rPr>
                <w:noProof/>
                <w:sz w:val="20"/>
              </w:rPr>
              <w:lastRenderedPageBreak/>
              <w:t xml:space="preserve">ангажимента за борба с незаконната търговия с видове на дивата флора и фауна). В 17.EE в) следва също така да се посочат програмите на ООН (UNEP).  </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17.</w:t>
            </w:r>
          </w:p>
        </w:tc>
        <w:tc>
          <w:tcPr>
            <w:tcW w:w="3097" w:type="dxa"/>
            <w:shd w:val="clear" w:color="auto" w:fill="auto"/>
          </w:tcPr>
          <w:p>
            <w:pPr>
              <w:spacing w:before="0" w:after="0"/>
              <w:jc w:val="left"/>
              <w:rPr>
                <w:rFonts w:eastAsia="Times New Roman"/>
                <w:noProof/>
                <w:sz w:val="20"/>
                <w:szCs w:val="20"/>
              </w:rPr>
            </w:pPr>
            <w:r>
              <w:rPr>
                <w:noProof/>
                <w:sz w:val="20"/>
              </w:rPr>
              <w:t>Прехрана и продоволствена сигурност</w:t>
            </w:r>
          </w:p>
        </w:tc>
        <w:tc>
          <w:tcPr>
            <w:tcW w:w="1405" w:type="dxa"/>
            <w:shd w:val="clear" w:color="auto" w:fill="auto"/>
          </w:tcPr>
          <w:p>
            <w:pPr>
              <w:spacing w:before="0" w:after="0"/>
              <w:jc w:val="left"/>
              <w:rPr>
                <w:noProof/>
                <w:sz w:val="20"/>
                <w:szCs w:val="20"/>
              </w:rPr>
            </w:pPr>
            <w:r>
              <w:rPr>
                <w:noProof/>
                <w:sz w:val="20"/>
              </w:rPr>
              <w:t>AG, CI, NA</w:t>
            </w:r>
          </w:p>
        </w:tc>
        <w:tc>
          <w:tcPr>
            <w:tcW w:w="3119" w:type="dxa"/>
            <w:shd w:val="clear" w:color="auto" w:fill="auto"/>
          </w:tcPr>
          <w:p>
            <w:pPr>
              <w:spacing w:before="0" w:after="0"/>
              <w:jc w:val="left"/>
              <w:rPr>
                <w:noProof/>
                <w:sz w:val="20"/>
                <w:szCs w:val="20"/>
              </w:rPr>
            </w:pPr>
            <w:r>
              <w:rPr>
                <w:noProof/>
                <w:sz w:val="20"/>
              </w:rPr>
              <w:t xml:space="preserve">Оспорване на необходимостта от такава резолюция в контекста на приоритетите. CITES да не одобрява стратегически цели на друга организация (ФАО) и критериите за списъците се уреждат от CITES, подходът следва да не се променя. Във всеки случай въпросът може да бъде засегнат в резолюцията относно прехраната.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18.</w:t>
            </w:r>
          </w:p>
        </w:tc>
        <w:tc>
          <w:tcPr>
            <w:tcW w:w="3097" w:type="dxa"/>
            <w:shd w:val="clear" w:color="auto" w:fill="auto"/>
          </w:tcPr>
          <w:p>
            <w:pPr>
              <w:spacing w:before="0" w:after="0"/>
              <w:jc w:val="left"/>
              <w:rPr>
                <w:rFonts w:eastAsia="Times New Roman"/>
                <w:noProof/>
                <w:sz w:val="20"/>
                <w:szCs w:val="20"/>
              </w:rPr>
            </w:pPr>
            <w:r>
              <w:rPr>
                <w:noProof/>
                <w:sz w:val="20"/>
              </w:rPr>
              <w:t>Намаляване на търсенето</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18.1</w:t>
            </w:r>
          </w:p>
        </w:tc>
        <w:tc>
          <w:tcPr>
            <w:tcW w:w="3097" w:type="dxa"/>
            <w:shd w:val="clear" w:color="auto" w:fill="auto"/>
          </w:tcPr>
          <w:p>
            <w:pPr>
              <w:spacing w:before="0" w:after="0"/>
              <w:jc w:val="left"/>
              <w:rPr>
                <w:rFonts w:eastAsia="Times New Roman"/>
                <w:noProof/>
                <w:sz w:val="20"/>
                <w:szCs w:val="20"/>
              </w:rPr>
            </w:pPr>
            <w:r>
              <w:rPr>
                <w:noProof/>
                <w:sz w:val="20"/>
              </w:rPr>
              <w:t>Стратегии за намаляване на търсенето с цел борба с незаконната търговия с включени в CITES видове</w:t>
            </w:r>
          </w:p>
        </w:tc>
        <w:tc>
          <w:tcPr>
            <w:tcW w:w="1405"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Подкрепа. В буква г) следва да се включи повишаване на осведомеността относно по-широките въздействия на трафика на екземпляри от дивата флора и фауна (прехрана, устойчиво развитие).</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18.2</w:t>
            </w:r>
          </w:p>
        </w:tc>
        <w:tc>
          <w:tcPr>
            <w:tcW w:w="3097" w:type="dxa"/>
            <w:shd w:val="clear" w:color="auto" w:fill="auto"/>
          </w:tcPr>
          <w:p>
            <w:pPr>
              <w:spacing w:before="0" w:after="0"/>
              <w:jc w:val="left"/>
              <w:rPr>
                <w:rFonts w:eastAsia="Times New Roman"/>
                <w:noProof/>
                <w:sz w:val="20"/>
                <w:szCs w:val="20"/>
              </w:rPr>
            </w:pPr>
            <w:r>
              <w:rPr>
                <w:noProof/>
                <w:sz w:val="20"/>
              </w:rPr>
              <w:t>Разработване на насоки за намаляване на търсенето в рамките на CITES</w:t>
            </w:r>
            <w:r>
              <w:rPr>
                <w:noProof/>
                <w:sz w:val="20"/>
                <w:vertAlign w:val="superscript"/>
              </w:rPr>
              <w:t>1</w:t>
            </w:r>
          </w:p>
        </w:tc>
        <w:tc>
          <w:tcPr>
            <w:tcW w:w="1405" w:type="dxa"/>
            <w:shd w:val="clear" w:color="auto" w:fill="auto"/>
          </w:tcPr>
          <w:p>
            <w:pPr>
              <w:spacing w:before="0" w:after="0"/>
              <w:jc w:val="left"/>
              <w:rPr>
                <w:noProof/>
                <w:sz w:val="20"/>
                <w:szCs w:val="20"/>
              </w:rPr>
            </w:pPr>
            <w:r>
              <w:rPr>
                <w:noProof/>
                <w:sz w:val="20"/>
              </w:rPr>
              <w:t>GA, GN, NG, SN, TG</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19.</w:t>
            </w:r>
          </w:p>
        </w:tc>
        <w:tc>
          <w:tcPr>
            <w:tcW w:w="3097" w:type="dxa"/>
            <w:shd w:val="clear" w:color="auto" w:fill="auto"/>
          </w:tcPr>
          <w:p>
            <w:pPr>
              <w:spacing w:before="0" w:after="0"/>
              <w:jc w:val="left"/>
              <w:rPr>
                <w:rFonts w:eastAsia="Times New Roman"/>
                <w:noProof/>
                <w:sz w:val="20"/>
                <w:szCs w:val="20"/>
              </w:rPr>
            </w:pPr>
            <w:r>
              <w:rPr>
                <w:noProof/>
                <w:sz w:val="20"/>
              </w:rPr>
              <w:t>Световен ден на ООН, посветен на дивата природа</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r>
              <w:rPr>
                <w:noProof/>
                <w:sz w:val="20"/>
              </w:rPr>
              <w:t xml:space="preserve">Подкрепа за проекторезолюцията с малки допълнения (в параграф 2 от оперативната част да се добави „регионални“ към „организации“).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20.</w:t>
            </w:r>
          </w:p>
        </w:tc>
        <w:tc>
          <w:tcPr>
            <w:tcW w:w="3097" w:type="dxa"/>
            <w:shd w:val="clear" w:color="auto" w:fill="auto"/>
          </w:tcPr>
          <w:p>
            <w:pPr>
              <w:spacing w:before="0" w:after="0"/>
              <w:jc w:val="left"/>
              <w:rPr>
                <w:rFonts w:eastAsia="Times New Roman"/>
                <w:noProof/>
                <w:sz w:val="20"/>
                <w:szCs w:val="20"/>
              </w:rPr>
            </w:pPr>
            <w:r>
              <w:rPr>
                <w:noProof/>
                <w:sz w:val="20"/>
              </w:rPr>
              <w:t>Предоставяне на права на следващото поколение: CITES и приобщаването на младежта — Доклад на младежкия форум относно хората и дивата природа</w:t>
            </w:r>
          </w:p>
        </w:tc>
        <w:tc>
          <w:tcPr>
            <w:tcW w:w="1405" w:type="dxa"/>
            <w:shd w:val="clear" w:color="auto" w:fill="auto"/>
          </w:tcPr>
          <w:p>
            <w:pPr>
              <w:spacing w:before="0" w:after="0"/>
              <w:jc w:val="left"/>
              <w:rPr>
                <w:noProof/>
                <w:sz w:val="20"/>
                <w:szCs w:val="20"/>
              </w:rPr>
            </w:pPr>
            <w:r>
              <w:rPr>
                <w:noProof/>
                <w:sz w:val="20"/>
              </w:rPr>
              <w:t>ZA, US</w:t>
            </w:r>
          </w:p>
        </w:tc>
        <w:tc>
          <w:tcPr>
            <w:tcW w:w="3119" w:type="dxa"/>
            <w:shd w:val="clear" w:color="auto" w:fill="auto"/>
          </w:tcPr>
          <w:p>
            <w:pPr>
              <w:spacing w:before="0" w:after="0"/>
              <w:jc w:val="left"/>
              <w:rPr>
                <w:noProof/>
                <w:sz w:val="20"/>
                <w:szCs w:val="20"/>
              </w:rPr>
            </w:pPr>
            <w:r>
              <w:rPr>
                <w:noProof/>
                <w:sz w:val="20"/>
              </w:rPr>
              <w:t>Не е необходима намеса по тази точка от дневния ред.</w:t>
            </w:r>
          </w:p>
        </w:tc>
        <w:tc>
          <w:tcPr>
            <w:tcW w:w="992" w:type="dxa"/>
            <w:shd w:val="clear" w:color="auto" w:fill="auto"/>
          </w:tcPr>
          <w:p>
            <w:pPr>
              <w:spacing w:before="0" w:after="0"/>
              <w:jc w:val="center"/>
              <w:rPr>
                <w:noProof/>
                <w:sz w:val="20"/>
                <w:szCs w:val="20"/>
              </w:rPr>
            </w:pPr>
            <w:r>
              <w:rPr>
                <w:noProof/>
                <w:sz w:val="20"/>
              </w:rPr>
              <w:t>+</w:t>
            </w:r>
          </w:p>
        </w:tc>
      </w:tr>
      <w:tr>
        <w:tc>
          <w:tcPr>
            <w:tcW w:w="9464" w:type="dxa"/>
            <w:gridSpan w:val="5"/>
            <w:shd w:val="clear" w:color="auto" w:fill="auto"/>
          </w:tcPr>
          <w:p>
            <w:pPr>
              <w:jc w:val="left"/>
              <w:rPr>
                <w:noProof/>
                <w:sz w:val="20"/>
                <w:szCs w:val="20"/>
              </w:rPr>
            </w:pPr>
            <w:r>
              <w:rPr>
                <w:b/>
                <w:noProof/>
                <w:sz w:val="20"/>
              </w:rPr>
              <w:t>Въпроси, свързани с тълкуването и прилагането</w:t>
            </w:r>
          </w:p>
        </w:tc>
      </w:tr>
      <w:tr>
        <w:tc>
          <w:tcPr>
            <w:tcW w:w="9464" w:type="dxa"/>
            <w:gridSpan w:val="5"/>
            <w:shd w:val="clear" w:color="auto" w:fill="auto"/>
            <w:vAlign w:val="center"/>
          </w:tcPr>
          <w:p>
            <w:pPr>
              <w:spacing w:before="60" w:after="60"/>
              <w:jc w:val="left"/>
              <w:rPr>
                <w:noProof/>
                <w:sz w:val="20"/>
                <w:szCs w:val="20"/>
              </w:rPr>
            </w:pPr>
            <w:r>
              <w:rPr>
                <w:noProof/>
                <w:sz w:val="20"/>
                <w:u w:val="single"/>
              </w:rPr>
              <w:t>Съществуващи резолюции и решения</w:t>
            </w:r>
          </w:p>
        </w:tc>
      </w:tr>
      <w:tr>
        <w:tc>
          <w:tcPr>
            <w:tcW w:w="851" w:type="dxa"/>
            <w:shd w:val="clear" w:color="auto" w:fill="auto"/>
          </w:tcPr>
          <w:p>
            <w:pPr>
              <w:spacing w:before="0" w:after="0"/>
              <w:rPr>
                <w:rFonts w:eastAsia="Times New Roman"/>
                <w:noProof/>
                <w:sz w:val="20"/>
                <w:szCs w:val="20"/>
              </w:rPr>
            </w:pPr>
            <w:r>
              <w:rPr>
                <w:noProof/>
                <w:sz w:val="20"/>
              </w:rPr>
              <w:t>21.</w:t>
            </w:r>
          </w:p>
        </w:tc>
        <w:tc>
          <w:tcPr>
            <w:tcW w:w="3097" w:type="dxa"/>
            <w:shd w:val="clear" w:color="auto" w:fill="auto"/>
          </w:tcPr>
          <w:p>
            <w:pPr>
              <w:spacing w:before="0" w:after="0"/>
              <w:jc w:val="left"/>
              <w:rPr>
                <w:rFonts w:eastAsia="Times New Roman"/>
                <w:noProof/>
                <w:sz w:val="20"/>
                <w:szCs w:val="20"/>
              </w:rPr>
            </w:pPr>
            <w:r>
              <w:rPr>
                <w:noProof/>
                <w:sz w:val="20"/>
              </w:rPr>
              <w:t>Преглед на резолюциите и решенията </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noProof/>
                <w:sz w:val="20"/>
                <w:u w:val="single"/>
              </w:rPr>
              <w:t>Общо спазване и изпълнение</w:t>
            </w:r>
          </w:p>
        </w:tc>
      </w:tr>
      <w:tr>
        <w:tc>
          <w:tcPr>
            <w:tcW w:w="851" w:type="dxa"/>
            <w:shd w:val="clear" w:color="auto" w:fill="auto"/>
          </w:tcPr>
          <w:p>
            <w:pPr>
              <w:spacing w:before="0" w:after="0"/>
              <w:rPr>
                <w:rFonts w:eastAsia="Times New Roman"/>
                <w:noProof/>
                <w:sz w:val="20"/>
                <w:szCs w:val="20"/>
              </w:rPr>
            </w:pPr>
            <w:r>
              <w:rPr>
                <w:noProof/>
                <w:sz w:val="20"/>
              </w:rPr>
              <w:t>22.</w:t>
            </w:r>
          </w:p>
        </w:tc>
        <w:tc>
          <w:tcPr>
            <w:tcW w:w="3097" w:type="dxa"/>
            <w:shd w:val="clear" w:color="auto" w:fill="auto"/>
          </w:tcPr>
          <w:p>
            <w:pPr>
              <w:spacing w:before="0" w:after="0"/>
              <w:jc w:val="left"/>
              <w:rPr>
                <w:rFonts w:eastAsia="Times New Roman"/>
                <w:noProof/>
                <w:sz w:val="20"/>
                <w:szCs w:val="20"/>
              </w:rPr>
            </w:pPr>
            <w:r>
              <w:rPr>
                <w:noProof/>
                <w:sz w:val="20"/>
              </w:rPr>
              <w:t>Национални закони за прилагане на конвенцията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23.</w:t>
            </w:r>
          </w:p>
        </w:tc>
        <w:tc>
          <w:tcPr>
            <w:tcW w:w="3097" w:type="dxa"/>
            <w:shd w:val="clear" w:color="auto" w:fill="auto"/>
          </w:tcPr>
          <w:p>
            <w:pPr>
              <w:spacing w:before="0" w:after="0"/>
              <w:jc w:val="left"/>
              <w:rPr>
                <w:rFonts w:eastAsia="Times New Roman"/>
                <w:noProof/>
                <w:sz w:val="20"/>
                <w:szCs w:val="20"/>
              </w:rPr>
            </w:pPr>
            <w:r>
              <w:rPr>
                <w:noProof/>
                <w:sz w:val="20"/>
              </w:rPr>
              <w:t>Въпроси във връзка със спазването на CITES</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24.</w:t>
            </w:r>
          </w:p>
        </w:tc>
        <w:tc>
          <w:tcPr>
            <w:tcW w:w="3097" w:type="dxa"/>
            <w:shd w:val="clear" w:color="auto" w:fill="auto"/>
          </w:tcPr>
          <w:p>
            <w:pPr>
              <w:spacing w:before="0" w:after="0"/>
              <w:jc w:val="left"/>
              <w:rPr>
                <w:rFonts w:eastAsia="Times New Roman"/>
                <w:noProof/>
                <w:sz w:val="20"/>
                <w:szCs w:val="20"/>
              </w:rPr>
            </w:pPr>
            <w:r>
              <w:rPr>
                <w:noProof/>
                <w:sz w:val="20"/>
              </w:rPr>
              <w:t>Процес по изпълнение на националните планове за действие във връзка с търговията със слонова кост</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25.</w:t>
            </w:r>
          </w:p>
        </w:tc>
        <w:tc>
          <w:tcPr>
            <w:tcW w:w="3097" w:type="dxa"/>
            <w:shd w:val="clear" w:color="auto" w:fill="auto"/>
          </w:tcPr>
          <w:p>
            <w:pPr>
              <w:spacing w:before="0" w:after="0"/>
              <w:jc w:val="left"/>
              <w:rPr>
                <w:rFonts w:eastAsia="Times New Roman"/>
                <w:noProof/>
                <w:sz w:val="20"/>
                <w:szCs w:val="20"/>
              </w:rPr>
            </w:pPr>
            <w:r>
              <w:rPr>
                <w:noProof/>
                <w:sz w:val="20"/>
              </w:rPr>
              <w:t>Въпроси във връзка с изпълнението</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26.</w:t>
            </w:r>
          </w:p>
        </w:tc>
        <w:tc>
          <w:tcPr>
            <w:tcW w:w="3097" w:type="dxa"/>
            <w:shd w:val="clear" w:color="auto" w:fill="auto"/>
          </w:tcPr>
          <w:p>
            <w:pPr>
              <w:spacing w:before="0" w:after="0"/>
              <w:jc w:val="left"/>
              <w:rPr>
                <w:rFonts w:eastAsia="Times New Roman"/>
                <w:noProof/>
                <w:sz w:val="20"/>
                <w:szCs w:val="20"/>
              </w:rPr>
            </w:pPr>
            <w:r>
              <w:rPr>
                <w:noProof/>
                <w:sz w:val="20"/>
              </w:rPr>
              <w:t xml:space="preserve">Незаконна международна </w:t>
            </w:r>
            <w:r>
              <w:rPr>
                <w:noProof/>
                <w:sz w:val="20"/>
              </w:rPr>
              <w:lastRenderedPageBreak/>
              <w:t>търговия с видове от дивата флора и фауна</w:t>
            </w:r>
          </w:p>
        </w:tc>
        <w:tc>
          <w:tcPr>
            <w:tcW w:w="1405" w:type="dxa"/>
            <w:shd w:val="clear" w:color="auto" w:fill="auto"/>
          </w:tcPr>
          <w:p>
            <w:pPr>
              <w:spacing w:before="0" w:after="0"/>
              <w:jc w:val="left"/>
              <w:rPr>
                <w:noProof/>
                <w:sz w:val="20"/>
                <w:szCs w:val="20"/>
              </w:rPr>
            </w:pPr>
            <w:r>
              <w:rPr>
                <w:noProof/>
                <w:sz w:val="20"/>
              </w:rPr>
              <w:lastRenderedPageBreak/>
              <w:t>ZA</w:t>
            </w:r>
          </w:p>
        </w:tc>
        <w:tc>
          <w:tcPr>
            <w:tcW w:w="3119" w:type="dxa"/>
            <w:shd w:val="clear" w:color="auto" w:fill="auto"/>
          </w:tcPr>
          <w:p>
            <w:pPr>
              <w:spacing w:before="0" w:after="0"/>
              <w:jc w:val="left"/>
              <w:rPr>
                <w:noProof/>
                <w:sz w:val="20"/>
                <w:szCs w:val="20"/>
              </w:rPr>
            </w:pPr>
            <w:r>
              <w:rPr>
                <w:noProof/>
                <w:sz w:val="20"/>
              </w:rPr>
              <w:t xml:space="preserve">Принципна подкрепа; да се </w:t>
            </w:r>
            <w:r>
              <w:rPr>
                <w:noProof/>
                <w:sz w:val="20"/>
              </w:rPr>
              <w:lastRenderedPageBreak/>
              <w:t>изиска пояснение относно предвидения механизъм за споделяне на информация и да се предложи със засиленото сътрудничество с UNTOC/UNCAC да се заеме Секретариатът, а не Постоянният комитет.</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27.</w:t>
            </w:r>
          </w:p>
        </w:tc>
        <w:tc>
          <w:tcPr>
            <w:tcW w:w="3097" w:type="dxa"/>
            <w:shd w:val="clear" w:color="auto" w:fill="auto"/>
          </w:tcPr>
          <w:p>
            <w:pPr>
              <w:spacing w:before="0" w:after="0"/>
              <w:jc w:val="left"/>
              <w:rPr>
                <w:rFonts w:eastAsia="Times New Roman"/>
                <w:noProof/>
                <w:sz w:val="20"/>
                <w:szCs w:val="20"/>
              </w:rPr>
            </w:pPr>
            <w:r>
              <w:rPr>
                <w:noProof/>
                <w:sz w:val="20"/>
              </w:rPr>
              <w:t>Действия за борба с трафика на екземпляри от дивата флора и фауна</w:t>
            </w:r>
          </w:p>
        </w:tc>
        <w:tc>
          <w:tcPr>
            <w:tcW w:w="1405"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Вж. документ 57.2.</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28.</w:t>
            </w:r>
          </w:p>
        </w:tc>
        <w:tc>
          <w:tcPr>
            <w:tcW w:w="3097" w:type="dxa"/>
            <w:shd w:val="clear" w:color="auto" w:fill="auto"/>
          </w:tcPr>
          <w:p>
            <w:pPr>
              <w:spacing w:before="0" w:after="0"/>
              <w:jc w:val="left"/>
              <w:rPr>
                <w:rFonts w:eastAsia="Times New Roman"/>
                <w:noProof/>
                <w:sz w:val="20"/>
                <w:szCs w:val="20"/>
              </w:rPr>
            </w:pPr>
            <w:r>
              <w:rPr>
                <w:noProof/>
                <w:sz w:val="20"/>
              </w:rPr>
              <w:t>Забрана, предотвратяване и борба с корупцията, улесняваща дейностите в нарушение на конвенцията</w:t>
            </w:r>
          </w:p>
        </w:tc>
        <w:tc>
          <w:tcPr>
            <w:tcW w:w="1405" w:type="dxa"/>
            <w:shd w:val="clear" w:color="auto" w:fill="auto"/>
          </w:tcPr>
          <w:p>
            <w:pPr>
              <w:spacing w:before="0" w:after="0"/>
              <w:jc w:val="left"/>
              <w:rPr>
                <w:noProof/>
                <w:sz w:val="20"/>
                <w:szCs w:val="20"/>
              </w:rPr>
            </w:pPr>
            <w:r>
              <w:rPr>
                <w:noProof/>
                <w:sz w:val="20"/>
              </w:rPr>
              <w:t>EU, SN</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29.</w:t>
            </w:r>
          </w:p>
        </w:tc>
        <w:tc>
          <w:tcPr>
            <w:tcW w:w="3097" w:type="dxa"/>
            <w:shd w:val="clear" w:color="auto" w:fill="auto"/>
          </w:tcPr>
          <w:p>
            <w:pPr>
              <w:spacing w:before="0" w:after="0"/>
              <w:jc w:val="left"/>
              <w:rPr>
                <w:rFonts w:eastAsia="Times New Roman"/>
                <w:noProof/>
                <w:sz w:val="20"/>
                <w:szCs w:val="20"/>
              </w:rPr>
            </w:pPr>
            <w:r>
              <w:rPr>
                <w:noProof/>
                <w:sz w:val="20"/>
              </w:rPr>
              <w:t>Борба с киберпрестъпленията спрямо дивата природа</w:t>
            </w:r>
          </w:p>
        </w:tc>
        <w:tc>
          <w:tcPr>
            <w:tcW w:w="1405" w:type="dxa"/>
            <w:shd w:val="clear" w:color="auto" w:fill="auto"/>
          </w:tcPr>
          <w:p>
            <w:pPr>
              <w:spacing w:before="0" w:after="0"/>
              <w:jc w:val="left"/>
              <w:rPr>
                <w:noProof/>
                <w:sz w:val="20"/>
                <w:szCs w:val="20"/>
              </w:rPr>
            </w:pPr>
            <w:r>
              <w:rPr>
                <w:noProof/>
                <w:sz w:val="20"/>
              </w:rPr>
              <w:t>KE</w:t>
            </w:r>
          </w:p>
        </w:tc>
        <w:tc>
          <w:tcPr>
            <w:tcW w:w="3119" w:type="dxa"/>
            <w:shd w:val="clear" w:color="auto" w:fill="auto"/>
          </w:tcPr>
          <w:p>
            <w:pPr>
              <w:spacing w:before="0" w:after="0"/>
              <w:jc w:val="left"/>
              <w:rPr>
                <w:noProof/>
                <w:sz w:val="20"/>
                <w:szCs w:val="20"/>
              </w:rPr>
            </w:pPr>
            <w:r>
              <w:rPr>
                <w:noProof/>
                <w:sz w:val="20"/>
              </w:rPr>
              <w:t xml:space="preserve">Подкрепа за приемането на резолюция по този важен въпрос. Ще се настоява обаче за някои пояснение и за по-ограничени искания в решението.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30.</w:t>
            </w:r>
          </w:p>
        </w:tc>
        <w:tc>
          <w:tcPr>
            <w:tcW w:w="3097" w:type="dxa"/>
            <w:shd w:val="clear" w:color="auto" w:fill="auto"/>
          </w:tcPr>
          <w:p>
            <w:pPr>
              <w:spacing w:before="0" w:after="0"/>
              <w:jc w:val="left"/>
              <w:rPr>
                <w:rFonts w:eastAsia="Times New Roman"/>
                <w:noProof/>
                <w:sz w:val="20"/>
                <w:szCs w:val="20"/>
              </w:rPr>
            </w:pPr>
            <w:r>
              <w:rPr>
                <w:noProof/>
                <w:sz w:val="20"/>
              </w:rPr>
              <w:t>Подкрепа за борбата срещу престъпленията спрямо дивата природа в Западна и Централна Африка</w:t>
            </w:r>
            <w:r>
              <w:rPr>
                <w:noProof/>
                <w:sz w:val="20"/>
                <w:vertAlign w:val="superscript"/>
              </w:rPr>
              <w:t>1</w:t>
            </w:r>
          </w:p>
        </w:tc>
        <w:tc>
          <w:tcPr>
            <w:tcW w:w="1405" w:type="dxa"/>
            <w:shd w:val="clear" w:color="auto" w:fill="auto"/>
          </w:tcPr>
          <w:p>
            <w:pPr>
              <w:spacing w:before="0" w:after="0"/>
              <w:jc w:val="left"/>
              <w:rPr>
                <w:noProof/>
                <w:sz w:val="20"/>
                <w:szCs w:val="20"/>
              </w:rPr>
            </w:pPr>
            <w:r>
              <w:rPr>
                <w:noProof/>
                <w:sz w:val="20"/>
              </w:rPr>
              <w:t>GA, GN, NG, SN, TG</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31.</w:t>
            </w:r>
          </w:p>
        </w:tc>
        <w:tc>
          <w:tcPr>
            <w:tcW w:w="3097" w:type="dxa"/>
            <w:shd w:val="clear" w:color="auto" w:fill="auto"/>
          </w:tcPr>
          <w:p>
            <w:pPr>
              <w:spacing w:before="0" w:after="0"/>
              <w:jc w:val="left"/>
              <w:rPr>
                <w:rFonts w:eastAsia="Times New Roman"/>
                <w:noProof/>
                <w:sz w:val="20"/>
                <w:szCs w:val="20"/>
              </w:rPr>
            </w:pPr>
            <w:r>
              <w:rPr>
                <w:noProof/>
                <w:sz w:val="20"/>
              </w:rPr>
              <w:t>Прилагане и изпълнение на конвенцията, тъй като тя се отнася до търговията с видовете, изброени в приложение I</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32.</w:t>
            </w:r>
          </w:p>
        </w:tc>
        <w:tc>
          <w:tcPr>
            <w:tcW w:w="3097" w:type="dxa"/>
            <w:shd w:val="clear" w:color="auto" w:fill="auto"/>
          </w:tcPr>
          <w:p>
            <w:pPr>
              <w:spacing w:before="0" w:after="0"/>
              <w:jc w:val="left"/>
              <w:rPr>
                <w:rFonts w:eastAsia="Times New Roman"/>
                <w:noProof/>
                <w:sz w:val="20"/>
                <w:szCs w:val="20"/>
              </w:rPr>
            </w:pPr>
            <w:r>
              <w:rPr>
                <w:noProof/>
                <w:sz w:val="20"/>
              </w:rPr>
              <w:t>Прилагането на конвенцията във връзка с екземпляри, отгледани в плен или в контролирана среда </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Приветства се приемането на нова резолюция и решения по този важен въпрос. Не се подкрепят обаче всички препоръки на Секретариата.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33.</w:t>
            </w:r>
          </w:p>
        </w:tc>
        <w:tc>
          <w:tcPr>
            <w:tcW w:w="3097" w:type="dxa"/>
            <w:shd w:val="clear" w:color="auto" w:fill="auto"/>
          </w:tcPr>
          <w:p>
            <w:pPr>
              <w:spacing w:before="0" w:after="0"/>
              <w:jc w:val="left"/>
              <w:rPr>
                <w:rFonts w:eastAsia="Times New Roman"/>
                <w:noProof/>
                <w:sz w:val="20"/>
                <w:szCs w:val="20"/>
              </w:rPr>
            </w:pPr>
            <w:r>
              <w:rPr>
                <w:noProof/>
                <w:sz w:val="20"/>
              </w:rPr>
              <w:t>Оценка на прегледа на значителната търговия</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34.</w:t>
            </w:r>
          </w:p>
        </w:tc>
        <w:tc>
          <w:tcPr>
            <w:tcW w:w="3097" w:type="dxa"/>
            <w:shd w:val="clear" w:color="auto" w:fill="auto"/>
          </w:tcPr>
          <w:p>
            <w:pPr>
              <w:spacing w:before="0" w:after="0"/>
              <w:jc w:val="left"/>
              <w:rPr>
                <w:rFonts w:eastAsia="Times New Roman"/>
                <w:noProof/>
                <w:sz w:val="20"/>
                <w:szCs w:val="20"/>
              </w:rPr>
            </w:pPr>
            <w:r>
              <w:rPr>
                <w:noProof/>
                <w:sz w:val="20"/>
              </w:rPr>
              <w:t>Разпореждане с незаконно търгувани и конфискувани екземпляри от видове от приложения І, II и III</w:t>
            </w:r>
          </w:p>
        </w:tc>
        <w:tc>
          <w:tcPr>
            <w:tcW w:w="1405" w:type="dxa"/>
            <w:shd w:val="clear" w:color="auto" w:fill="auto"/>
          </w:tcPr>
          <w:p>
            <w:pPr>
              <w:spacing w:before="0" w:after="0"/>
              <w:jc w:val="left"/>
              <w:rPr>
                <w:noProof/>
                <w:sz w:val="20"/>
                <w:szCs w:val="20"/>
              </w:rPr>
            </w:pPr>
            <w:r>
              <w:rPr>
                <w:noProof/>
                <w:sz w:val="20"/>
              </w:rPr>
              <w:t>Постоянен комитет, CH</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noProof/>
                <w:sz w:val="20"/>
                <w:u w:val="single"/>
              </w:rPr>
              <w:t>Докладване</w:t>
            </w:r>
          </w:p>
        </w:tc>
      </w:tr>
      <w:tr>
        <w:tc>
          <w:tcPr>
            <w:tcW w:w="851" w:type="dxa"/>
            <w:shd w:val="clear" w:color="auto" w:fill="auto"/>
          </w:tcPr>
          <w:p>
            <w:pPr>
              <w:spacing w:before="0" w:after="0"/>
              <w:rPr>
                <w:rFonts w:eastAsia="Times New Roman"/>
                <w:noProof/>
                <w:sz w:val="20"/>
                <w:szCs w:val="20"/>
              </w:rPr>
            </w:pPr>
            <w:r>
              <w:rPr>
                <w:noProof/>
                <w:sz w:val="20"/>
              </w:rPr>
              <w:t>35.</w:t>
            </w:r>
          </w:p>
        </w:tc>
        <w:tc>
          <w:tcPr>
            <w:tcW w:w="3097" w:type="dxa"/>
            <w:shd w:val="clear" w:color="auto" w:fill="auto"/>
          </w:tcPr>
          <w:p>
            <w:pPr>
              <w:spacing w:before="0" w:after="0"/>
              <w:jc w:val="left"/>
              <w:rPr>
                <w:rFonts w:eastAsia="Times New Roman"/>
                <w:noProof/>
                <w:sz w:val="20"/>
                <w:szCs w:val="20"/>
              </w:rPr>
            </w:pPr>
            <w:r>
              <w:rPr>
                <w:noProof/>
                <w:sz w:val="20"/>
              </w:rPr>
              <w:t>Преглед на изискванията за докладване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35.1</w:t>
            </w:r>
          </w:p>
        </w:tc>
        <w:tc>
          <w:tcPr>
            <w:tcW w:w="3097" w:type="dxa"/>
            <w:shd w:val="clear" w:color="auto" w:fill="auto"/>
          </w:tcPr>
          <w:p>
            <w:pPr>
              <w:spacing w:before="0" w:after="0"/>
              <w:jc w:val="left"/>
              <w:rPr>
                <w:rFonts w:eastAsia="Times New Roman"/>
                <w:noProof/>
                <w:sz w:val="20"/>
                <w:szCs w:val="20"/>
              </w:rPr>
            </w:pPr>
            <w:r>
              <w:rPr>
                <w:noProof/>
                <w:sz w:val="20"/>
              </w:rPr>
              <w:t>Доклад на Постоянния комитет</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35.2</w:t>
            </w:r>
          </w:p>
        </w:tc>
        <w:tc>
          <w:tcPr>
            <w:tcW w:w="3097" w:type="dxa"/>
            <w:shd w:val="clear" w:color="auto" w:fill="auto"/>
          </w:tcPr>
          <w:p>
            <w:pPr>
              <w:spacing w:before="0" w:after="0"/>
              <w:jc w:val="left"/>
              <w:rPr>
                <w:rFonts w:eastAsia="Times New Roman"/>
                <w:noProof/>
                <w:sz w:val="20"/>
                <w:szCs w:val="20"/>
              </w:rPr>
            </w:pPr>
            <w:r>
              <w:rPr>
                <w:noProof/>
                <w:sz w:val="20"/>
              </w:rPr>
              <w:t>Доклад на Секретариата</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9464" w:type="dxa"/>
            <w:gridSpan w:val="5"/>
            <w:shd w:val="clear" w:color="auto" w:fill="auto"/>
            <w:vAlign w:val="center"/>
          </w:tcPr>
          <w:p>
            <w:pPr>
              <w:spacing w:before="60" w:after="60"/>
              <w:jc w:val="left"/>
              <w:rPr>
                <w:noProof/>
                <w:sz w:val="20"/>
                <w:szCs w:val="20"/>
              </w:rPr>
            </w:pPr>
            <w:r>
              <w:rPr>
                <w:noProof/>
                <w:sz w:val="20"/>
                <w:u w:val="single"/>
              </w:rPr>
              <w:t>Въпроси, свързани с контрола на търговията и проследимостта</w:t>
            </w:r>
          </w:p>
        </w:tc>
      </w:tr>
      <w:tr>
        <w:tc>
          <w:tcPr>
            <w:tcW w:w="851" w:type="dxa"/>
            <w:shd w:val="clear" w:color="auto" w:fill="auto"/>
          </w:tcPr>
          <w:p>
            <w:pPr>
              <w:spacing w:before="0" w:after="0"/>
              <w:rPr>
                <w:rFonts w:eastAsia="Times New Roman"/>
                <w:noProof/>
                <w:sz w:val="20"/>
                <w:szCs w:val="20"/>
              </w:rPr>
            </w:pPr>
            <w:r>
              <w:rPr>
                <w:noProof/>
                <w:sz w:val="20"/>
              </w:rPr>
              <w:t>36.</w:t>
            </w:r>
          </w:p>
        </w:tc>
        <w:tc>
          <w:tcPr>
            <w:tcW w:w="3097" w:type="dxa"/>
            <w:shd w:val="clear" w:color="auto" w:fill="auto"/>
          </w:tcPr>
          <w:p>
            <w:pPr>
              <w:spacing w:before="0" w:after="0"/>
              <w:jc w:val="left"/>
              <w:rPr>
                <w:rFonts w:eastAsia="Times New Roman"/>
                <w:noProof/>
                <w:sz w:val="20"/>
                <w:szCs w:val="20"/>
              </w:rPr>
            </w:pPr>
            <w:r>
              <w:rPr>
                <w:noProof/>
                <w:sz w:val="20"/>
              </w:rPr>
              <w:t>Въвеждане по море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37.</w:t>
            </w:r>
          </w:p>
        </w:tc>
        <w:tc>
          <w:tcPr>
            <w:tcW w:w="3097" w:type="dxa"/>
            <w:shd w:val="clear" w:color="auto" w:fill="auto"/>
          </w:tcPr>
          <w:p>
            <w:pPr>
              <w:spacing w:before="0" w:after="0"/>
              <w:jc w:val="left"/>
              <w:rPr>
                <w:rFonts w:eastAsia="Times New Roman"/>
                <w:noProof/>
                <w:sz w:val="20"/>
                <w:szCs w:val="20"/>
              </w:rPr>
            </w:pPr>
            <w:r>
              <w:rPr>
                <w:noProof/>
                <w:sz w:val="20"/>
              </w:rPr>
              <w:t>Кодове за транзакция с определена цел за разрешителни и сертификати по CITES</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38.</w:t>
            </w:r>
          </w:p>
        </w:tc>
        <w:tc>
          <w:tcPr>
            <w:tcW w:w="3097" w:type="dxa"/>
            <w:shd w:val="clear" w:color="auto" w:fill="auto"/>
          </w:tcPr>
          <w:p>
            <w:pPr>
              <w:spacing w:before="0" w:after="0"/>
              <w:jc w:val="left"/>
              <w:rPr>
                <w:rFonts w:eastAsia="Times New Roman"/>
                <w:noProof/>
                <w:sz w:val="20"/>
                <w:szCs w:val="20"/>
              </w:rPr>
            </w:pPr>
            <w:r>
              <w:rPr>
                <w:noProof/>
                <w:sz w:val="20"/>
              </w:rPr>
              <w:t>Идентифициране на кост от слон и мамут, която е обект на търговия</w:t>
            </w:r>
          </w:p>
        </w:tc>
        <w:tc>
          <w:tcPr>
            <w:tcW w:w="1405" w:type="dxa"/>
            <w:shd w:val="clear" w:color="auto" w:fill="auto"/>
          </w:tcPr>
          <w:p>
            <w:pPr>
              <w:spacing w:before="0" w:after="0"/>
              <w:jc w:val="left"/>
              <w:rPr>
                <w:noProof/>
                <w:sz w:val="20"/>
                <w:szCs w:val="20"/>
              </w:rPr>
            </w:pPr>
            <w:r>
              <w:rPr>
                <w:noProof/>
                <w:sz w:val="20"/>
              </w:rPr>
              <w:t>IL</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39.</w:t>
            </w:r>
          </w:p>
        </w:tc>
        <w:tc>
          <w:tcPr>
            <w:tcW w:w="3097" w:type="dxa"/>
            <w:shd w:val="clear" w:color="auto" w:fill="auto"/>
          </w:tcPr>
          <w:p>
            <w:pPr>
              <w:spacing w:before="0" w:after="0"/>
              <w:jc w:val="left"/>
              <w:rPr>
                <w:rFonts w:eastAsia="Times New Roman"/>
                <w:noProof/>
                <w:sz w:val="20"/>
                <w:szCs w:val="20"/>
              </w:rPr>
            </w:pPr>
            <w:r>
              <w:rPr>
                <w:noProof/>
                <w:sz w:val="20"/>
              </w:rPr>
              <w:t>Ловни трофеи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39.1</w:t>
            </w:r>
          </w:p>
        </w:tc>
        <w:tc>
          <w:tcPr>
            <w:tcW w:w="3097" w:type="dxa"/>
            <w:shd w:val="clear" w:color="auto" w:fill="auto"/>
          </w:tcPr>
          <w:p>
            <w:pPr>
              <w:spacing w:before="0" w:after="0"/>
              <w:jc w:val="left"/>
              <w:rPr>
                <w:rFonts w:eastAsia="Times New Roman"/>
                <w:noProof/>
                <w:sz w:val="20"/>
                <w:szCs w:val="20"/>
              </w:rPr>
            </w:pPr>
            <w:r>
              <w:rPr>
                <w:noProof/>
                <w:sz w:val="20"/>
              </w:rPr>
              <w:t>Ловни трофеи от видове, изброени в приложение I или II</w:t>
            </w:r>
          </w:p>
        </w:tc>
        <w:tc>
          <w:tcPr>
            <w:tcW w:w="1405" w:type="dxa"/>
            <w:shd w:val="clear" w:color="auto" w:fill="auto"/>
          </w:tcPr>
          <w:p>
            <w:pPr>
              <w:spacing w:before="0" w:after="0"/>
              <w:jc w:val="left"/>
              <w:rPr>
                <w:noProof/>
                <w:sz w:val="20"/>
                <w:szCs w:val="20"/>
              </w:rPr>
            </w:pPr>
            <w:r>
              <w:rPr>
                <w:noProof/>
                <w:sz w:val="20"/>
              </w:rPr>
              <w:t>EU</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39.2</w:t>
            </w:r>
          </w:p>
        </w:tc>
        <w:tc>
          <w:tcPr>
            <w:tcW w:w="3097" w:type="dxa"/>
            <w:shd w:val="clear" w:color="auto" w:fill="auto"/>
          </w:tcPr>
          <w:p>
            <w:pPr>
              <w:spacing w:before="0" w:after="0"/>
              <w:jc w:val="left"/>
              <w:rPr>
                <w:rFonts w:eastAsia="Times New Roman"/>
                <w:noProof/>
                <w:sz w:val="20"/>
                <w:szCs w:val="20"/>
              </w:rPr>
            </w:pPr>
            <w:r>
              <w:rPr>
                <w:noProof/>
                <w:sz w:val="20"/>
              </w:rPr>
              <w:t>Търговия с ловни трофеи от видове, изброени в приложение II</w:t>
            </w:r>
          </w:p>
        </w:tc>
        <w:tc>
          <w:tcPr>
            <w:tcW w:w="1405" w:type="dxa"/>
            <w:shd w:val="clear" w:color="auto" w:fill="auto"/>
          </w:tcPr>
          <w:p>
            <w:pPr>
              <w:spacing w:before="0" w:after="0"/>
              <w:jc w:val="left"/>
              <w:rPr>
                <w:noProof/>
                <w:sz w:val="20"/>
                <w:szCs w:val="20"/>
              </w:rPr>
            </w:pPr>
            <w:r>
              <w:rPr>
                <w:noProof/>
                <w:sz w:val="20"/>
              </w:rPr>
              <w:t>ZA</w:t>
            </w:r>
          </w:p>
        </w:tc>
        <w:tc>
          <w:tcPr>
            <w:tcW w:w="3119" w:type="dxa"/>
            <w:shd w:val="clear" w:color="auto" w:fill="auto"/>
          </w:tcPr>
          <w:p>
            <w:pPr>
              <w:spacing w:before="0" w:after="0"/>
              <w:jc w:val="left"/>
              <w:rPr>
                <w:noProof/>
                <w:sz w:val="20"/>
                <w:szCs w:val="20"/>
              </w:rPr>
            </w:pPr>
            <w:r>
              <w:rPr>
                <w:noProof/>
                <w:sz w:val="20"/>
              </w:rPr>
              <w:t>Подкрепа, но Южна Африка се приканва да слее предложението си с предложението на ЕС относно ловните трофеи.</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40.</w:t>
            </w:r>
          </w:p>
        </w:tc>
        <w:tc>
          <w:tcPr>
            <w:tcW w:w="3097" w:type="dxa"/>
            <w:shd w:val="clear" w:color="auto" w:fill="auto"/>
          </w:tcPr>
          <w:p>
            <w:pPr>
              <w:spacing w:before="0" w:after="0"/>
              <w:jc w:val="left"/>
              <w:rPr>
                <w:rFonts w:eastAsia="Times New Roman"/>
                <w:noProof/>
                <w:sz w:val="20"/>
                <w:szCs w:val="20"/>
              </w:rPr>
            </w:pPr>
            <w:r>
              <w:rPr>
                <w:noProof/>
                <w:sz w:val="20"/>
              </w:rPr>
              <w:t>Международна търговия с живи животни, изброени в приложение II, до подходящи и приемливи местоназначения</w:t>
            </w:r>
          </w:p>
        </w:tc>
        <w:tc>
          <w:tcPr>
            <w:tcW w:w="1405"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Подкрепа (вж. връзката с предложение 57.4).</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41.</w:t>
            </w:r>
          </w:p>
        </w:tc>
        <w:tc>
          <w:tcPr>
            <w:tcW w:w="3097" w:type="dxa"/>
            <w:shd w:val="clear" w:color="auto" w:fill="auto"/>
          </w:tcPr>
          <w:p>
            <w:pPr>
              <w:spacing w:before="0" w:after="0"/>
              <w:jc w:val="left"/>
              <w:rPr>
                <w:rFonts w:eastAsia="Times New Roman"/>
                <w:noProof/>
                <w:sz w:val="20"/>
                <w:szCs w:val="20"/>
              </w:rPr>
            </w:pPr>
            <w:r>
              <w:rPr>
                <w:noProof/>
                <w:sz w:val="20"/>
              </w:rPr>
              <w:t>Установяване на произхода на китоподобни, развъждани или отглеждани в плен</w:t>
            </w:r>
          </w:p>
        </w:tc>
        <w:tc>
          <w:tcPr>
            <w:tcW w:w="1405" w:type="dxa"/>
            <w:shd w:val="clear" w:color="auto" w:fill="auto"/>
          </w:tcPr>
          <w:p>
            <w:pPr>
              <w:spacing w:before="0" w:after="0"/>
              <w:jc w:val="left"/>
              <w:rPr>
                <w:noProof/>
                <w:sz w:val="20"/>
                <w:szCs w:val="20"/>
              </w:rPr>
            </w:pPr>
            <w:r>
              <w:rPr>
                <w:noProof/>
                <w:sz w:val="20"/>
              </w:rPr>
              <w:t>UA</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42.</w:t>
            </w:r>
          </w:p>
        </w:tc>
        <w:tc>
          <w:tcPr>
            <w:tcW w:w="3097" w:type="dxa"/>
            <w:shd w:val="clear" w:color="auto" w:fill="auto"/>
          </w:tcPr>
          <w:p>
            <w:pPr>
              <w:spacing w:before="0" w:after="0"/>
              <w:jc w:val="left"/>
              <w:rPr>
                <w:rFonts w:eastAsia="Times New Roman"/>
                <w:noProof/>
                <w:sz w:val="20"/>
                <w:szCs w:val="20"/>
              </w:rPr>
            </w:pPr>
            <w:r>
              <w:rPr>
                <w:noProof/>
                <w:sz w:val="20"/>
              </w:rPr>
              <w:t>Проект на преразглеждане на Резолюция Conf. 16.8 относно честите трансгранични движения с нетърговска цел на музикални инструменти</w:t>
            </w:r>
          </w:p>
        </w:tc>
        <w:tc>
          <w:tcPr>
            <w:tcW w:w="1405" w:type="dxa"/>
            <w:shd w:val="clear" w:color="auto" w:fill="auto"/>
          </w:tcPr>
          <w:p>
            <w:pPr>
              <w:spacing w:before="0" w:after="0"/>
              <w:jc w:val="left"/>
              <w:rPr>
                <w:noProof/>
                <w:sz w:val="20"/>
                <w:szCs w:val="20"/>
              </w:rPr>
            </w:pPr>
            <w:r>
              <w:rPr>
                <w:noProof/>
                <w:sz w:val="20"/>
              </w:rPr>
              <w:t>EU</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43.</w:t>
            </w:r>
          </w:p>
        </w:tc>
        <w:tc>
          <w:tcPr>
            <w:tcW w:w="3097" w:type="dxa"/>
            <w:shd w:val="clear" w:color="auto" w:fill="auto"/>
          </w:tcPr>
          <w:p>
            <w:pPr>
              <w:spacing w:before="0" w:after="0"/>
              <w:jc w:val="left"/>
              <w:rPr>
                <w:rFonts w:eastAsia="Times New Roman"/>
                <w:noProof/>
                <w:sz w:val="20"/>
                <w:szCs w:val="20"/>
              </w:rPr>
            </w:pPr>
            <w:r>
              <w:rPr>
                <w:noProof/>
                <w:sz w:val="20"/>
              </w:rPr>
              <w:t>Преглед на определението за „изкуствено отгледани“ растения</w:t>
            </w:r>
          </w:p>
        </w:tc>
        <w:tc>
          <w:tcPr>
            <w:tcW w:w="1405" w:type="dxa"/>
            <w:shd w:val="clear" w:color="auto" w:fill="auto"/>
          </w:tcPr>
          <w:p>
            <w:pPr>
              <w:spacing w:before="0" w:after="0"/>
              <w:jc w:val="left"/>
              <w:rPr>
                <w:noProof/>
                <w:sz w:val="20"/>
                <w:szCs w:val="20"/>
              </w:rPr>
            </w:pPr>
            <w:r>
              <w:rPr>
                <w:noProof/>
                <w:sz w:val="20"/>
              </w:rPr>
              <w:t>CN, GE, ID, KU</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44.</w:t>
            </w:r>
          </w:p>
        </w:tc>
        <w:tc>
          <w:tcPr>
            <w:tcW w:w="3097" w:type="dxa"/>
            <w:shd w:val="clear" w:color="auto" w:fill="auto"/>
          </w:tcPr>
          <w:p>
            <w:pPr>
              <w:spacing w:before="0" w:after="0"/>
              <w:jc w:val="left"/>
              <w:rPr>
                <w:rFonts w:eastAsia="Times New Roman"/>
                <w:noProof/>
                <w:sz w:val="20"/>
                <w:szCs w:val="20"/>
              </w:rPr>
            </w:pPr>
            <w:r>
              <w:rPr>
                <w:noProof/>
                <w:sz w:val="20"/>
              </w:rPr>
              <w:t>Електронни системи и информационни технологии</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45.</w:t>
            </w:r>
          </w:p>
        </w:tc>
        <w:tc>
          <w:tcPr>
            <w:tcW w:w="3097" w:type="dxa"/>
            <w:shd w:val="clear" w:color="auto" w:fill="auto"/>
          </w:tcPr>
          <w:p>
            <w:pPr>
              <w:spacing w:before="0" w:after="0"/>
              <w:jc w:val="left"/>
              <w:rPr>
                <w:rFonts w:eastAsia="Times New Roman"/>
                <w:noProof/>
                <w:sz w:val="20"/>
                <w:szCs w:val="20"/>
              </w:rPr>
            </w:pPr>
            <w:r>
              <w:rPr>
                <w:noProof/>
                <w:sz w:val="20"/>
              </w:rPr>
              <w:t>Проследимост</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46.</w:t>
            </w:r>
          </w:p>
        </w:tc>
        <w:tc>
          <w:tcPr>
            <w:tcW w:w="3097" w:type="dxa"/>
            <w:shd w:val="clear" w:color="auto" w:fill="auto"/>
          </w:tcPr>
          <w:p>
            <w:pPr>
              <w:spacing w:before="0" w:after="0"/>
              <w:jc w:val="left"/>
              <w:rPr>
                <w:rFonts w:eastAsia="Times New Roman"/>
                <w:noProof/>
                <w:sz w:val="20"/>
                <w:szCs w:val="20"/>
              </w:rPr>
            </w:pPr>
            <w:r>
              <w:rPr>
                <w:noProof/>
                <w:sz w:val="20"/>
              </w:rPr>
              <w:t>Пилотно изпитване на глобална информационна система за проследяване за кожи на влечуги</w:t>
            </w:r>
          </w:p>
        </w:tc>
        <w:tc>
          <w:tcPr>
            <w:tcW w:w="1405" w:type="dxa"/>
            <w:shd w:val="clear" w:color="auto" w:fill="auto"/>
          </w:tcPr>
          <w:p>
            <w:pPr>
              <w:spacing w:before="0" w:after="0"/>
              <w:jc w:val="left"/>
              <w:rPr>
                <w:noProof/>
                <w:sz w:val="20"/>
                <w:szCs w:val="20"/>
              </w:rPr>
            </w:pPr>
            <w:r>
              <w:rPr>
                <w:noProof/>
                <w:sz w:val="20"/>
              </w:rPr>
              <w:t>MX</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47.</w:t>
            </w:r>
          </w:p>
        </w:tc>
        <w:tc>
          <w:tcPr>
            <w:tcW w:w="3097" w:type="dxa"/>
            <w:shd w:val="clear" w:color="auto" w:fill="auto"/>
          </w:tcPr>
          <w:p>
            <w:pPr>
              <w:spacing w:before="0" w:after="0"/>
              <w:jc w:val="left"/>
              <w:rPr>
                <w:rFonts w:eastAsia="Times New Roman"/>
                <w:noProof/>
                <w:sz w:val="20"/>
                <w:szCs w:val="20"/>
              </w:rPr>
            </w:pPr>
            <w:r>
              <w:rPr>
                <w:noProof/>
                <w:sz w:val="20"/>
              </w:rPr>
              <w:t>Запаси от екземпляри от видове, изброени в CITES</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48.</w:t>
            </w:r>
          </w:p>
        </w:tc>
        <w:tc>
          <w:tcPr>
            <w:tcW w:w="3097" w:type="dxa"/>
            <w:shd w:val="clear" w:color="auto" w:fill="auto"/>
          </w:tcPr>
          <w:p>
            <w:pPr>
              <w:spacing w:before="0" w:after="0"/>
              <w:jc w:val="left"/>
              <w:rPr>
                <w:rFonts w:eastAsia="Times New Roman"/>
                <w:noProof/>
                <w:sz w:val="20"/>
                <w:szCs w:val="20"/>
              </w:rPr>
            </w:pPr>
            <w:r>
              <w:rPr>
                <w:noProof/>
                <w:sz w:val="20"/>
              </w:rPr>
              <w:t>Идентифициране на търгувани екземпляри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48.1</w:t>
            </w:r>
          </w:p>
        </w:tc>
        <w:tc>
          <w:tcPr>
            <w:tcW w:w="3097" w:type="dxa"/>
            <w:shd w:val="clear" w:color="auto" w:fill="auto"/>
          </w:tcPr>
          <w:p>
            <w:pPr>
              <w:spacing w:before="0" w:after="0"/>
              <w:jc w:val="left"/>
              <w:rPr>
                <w:rFonts w:eastAsia="Times New Roman"/>
                <w:noProof/>
                <w:sz w:val="20"/>
                <w:szCs w:val="20"/>
              </w:rPr>
            </w:pPr>
            <w:r>
              <w:rPr>
                <w:noProof/>
                <w:sz w:val="20"/>
              </w:rPr>
              <w:t>Идентифициране на дървен материал </w:t>
            </w:r>
          </w:p>
        </w:tc>
        <w:tc>
          <w:tcPr>
            <w:tcW w:w="1405" w:type="dxa"/>
            <w:shd w:val="clear" w:color="auto" w:fill="auto"/>
          </w:tcPr>
          <w:p>
            <w:pPr>
              <w:spacing w:before="0" w:after="0"/>
              <w:jc w:val="left"/>
              <w:rPr>
                <w:noProof/>
                <w:sz w:val="20"/>
                <w:szCs w:val="20"/>
              </w:rPr>
            </w:pPr>
            <w:r>
              <w:rPr>
                <w:noProof/>
                <w:sz w:val="20"/>
              </w:rPr>
              <w:t>Секретариат, UNODC</w:t>
            </w:r>
          </w:p>
        </w:tc>
        <w:tc>
          <w:tcPr>
            <w:tcW w:w="3119" w:type="dxa"/>
            <w:shd w:val="clear" w:color="auto" w:fill="auto"/>
          </w:tcPr>
          <w:p>
            <w:pPr>
              <w:spacing w:before="0" w:after="0"/>
              <w:jc w:val="left"/>
              <w:rPr>
                <w:noProof/>
                <w:sz w:val="20"/>
                <w:szCs w:val="20"/>
              </w:rPr>
            </w:pPr>
            <w:r>
              <w:rPr>
                <w:noProof/>
                <w:sz w:val="20"/>
              </w:rPr>
              <w:t>Подкрепа за този набор от проекторешения, предназначени за разглеждане и отдаване на приоритетно значение на проблеми, които са свързани с регулирането на търговията с дървен материал от дървесни видове, изброени в CITES, и идентифицирането на търгувани видове и продукти.</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48.2</w:t>
            </w:r>
          </w:p>
        </w:tc>
        <w:tc>
          <w:tcPr>
            <w:tcW w:w="3097" w:type="dxa"/>
            <w:shd w:val="clear" w:color="auto" w:fill="auto"/>
          </w:tcPr>
          <w:p>
            <w:pPr>
              <w:spacing w:before="0" w:after="0"/>
              <w:jc w:val="left"/>
              <w:rPr>
                <w:rFonts w:eastAsia="Times New Roman"/>
                <w:noProof/>
                <w:sz w:val="20"/>
                <w:szCs w:val="20"/>
              </w:rPr>
            </w:pPr>
            <w:r>
              <w:rPr>
                <w:noProof/>
                <w:sz w:val="20"/>
              </w:rPr>
              <w:t>Ръководство за идентифициране</w:t>
            </w:r>
          </w:p>
        </w:tc>
        <w:tc>
          <w:tcPr>
            <w:tcW w:w="1405" w:type="dxa"/>
            <w:shd w:val="clear" w:color="auto" w:fill="auto"/>
          </w:tcPr>
          <w:p>
            <w:pPr>
              <w:spacing w:before="0" w:after="0"/>
              <w:jc w:val="left"/>
              <w:rPr>
                <w:noProof/>
                <w:sz w:val="20"/>
                <w:szCs w:val="20"/>
              </w:rPr>
            </w:pPr>
            <w:r>
              <w:rPr>
                <w:noProof/>
                <w:sz w:val="20"/>
              </w:rPr>
              <w:t>Комитети по животните и растенията</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9464" w:type="dxa"/>
            <w:gridSpan w:val="5"/>
            <w:shd w:val="clear" w:color="auto" w:fill="auto"/>
            <w:vAlign w:val="center"/>
          </w:tcPr>
          <w:p>
            <w:pPr>
              <w:jc w:val="left"/>
              <w:rPr>
                <w:noProof/>
                <w:sz w:val="20"/>
                <w:szCs w:val="20"/>
              </w:rPr>
            </w:pPr>
            <w:r>
              <w:rPr>
                <w:b/>
                <w:noProof/>
                <w:sz w:val="20"/>
                <w:u w:val="single"/>
              </w:rPr>
              <w:t>Въпроси, свързани с конкретни видове</w:t>
            </w:r>
            <w:r>
              <w:rPr>
                <w:b/>
                <w:noProof/>
                <w:sz w:val="20"/>
                <w:u w:val="single"/>
                <w:vertAlign w:val="superscript"/>
              </w:rPr>
              <w:t>2</w:t>
            </w:r>
          </w:p>
        </w:tc>
      </w:tr>
      <w:tr>
        <w:tc>
          <w:tcPr>
            <w:tcW w:w="851" w:type="dxa"/>
            <w:shd w:val="clear" w:color="auto" w:fill="auto"/>
          </w:tcPr>
          <w:p>
            <w:pPr>
              <w:spacing w:before="0" w:after="0"/>
              <w:rPr>
                <w:rFonts w:eastAsia="Times New Roman"/>
                <w:noProof/>
                <w:sz w:val="20"/>
                <w:szCs w:val="20"/>
              </w:rPr>
            </w:pPr>
            <w:r>
              <w:rPr>
                <w:noProof/>
                <w:sz w:val="20"/>
              </w:rPr>
              <w:t>49.</w:t>
            </w:r>
          </w:p>
        </w:tc>
        <w:tc>
          <w:tcPr>
            <w:tcW w:w="3097" w:type="dxa"/>
            <w:shd w:val="clear" w:color="auto" w:fill="auto"/>
          </w:tcPr>
          <w:p>
            <w:pPr>
              <w:spacing w:before="0" w:after="0"/>
              <w:jc w:val="left"/>
              <w:rPr>
                <w:rFonts w:eastAsia="Times New Roman"/>
                <w:noProof/>
                <w:sz w:val="20"/>
                <w:szCs w:val="20"/>
              </w:rPr>
            </w:pPr>
            <w:r>
              <w:rPr>
                <w:noProof/>
                <w:sz w:val="20"/>
              </w:rPr>
              <w:t>Незаконна търговия с гепарди (</w:t>
            </w:r>
            <w:r>
              <w:rPr>
                <w:i/>
                <w:noProof/>
                <w:sz w:val="20"/>
              </w:rPr>
              <w:t>Acinonyx jubatus</w:t>
            </w:r>
            <w:r>
              <w:rPr>
                <w:noProof/>
                <w:sz w:val="20"/>
              </w:rPr>
              <w:t>)</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Подкрепа за този набор от проекторешения, включително препоръките на Секретариата.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50.</w:t>
            </w:r>
          </w:p>
        </w:tc>
        <w:tc>
          <w:tcPr>
            <w:tcW w:w="3097" w:type="dxa"/>
            <w:shd w:val="clear" w:color="auto" w:fill="auto"/>
          </w:tcPr>
          <w:p>
            <w:pPr>
              <w:spacing w:before="0" w:after="0"/>
              <w:jc w:val="left"/>
              <w:rPr>
                <w:rFonts w:eastAsia="Times New Roman"/>
                <w:noProof/>
                <w:sz w:val="20"/>
                <w:szCs w:val="20"/>
              </w:rPr>
            </w:pPr>
            <w:r>
              <w:rPr>
                <w:noProof/>
                <w:sz w:val="20"/>
              </w:rPr>
              <w:t>Есетроподобни (</w:t>
            </w:r>
            <w:r>
              <w:rPr>
                <w:i/>
                <w:noProof/>
                <w:sz w:val="20"/>
              </w:rPr>
              <w:t>Acipenseriformes</w:t>
            </w:r>
            <w:r>
              <w:rPr>
                <w:noProof/>
                <w:sz w:val="20"/>
              </w:rPr>
              <w:t xml:space="preserv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51.</w:t>
            </w:r>
          </w:p>
        </w:tc>
        <w:tc>
          <w:tcPr>
            <w:tcW w:w="3097" w:type="dxa"/>
            <w:shd w:val="clear" w:color="auto" w:fill="auto"/>
          </w:tcPr>
          <w:p>
            <w:pPr>
              <w:spacing w:before="0" w:after="0"/>
              <w:jc w:val="left"/>
              <w:rPr>
                <w:rFonts w:eastAsia="Times New Roman"/>
                <w:noProof/>
                <w:sz w:val="20"/>
                <w:szCs w:val="20"/>
              </w:rPr>
            </w:pPr>
            <w:r>
              <w:rPr>
                <w:noProof/>
                <w:sz w:val="20"/>
              </w:rPr>
              <w:t xml:space="preserve">Опазване на </w:t>
            </w:r>
            <w:r>
              <w:rPr>
                <w:i/>
                <w:noProof/>
                <w:sz w:val="20"/>
              </w:rPr>
              <w:t>Anguilla</w:t>
            </w:r>
            <w:r>
              <w:rPr>
                <w:noProof/>
                <w:sz w:val="20"/>
              </w:rPr>
              <w:t xml:space="preserve"> spp. и търговия с вида</w:t>
            </w:r>
          </w:p>
        </w:tc>
        <w:tc>
          <w:tcPr>
            <w:tcW w:w="1405" w:type="dxa"/>
            <w:shd w:val="clear" w:color="auto" w:fill="auto"/>
          </w:tcPr>
          <w:p>
            <w:pPr>
              <w:spacing w:before="0" w:after="0"/>
              <w:jc w:val="left"/>
              <w:rPr>
                <w:noProof/>
                <w:sz w:val="20"/>
                <w:szCs w:val="20"/>
              </w:rPr>
            </w:pPr>
            <w:r>
              <w:rPr>
                <w:noProof/>
                <w:sz w:val="20"/>
              </w:rPr>
              <w:t>EU</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52.</w:t>
            </w:r>
          </w:p>
        </w:tc>
        <w:tc>
          <w:tcPr>
            <w:tcW w:w="3097" w:type="dxa"/>
            <w:shd w:val="clear" w:color="auto" w:fill="auto"/>
          </w:tcPr>
          <w:p>
            <w:pPr>
              <w:spacing w:before="0" w:after="0"/>
              <w:jc w:val="left"/>
              <w:rPr>
                <w:rFonts w:eastAsia="Times New Roman"/>
                <w:noProof/>
                <w:sz w:val="20"/>
                <w:szCs w:val="20"/>
              </w:rPr>
            </w:pPr>
            <w:r>
              <w:rPr>
                <w:noProof/>
                <w:sz w:val="20"/>
              </w:rPr>
              <w:t xml:space="preserve">Преглед на ценните корали в международната търговия [разред: Antipatharia/семейство: </w:t>
            </w:r>
            <w:r>
              <w:rPr>
                <w:noProof/>
                <w:sz w:val="20"/>
              </w:rPr>
              <w:lastRenderedPageBreak/>
              <w:t>Coralliidae]</w:t>
            </w:r>
          </w:p>
        </w:tc>
        <w:tc>
          <w:tcPr>
            <w:tcW w:w="1405" w:type="dxa"/>
            <w:shd w:val="clear" w:color="auto" w:fill="auto"/>
          </w:tcPr>
          <w:p>
            <w:pPr>
              <w:spacing w:before="0" w:after="0"/>
              <w:jc w:val="left"/>
              <w:rPr>
                <w:noProof/>
                <w:sz w:val="20"/>
                <w:szCs w:val="20"/>
              </w:rPr>
            </w:pPr>
            <w:r>
              <w:rPr>
                <w:noProof/>
                <w:sz w:val="20"/>
              </w:rPr>
              <w:lastRenderedPageBreak/>
              <w:t>US</w:t>
            </w:r>
          </w:p>
        </w:tc>
        <w:tc>
          <w:tcPr>
            <w:tcW w:w="3119" w:type="dxa"/>
            <w:shd w:val="clear" w:color="auto" w:fill="auto"/>
          </w:tcPr>
          <w:p>
            <w:pPr>
              <w:spacing w:before="0" w:after="0"/>
              <w:jc w:val="left"/>
              <w:rPr>
                <w:noProof/>
                <w:sz w:val="20"/>
                <w:szCs w:val="20"/>
              </w:rPr>
            </w:pPr>
            <w:r>
              <w:rPr>
                <w:noProof/>
                <w:sz w:val="20"/>
              </w:rPr>
              <w:t xml:space="preserve">Подкрепа, при условие че са консултирани съответните регионални организации за </w:t>
            </w:r>
            <w:r>
              <w:rPr>
                <w:noProof/>
                <w:sz w:val="20"/>
              </w:rPr>
              <w:lastRenderedPageBreak/>
              <w:t xml:space="preserve">управление на рибарството (по-специално Генералната комисия по рибарство за Средиземно море) и че препоръките се отнасят само търговията на въпросните видове корали. </w:t>
            </w:r>
          </w:p>
        </w:tc>
        <w:tc>
          <w:tcPr>
            <w:tcW w:w="992" w:type="dxa"/>
            <w:shd w:val="clear" w:color="auto" w:fill="auto"/>
          </w:tcPr>
          <w:p>
            <w:pPr>
              <w:spacing w:before="0" w:after="0"/>
              <w:jc w:val="center"/>
              <w:rPr>
                <w:noProof/>
                <w:sz w:val="20"/>
                <w:szCs w:val="20"/>
              </w:rPr>
            </w:pPr>
            <w:r>
              <w:rPr>
                <w:noProof/>
                <w:sz w:val="20"/>
              </w:rPr>
              <w:lastRenderedPageBreak/>
              <w:t>+</w:t>
            </w:r>
          </w:p>
        </w:tc>
      </w:tr>
      <w:tr>
        <w:tc>
          <w:tcPr>
            <w:tcW w:w="851" w:type="dxa"/>
            <w:shd w:val="clear" w:color="auto" w:fill="auto"/>
          </w:tcPr>
          <w:p>
            <w:pPr>
              <w:spacing w:before="0" w:after="0"/>
              <w:rPr>
                <w:rFonts w:eastAsia="Times New Roman"/>
                <w:noProof/>
                <w:sz w:val="20"/>
                <w:szCs w:val="20"/>
              </w:rPr>
            </w:pPr>
            <w:r>
              <w:rPr>
                <w:noProof/>
                <w:sz w:val="20"/>
              </w:rPr>
              <w:lastRenderedPageBreak/>
              <w:t>53.</w:t>
            </w:r>
          </w:p>
        </w:tc>
        <w:tc>
          <w:tcPr>
            <w:tcW w:w="3097" w:type="dxa"/>
            <w:shd w:val="clear" w:color="auto" w:fill="auto"/>
          </w:tcPr>
          <w:p>
            <w:pPr>
              <w:spacing w:before="0" w:after="0"/>
              <w:jc w:val="left"/>
              <w:rPr>
                <w:rFonts w:eastAsia="Times New Roman"/>
                <w:noProof/>
                <w:sz w:val="20"/>
                <w:szCs w:val="20"/>
              </w:rPr>
            </w:pPr>
            <w:r>
              <w:rPr>
                <w:noProof/>
                <w:sz w:val="20"/>
              </w:rPr>
              <w:t>Таксони за производство на агарово дърво (</w:t>
            </w:r>
            <w:r>
              <w:rPr>
                <w:i/>
                <w:noProof/>
                <w:sz w:val="20"/>
              </w:rPr>
              <w:t>Aquilaria</w:t>
            </w:r>
            <w:r>
              <w:rPr>
                <w:noProof/>
                <w:sz w:val="20"/>
              </w:rPr>
              <w:t xml:space="preserve"> spp. и </w:t>
            </w:r>
            <w:r>
              <w:rPr>
                <w:i/>
                <w:noProof/>
                <w:sz w:val="20"/>
              </w:rPr>
              <w:t>Gyrinops</w:t>
            </w:r>
            <w:r>
              <w:rPr>
                <w:noProof/>
                <w:sz w:val="20"/>
              </w:rPr>
              <w:t xml:space="preserv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53.1</w:t>
            </w:r>
          </w:p>
        </w:tc>
        <w:tc>
          <w:tcPr>
            <w:tcW w:w="3097" w:type="dxa"/>
            <w:shd w:val="clear" w:color="auto" w:fill="auto"/>
          </w:tcPr>
          <w:p>
            <w:pPr>
              <w:spacing w:before="0" w:after="0"/>
              <w:jc w:val="left"/>
              <w:rPr>
                <w:rFonts w:eastAsia="Times New Roman"/>
                <w:noProof/>
                <w:sz w:val="20"/>
                <w:szCs w:val="20"/>
              </w:rPr>
            </w:pPr>
            <w:r>
              <w:rPr>
                <w:noProof/>
                <w:sz w:val="20"/>
              </w:rPr>
              <w:t>Прилагане на конвенцията по отношение на таксони за производство на агарово дърво</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53.2</w:t>
            </w:r>
          </w:p>
        </w:tc>
        <w:tc>
          <w:tcPr>
            <w:tcW w:w="3097" w:type="dxa"/>
            <w:shd w:val="clear" w:color="auto" w:fill="auto"/>
          </w:tcPr>
          <w:p>
            <w:pPr>
              <w:spacing w:before="0" w:after="0"/>
              <w:jc w:val="left"/>
              <w:rPr>
                <w:rFonts w:eastAsia="Times New Roman"/>
                <w:noProof/>
                <w:sz w:val="20"/>
                <w:szCs w:val="20"/>
              </w:rPr>
            </w:pPr>
            <w:r>
              <w:rPr>
                <w:noProof/>
                <w:sz w:val="20"/>
              </w:rPr>
              <w:t>Таксони за устойчивото производство на агарово дърво (</w:t>
            </w:r>
            <w:r>
              <w:rPr>
                <w:i/>
                <w:noProof/>
                <w:sz w:val="20"/>
              </w:rPr>
              <w:t>Aquilaria</w:t>
            </w:r>
            <w:r>
              <w:rPr>
                <w:noProof/>
                <w:sz w:val="20"/>
              </w:rPr>
              <w:t xml:space="preserve"> spp. и </w:t>
            </w:r>
            <w:r>
              <w:rPr>
                <w:i/>
                <w:noProof/>
                <w:sz w:val="20"/>
              </w:rPr>
              <w:t>Gyrinops</w:t>
            </w:r>
            <w:r>
              <w:rPr>
                <w:noProof/>
                <w:sz w:val="20"/>
              </w:rPr>
              <w:t xml:space="preserve"> spp.)</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54.</w:t>
            </w:r>
          </w:p>
        </w:tc>
        <w:tc>
          <w:tcPr>
            <w:tcW w:w="3097" w:type="dxa"/>
            <w:shd w:val="clear" w:color="auto" w:fill="auto"/>
          </w:tcPr>
          <w:p>
            <w:pPr>
              <w:spacing w:before="0" w:after="0"/>
              <w:jc w:val="left"/>
              <w:rPr>
                <w:rFonts w:eastAsia="Times New Roman"/>
                <w:noProof/>
                <w:sz w:val="20"/>
                <w:szCs w:val="20"/>
              </w:rPr>
            </w:pPr>
            <w:r>
              <w:rPr>
                <w:noProof/>
                <w:sz w:val="20"/>
              </w:rPr>
              <w:t>Наполеонова зеленушка (</w:t>
            </w:r>
            <w:r>
              <w:rPr>
                <w:i/>
                <w:noProof/>
                <w:sz w:val="20"/>
              </w:rPr>
              <w:t>Cheilinus undulatus</w:t>
            </w:r>
            <w:r>
              <w:rPr>
                <w:noProof/>
                <w:sz w:val="20"/>
              </w:rPr>
              <w:t>)</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55.</w:t>
            </w:r>
          </w:p>
        </w:tc>
        <w:tc>
          <w:tcPr>
            <w:tcW w:w="3097" w:type="dxa"/>
            <w:shd w:val="clear" w:color="auto" w:fill="auto"/>
          </w:tcPr>
          <w:p>
            <w:pPr>
              <w:spacing w:before="0" w:after="0"/>
              <w:jc w:val="left"/>
              <w:rPr>
                <w:rFonts w:eastAsia="Times New Roman"/>
                <w:noProof/>
                <w:sz w:val="20"/>
                <w:szCs w:val="20"/>
              </w:rPr>
            </w:pPr>
            <w:r>
              <w:rPr>
                <w:noProof/>
                <w:sz w:val="20"/>
              </w:rPr>
              <w:t>Абаносови (</w:t>
            </w:r>
            <w:r>
              <w:rPr>
                <w:i/>
                <w:noProof/>
                <w:sz w:val="20"/>
              </w:rPr>
              <w:t>Diospyros</w:t>
            </w:r>
            <w:r>
              <w:rPr>
                <w:noProof/>
                <w:sz w:val="20"/>
              </w:rPr>
              <w:t xml:space="preserve"> spp.) и палисандрово и розово дърво (</w:t>
            </w:r>
            <w:r>
              <w:rPr>
                <w:i/>
                <w:noProof/>
                <w:sz w:val="20"/>
              </w:rPr>
              <w:t>Dalbergia</w:t>
            </w:r>
            <w:r>
              <w:rPr>
                <w:noProof/>
                <w:sz w:val="20"/>
              </w:rPr>
              <w:t xml:space="preserv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55.1</w:t>
            </w:r>
          </w:p>
        </w:tc>
        <w:tc>
          <w:tcPr>
            <w:tcW w:w="3097" w:type="dxa"/>
            <w:shd w:val="clear" w:color="auto" w:fill="auto"/>
          </w:tcPr>
          <w:p>
            <w:pPr>
              <w:spacing w:before="0" w:after="0"/>
              <w:jc w:val="left"/>
              <w:rPr>
                <w:rFonts w:eastAsia="Times New Roman"/>
                <w:noProof/>
                <w:sz w:val="20"/>
                <w:szCs w:val="20"/>
              </w:rPr>
            </w:pPr>
            <w:r>
              <w:rPr>
                <w:noProof/>
                <w:sz w:val="20"/>
              </w:rPr>
              <w:t xml:space="preserve">План за действие за </w:t>
            </w:r>
            <w:r>
              <w:rPr>
                <w:i/>
                <w:noProof/>
                <w:sz w:val="20"/>
              </w:rPr>
              <w:t>Diospyros</w:t>
            </w:r>
            <w:r>
              <w:rPr>
                <w:noProof/>
                <w:sz w:val="20"/>
              </w:rPr>
              <w:t xml:space="preserve"> spp. и </w:t>
            </w:r>
            <w:r>
              <w:rPr>
                <w:i/>
                <w:noProof/>
                <w:sz w:val="20"/>
              </w:rPr>
              <w:t>Dalbergia</w:t>
            </w:r>
            <w:r>
              <w:rPr>
                <w:noProof/>
                <w:sz w:val="20"/>
              </w:rPr>
              <w:t xml:space="preserve"> spp.: доклад на Мадагаскар</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55.2</w:t>
            </w:r>
          </w:p>
        </w:tc>
        <w:tc>
          <w:tcPr>
            <w:tcW w:w="3097" w:type="dxa"/>
            <w:shd w:val="clear" w:color="auto" w:fill="auto"/>
          </w:tcPr>
          <w:p>
            <w:pPr>
              <w:spacing w:before="0" w:after="0"/>
              <w:jc w:val="left"/>
              <w:rPr>
                <w:rFonts w:eastAsia="Times New Roman"/>
                <w:noProof/>
                <w:sz w:val="20"/>
                <w:szCs w:val="20"/>
              </w:rPr>
            </w:pPr>
            <w:r>
              <w:rPr>
                <w:noProof/>
                <w:sz w:val="20"/>
              </w:rPr>
              <w:t>Прилагане на конвенцията по отношение на търговията с малгашко абаносово дърво (</w:t>
            </w:r>
            <w:r>
              <w:rPr>
                <w:i/>
                <w:noProof/>
                <w:sz w:val="20"/>
              </w:rPr>
              <w:t>Diospyros</w:t>
            </w:r>
            <w:r>
              <w:rPr>
                <w:noProof/>
                <w:sz w:val="20"/>
              </w:rPr>
              <w:t xml:space="preserve"> spp.) и палисандрово и розово дърво (</w:t>
            </w:r>
            <w:r>
              <w:rPr>
                <w:i/>
                <w:noProof/>
                <w:sz w:val="20"/>
              </w:rPr>
              <w:t>Dalbergia</w:t>
            </w:r>
            <w:r>
              <w:rPr>
                <w:noProof/>
                <w:sz w:val="20"/>
              </w:rPr>
              <w:t xml:space="preserve"> spp).</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r>
              <w:rPr>
                <w:noProof/>
                <w:sz w:val="20"/>
              </w:rPr>
              <w:t>Подкрепа за набора от решения, предложени от Секретариата, но с изискването да се включи текст, призоваващ Мадагаскар да извършва подходящ контрол върху изпълнението с цел предотвратяване на незаконния износ.</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56.</w:t>
            </w:r>
          </w:p>
        </w:tc>
        <w:tc>
          <w:tcPr>
            <w:tcW w:w="3097" w:type="dxa"/>
            <w:shd w:val="clear" w:color="auto" w:fill="auto"/>
          </w:tcPr>
          <w:p>
            <w:pPr>
              <w:spacing w:before="0" w:after="0"/>
              <w:jc w:val="left"/>
              <w:rPr>
                <w:rFonts w:eastAsia="Times New Roman"/>
                <w:noProof/>
                <w:sz w:val="20"/>
                <w:szCs w:val="20"/>
              </w:rPr>
            </w:pPr>
            <w:r>
              <w:rPr>
                <w:noProof/>
                <w:sz w:val="20"/>
              </w:rPr>
              <w:t>Акули и морски котки (Elasmobranchii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56.1</w:t>
            </w:r>
          </w:p>
        </w:tc>
        <w:tc>
          <w:tcPr>
            <w:tcW w:w="3097" w:type="dxa"/>
            <w:shd w:val="clear" w:color="auto" w:fill="auto"/>
          </w:tcPr>
          <w:p>
            <w:pPr>
              <w:spacing w:before="0" w:after="0"/>
              <w:jc w:val="left"/>
              <w:rPr>
                <w:rFonts w:eastAsia="Times New Roman"/>
                <w:noProof/>
                <w:sz w:val="20"/>
                <w:szCs w:val="20"/>
              </w:rPr>
            </w:pPr>
            <w:r>
              <w:rPr>
                <w:noProof/>
                <w:sz w:val="20"/>
              </w:rPr>
              <w:t>Доклад на Секретариата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56.2</w:t>
            </w:r>
          </w:p>
        </w:tc>
        <w:tc>
          <w:tcPr>
            <w:tcW w:w="3097" w:type="dxa"/>
            <w:shd w:val="clear" w:color="auto" w:fill="auto"/>
          </w:tcPr>
          <w:p>
            <w:pPr>
              <w:spacing w:before="0" w:after="0"/>
              <w:jc w:val="left"/>
              <w:rPr>
                <w:rFonts w:eastAsia="Times New Roman"/>
                <w:noProof/>
                <w:sz w:val="20"/>
                <w:szCs w:val="20"/>
              </w:rPr>
            </w:pPr>
            <w:r>
              <w:rPr>
                <w:noProof/>
                <w:sz w:val="20"/>
              </w:rPr>
              <w:t>Доклад на Комитета по животните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w:t>
            </w:r>
          </w:p>
        </w:tc>
        <w:tc>
          <w:tcPr>
            <w:tcW w:w="3097" w:type="dxa"/>
            <w:shd w:val="clear" w:color="auto" w:fill="auto"/>
          </w:tcPr>
          <w:p>
            <w:pPr>
              <w:spacing w:before="0" w:after="0"/>
              <w:jc w:val="left"/>
              <w:rPr>
                <w:rFonts w:eastAsia="Times New Roman"/>
                <w:noProof/>
                <w:sz w:val="20"/>
                <w:szCs w:val="20"/>
              </w:rPr>
            </w:pPr>
            <w:r>
              <w:rPr>
                <w:noProof/>
                <w:sz w:val="20"/>
              </w:rPr>
              <w:t>Слонове (Elephantidae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57.1</w:t>
            </w:r>
          </w:p>
        </w:tc>
        <w:tc>
          <w:tcPr>
            <w:tcW w:w="3097" w:type="dxa"/>
            <w:shd w:val="clear" w:color="auto" w:fill="auto"/>
          </w:tcPr>
          <w:p>
            <w:pPr>
              <w:spacing w:before="0" w:after="0"/>
              <w:jc w:val="left"/>
              <w:rPr>
                <w:rFonts w:eastAsia="Times New Roman"/>
                <w:noProof/>
                <w:sz w:val="20"/>
                <w:szCs w:val="20"/>
              </w:rPr>
            </w:pPr>
            <w:r>
              <w:rPr>
                <w:noProof/>
                <w:sz w:val="20"/>
              </w:rPr>
              <w:t>Прилагане на Резолюция Conf. 10.10 (Rev. CoP16) относно търговията с екземпляри от слонове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57.2</w:t>
            </w:r>
          </w:p>
        </w:tc>
        <w:tc>
          <w:tcPr>
            <w:tcW w:w="3097" w:type="dxa"/>
            <w:shd w:val="clear" w:color="auto" w:fill="auto"/>
          </w:tcPr>
          <w:p>
            <w:pPr>
              <w:spacing w:before="0" w:after="0"/>
              <w:jc w:val="left"/>
              <w:rPr>
                <w:rFonts w:eastAsia="Times New Roman"/>
                <w:noProof/>
                <w:sz w:val="20"/>
                <w:szCs w:val="20"/>
              </w:rPr>
            </w:pPr>
            <w:r>
              <w:rPr>
                <w:noProof/>
                <w:sz w:val="20"/>
              </w:rPr>
              <w:t>Затваряне на вътрешни пазари за слонова кост</w:t>
            </w:r>
          </w:p>
        </w:tc>
        <w:tc>
          <w:tcPr>
            <w:tcW w:w="1405" w:type="dxa"/>
            <w:shd w:val="clear" w:color="auto" w:fill="auto"/>
          </w:tcPr>
          <w:p>
            <w:pPr>
              <w:spacing w:before="0" w:after="0"/>
              <w:jc w:val="left"/>
              <w:rPr>
                <w:noProof/>
                <w:sz w:val="20"/>
                <w:szCs w:val="20"/>
              </w:rPr>
            </w:pPr>
            <w:r>
              <w:rPr>
                <w:noProof/>
                <w:sz w:val="20"/>
              </w:rPr>
              <w:t>AO, BF, CF, TD, CI, ET, GA, KE, NE, SN</w:t>
            </w:r>
          </w:p>
        </w:tc>
        <w:tc>
          <w:tcPr>
            <w:tcW w:w="3119" w:type="dxa"/>
            <w:shd w:val="clear" w:color="auto" w:fill="auto"/>
          </w:tcPr>
          <w:p>
            <w:pPr>
              <w:spacing w:before="0" w:after="0"/>
              <w:jc w:val="left"/>
              <w:rPr>
                <w:noProof/>
                <w:sz w:val="20"/>
                <w:szCs w:val="20"/>
              </w:rPr>
            </w:pPr>
            <w:r>
              <w:rPr>
                <w:noProof/>
                <w:sz w:val="20"/>
              </w:rPr>
              <w:t xml:space="preserve">Необходимо е разяснение относно обхвата на предложението — призоваването за принципно затваряне на вътрешните пазари за слонова кост не изглежда обосновано, но ЕС може да покаже отвореност за инициативи за ограничаване на вътрешната търговия със слонова кост, при условие че мерките са пропорционални (например призоваване да се затворят вътрешните пазари, с изключение на пазарите за слонова кост отпреди влизането в сила на </w:t>
            </w:r>
            <w:r>
              <w:rPr>
                <w:noProof/>
                <w:sz w:val="20"/>
              </w:rPr>
              <w:lastRenderedPageBreak/>
              <w:t xml:space="preserve">конвенцията, </w:t>
            </w:r>
          </w:p>
          <w:p>
            <w:pPr>
              <w:spacing w:before="0" w:after="0"/>
              <w:jc w:val="left"/>
              <w:rPr>
                <w:noProof/>
                <w:sz w:val="20"/>
                <w:szCs w:val="20"/>
              </w:rPr>
            </w:pPr>
            <w:r>
              <w:rPr>
                <w:noProof/>
                <w:sz w:val="20"/>
              </w:rPr>
              <w:t>или в случаи, в които има доказателства, че вътрешните законни пазари са използвани като прикритие за незаконна търговия със слонова кост).</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57.3</w:t>
            </w:r>
          </w:p>
        </w:tc>
        <w:tc>
          <w:tcPr>
            <w:tcW w:w="3097" w:type="dxa"/>
            <w:shd w:val="clear" w:color="auto" w:fill="auto"/>
          </w:tcPr>
          <w:p>
            <w:pPr>
              <w:spacing w:before="0" w:after="0"/>
              <w:jc w:val="left"/>
              <w:rPr>
                <w:rFonts w:eastAsia="Times New Roman"/>
                <w:noProof/>
                <w:sz w:val="20"/>
                <w:szCs w:val="20"/>
              </w:rPr>
            </w:pPr>
            <w:r>
              <w:rPr>
                <w:noProof/>
                <w:sz w:val="20"/>
              </w:rPr>
              <w:t>Запаси от слонова кост: предложено преразглеждане на Резолюция Conf. 10.10 (Rev. CoP16) относно търговията с екземпляри от слонове</w:t>
            </w:r>
          </w:p>
        </w:tc>
        <w:tc>
          <w:tcPr>
            <w:tcW w:w="1405" w:type="dxa"/>
            <w:shd w:val="clear" w:color="auto" w:fill="auto"/>
          </w:tcPr>
          <w:p>
            <w:pPr>
              <w:spacing w:before="0" w:after="0"/>
              <w:jc w:val="left"/>
              <w:rPr>
                <w:noProof/>
                <w:sz w:val="20"/>
                <w:szCs w:val="20"/>
              </w:rPr>
            </w:pPr>
            <w:r>
              <w:rPr>
                <w:noProof/>
                <w:sz w:val="20"/>
              </w:rPr>
              <w:t>BJ, BF, TD, KE, NE, NG, SN</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57.4</w:t>
            </w:r>
          </w:p>
        </w:tc>
        <w:tc>
          <w:tcPr>
            <w:tcW w:w="3097" w:type="dxa"/>
            <w:shd w:val="clear" w:color="auto" w:fill="auto"/>
          </w:tcPr>
          <w:p>
            <w:pPr>
              <w:spacing w:before="0" w:after="0"/>
              <w:jc w:val="left"/>
              <w:rPr>
                <w:rFonts w:eastAsia="Times New Roman"/>
                <w:noProof/>
                <w:sz w:val="20"/>
                <w:szCs w:val="20"/>
              </w:rPr>
            </w:pPr>
            <w:r>
              <w:rPr>
                <w:noProof/>
                <w:sz w:val="20"/>
              </w:rPr>
              <w:t>Търговия с живи слонове: предложено преразглеждане на Резолюция Conf. 10.10 (Rev. CoP16) относно търговията с екземпляри от слонове</w:t>
            </w:r>
          </w:p>
        </w:tc>
        <w:tc>
          <w:tcPr>
            <w:tcW w:w="1405" w:type="dxa"/>
            <w:shd w:val="clear" w:color="auto" w:fill="auto"/>
          </w:tcPr>
          <w:p>
            <w:pPr>
              <w:spacing w:before="0" w:after="0"/>
              <w:jc w:val="left"/>
              <w:rPr>
                <w:noProof/>
                <w:sz w:val="20"/>
                <w:szCs w:val="20"/>
              </w:rPr>
            </w:pPr>
            <w:r>
              <w:rPr>
                <w:noProof/>
                <w:sz w:val="20"/>
              </w:rPr>
              <w:t>BF, CF, TD, KE, ML, NE, SN</w:t>
            </w:r>
          </w:p>
        </w:tc>
        <w:tc>
          <w:tcPr>
            <w:tcW w:w="3119" w:type="dxa"/>
            <w:shd w:val="clear" w:color="auto" w:fill="auto"/>
          </w:tcPr>
          <w:p>
            <w:pPr>
              <w:spacing w:before="0" w:after="0"/>
              <w:jc w:val="left"/>
              <w:rPr>
                <w:noProof/>
                <w:sz w:val="20"/>
                <w:szCs w:val="20"/>
              </w:rPr>
            </w:pPr>
            <w:r>
              <w:rPr>
                <w:noProof/>
                <w:sz w:val="20"/>
              </w:rPr>
              <w:t>Предложението е твърде ограничаващо — вместо това да бъде подкрепено предложение 40 (възможност за сливане на някои елементи от двете предложения).</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57.5</w:t>
            </w:r>
          </w:p>
        </w:tc>
        <w:tc>
          <w:tcPr>
            <w:tcW w:w="3097" w:type="dxa"/>
            <w:shd w:val="clear" w:color="auto" w:fill="auto"/>
          </w:tcPr>
          <w:p>
            <w:pPr>
              <w:spacing w:before="0" w:after="0"/>
              <w:jc w:val="left"/>
              <w:rPr>
                <w:rFonts w:eastAsia="Times New Roman"/>
                <w:noProof/>
                <w:sz w:val="20"/>
                <w:szCs w:val="20"/>
              </w:rPr>
            </w:pPr>
            <w:r>
              <w:rPr>
                <w:noProof/>
                <w:sz w:val="20"/>
              </w:rPr>
              <w:t>Доклад относно наблюдение на незаконното избиване на слонове (MIKE)</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r>
              <w:rPr>
                <w:noProof/>
                <w:sz w:val="20"/>
              </w:rPr>
              <w:t>Докладът се взема под внимание.</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57.6</w:t>
            </w:r>
          </w:p>
        </w:tc>
        <w:tc>
          <w:tcPr>
            <w:tcW w:w="3097" w:type="dxa"/>
            <w:shd w:val="clear" w:color="auto" w:fill="auto"/>
          </w:tcPr>
          <w:p>
            <w:pPr>
              <w:spacing w:before="0" w:after="0"/>
              <w:jc w:val="left"/>
              <w:rPr>
                <w:rFonts w:eastAsia="Times New Roman"/>
                <w:noProof/>
                <w:sz w:val="20"/>
                <w:szCs w:val="20"/>
              </w:rPr>
            </w:pPr>
            <w:r>
              <w:rPr>
                <w:noProof/>
                <w:sz w:val="20"/>
              </w:rPr>
              <w:t>Доклад относно информационната система за търговията със слонове (ETIS)</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58.</w:t>
            </w:r>
          </w:p>
        </w:tc>
        <w:tc>
          <w:tcPr>
            <w:tcW w:w="3097" w:type="dxa"/>
            <w:shd w:val="clear" w:color="auto" w:fill="auto"/>
          </w:tcPr>
          <w:p>
            <w:pPr>
              <w:spacing w:before="0" w:after="0"/>
              <w:jc w:val="left"/>
              <w:rPr>
                <w:rFonts w:eastAsia="Times New Roman"/>
                <w:noProof/>
                <w:sz w:val="20"/>
                <w:szCs w:val="20"/>
              </w:rPr>
            </w:pPr>
            <w:r>
              <w:rPr>
                <w:noProof/>
                <w:sz w:val="20"/>
              </w:rPr>
              <w:t xml:space="preserve">Международна търговия с </w:t>
            </w:r>
            <w:r>
              <w:rPr>
                <w:i/>
                <w:noProof/>
                <w:sz w:val="20"/>
              </w:rPr>
              <w:t>Encephalartos</w:t>
            </w:r>
            <w:r>
              <w:rPr>
                <w:noProof/>
                <w:sz w:val="20"/>
              </w:rPr>
              <w:t xml:space="preserve"> spp.</w:t>
            </w:r>
          </w:p>
        </w:tc>
        <w:tc>
          <w:tcPr>
            <w:tcW w:w="1405" w:type="dxa"/>
            <w:shd w:val="clear" w:color="auto" w:fill="auto"/>
          </w:tcPr>
          <w:p>
            <w:pPr>
              <w:spacing w:before="0" w:after="0"/>
              <w:jc w:val="left"/>
              <w:rPr>
                <w:noProof/>
                <w:sz w:val="20"/>
                <w:szCs w:val="20"/>
              </w:rPr>
            </w:pPr>
            <w:r>
              <w:rPr>
                <w:noProof/>
                <w:sz w:val="20"/>
              </w:rPr>
              <w:t>ZA</w:t>
            </w:r>
          </w:p>
        </w:tc>
        <w:tc>
          <w:tcPr>
            <w:tcW w:w="3119" w:type="dxa"/>
            <w:shd w:val="clear" w:color="auto" w:fill="auto"/>
          </w:tcPr>
          <w:p>
            <w:pPr>
              <w:spacing w:before="0" w:after="0"/>
              <w:jc w:val="left"/>
              <w:rPr>
                <w:noProof/>
                <w:sz w:val="20"/>
                <w:szCs w:val="20"/>
              </w:rPr>
            </w:pPr>
            <w:r>
              <w:rPr>
                <w:noProof/>
                <w:sz w:val="20"/>
              </w:rPr>
              <w:t xml:space="preserve">Подкрепа за набор от проекторешения за борба с незаконната търговия с екземпляри от </w:t>
            </w:r>
            <w:r>
              <w:rPr>
                <w:i/>
                <w:noProof/>
                <w:sz w:val="20"/>
              </w:rPr>
              <w:t>Encephalartos.</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59.</w:t>
            </w:r>
          </w:p>
        </w:tc>
        <w:tc>
          <w:tcPr>
            <w:tcW w:w="3097" w:type="dxa"/>
            <w:shd w:val="clear" w:color="auto" w:fill="auto"/>
          </w:tcPr>
          <w:p>
            <w:pPr>
              <w:spacing w:before="0" w:after="0"/>
              <w:jc w:val="left"/>
              <w:rPr>
                <w:rFonts w:eastAsia="Times New Roman"/>
                <w:noProof/>
                <w:sz w:val="20"/>
                <w:szCs w:val="20"/>
              </w:rPr>
            </w:pPr>
            <w:r>
              <w:rPr>
                <w:i/>
                <w:noProof/>
                <w:sz w:val="20"/>
              </w:rPr>
              <w:t>Eretmochelys imbricata</w:t>
            </w:r>
            <w:r>
              <w:rPr>
                <w:noProof/>
                <w:sz w:val="20"/>
              </w:rPr>
              <w:t xml:space="preserve"> (вид морска костенурка)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60.</w:t>
            </w:r>
          </w:p>
        </w:tc>
        <w:tc>
          <w:tcPr>
            <w:tcW w:w="3097" w:type="dxa"/>
            <w:shd w:val="clear" w:color="auto" w:fill="auto"/>
          </w:tcPr>
          <w:p>
            <w:pPr>
              <w:spacing w:before="0" w:after="0"/>
              <w:jc w:val="left"/>
              <w:rPr>
                <w:rFonts w:eastAsia="Times New Roman"/>
                <w:noProof/>
                <w:sz w:val="20"/>
                <w:szCs w:val="20"/>
              </w:rPr>
            </w:pPr>
            <w:r>
              <w:rPr>
                <w:noProof/>
                <w:sz w:val="20"/>
              </w:rPr>
              <w:t>Азиатски големи котки (Felidae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60.1</w:t>
            </w:r>
          </w:p>
        </w:tc>
        <w:tc>
          <w:tcPr>
            <w:tcW w:w="3097" w:type="dxa"/>
            <w:shd w:val="clear" w:color="auto" w:fill="auto"/>
          </w:tcPr>
          <w:p>
            <w:pPr>
              <w:spacing w:before="0" w:after="0"/>
              <w:jc w:val="left"/>
              <w:rPr>
                <w:rFonts w:eastAsia="Times New Roman"/>
                <w:noProof/>
                <w:sz w:val="20"/>
                <w:szCs w:val="20"/>
              </w:rPr>
            </w:pPr>
            <w:r>
              <w:rPr>
                <w:noProof/>
                <w:sz w:val="20"/>
              </w:rPr>
              <w:t>Доклад на Постоянния комитет</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60.2</w:t>
            </w:r>
          </w:p>
        </w:tc>
        <w:tc>
          <w:tcPr>
            <w:tcW w:w="3097" w:type="dxa"/>
            <w:shd w:val="clear" w:color="auto" w:fill="auto"/>
          </w:tcPr>
          <w:p>
            <w:pPr>
              <w:spacing w:before="0" w:after="0"/>
              <w:jc w:val="left"/>
              <w:rPr>
                <w:rFonts w:eastAsia="Times New Roman"/>
                <w:noProof/>
                <w:sz w:val="20"/>
                <w:szCs w:val="20"/>
              </w:rPr>
            </w:pPr>
            <w:r>
              <w:rPr>
                <w:noProof/>
                <w:sz w:val="20"/>
              </w:rPr>
              <w:t>Предложение на Индия</w:t>
            </w:r>
          </w:p>
        </w:tc>
        <w:tc>
          <w:tcPr>
            <w:tcW w:w="1405" w:type="dxa"/>
            <w:shd w:val="clear" w:color="auto" w:fill="auto"/>
          </w:tcPr>
          <w:p>
            <w:pPr>
              <w:spacing w:before="0" w:after="0"/>
              <w:jc w:val="left"/>
              <w:rPr>
                <w:noProof/>
                <w:sz w:val="20"/>
                <w:szCs w:val="20"/>
              </w:rPr>
            </w:pPr>
            <w:r>
              <w:rPr>
                <w:noProof/>
                <w:sz w:val="20"/>
              </w:rPr>
              <w:t>IN</w:t>
            </w:r>
          </w:p>
        </w:tc>
        <w:tc>
          <w:tcPr>
            <w:tcW w:w="3119" w:type="dxa"/>
            <w:shd w:val="clear" w:color="auto" w:fill="auto"/>
          </w:tcPr>
          <w:p>
            <w:pPr>
              <w:spacing w:before="0" w:after="0"/>
              <w:jc w:val="left"/>
              <w:rPr>
                <w:noProof/>
                <w:sz w:val="20"/>
                <w:szCs w:val="20"/>
              </w:rPr>
            </w:pPr>
            <w:r>
              <w:rPr>
                <w:noProof/>
                <w:sz w:val="20"/>
              </w:rPr>
              <w:t>Подкрепа за предложенията за засилено споделяне на фотографска идентификация на тигри и тигрови кожи.</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61.</w:t>
            </w:r>
          </w:p>
        </w:tc>
        <w:tc>
          <w:tcPr>
            <w:tcW w:w="3097" w:type="dxa"/>
            <w:shd w:val="clear" w:color="auto" w:fill="auto"/>
          </w:tcPr>
          <w:p>
            <w:pPr>
              <w:spacing w:before="0" w:after="0"/>
              <w:jc w:val="left"/>
              <w:rPr>
                <w:rFonts w:eastAsia="Times New Roman"/>
                <w:noProof/>
                <w:sz w:val="20"/>
                <w:szCs w:val="20"/>
              </w:rPr>
            </w:pPr>
            <w:r>
              <w:rPr>
                <w:noProof/>
                <w:sz w:val="20"/>
              </w:rPr>
              <w:t>Човекоподобни маймуни (Hominidae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62.</w:t>
            </w:r>
          </w:p>
        </w:tc>
        <w:tc>
          <w:tcPr>
            <w:tcW w:w="3097" w:type="dxa"/>
            <w:shd w:val="clear" w:color="auto" w:fill="auto"/>
          </w:tcPr>
          <w:p>
            <w:pPr>
              <w:spacing w:before="0" w:after="0"/>
              <w:jc w:val="left"/>
              <w:rPr>
                <w:rFonts w:eastAsia="Times New Roman"/>
                <w:noProof/>
                <w:sz w:val="20"/>
                <w:szCs w:val="20"/>
              </w:rPr>
            </w:pPr>
            <w:r>
              <w:rPr>
                <w:noProof/>
                <w:sz w:val="20"/>
              </w:rPr>
              <w:t>Международна търговия с екземпляри от розово дърво [LEGUMINOSAE (Fabaceae)]</w:t>
            </w:r>
          </w:p>
        </w:tc>
        <w:tc>
          <w:tcPr>
            <w:tcW w:w="1405" w:type="dxa"/>
            <w:shd w:val="clear" w:color="auto" w:fill="auto"/>
          </w:tcPr>
          <w:p>
            <w:pPr>
              <w:spacing w:before="0" w:after="0"/>
              <w:jc w:val="left"/>
              <w:rPr>
                <w:noProof/>
                <w:sz w:val="20"/>
                <w:szCs w:val="20"/>
              </w:rPr>
            </w:pPr>
            <w:r>
              <w:rPr>
                <w:noProof/>
                <w:sz w:val="20"/>
              </w:rPr>
              <w:t>EU</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63.</w:t>
            </w:r>
          </w:p>
        </w:tc>
        <w:tc>
          <w:tcPr>
            <w:tcW w:w="3097" w:type="dxa"/>
            <w:shd w:val="clear" w:color="auto" w:fill="auto"/>
          </w:tcPr>
          <w:p>
            <w:pPr>
              <w:spacing w:before="0" w:after="0"/>
              <w:jc w:val="left"/>
              <w:rPr>
                <w:rFonts w:eastAsia="Times New Roman"/>
                <w:noProof/>
                <w:sz w:val="20"/>
                <w:szCs w:val="20"/>
              </w:rPr>
            </w:pPr>
            <w:r>
              <w:rPr>
                <w:noProof/>
                <w:sz w:val="20"/>
              </w:rPr>
              <w:t>Насоки за определяне на възможното въздействие на търговията с ликаони (</w:t>
            </w:r>
            <w:r>
              <w:rPr>
                <w:i/>
                <w:noProof/>
                <w:sz w:val="20"/>
              </w:rPr>
              <w:t>Lycaon pictus</w:t>
            </w:r>
            <w:r>
              <w:rPr>
                <w:noProof/>
                <w:sz w:val="20"/>
              </w:rPr>
              <w:t>) върху опазването на вида </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64.</w:t>
            </w:r>
          </w:p>
        </w:tc>
        <w:tc>
          <w:tcPr>
            <w:tcW w:w="3097" w:type="dxa"/>
            <w:shd w:val="clear" w:color="auto" w:fill="auto"/>
          </w:tcPr>
          <w:p>
            <w:pPr>
              <w:spacing w:before="0" w:after="0"/>
              <w:jc w:val="left"/>
              <w:rPr>
                <w:rFonts w:eastAsia="Times New Roman"/>
                <w:noProof/>
                <w:sz w:val="20"/>
                <w:szCs w:val="20"/>
              </w:rPr>
            </w:pPr>
            <w:r>
              <w:rPr>
                <w:noProof/>
                <w:sz w:val="20"/>
              </w:rPr>
              <w:t>Люспеници (</w:t>
            </w:r>
            <w:r>
              <w:rPr>
                <w:i/>
                <w:noProof/>
                <w:sz w:val="20"/>
              </w:rPr>
              <w:t>Manis</w:t>
            </w:r>
            <w:r>
              <w:rPr>
                <w:noProof/>
                <w:sz w:val="20"/>
              </w:rPr>
              <w:t xml:space="preserve"> spp.)</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Подкрепа за проекторезолюцията и набора от проекторешения, включително препоръките от Секретариата.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65.</w:t>
            </w:r>
          </w:p>
        </w:tc>
        <w:tc>
          <w:tcPr>
            <w:tcW w:w="3097" w:type="dxa"/>
            <w:shd w:val="clear" w:color="auto" w:fill="auto"/>
          </w:tcPr>
          <w:p>
            <w:pPr>
              <w:spacing w:before="0" w:after="0"/>
              <w:jc w:val="left"/>
              <w:rPr>
                <w:rFonts w:eastAsia="Times New Roman"/>
                <w:noProof/>
                <w:sz w:val="20"/>
                <w:szCs w:val="20"/>
              </w:rPr>
            </w:pPr>
            <w:r>
              <w:rPr>
                <w:noProof/>
                <w:sz w:val="20"/>
              </w:rPr>
              <w:t>Опазване на и търговия с африканско сандалово дърво (</w:t>
            </w:r>
            <w:r>
              <w:rPr>
                <w:i/>
                <w:noProof/>
                <w:sz w:val="20"/>
              </w:rPr>
              <w:t>Osyris lanceolata</w:t>
            </w:r>
            <w:r>
              <w:rPr>
                <w:noProof/>
                <w:sz w:val="20"/>
              </w:rPr>
              <w:t>)</w:t>
            </w:r>
          </w:p>
        </w:tc>
        <w:tc>
          <w:tcPr>
            <w:tcW w:w="1405" w:type="dxa"/>
            <w:shd w:val="clear" w:color="auto" w:fill="auto"/>
          </w:tcPr>
          <w:p>
            <w:pPr>
              <w:spacing w:before="0" w:after="0"/>
              <w:jc w:val="left"/>
              <w:rPr>
                <w:noProof/>
                <w:sz w:val="20"/>
                <w:szCs w:val="20"/>
              </w:rPr>
            </w:pPr>
            <w:r>
              <w:rPr>
                <w:noProof/>
                <w:sz w:val="20"/>
              </w:rPr>
              <w:t>KE</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66.</w:t>
            </w:r>
          </w:p>
        </w:tc>
        <w:tc>
          <w:tcPr>
            <w:tcW w:w="3097" w:type="dxa"/>
            <w:shd w:val="clear" w:color="auto" w:fill="auto"/>
          </w:tcPr>
          <w:p>
            <w:pPr>
              <w:spacing w:before="0" w:after="0"/>
              <w:jc w:val="left"/>
              <w:rPr>
                <w:rFonts w:eastAsia="Times New Roman"/>
                <w:noProof/>
                <w:sz w:val="20"/>
                <w:szCs w:val="20"/>
              </w:rPr>
            </w:pPr>
            <w:r>
              <w:rPr>
                <w:noProof/>
                <w:sz w:val="20"/>
              </w:rPr>
              <w:t>Тибетска антилопа (</w:t>
            </w:r>
            <w:r>
              <w:rPr>
                <w:i/>
                <w:noProof/>
                <w:sz w:val="20"/>
              </w:rPr>
              <w:t>Pantholops hodgsonii</w:t>
            </w:r>
            <w:r>
              <w:rPr>
                <w:noProof/>
                <w:sz w:val="20"/>
              </w:rPr>
              <w:t>): мерки за изпълнение</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Подкрепа за всички препоръки, включително проекторешенията, предложени от Секретариата (по-специално спрямо Индия).</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67.</w:t>
            </w:r>
          </w:p>
        </w:tc>
        <w:tc>
          <w:tcPr>
            <w:tcW w:w="3097" w:type="dxa"/>
            <w:shd w:val="clear" w:color="auto" w:fill="auto"/>
          </w:tcPr>
          <w:p>
            <w:pPr>
              <w:spacing w:before="0" w:after="0"/>
              <w:jc w:val="left"/>
              <w:rPr>
                <w:rFonts w:eastAsia="Times New Roman"/>
                <w:noProof/>
                <w:sz w:val="20"/>
                <w:szCs w:val="20"/>
              </w:rPr>
            </w:pPr>
            <w:r>
              <w:rPr>
                <w:noProof/>
                <w:sz w:val="20"/>
              </w:rPr>
              <w:t xml:space="preserve">Прибиране на и търговия с </w:t>
            </w:r>
            <w:r>
              <w:rPr>
                <w:noProof/>
                <w:sz w:val="20"/>
              </w:rPr>
              <w:lastRenderedPageBreak/>
              <w:t>африканска череша (</w:t>
            </w:r>
            <w:r>
              <w:rPr>
                <w:i/>
                <w:noProof/>
                <w:sz w:val="20"/>
              </w:rPr>
              <w:t>Prunus africana</w:t>
            </w:r>
            <w:r>
              <w:rPr>
                <w:noProof/>
                <w:sz w:val="20"/>
              </w:rPr>
              <w:t>)</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68.</w:t>
            </w:r>
          </w:p>
        </w:tc>
        <w:tc>
          <w:tcPr>
            <w:tcW w:w="3097" w:type="dxa"/>
            <w:shd w:val="clear" w:color="auto" w:fill="auto"/>
          </w:tcPr>
          <w:p>
            <w:pPr>
              <w:spacing w:before="0" w:after="0"/>
              <w:jc w:val="left"/>
              <w:rPr>
                <w:rFonts w:eastAsia="Times New Roman"/>
                <w:noProof/>
                <w:sz w:val="20"/>
                <w:szCs w:val="20"/>
              </w:rPr>
            </w:pPr>
            <w:r>
              <w:rPr>
                <w:noProof/>
                <w:sz w:val="20"/>
              </w:rPr>
              <w:t>Носорози (Rhinocerotidae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69.</w:t>
            </w:r>
          </w:p>
        </w:tc>
        <w:tc>
          <w:tcPr>
            <w:tcW w:w="3097" w:type="dxa"/>
            <w:shd w:val="clear" w:color="auto" w:fill="auto"/>
          </w:tcPr>
          <w:p>
            <w:pPr>
              <w:spacing w:before="0" w:after="0"/>
              <w:jc w:val="left"/>
              <w:rPr>
                <w:rFonts w:eastAsia="Times New Roman"/>
                <w:noProof/>
                <w:sz w:val="20"/>
                <w:szCs w:val="20"/>
              </w:rPr>
            </w:pPr>
            <w:r>
              <w:rPr>
                <w:noProof/>
                <w:sz w:val="20"/>
              </w:rPr>
              <w:t>Незаконна търговия с шлемоносна птица носорог (</w:t>
            </w:r>
            <w:r>
              <w:rPr>
                <w:i/>
                <w:noProof/>
                <w:sz w:val="20"/>
              </w:rPr>
              <w:t>Rhinoplax vigil</w:t>
            </w:r>
            <w:r>
              <w:rPr>
                <w:noProof/>
                <w:sz w:val="20"/>
              </w:rPr>
              <w:t>)</w:t>
            </w:r>
          </w:p>
        </w:tc>
        <w:tc>
          <w:tcPr>
            <w:tcW w:w="1405" w:type="dxa"/>
            <w:shd w:val="clear" w:color="auto" w:fill="auto"/>
          </w:tcPr>
          <w:p>
            <w:pPr>
              <w:spacing w:before="0" w:after="0"/>
              <w:jc w:val="left"/>
              <w:rPr>
                <w:noProof/>
                <w:sz w:val="20"/>
                <w:szCs w:val="20"/>
              </w:rPr>
            </w:pPr>
            <w:r>
              <w:rPr>
                <w:noProof/>
                <w:sz w:val="20"/>
              </w:rPr>
              <w:t>ID</w:t>
            </w:r>
          </w:p>
        </w:tc>
        <w:tc>
          <w:tcPr>
            <w:tcW w:w="3119" w:type="dxa"/>
            <w:shd w:val="clear" w:color="auto" w:fill="auto"/>
          </w:tcPr>
          <w:p>
            <w:pPr>
              <w:spacing w:before="0" w:after="0"/>
              <w:jc w:val="left"/>
              <w:rPr>
                <w:noProof/>
                <w:sz w:val="20"/>
                <w:szCs w:val="20"/>
              </w:rPr>
            </w:pPr>
            <w:r>
              <w:rPr>
                <w:noProof/>
                <w:sz w:val="20"/>
              </w:rPr>
              <w:t xml:space="preserve">Подкрепа за проекторезолюцията, но да се отправи запитване дали е уместно насочване на вниманието (и) към вътрешната търговия; необходима е нова формулировка във връзка с онлайн търговията. </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70.</w:t>
            </w:r>
          </w:p>
        </w:tc>
        <w:tc>
          <w:tcPr>
            <w:tcW w:w="3097" w:type="dxa"/>
            <w:shd w:val="clear" w:color="auto" w:fill="auto"/>
          </w:tcPr>
          <w:p>
            <w:pPr>
              <w:spacing w:before="0" w:after="0"/>
              <w:jc w:val="left"/>
              <w:rPr>
                <w:rFonts w:eastAsia="Times New Roman"/>
                <w:noProof/>
                <w:sz w:val="20"/>
                <w:szCs w:val="20"/>
              </w:rPr>
            </w:pPr>
            <w:r>
              <w:rPr>
                <w:noProof/>
                <w:sz w:val="20"/>
              </w:rPr>
              <w:t>Антилопа сайга (</w:t>
            </w:r>
            <w:r>
              <w:rPr>
                <w:i/>
                <w:noProof/>
                <w:sz w:val="20"/>
              </w:rPr>
              <w:t>Saiga tatarica</w:t>
            </w:r>
            <w:r>
              <w:rPr>
                <w:noProof/>
                <w:sz w:val="20"/>
              </w:rPr>
              <w:t>)</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71.</w:t>
            </w:r>
          </w:p>
        </w:tc>
        <w:tc>
          <w:tcPr>
            <w:tcW w:w="3097" w:type="dxa"/>
            <w:shd w:val="clear" w:color="auto" w:fill="auto"/>
          </w:tcPr>
          <w:p>
            <w:pPr>
              <w:spacing w:before="0" w:after="0"/>
              <w:jc w:val="left"/>
              <w:rPr>
                <w:rFonts w:eastAsia="Times New Roman"/>
                <w:noProof/>
                <w:sz w:val="20"/>
                <w:szCs w:val="20"/>
              </w:rPr>
            </w:pPr>
            <w:r>
              <w:rPr>
                <w:noProof/>
                <w:sz w:val="20"/>
              </w:rPr>
              <w:t>Търговия със змии и управление на опазването (Serpentes spp.)</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r>
              <w:rPr>
                <w:noProof/>
                <w:sz w:val="20"/>
              </w:rPr>
              <w:t>Подкрепа за проекторезолюцията и набора от проекторешения, включително препоръките от Секретариата.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72.</w:t>
            </w:r>
          </w:p>
        </w:tc>
        <w:tc>
          <w:tcPr>
            <w:tcW w:w="3097" w:type="dxa"/>
            <w:shd w:val="clear" w:color="auto" w:fill="auto"/>
          </w:tcPr>
          <w:p>
            <w:pPr>
              <w:spacing w:before="0" w:after="0"/>
              <w:jc w:val="left"/>
              <w:rPr>
                <w:rFonts w:eastAsia="Times New Roman"/>
                <w:noProof/>
                <w:sz w:val="20"/>
                <w:szCs w:val="20"/>
              </w:rPr>
            </w:pPr>
            <w:r>
              <w:rPr>
                <w:noProof/>
                <w:sz w:val="20"/>
              </w:rPr>
              <w:t>Регионално сътрудничество във връзка с управлението на и търговията с розов стромбус (</w:t>
            </w:r>
            <w:r>
              <w:rPr>
                <w:i/>
                <w:noProof/>
                <w:sz w:val="20"/>
              </w:rPr>
              <w:t>Strombus gigas</w:t>
            </w:r>
            <w:r>
              <w:rPr>
                <w:noProof/>
                <w:sz w:val="20"/>
              </w:rPr>
              <w:t>)</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73.</w:t>
            </w:r>
          </w:p>
        </w:tc>
        <w:tc>
          <w:tcPr>
            <w:tcW w:w="3097" w:type="dxa"/>
            <w:shd w:val="clear" w:color="auto" w:fill="auto"/>
          </w:tcPr>
          <w:p>
            <w:pPr>
              <w:spacing w:before="0" w:after="0"/>
              <w:jc w:val="left"/>
              <w:rPr>
                <w:rFonts w:eastAsia="Times New Roman"/>
                <w:noProof/>
                <w:sz w:val="20"/>
                <w:szCs w:val="20"/>
              </w:rPr>
            </w:pPr>
            <w:r>
              <w:rPr>
                <w:noProof/>
                <w:sz w:val="20"/>
              </w:rPr>
              <w:t>Морски и сладководни костенурки (Testudines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74.</w:t>
            </w:r>
          </w:p>
        </w:tc>
        <w:tc>
          <w:tcPr>
            <w:tcW w:w="3097" w:type="dxa"/>
            <w:shd w:val="clear" w:color="auto" w:fill="auto"/>
          </w:tcPr>
          <w:p>
            <w:pPr>
              <w:spacing w:before="0" w:after="0"/>
              <w:jc w:val="left"/>
              <w:rPr>
                <w:rFonts w:eastAsia="Times New Roman"/>
                <w:noProof/>
                <w:sz w:val="20"/>
                <w:szCs w:val="20"/>
              </w:rPr>
            </w:pPr>
            <w:r>
              <w:rPr>
                <w:i/>
                <w:noProof/>
                <w:sz w:val="20"/>
              </w:rPr>
              <w:t>Totoaba macdonaldi</w:t>
            </w:r>
            <w:r>
              <w:rPr>
                <w:noProof/>
                <w:sz w:val="20"/>
              </w:rPr>
              <w:t xml:space="preserve"> — Възможности за международно сътрудничество в рамката на CITES</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r>
              <w:rPr>
                <w:noProof/>
                <w:sz w:val="20"/>
              </w:rPr>
              <w:t>Подкрепа за препоръките на Мексико за подобряване на прилагането на конвенцията по отношение на този вид, по-специално във връзка с необходимостта от контрол върху изпълнението и споделянето на информация с мексиканските органи във връзка с изземванията.</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75</w:t>
            </w:r>
          </w:p>
        </w:tc>
        <w:tc>
          <w:tcPr>
            <w:tcW w:w="3097" w:type="dxa"/>
            <w:shd w:val="clear" w:color="auto" w:fill="auto"/>
          </w:tcPr>
          <w:p>
            <w:pPr>
              <w:spacing w:before="0" w:after="0"/>
              <w:jc w:val="left"/>
              <w:rPr>
                <w:rFonts w:eastAsia="Times New Roman"/>
                <w:noProof/>
                <w:sz w:val="20"/>
                <w:szCs w:val="20"/>
              </w:rPr>
            </w:pPr>
            <w:r>
              <w:rPr>
                <w:noProof/>
                <w:sz w:val="20"/>
              </w:rPr>
              <w:t>Месо от тропически дивеч („bushmeat“)</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75.1</w:t>
            </w:r>
          </w:p>
        </w:tc>
        <w:tc>
          <w:tcPr>
            <w:tcW w:w="3097" w:type="dxa"/>
            <w:shd w:val="clear" w:color="auto" w:fill="auto"/>
          </w:tcPr>
          <w:p>
            <w:pPr>
              <w:spacing w:before="0" w:after="0"/>
              <w:jc w:val="left"/>
              <w:rPr>
                <w:rFonts w:eastAsia="Times New Roman"/>
                <w:noProof/>
                <w:sz w:val="20"/>
                <w:szCs w:val="20"/>
              </w:rPr>
            </w:pPr>
            <w:r>
              <w:rPr>
                <w:noProof/>
                <w:sz w:val="20"/>
              </w:rPr>
              <w:t>Преглед на Резолюция Conf.13.11 относно месото от тропически дивеч</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75.2</w:t>
            </w:r>
          </w:p>
        </w:tc>
        <w:tc>
          <w:tcPr>
            <w:tcW w:w="3097" w:type="dxa"/>
            <w:shd w:val="clear" w:color="auto" w:fill="auto"/>
          </w:tcPr>
          <w:p>
            <w:pPr>
              <w:spacing w:before="0" w:after="0"/>
              <w:jc w:val="left"/>
              <w:rPr>
                <w:rFonts w:eastAsia="Times New Roman"/>
                <w:noProof/>
                <w:sz w:val="20"/>
                <w:szCs w:val="20"/>
              </w:rPr>
            </w:pPr>
            <w:r>
              <w:rPr>
                <w:noProof/>
                <w:sz w:val="20"/>
              </w:rPr>
              <w:t>Доклад на Работната група за месото от тропически дивеч от Централна Африка</w:t>
            </w:r>
          </w:p>
        </w:tc>
        <w:tc>
          <w:tcPr>
            <w:tcW w:w="1405" w:type="dxa"/>
            <w:shd w:val="clear" w:color="auto" w:fill="auto"/>
          </w:tcPr>
          <w:p>
            <w:pPr>
              <w:spacing w:before="0" w:after="0"/>
              <w:jc w:val="left"/>
              <w:rPr>
                <w:noProof/>
                <w:sz w:val="20"/>
                <w:szCs w:val="20"/>
              </w:rPr>
            </w:pPr>
            <w:r>
              <w:rPr>
                <w:noProof/>
                <w:sz w:val="20"/>
              </w:rPr>
              <w:t>Секретариат</w:t>
            </w:r>
          </w:p>
        </w:tc>
        <w:tc>
          <w:tcPr>
            <w:tcW w:w="3119" w:type="dxa"/>
            <w:shd w:val="clear" w:color="auto" w:fill="auto"/>
          </w:tcPr>
          <w:p>
            <w:pPr>
              <w:spacing w:before="0" w:after="0"/>
              <w:jc w:val="left"/>
              <w:rPr>
                <w:noProof/>
                <w:sz w:val="20"/>
                <w:szCs w:val="20"/>
              </w:rPr>
            </w:pPr>
            <w:r>
              <w:rPr>
                <w:noProof/>
                <w:sz w:val="20"/>
              </w:rPr>
              <w:t>Подкрепа за предложеното преразглеждане на Резолюция Conf. 13.11 относно месото от тропически дивеч и заличаване на решения 14.73 и 14.74 (Rev. CoP16).</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76.</w:t>
            </w:r>
          </w:p>
        </w:tc>
        <w:tc>
          <w:tcPr>
            <w:tcW w:w="3097" w:type="dxa"/>
            <w:shd w:val="clear" w:color="auto" w:fill="auto"/>
          </w:tcPr>
          <w:p>
            <w:pPr>
              <w:spacing w:before="0" w:after="0"/>
              <w:jc w:val="left"/>
              <w:rPr>
                <w:rFonts w:eastAsia="Times New Roman"/>
                <w:noProof/>
                <w:sz w:val="20"/>
                <w:szCs w:val="20"/>
              </w:rPr>
            </w:pPr>
            <w:r>
              <w:rPr>
                <w:noProof/>
                <w:sz w:val="20"/>
              </w:rPr>
              <w:t>Неотропични дървесни видове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77.</w:t>
            </w:r>
          </w:p>
        </w:tc>
        <w:tc>
          <w:tcPr>
            <w:tcW w:w="3097" w:type="dxa"/>
            <w:shd w:val="clear" w:color="auto" w:fill="auto"/>
          </w:tcPr>
          <w:p>
            <w:pPr>
              <w:spacing w:before="0" w:after="0"/>
              <w:jc w:val="left"/>
              <w:rPr>
                <w:rFonts w:eastAsia="Times New Roman"/>
                <w:noProof/>
                <w:sz w:val="20"/>
                <w:szCs w:val="20"/>
              </w:rPr>
            </w:pPr>
            <w:r>
              <w:rPr>
                <w:noProof/>
                <w:sz w:val="20"/>
              </w:rPr>
              <w:t>Международна търговия с африкански дървесни видове</w:t>
            </w:r>
          </w:p>
        </w:tc>
        <w:tc>
          <w:tcPr>
            <w:tcW w:w="1405" w:type="dxa"/>
            <w:shd w:val="clear" w:color="auto" w:fill="auto"/>
          </w:tcPr>
          <w:p>
            <w:pPr>
              <w:spacing w:before="0" w:after="0"/>
              <w:jc w:val="left"/>
              <w:rPr>
                <w:noProof/>
                <w:sz w:val="20"/>
                <w:szCs w:val="20"/>
              </w:rPr>
            </w:pPr>
            <w:r>
              <w:rPr>
                <w:noProof/>
                <w:sz w:val="20"/>
              </w:rPr>
              <w:t>KE</w:t>
            </w:r>
          </w:p>
        </w:tc>
        <w:tc>
          <w:tcPr>
            <w:tcW w:w="3119" w:type="dxa"/>
            <w:shd w:val="clear" w:color="auto" w:fill="auto"/>
          </w:tcPr>
          <w:p>
            <w:pPr>
              <w:spacing w:before="0" w:after="0"/>
              <w:jc w:val="left"/>
              <w:rPr>
                <w:noProof/>
                <w:sz w:val="20"/>
                <w:szCs w:val="20"/>
              </w:rPr>
            </w:pPr>
            <w:r>
              <w:rPr>
                <w:noProof/>
                <w:sz w:val="20"/>
              </w:rPr>
              <w:t>Подкрепа за продължаване на работата в Комитета по растенията за преодоляване на нерешени въпроси по отношение на прилагането на CITES за африкански дървета, по-специално по отношение на управлението на квотите за износ и данните за неувреждане.</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78.</w:t>
            </w:r>
          </w:p>
        </w:tc>
        <w:tc>
          <w:tcPr>
            <w:tcW w:w="3097" w:type="dxa"/>
            <w:shd w:val="clear" w:color="auto" w:fill="auto"/>
          </w:tcPr>
          <w:p>
            <w:pPr>
              <w:spacing w:before="0" w:after="0"/>
              <w:jc w:val="left"/>
              <w:rPr>
                <w:rFonts w:eastAsia="Times New Roman"/>
                <w:noProof/>
                <w:sz w:val="20"/>
                <w:szCs w:val="20"/>
              </w:rPr>
            </w:pPr>
            <w:r>
              <w:rPr>
                <w:noProof/>
                <w:sz w:val="20"/>
              </w:rPr>
              <w:t xml:space="preserve">Споделяне на съществуващите писмени научно обосновани аргументи и научна информация </w:t>
            </w:r>
            <w:r>
              <w:rPr>
                <w:noProof/>
                <w:sz w:val="20"/>
              </w:rPr>
              <w:lastRenderedPageBreak/>
              <w:t>за данни за неувреждане, получени за търговия с видове, изброени в CITES</w:t>
            </w:r>
          </w:p>
        </w:tc>
        <w:tc>
          <w:tcPr>
            <w:tcW w:w="1405" w:type="dxa"/>
            <w:shd w:val="clear" w:color="auto" w:fill="auto"/>
          </w:tcPr>
          <w:p>
            <w:pPr>
              <w:spacing w:before="0" w:after="0"/>
              <w:jc w:val="left"/>
              <w:rPr>
                <w:noProof/>
                <w:sz w:val="20"/>
                <w:szCs w:val="20"/>
              </w:rPr>
            </w:pPr>
            <w:r>
              <w:rPr>
                <w:noProof/>
                <w:sz w:val="20"/>
              </w:rPr>
              <w:lastRenderedPageBreak/>
              <w:t>AU</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79.</w:t>
            </w:r>
          </w:p>
        </w:tc>
        <w:tc>
          <w:tcPr>
            <w:tcW w:w="3097" w:type="dxa"/>
            <w:shd w:val="clear" w:color="auto" w:fill="auto"/>
          </w:tcPr>
          <w:p>
            <w:pPr>
              <w:spacing w:before="0" w:after="0"/>
              <w:jc w:val="left"/>
              <w:rPr>
                <w:rFonts w:eastAsia="Times New Roman"/>
                <w:noProof/>
                <w:sz w:val="20"/>
                <w:szCs w:val="20"/>
              </w:rPr>
            </w:pPr>
            <w:r>
              <w:rPr>
                <w:noProof/>
                <w:sz w:val="20"/>
              </w:rPr>
              <w:t>Изпълнение на стратегическите намерения на CITES: 2008—2020 г.</w:t>
            </w:r>
          </w:p>
        </w:tc>
        <w:tc>
          <w:tcPr>
            <w:tcW w:w="1405" w:type="dxa"/>
            <w:shd w:val="clear" w:color="auto" w:fill="auto"/>
          </w:tcPr>
          <w:p>
            <w:pPr>
              <w:spacing w:before="0" w:after="0"/>
              <w:jc w:val="left"/>
              <w:rPr>
                <w:noProof/>
                <w:sz w:val="20"/>
                <w:szCs w:val="20"/>
              </w:rPr>
            </w:pPr>
            <w:r>
              <w:rPr>
                <w:noProof/>
                <w:sz w:val="20"/>
              </w:rPr>
              <w:t>BR</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80.</w:t>
            </w:r>
          </w:p>
        </w:tc>
        <w:tc>
          <w:tcPr>
            <w:tcW w:w="3097" w:type="dxa"/>
            <w:shd w:val="clear" w:color="auto" w:fill="auto"/>
          </w:tcPr>
          <w:p>
            <w:pPr>
              <w:spacing w:before="0" w:after="0"/>
              <w:jc w:val="left"/>
              <w:rPr>
                <w:rFonts w:eastAsia="Times New Roman"/>
                <w:noProof/>
                <w:sz w:val="20"/>
                <w:szCs w:val="20"/>
              </w:rPr>
            </w:pPr>
            <w:r>
              <w:rPr>
                <w:noProof/>
                <w:sz w:val="20"/>
              </w:rPr>
              <w:t>Приложение III към CITES — добавена стойност за опазването на застрашената дива флора и фауна с ограничено разпространение</w:t>
            </w:r>
          </w:p>
        </w:tc>
        <w:tc>
          <w:tcPr>
            <w:tcW w:w="1405" w:type="dxa"/>
            <w:shd w:val="clear" w:color="auto" w:fill="auto"/>
          </w:tcPr>
          <w:p>
            <w:pPr>
              <w:spacing w:before="0" w:after="0"/>
              <w:jc w:val="left"/>
              <w:rPr>
                <w:noProof/>
                <w:sz w:val="20"/>
                <w:szCs w:val="20"/>
              </w:rPr>
            </w:pPr>
            <w:r>
              <w:rPr>
                <w:noProof/>
                <w:sz w:val="20"/>
              </w:rPr>
              <w:t>EU</w:t>
            </w:r>
          </w:p>
        </w:tc>
        <w:tc>
          <w:tcPr>
            <w:tcW w:w="3119" w:type="dxa"/>
            <w:shd w:val="clear" w:color="auto" w:fill="auto"/>
          </w:tcPr>
          <w:p>
            <w:pPr>
              <w:spacing w:before="0" w:after="0"/>
              <w:jc w:val="left"/>
              <w:rPr>
                <w:noProof/>
                <w:sz w:val="20"/>
                <w:szCs w:val="20"/>
              </w:rPr>
            </w:pPr>
            <w:r>
              <w:rPr>
                <w:noProof/>
                <w:sz w:val="20"/>
              </w:rPr>
              <w:t>[предложено от ЕС]</w:t>
            </w: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spacing w:before="60" w:after="60"/>
              <w:jc w:val="left"/>
              <w:rPr>
                <w:noProof/>
                <w:sz w:val="20"/>
                <w:szCs w:val="20"/>
              </w:rPr>
            </w:pPr>
            <w:r>
              <w:rPr>
                <w:noProof/>
                <w:sz w:val="20"/>
                <w:u w:val="single"/>
              </w:rPr>
              <w:t>Поддържане на приложенията</w:t>
            </w:r>
          </w:p>
        </w:tc>
      </w:tr>
      <w:tr>
        <w:tc>
          <w:tcPr>
            <w:tcW w:w="851" w:type="dxa"/>
            <w:shd w:val="clear" w:color="auto" w:fill="auto"/>
          </w:tcPr>
          <w:p>
            <w:pPr>
              <w:spacing w:before="0" w:after="0"/>
              <w:rPr>
                <w:rFonts w:eastAsia="Times New Roman"/>
                <w:noProof/>
                <w:sz w:val="20"/>
                <w:szCs w:val="20"/>
              </w:rPr>
            </w:pPr>
            <w:r>
              <w:rPr>
                <w:noProof/>
                <w:sz w:val="20"/>
              </w:rPr>
              <w:t>81.</w:t>
            </w:r>
          </w:p>
        </w:tc>
        <w:tc>
          <w:tcPr>
            <w:tcW w:w="3097" w:type="dxa"/>
            <w:shd w:val="clear" w:color="auto" w:fill="auto"/>
          </w:tcPr>
          <w:p>
            <w:pPr>
              <w:spacing w:before="0" w:after="0"/>
              <w:jc w:val="left"/>
              <w:rPr>
                <w:rFonts w:eastAsia="Times New Roman"/>
                <w:noProof/>
                <w:sz w:val="20"/>
                <w:szCs w:val="20"/>
              </w:rPr>
            </w:pPr>
            <w:r>
              <w:rPr>
                <w:noProof/>
                <w:sz w:val="20"/>
              </w:rPr>
              <w:t>Стандартна номенклатура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81.1</w:t>
            </w:r>
          </w:p>
        </w:tc>
        <w:tc>
          <w:tcPr>
            <w:tcW w:w="3097" w:type="dxa"/>
            <w:shd w:val="clear" w:color="auto" w:fill="auto"/>
          </w:tcPr>
          <w:p>
            <w:pPr>
              <w:spacing w:before="0" w:after="0"/>
              <w:jc w:val="left"/>
              <w:rPr>
                <w:rFonts w:eastAsia="Times New Roman"/>
                <w:noProof/>
                <w:sz w:val="20"/>
                <w:szCs w:val="20"/>
              </w:rPr>
            </w:pPr>
            <w:r>
              <w:rPr>
                <w:noProof/>
                <w:sz w:val="20"/>
              </w:rPr>
              <w:t>Стандартна номенклатура: Доклад на комитетите по животните и растенията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81.2</w:t>
            </w:r>
          </w:p>
        </w:tc>
        <w:tc>
          <w:tcPr>
            <w:tcW w:w="3097" w:type="dxa"/>
            <w:shd w:val="clear" w:color="auto" w:fill="auto"/>
          </w:tcPr>
          <w:p>
            <w:pPr>
              <w:spacing w:before="0" w:after="0"/>
              <w:jc w:val="left"/>
              <w:rPr>
                <w:rFonts w:eastAsia="Times New Roman"/>
                <w:noProof/>
                <w:sz w:val="20"/>
                <w:szCs w:val="20"/>
              </w:rPr>
            </w:pPr>
            <w:r>
              <w:rPr>
                <w:noProof/>
                <w:sz w:val="20"/>
              </w:rPr>
              <w:t xml:space="preserve">Стандартна номенклатура за </w:t>
            </w:r>
            <w:r>
              <w:rPr>
                <w:i/>
                <w:noProof/>
                <w:sz w:val="20"/>
              </w:rPr>
              <w:t>Hippocampus</w:t>
            </w:r>
            <w:r>
              <w:rPr>
                <w:noProof/>
                <w:sz w:val="20"/>
              </w:rPr>
              <w:t xml:space="preserve"> spp.</w:t>
            </w:r>
          </w:p>
        </w:tc>
        <w:tc>
          <w:tcPr>
            <w:tcW w:w="1405" w:type="dxa"/>
            <w:shd w:val="clear" w:color="auto" w:fill="auto"/>
          </w:tcPr>
          <w:p>
            <w:pPr>
              <w:spacing w:before="0" w:after="0"/>
              <w:jc w:val="left"/>
              <w:rPr>
                <w:noProof/>
                <w:sz w:val="20"/>
                <w:szCs w:val="20"/>
              </w:rPr>
            </w:pPr>
            <w:r>
              <w:rPr>
                <w:noProof/>
                <w:sz w:val="20"/>
              </w:rPr>
              <w:t>AU</w:t>
            </w:r>
          </w:p>
        </w:tc>
        <w:tc>
          <w:tcPr>
            <w:tcW w:w="3119" w:type="dxa"/>
            <w:shd w:val="clear" w:color="auto" w:fill="auto"/>
          </w:tcPr>
          <w:p>
            <w:pPr>
              <w:spacing w:before="0" w:after="0"/>
              <w:jc w:val="left"/>
              <w:rPr>
                <w:noProof/>
                <w:sz w:val="20"/>
                <w:szCs w:val="20"/>
              </w:rPr>
            </w:pPr>
            <w:r>
              <w:rPr>
                <w:noProof/>
                <w:sz w:val="20"/>
              </w:rPr>
              <w:t>Подкрепа, при условие че експертът по номенклатурата в Комитета по животните подкрепи предложените от Австралия промени.</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82.</w:t>
            </w:r>
          </w:p>
        </w:tc>
        <w:tc>
          <w:tcPr>
            <w:tcW w:w="3097" w:type="dxa"/>
            <w:shd w:val="clear" w:color="auto" w:fill="auto"/>
          </w:tcPr>
          <w:p>
            <w:pPr>
              <w:spacing w:before="0" w:after="0"/>
              <w:jc w:val="left"/>
              <w:rPr>
                <w:rFonts w:eastAsia="Times New Roman"/>
                <w:noProof/>
                <w:sz w:val="20"/>
                <w:szCs w:val="20"/>
              </w:rPr>
            </w:pPr>
            <w:r>
              <w:rPr>
                <w:noProof/>
                <w:sz w:val="20"/>
              </w:rPr>
              <w:t>Периодичен преглед на приложенията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82.1</w:t>
            </w:r>
          </w:p>
        </w:tc>
        <w:tc>
          <w:tcPr>
            <w:tcW w:w="3097" w:type="dxa"/>
            <w:shd w:val="clear" w:color="auto" w:fill="auto"/>
          </w:tcPr>
          <w:p>
            <w:pPr>
              <w:spacing w:before="0" w:after="0"/>
              <w:jc w:val="left"/>
              <w:rPr>
                <w:rFonts w:eastAsia="Times New Roman"/>
                <w:noProof/>
                <w:sz w:val="20"/>
                <w:szCs w:val="20"/>
              </w:rPr>
            </w:pPr>
            <w:r>
              <w:rPr>
                <w:noProof/>
                <w:sz w:val="20"/>
              </w:rPr>
              <w:t>Преразглеждане на Резолюция Conf. 14.8 (Rev. CoP16) относно периодичния преглед на видовете, включени в приложения I и II</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82.2</w:t>
            </w:r>
          </w:p>
        </w:tc>
        <w:tc>
          <w:tcPr>
            <w:tcW w:w="3097" w:type="dxa"/>
            <w:shd w:val="clear" w:color="auto" w:fill="auto"/>
          </w:tcPr>
          <w:p>
            <w:pPr>
              <w:spacing w:before="0" w:after="0"/>
              <w:jc w:val="left"/>
              <w:rPr>
                <w:rFonts w:eastAsia="Times New Roman"/>
                <w:noProof/>
                <w:sz w:val="20"/>
                <w:szCs w:val="20"/>
              </w:rPr>
            </w:pPr>
            <w:r>
              <w:rPr>
                <w:noProof/>
                <w:sz w:val="20"/>
              </w:rPr>
              <w:t>Преглед на приложенията: Felidae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83.</w:t>
            </w:r>
          </w:p>
        </w:tc>
        <w:tc>
          <w:tcPr>
            <w:tcW w:w="3097" w:type="dxa"/>
            <w:shd w:val="clear" w:color="auto" w:fill="auto"/>
          </w:tcPr>
          <w:p>
            <w:pPr>
              <w:spacing w:before="0" w:after="0"/>
              <w:jc w:val="left"/>
              <w:rPr>
                <w:rFonts w:eastAsia="Times New Roman"/>
                <w:noProof/>
                <w:sz w:val="20"/>
                <w:szCs w:val="20"/>
              </w:rPr>
            </w:pPr>
            <w:r>
              <w:rPr>
                <w:noProof/>
                <w:sz w:val="20"/>
              </w:rPr>
              <w:t>Анотации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83.1</w:t>
            </w:r>
          </w:p>
        </w:tc>
        <w:tc>
          <w:tcPr>
            <w:tcW w:w="3097" w:type="dxa"/>
            <w:shd w:val="clear" w:color="auto" w:fill="auto"/>
          </w:tcPr>
          <w:p>
            <w:pPr>
              <w:spacing w:before="0" w:after="0"/>
              <w:jc w:val="left"/>
              <w:rPr>
                <w:rFonts w:eastAsia="Times New Roman"/>
                <w:noProof/>
                <w:sz w:val="20"/>
                <w:szCs w:val="20"/>
              </w:rPr>
            </w:pPr>
            <w:r>
              <w:rPr>
                <w:noProof/>
                <w:sz w:val="20"/>
              </w:rPr>
              <w:t>Доклад на Постоянния комитет</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83.2</w:t>
            </w:r>
          </w:p>
        </w:tc>
        <w:tc>
          <w:tcPr>
            <w:tcW w:w="3097" w:type="dxa"/>
            <w:shd w:val="clear" w:color="auto" w:fill="auto"/>
          </w:tcPr>
          <w:p>
            <w:pPr>
              <w:spacing w:before="0" w:after="0"/>
              <w:jc w:val="left"/>
              <w:rPr>
                <w:rFonts w:eastAsia="Times New Roman"/>
                <w:noProof/>
                <w:sz w:val="20"/>
                <w:szCs w:val="20"/>
              </w:rPr>
            </w:pPr>
            <w:r>
              <w:rPr>
                <w:noProof/>
                <w:sz w:val="20"/>
              </w:rPr>
              <w:t>Анотации за видове, изброени в приложенията към CITES: Доклад на работната група</w:t>
            </w:r>
          </w:p>
        </w:tc>
        <w:tc>
          <w:tcPr>
            <w:tcW w:w="1405" w:type="dxa"/>
            <w:shd w:val="clear" w:color="auto" w:fill="auto"/>
          </w:tcPr>
          <w:p>
            <w:pPr>
              <w:spacing w:before="0" w:after="0"/>
              <w:jc w:val="left"/>
              <w:rPr>
                <w:noProof/>
                <w:sz w:val="20"/>
                <w:szCs w:val="20"/>
              </w:rPr>
            </w:pPr>
            <w:r>
              <w:rPr>
                <w:noProof/>
                <w:sz w:val="20"/>
              </w:rPr>
              <w:t>US</w:t>
            </w:r>
          </w:p>
        </w:tc>
        <w:tc>
          <w:tcPr>
            <w:tcW w:w="3119" w:type="dxa"/>
            <w:shd w:val="clear" w:color="auto" w:fill="auto"/>
          </w:tcPr>
          <w:p>
            <w:pPr>
              <w:spacing w:before="0" w:after="0"/>
              <w:jc w:val="left"/>
              <w:rPr>
                <w:noProof/>
                <w:sz w:val="20"/>
                <w:szCs w:val="20"/>
              </w:rPr>
            </w:pPr>
            <w:r>
              <w:rPr>
                <w:noProof/>
                <w:sz w:val="20"/>
              </w:rPr>
              <w:t>Подкрепа за препоръките, за да се гарантира, че работната група ще продължи дейността си с оглед на CoP18, по-специално във връзка с анотациите за дървесни видове.</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83.3</w:t>
            </w:r>
          </w:p>
        </w:tc>
        <w:tc>
          <w:tcPr>
            <w:tcW w:w="3097" w:type="dxa"/>
            <w:shd w:val="clear" w:color="auto" w:fill="auto"/>
          </w:tcPr>
          <w:p>
            <w:pPr>
              <w:spacing w:before="0" w:after="0"/>
              <w:jc w:val="left"/>
              <w:rPr>
                <w:rFonts w:eastAsia="Times New Roman"/>
                <w:noProof/>
                <w:sz w:val="20"/>
                <w:szCs w:val="20"/>
              </w:rPr>
            </w:pPr>
            <w:r>
              <w:rPr>
                <w:noProof/>
                <w:sz w:val="20"/>
              </w:rPr>
              <w:t>Анотации за орхидеи от приложение II</w:t>
            </w:r>
          </w:p>
        </w:tc>
        <w:tc>
          <w:tcPr>
            <w:tcW w:w="1405" w:type="dxa"/>
            <w:shd w:val="clear" w:color="auto" w:fill="auto"/>
          </w:tcPr>
          <w:p>
            <w:pPr>
              <w:spacing w:before="0" w:after="0"/>
              <w:jc w:val="left"/>
              <w:rPr>
                <w:noProof/>
                <w:sz w:val="20"/>
                <w:szCs w:val="20"/>
              </w:rPr>
            </w:pPr>
            <w:r>
              <w:rPr>
                <w:noProof/>
                <w:sz w:val="20"/>
              </w:rPr>
              <w:t>CA</w:t>
            </w:r>
          </w:p>
        </w:tc>
        <w:tc>
          <w:tcPr>
            <w:tcW w:w="3119" w:type="dxa"/>
            <w:shd w:val="clear" w:color="auto" w:fill="auto"/>
          </w:tcPr>
          <w:p>
            <w:pPr>
              <w:spacing w:before="0" w:after="0"/>
              <w:jc w:val="left"/>
              <w:rPr>
                <w:noProof/>
                <w:sz w:val="20"/>
                <w:szCs w:val="20"/>
              </w:rPr>
            </w:pPr>
            <w:r>
              <w:rPr>
                <w:noProof/>
                <w:sz w:val="20"/>
              </w:rPr>
              <w:t>Подкрепа за препоръката Комитетът по растенията да сформира работна група относно анотациите за орхидеи от приложение II, по-специално с цел да се анализира рискът от търговия с продукти от орхидеи по отношение на опазването.</w:t>
            </w:r>
          </w:p>
        </w:tc>
        <w:tc>
          <w:tcPr>
            <w:tcW w:w="992" w:type="dxa"/>
            <w:shd w:val="clear" w:color="auto" w:fill="auto"/>
          </w:tcPr>
          <w:p>
            <w:pPr>
              <w:spacing w:before="0" w:after="0"/>
              <w:jc w:val="center"/>
              <w:rPr>
                <w:noProof/>
                <w:sz w:val="20"/>
                <w:szCs w:val="20"/>
              </w:rPr>
            </w:pPr>
            <w:r>
              <w:rPr>
                <w:noProof/>
                <w:sz w:val="20"/>
              </w:rPr>
              <w:t>+</w:t>
            </w:r>
          </w:p>
        </w:tc>
      </w:tr>
      <w:tr>
        <w:tc>
          <w:tcPr>
            <w:tcW w:w="851" w:type="dxa"/>
            <w:shd w:val="clear" w:color="auto" w:fill="auto"/>
          </w:tcPr>
          <w:p>
            <w:pPr>
              <w:spacing w:before="0" w:after="0"/>
              <w:rPr>
                <w:rFonts w:eastAsia="Times New Roman"/>
                <w:noProof/>
                <w:sz w:val="20"/>
                <w:szCs w:val="20"/>
              </w:rPr>
            </w:pPr>
            <w:r>
              <w:rPr>
                <w:noProof/>
                <w:sz w:val="20"/>
              </w:rPr>
              <w:t>84.</w:t>
            </w:r>
          </w:p>
        </w:tc>
        <w:tc>
          <w:tcPr>
            <w:tcW w:w="3097" w:type="dxa"/>
            <w:shd w:val="clear" w:color="auto" w:fill="auto"/>
          </w:tcPr>
          <w:p>
            <w:pPr>
              <w:spacing w:before="0" w:after="0"/>
              <w:jc w:val="left"/>
              <w:rPr>
                <w:rFonts w:eastAsia="Times New Roman"/>
                <w:noProof/>
                <w:sz w:val="20"/>
                <w:szCs w:val="20"/>
              </w:rPr>
            </w:pPr>
            <w:r>
              <w:rPr>
                <w:noProof/>
                <w:sz w:val="20"/>
              </w:rPr>
              <w:t>Механизъм за вземане на решения във връзка с търговията със слонова кост</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r>
              <w:rPr>
                <w:noProof/>
                <w:sz w:val="20"/>
              </w:rPr>
              <w:t>Вж. приложение I, раздел Б, точка 13.</w:t>
            </w: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84.1</w:t>
            </w:r>
          </w:p>
        </w:tc>
        <w:tc>
          <w:tcPr>
            <w:tcW w:w="3097" w:type="dxa"/>
            <w:shd w:val="clear" w:color="auto" w:fill="auto"/>
          </w:tcPr>
          <w:p>
            <w:pPr>
              <w:spacing w:before="0" w:after="0"/>
              <w:jc w:val="left"/>
              <w:rPr>
                <w:rFonts w:eastAsia="Times New Roman"/>
                <w:noProof/>
                <w:sz w:val="20"/>
                <w:szCs w:val="20"/>
              </w:rPr>
            </w:pPr>
            <w:r>
              <w:rPr>
                <w:noProof/>
                <w:sz w:val="20"/>
              </w:rPr>
              <w:t>Доклад на Постоянния комитет</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84.2</w:t>
            </w:r>
          </w:p>
        </w:tc>
        <w:tc>
          <w:tcPr>
            <w:tcW w:w="3097" w:type="dxa"/>
            <w:shd w:val="clear" w:color="auto" w:fill="auto"/>
          </w:tcPr>
          <w:p>
            <w:pPr>
              <w:spacing w:before="0" w:after="0"/>
              <w:jc w:val="left"/>
              <w:rPr>
                <w:rFonts w:eastAsia="Times New Roman"/>
                <w:noProof/>
                <w:sz w:val="20"/>
                <w:szCs w:val="20"/>
              </w:rPr>
            </w:pPr>
            <w:r>
              <w:rPr>
                <w:noProof/>
                <w:sz w:val="20"/>
              </w:rPr>
              <w:t>Предложение на Бенин, Буркина Фасо, Централноафриканска република, Чад, Етиопия, Кения, Нигер и Сенегал</w:t>
            </w:r>
          </w:p>
        </w:tc>
        <w:tc>
          <w:tcPr>
            <w:tcW w:w="1405" w:type="dxa"/>
            <w:shd w:val="clear" w:color="auto" w:fill="auto"/>
          </w:tcPr>
          <w:p>
            <w:pPr>
              <w:spacing w:before="0" w:after="0"/>
              <w:jc w:val="left"/>
              <w:rPr>
                <w:noProof/>
                <w:sz w:val="20"/>
                <w:szCs w:val="20"/>
              </w:rPr>
            </w:pPr>
            <w:r>
              <w:rPr>
                <w:noProof/>
                <w:sz w:val="20"/>
              </w:rPr>
              <w:t>BJ, BF, CF, TD, ET, KE, NE, SN</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84.3</w:t>
            </w:r>
          </w:p>
        </w:tc>
        <w:tc>
          <w:tcPr>
            <w:tcW w:w="3097" w:type="dxa"/>
            <w:shd w:val="clear" w:color="auto" w:fill="auto"/>
          </w:tcPr>
          <w:p>
            <w:pPr>
              <w:spacing w:before="0" w:after="0"/>
              <w:jc w:val="left"/>
              <w:rPr>
                <w:rFonts w:eastAsia="Times New Roman"/>
                <w:noProof/>
                <w:sz w:val="20"/>
                <w:szCs w:val="20"/>
              </w:rPr>
            </w:pPr>
            <w:r>
              <w:rPr>
                <w:noProof/>
                <w:sz w:val="20"/>
              </w:rPr>
              <w:t xml:space="preserve">Предложение на Намибия, Южна </w:t>
            </w:r>
            <w:r>
              <w:rPr>
                <w:noProof/>
                <w:sz w:val="20"/>
              </w:rPr>
              <w:lastRenderedPageBreak/>
              <w:t>Африка и Зимбабве</w:t>
            </w:r>
          </w:p>
        </w:tc>
        <w:tc>
          <w:tcPr>
            <w:tcW w:w="1405" w:type="dxa"/>
            <w:shd w:val="clear" w:color="auto" w:fill="auto"/>
          </w:tcPr>
          <w:p>
            <w:pPr>
              <w:spacing w:before="0" w:after="0"/>
              <w:jc w:val="left"/>
              <w:rPr>
                <w:noProof/>
                <w:sz w:val="20"/>
                <w:szCs w:val="20"/>
              </w:rPr>
            </w:pPr>
            <w:r>
              <w:rPr>
                <w:noProof/>
                <w:sz w:val="20"/>
              </w:rPr>
              <w:lastRenderedPageBreak/>
              <w:t>NA, ZA, ZW</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lastRenderedPageBreak/>
              <w:t>85.</w:t>
            </w:r>
          </w:p>
        </w:tc>
        <w:tc>
          <w:tcPr>
            <w:tcW w:w="3097" w:type="dxa"/>
            <w:shd w:val="clear" w:color="auto" w:fill="auto"/>
          </w:tcPr>
          <w:p>
            <w:pPr>
              <w:spacing w:before="0" w:after="0"/>
              <w:jc w:val="left"/>
              <w:rPr>
                <w:rFonts w:eastAsia="Times New Roman"/>
                <w:noProof/>
                <w:sz w:val="20"/>
                <w:szCs w:val="20"/>
              </w:rPr>
            </w:pPr>
            <w:r>
              <w:rPr>
                <w:noProof/>
                <w:sz w:val="20"/>
              </w:rPr>
              <w:t>Видове, които са изчезнали или е възможно да са изчезнали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86.</w:t>
            </w:r>
          </w:p>
        </w:tc>
        <w:tc>
          <w:tcPr>
            <w:tcW w:w="3097" w:type="dxa"/>
            <w:shd w:val="clear" w:color="auto" w:fill="auto"/>
          </w:tcPr>
          <w:p>
            <w:pPr>
              <w:spacing w:before="0" w:after="0"/>
              <w:jc w:val="left"/>
              <w:rPr>
                <w:rFonts w:eastAsia="Times New Roman"/>
                <w:noProof/>
                <w:sz w:val="20"/>
                <w:szCs w:val="20"/>
              </w:rPr>
            </w:pPr>
            <w:r>
              <w:rPr>
                <w:noProof/>
                <w:sz w:val="20"/>
              </w:rPr>
              <w:t>Преглед на Резолюция Conf. 10.9 относно обсъждането на предложения за прехвърляне на популациите от африкански слонове от приложение I в приложение II</w:t>
            </w:r>
          </w:p>
        </w:tc>
        <w:tc>
          <w:tcPr>
            <w:tcW w:w="1405" w:type="dxa"/>
            <w:shd w:val="clear" w:color="auto" w:fill="auto"/>
          </w:tcPr>
          <w:p>
            <w:pPr>
              <w:spacing w:before="0" w:after="0"/>
              <w:jc w:val="left"/>
              <w:rPr>
                <w:noProof/>
                <w:sz w:val="20"/>
                <w:szCs w:val="20"/>
              </w:rPr>
            </w:pPr>
            <w:r>
              <w:rPr>
                <w:noProof/>
                <w:sz w:val="20"/>
              </w:rPr>
              <w:t>Постоянен комитет</w:t>
            </w: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87.</w:t>
            </w:r>
          </w:p>
        </w:tc>
        <w:tc>
          <w:tcPr>
            <w:tcW w:w="3097" w:type="dxa"/>
            <w:shd w:val="clear" w:color="auto" w:fill="auto"/>
          </w:tcPr>
          <w:p>
            <w:pPr>
              <w:spacing w:before="0" w:after="0"/>
              <w:jc w:val="left"/>
              <w:rPr>
                <w:rFonts w:eastAsia="Times New Roman"/>
                <w:noProof/>
                <w:sz w:val="20"/>
                <w:szCs w:val="20"/>
              </w:rPr>
            </w:pPr>
            <w:r>
              <w:rPr>
                <w:noProof/>
                <w:sz w:val="20"/>
              </w:rPr>
              <w:t>Сладководен скат (Potamotrygonidae spp.)</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b/>
                <w:noProof/>
                <w:sz w:val="20"/>
              </w:rPr>
              <w:t>Изменение на приложенията</w:t>
            </w:r>
          </w:p>
        </w:tc>
      </w:tr>
      <w:tr>
        <w:tc>
          <w:tcPr>
            <w:tcW w:w="851" w:type="dxa"/>
            <w:shd w:val="clear" w:color="auto" w:fill="auto"/>
          </w:tcPr>
          <w:p>
            <w:pPr>
              <w:spacing w:before="0" w:after="0"/>
              <w:rPr>
                <w:rFonts w:eastAsia="Times New Roman"/>
                <w:noProof/>
                <w:sz w:val="20"/>
                <w:szCs w:val="20"/>
              </w:rPr>
            </w:pPr>
            <w:r>
              <w:rPr>
                <w:noProof/>
                <w:sz w:val="20"/>
              </w:rPr>
              <w:t>88.</w:t>
            </w:r>
          </w:p>
        </w:tc>
        <w:tc>
          <w:tcPr>
            <w:tcW w:w="3097" w:type="dxa"/>
            <w:shd w:val="clear" w:color="auto" w:fill="auto"/>
          </w:tcPr>
          <w:p>
            <w:pPr>
              <w:spacing w:before="0" w:after="0"/>
              <w:jc w:val="left"/>
              <w:rPr>
                <w:rFonts w:eastAsia="Times New Roman"/>
                <w:noProof/>
                <w:sz w:val="20"/>
                <w:szCs w:val="20"/>
              </w:rPr>
            </w:pPr>
            <w:r>
              <w:rPr>
                <w:noProof/>
                <w:sz w:val="20"/>
              </w:rPr>
              <w:t>Предложения за изменение на приложения I и II</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88.1</w:t>
            </w:r>
          </w:p>
        </w:tc>
        <w:tc>
          <w:tcPr>
            <w:tcW w:w="3097" w:type="dxa"/>
            <w:shd w:val="clear" w:color="auto" w:fill="auto"/>
          </w:tcPr>
          <w:p>
            <w:pPr>
              <w:spacing w:before="0" w:after="0"/>
              <w:jc w:val="left"/>
              <w:rPr>
                <w:rFonts w:eastAsia="Times New Roman"/>
                <w:noProof/>
                <w:sz w:val="20"/>
                <w:szCs w:val="20"/>
              </w:rPr>
            </w:pPr>
            <w:r>
              <w:rPr>
                <w:noProof/>
                <w:sz w:val="20"/>
              </w:rPr>
              <w:t>Списък с предложения за изменение на приложения I и II</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88.2</w:t>
            </w:r>
          </w:p>
        </w:tc>
        <w:tc>
          <w:tcPr>
            <w:tcW w:w="3097" w:type="dxa"/>
            <w:shd w:val="clear" w:color="auto" w:fill="auto"/>
          </w:tcPr>
          <w:p>
            <w:pPr>
              <w:spacing w:before="0" w:after="0"/>
              <w:jc w:val="left"/>
              <w:rPr>
                <w:rFonts w:eastAsia="Times New Roman"/>
                <w:noProof/>
                <w:sz w:val="20"/>
                <w:szCs w:val="20"/>
              </w:rPr>
            </w:pPr>
            <w:r>
              <w:rPr>
                <w:noProof/>
                <w:sz w:val="20"/>
              </w:rPr>
              <w:t>Коментари на страните и коментари и препоръки на Секретариата</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88.3</w:t>
            </w:r>
          </w:p>
        </w:tc>
        <w:tc>
          <w:tcPr>
            <w:tcW w:w="3097" w:type="dxa"/>
            <w:shd w:val="clear" w:color="auto" w:fill="auto"/>
          </w:tcPr>
          <w:p>
            <w:pPr>
              <w:spacing w:before="0" w:after="0"/>
              <w:jc w:val="left"/>
              <w:rPr>
                <w:rFonts w:eastAsia="Times New Roman"/>
                <w:noProof/>
                <w:sz w:val="20"/>
                <w:szCs w:val="20"/>
              </w:rPr>
            </w:pPr>
            <w:r>
              <w:rPr>
                <w:noProof/>
                <w:sz w:val="20"/>
              </w:rPr>
              <w:t>Коментари на регламентирани консултанти</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9464" w:type="dxa"/>
            <w:gridSpan w:val="5"/>
            <w:shd w:val="clear" w:color="auto" w:fill="auto"/>
            <w:vAlign w:val="center"/>
          </w:tcPr>
          <w:p>
            <w:pPr>
              <w:jc w:val="left"/>
              <w:rPr>
                <w:noProof/>
                <w:sz w:val="20"/>
                <w:szCs w:val="20"/>
              </w:rPr>
            </w:pPr>
            <w:r>
              <w:rPr>
                <w:b/>
                <w:noProof/>
                <w:sz w:val="20"/>
              </w:rPr>
              <w:t>Заключения на заседанието</w:t>
            </w:r>
          </w:p>
        </w:tc>
      </w:tr>
      <w:tr>
        <w:tc>
          <w:tcPr>
            <w:tcW w:w="851" w:type="dxa"/>
            <w:shd w:val="clear" w:color="auto" w:fill="auto"/>
          </w:tcPr>
          <w:p>
            <w:pPr>
              <w:spacing w:before="0" w:after="0"/>
              <w:rPr>
                <w:rFonts w:eastAsia="Times New Roman"/>
                <w:noProof/>
                <w:sz w:val="20"/>
                <w:szCs w:val="20"/>
              </w:rPr>
            </w:pPr>
            <w:r>
              <w:rPr>
                <w:noProof/>
                <w:sz w:val="20"/>
              </w:rPr>
              <w:t>89.</w:t>
            </w:r>
          </w:p>
        </w:tc>
        <w:tc>
          <w:tcPr>
            <w:tcW w:w="3097" w:type="dxa"/>
            <w:shd w:val="clear" w:color="auto" w:fill="auto"/>
          </w:tcPr>
          <w:p>
            <w:pPr>
              <w:spacing w:before="0" w:after="0"/>
              <w:jc w:val="left"/>
              <w:rPr>
                <w:rFonts w:eastAsia="Times New Roman"/>
                <w:noProof/>
                <w:sz w:val="20"/>
                <w:szCs w:val="20"/>
              </w:rPr>
            </w:pPr>
            <w:r>
              <w:rPr>
                <w:noProof/>
                <w:sz w:val="20"/>
              </w:rPr>
              <w:t>Определяне на времето и мястото на следващото редовно заседание на Конференцията на страните</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r>
        <w:tc>
          <w:tcPr>
            <w:tcW w:w="851" w:type="dxa"/>
            <w:shd w:val="clear" w:color="auto" w:fill="auto"/>
          </w:tcPr>
          <w:p>
            <w:pPr>
              <w:spacing w:before="0" w:after="0"/>
              <w:rPr>
                <w:rFonts w:eastAsia="Times New Roman"/>
                <w:noProof/>
                <w:sz w:val="20"/>
                <w:szCs w:val="20"/>
              </w:rPr>
            </w:pPr>
            <w:r>
              <w:rPr>
                <w:noProof/>
                <w:sz w:val="20"/>
              </w:rPr>
              <w:t>90.</w:t>
            </w:r>
          </w:p>
        </w:tc>
        <w:tc>
          <w:tcPr>
            <w:tcW w:w="3097" w:type="dxa"/>
            <w:shd w:val="clear" w:color="auto" w:fill="auto"/>
          </w:tcPr>
          <w:p>
            <w:pPr>
              <w:spacing w:before="0" w:after="0"/>
              <w:jc w:val="left"/>
              <w:rPr>
                <w:rFonts w:eastAsia="Times New Roman"/>
                <w:noProof/>
                <w:sz w:val="20"/>
                <w:szCs w:val="20"/>
              </w:rPr>
            </w:pPr>
            <w:r>
              <w:rPr>
                <w:noProof/>
                <w:sz w:val="20"/>
              </w:rPr>
              <w:t>Заключителни бележки (наблюдатели, страни, главен секретар на CITES, правителство домакин)</w:t>
            </w:r>
          </w:p>
        </w:tc>
        <w:tc>
          <w:tcPr>
            <w:tcW w:w="1405" w:type="dxa"/>
            <w:shd w:val="clear" w:color="auto" w:fill="auto"/>
          </w:tcPr>
          <w:p>
            <w:pPr>
              <w:spacing w:before="0" w:after="0"/>
              <w:jc w:val="left"/>
              <w:rPr>
                <w:noProof/>
                <w:sz w:val="20"/>
                <w:szCs w:val="20"/>
              </w:rPr>
            </w:pPr>
          </w:p>
        </w:tc>
        <w:tc>
          <w:tcPr>
            <w:tcW w:w="3119" w:type="dxa"/>
            <w:shd w:val="clear" w:color="auto" w:fill="auto"/>
          </w:tcPr>
          <w:p>
            <w:pPr>
              <w:spacing w:before="0" w:after="0"/>
              <w:jc w:val="left"/>
              <w:rPr>
                <w:noProof/>
                <w:sz w:val="20"/>
                <w:szCs w:val="20"/>
              </w:rPr>
            </w:pPr>
          </w:p>
        </w:tc>
        <w:tc>
          <w:tcPr>
            <w:tcW w:w="992" w:type="dxa"/>
            <w:shd w:val="clear" w:color="auto" w:fill="auto"/>
          </w:tcPr>
          <w:p>
            <w:pPr>
              <w:spacing w:before="0" w:after="0"/>
              <w:jc w:val="center"/>
              <w:rPr>
                <w:noProof/>
                <w:sz w:val="20"/>
                <w:szCs w:val="20"/>
              </w:rPr>
            </w:pPr>
          </w:p>
        </w:tc>
      </w:tr>
    </w:tbl>
    <w:p>
      <w:pPr>
        <w:rPr>
          <w:noProof/>
          <w:szCs w:val="24"/>
        </w:rPr>
      </w:pPr>
    </w:p>
    <w:p>
      <w:pPr>
        <w:rPr>
          <w:noProof/>
          <w:szCs w:val="24"/>
        </w:rPr>
      </w:pPr>
      <w:r>
        <w:rPr>
          <w:noProof/>
        </w:rPr>
        <w:br w:type="page"/>
      </w:r>
    </w:p>
    <w:p>
      <w:pPr>
        <w:pStyle w:val="ManualHeading1"/>
        <w:pageBreakBefore/>
        <w:ind w:left="851" w:hanging="851"/>
        <w:rPr>
          <w:noProof/>
        </w:rPr>
      </w:pPr>
      <w:r>
        <w:rPr>
          <w:noProof/>
        </w:rPr>
        <w:lastRenderedPageBreak/>
        <w:t>2.</w:t>
      </w:r>
      <w:r>
        <w:rPr>
          <w:noProof/>
        </w:rPr>
        <w:tab/>
        <w:t>Предложения за включване в списъците</w:t>
      </w:r>
      <w:r>
        <w:rPr>
          <w:rStyle w:val="FootnoteReference"/>
          <w:noProof/>
        </w:rPr>
        <w:footnoteReference w:id="1"/>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562"/>
        <w:gridCol w:w="993"/>
        <w:gridCol w:w="1134"/>
        <w:gridCol w:w="3118"/>
        <w:gridCol w:w="992"/>
      </w:tblGrid>
      <w:tr>
        <w:trPr>
          <w:tblHeader/>
        </w:trPr>
        <w:tc>
          <w:tcPr>
            <w:tcW w:w="948" w:type="dxa"/>
            <w:shd w:val="clear" w:color="auto" w:fill="auto"/>
          </w:tcPr>
          <w:p>
            <w:pPr>
              <w:spacing w:before="0" w:after="0"/>
              <w:jc w:val="center"/>
              <w:rPr>
                <w:b/>
                <w:noProof/>
                <w:sz w:val="20"/>
                <w:szCs w:val="20"/>
              </w:rPr>
            </w:pPr>
            <w:r>
              <w:rPr>
                <w:b/>
                <w:noProof/>
                <w:sz w:val="20"/>
              </w:rPr>
              <w:t>Предл. №</w:t>
            </w:r>
          </w:p>
        </w:tc>
        <w:tc>
          <w:tcPr>
            <w:tcW w:w="2562" w:type="dxa"/>
            <w:shd w:val="clear" w:color="auto" w:fill="auto"/>
          </w:tcPr>
          <w:p>
            <w:pPr>
              <w:spacing w:before="0" w:after="0"/>
              <w:jc w:val="center"/>
              <w:rPr>
                <w:b/>
                <w:noProof/>
                <w:sz w:val="20"/>
                <w:szCs w:val="20"/>
              </w:rPr>
            </w:pPr>
            <w:r>
              <w:rPr>
                <w:b/>
                <w:noProof/>
                <w:sz w:val="20"/>
              </w:rPr>
              <w:t>Таксон / Подробности</w:t>
            </w:r>
          </w:p>
        </w:tc>
        <w:tc>
          <w:tcPr>
            <w:tcW w:w="993" w:type="dxa"/>
            <w:shd w:val="clear" w:color="auto" w:fill="auto"/>
          </w:tcPr>
          <w:p>
            <w:pPr>
              <w:spacing w:before="0" w:after="0"/>
              <w:jc w:val="center"/>
              <w:rPr>
                <w:b/>
                <w:noProof/>
                <w:sz w:val="20"/>
                <w:szCs w:val="20"/>
              </w:rPr>
            </w:pPr>
            <w:r>
              <w:rPr>
                <w:b/>
                <w:noProof/>
                <w:sz w:val="20"/>
              </w:rPr>
              <w:t>Предложение</w:t>
            </w:r>
          </w:p>
        </w:tc>
        <w:tc>
          <w:tcPr>
            <w:tcW w:w="1134" w:type="dxa"/>
            <w:shd w:val="clear" w:color="auto" w:fill="auto"/>
          </w:tcPr>
          <w:p>
            <w:pPr>
              <w:spacing w:before="0" w:after="0"/>
              <w:jc w:val="center"/>
              <w:rPr>
                <w:b/>
                <w:noProof/>
                <w:sz w:val="20"/>
                <w:szCs w:val="20"/>
              </w:rPr>
            </w:pPr>
            <w:r>
              <w:rPr>
                <w:b/>
                <w:noProof/>
                <w:sz w:val="20"/>
              </w:rPr>
              <w:t>Вносител</w:t>
            </w:r>
          </w:p>
        </w:tc>
        <w:tc>
          <w:tcPr>
            <w:tcW w:w="3118" w:type="dxa"/>
            <w:shd w:val="clear" w:color="auto" w:fill="auto"/>
          </w:tcPr>
          <w:p>
            <w:pPr>
              <w:spacing w:before="0" w:after="0"/>
              <w:jc w:val="center"/>
              <w:rPr>
                <w:b/>
                <w:noProof/>
                <w:sz w:val="20"/>
                <w:szCs w:val="20"/>
              </w:rPr>
            </w:pPr>
            <w:r>
              <w:rPr>
                <w:b/>
                <w:noProof/>
                <w:sz w:val="20"/>
              </w:rPr>
              <w:t>Коментари</w:t>
            </w:r>
          </w:p>
        </w:tc>
        <w:tc>
          <w:tcPr>
            <w:tcW w:w="992" w:type="dxa"/>
            <w:shd w:val="clear" w:color="auto" w:fill="auto"/>
          </w:tcPr>
          <w:p>
            <w:pPr>
              <w:spacing w:before="0" w:after="0"/>
              <w:jc w:val="center"/>
              <w:rPr>
                <w:b/>
                <w:noProof/>
                <w:sz w:val="20"/>
                <w:szCs w:val="20"/>
              </w:rPr>
            </w:pPr>
            <w:r>
              <w:rPr>
                <w:b/>
                <w:noProof/>
                <w:sz w:val="20"/>
              </w:rPr>
              <w:t>Позиция</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b/>
                <w:i/>
                <w:noProof/>
                <w:sz w:val="20"/>
                <w:szCs w:val="20"/>
              </w:rPr>
            </w:pPr>
            <w:r>
              <w:rPr>
                <w:i/>
                <w:noProof/>
                <w:sz w:val="20"/>
              </w:rPr>
              <w:t>Bison bison athabascae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Подвидът вече не отговаря на критериите на приложение II и са приложени защитните мерки за изваждане от списъка.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Capra caucasica</w:t>
            </w:r>
            <w:r>
              <w:rPr>
                <w:noProof/>
                <w:sz w:val="20"/>
              </w:rPr>
              <w:t xml:space="preserve"> </w:t>
            </w:r>
          </w:p>
          <w:p>
            <w:pPr>
              <w:spacing w:before="0" w:after="0"/>
              <w:jc w:val="left"/>
              <w:rPr>
                <w:i/>
                <w:noProof/>
                <w:sz w:val="20"/>
                <w:szCs w:val="20"/>
              </w:rPr>
            </w:pPr>
            <w:r>
              <w:rPr>
                <w:noProof/>
                <w:sz w:val="20"/>
              </w:rPr>
              <w:t xml:space="preserve">(нулева квота за уловени диви екземпляри от </w:t>
            </w:r>
            <w:r>
              <w:rPr>
                <w:i/>
                <w:noProof/>
                <w:sz w:val="20"/>
              </w:rPr>
              <w:t>Capra caucasica caucasica</w:t>
            </w:r>
            <w:r>
              <w:rPr>
                <w:noProof/>
                <w:sz w:val="20"/>
              </w:rPr>
              <w:t>, изнесени за търговски цели или като ловни трофеи)</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GE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Vicugna vicugna</w:t>
            </w:r>
            <w:r>
              <w:rPr>
                <w:noProof/>
                <w:sz w:val="20"/>
              </w:rPr>
              <w:t xml:space="preserve"> </w:t>
            </w:r>
          </w:p>
          <w:p>
            <w:pPr>
              <w:spacing w:before="0" w:after="0"/>
              <w:jc w:val="left"/>
              <w:rPr>
                <w:i/>
                <w:noProof/>
                <w:sz w:val="20"/>
                <w:szCs w:val="20"/>
              </w:rPr>
            </w:pPr>
            <w:r>
              <w:rPr>
                <w:noProof/>
                <w:sz w:val="20"/>
              </w:rPr>
              <w:t>(изменение на анотацията)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Предложената замяна на съществуващите анотации, приложими за различните национални популации от лами викуня, със стандартизирана анотация ще улесни прилагането на конвенцията. Все пак се препоръчва предложената анотация да бъде изменена с оглед на разглеждането на случаите на продукти, изработени в държави, различни от държавите на разпространение, напр. държави — членки на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Panthera leo</w:t>
            </w:r>
          </w:p>
          <w:p>
            <w:pPr>
              <w:spacing w:before="0" w:after="0"/>
              <w:jc w:val="left"/>
              <w:rPr>
                <w:i/>
                <w:noProof/>
                <w:sz w:val="20"/>
                <w:szCs w:val="20"/>
              </w:rPr>
            </w:pPr>
            <w:r>
              <w:rPr>
                <w:noProof/>
                <w:sz w:val="20"/>
              </w:rPr>
              <w:t>(всички африкански популации)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TD, CI, GA, GN, ML, MR, NE, NG, 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Възражение срещу прехвърлянето в приложение I на цялата популация от Африка. Популацията не се характеризира с отчетлив спад на размера в диви условия в цялата територия на разпространение и поради това тя не отговаря на условията за включване в приложение I. Такъв по-специално е случаят с южноафриканските популации, при които се наблюдава тенденция към нарастване. Добре управляваното и устойчиво намаляване за целите на международната търговия също е признато като инструмент за опазване, който може както да осигури възможности за прехрана за селските общности и стимули за опазване на лъвовете, така и да генерира печалби, които да се инвестират за целите </w:t>
            </w:r>
            <w:r>
              <w:rPr>
                <w:noProof/>
                <w:sz w:val="20"/>
              </w:rPr>
              <w:lastRenderedPageBreak/>
              <w:t>на опазването, по-специално в определени южноафрикански и централноафрикански държави. При все това, отчитайки, че повечето популации от Западна и Централна Африка отговарят на критериите за включване в приложение I, Съюзът би подкрепил разделено включване в списъците, при което африканската популация на вида да бъде прехвърлена в приложение I с изключение на определени национални популации от Южна и вероятно Източна Африка (предстои да се определи въз основа на наличната научна информация).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shd w:val="clear" w:color="auto" w:fill="auto"/>
          </w:tcPr>
          <w:p>
            <w:pPr>
              <w:spacing w:before="0" w:after="0"/>
              <w:ind w:right="175"/>
              <w:jc w:val="left"/>
              <w:rPr>
                <w:noProof/>
                <w:sz w:val="20"/>
                <w:szCs w:val="20"/>
              </w:rPr>
            </w:pPr>
            <w:r>
              <w:rPr>
                <w:noProof/>
                <w:sz w:val="20"/>
              </w:rPr>
              <w:lastRenderedPageBreak/>
              <w:t>5</w:t>
            </w:r>
          </w:p>
        </w:tc>
        <w:tc>
          <w:tcPr>
            <w:tcW w:w="2562" w:type="dxa"/>
            <w:shd w:val="clear" w:color="auto" w:fill="auto"/>
          </w:tcPr>
          <w:p>
            <w:pPr>
              <w:spacing w:before="0" w:after="0"/>
              <w:jc w:val="left"/>
              <w:rPr>
                <w:i/>
                <w:noProof/>
                <w:sz w:val="20"/>
                <w:szCs w:val="20"/>
              </w:rPr>
            </w:pPr>
            <w:r>
              <w:rPr>
                <w:i/>
                <w:noProof/>
                <w:sz w:val="20"/>
              </w:rPr>
              <w:t>Puma concolor coryi</w:t>
            </w:r>
            <w:r>
              <w:rPr>
                <w:noProof/>
                <w:sz w:val="20"/>
              </w:rPr>
              <w:t xml:space="preserve">, </w:t>
            </w:r>
            <w:r>
              <w:rPr>
                <w:i/>
                <w:noProof/>
                <w:sz w:val="20"/>
              </w:rPr>
              <w:t>Puma concolor couguar</w:t>
            </w:r>
          </w:p>
        </w:tc>
        <w:tc>
          <w:tcPr>
            <w:tcW w:w="993" w:type="dxa"/>
            <w:shd w:val="clear" w:color="auto" w:fill="auto"/>
          </w:tcPr>
          <w:p>
            <w:pPr>
              <w:spacing w:before="0" w:after="0"/>
              <w:jc w:val="left"/>
              <w:rPr>
                <w:noProof/>
                <w:sz w:val="20"/>
                <w:szCs w:val="20"/>
              </w:rPr>
            </w:pPr>
            <w:r>
              <w:rPr>
                <w:noProof/>
                <w:sz w:val="20"/>
              </w:rPr>
              <w:t>I — II</w:t>
            </w:r>
          </w:p>
        </w:tc>
        <w:tc>
          <w:tcPr>
            <w:tcW w:w="1134" w:type="dxa"/>
            <w:shd w:val="clear" w:color="auto" w:fill="auto"/>
          </w:tcPr>
          <w:p>
            <w:pPr>
              <w:spacing w:before="0" w:after="0"/>
              <w:jc w:val="left"/>
              <w:rPr>
                <w:noProof/>
                <w:sz w:val="20"/>
                <w:szCs w:val="20"/>
              </w:rPr>
            </w:pPr>
            <w:r>
              <w:rPr>
                <w:noProof/>
                <w:sz w:val="20"/>
              </w:rPr>
              <w:t>CA</w:t>
            </w:r>
          </w:p>
        </w:tc>
        <w:tc>
          <w:tcPr>
            <w:tcW w:w="3118" w:type="dxa"/>
            <w:shd w:val="clear" w:color="auto" w:fill="auto"/>
          </w:tcPr>
          <w:p>
            <w:pPr>
              <w:spacing w:before="0" w:after="0"/>
              <w:jc w:val="left"/>
              <w:rPr>
                <w:noProof/>
                <w:sz w:val="20"/>
                <w:szCs w:val="20"/>
              </w:rPr>
            </w:pPr>
            <w:r>
              <w:rPr>
                <w:noProof/>
                <w:sz w:val="20"/>
              </w:rPr>
              <w:t xml:space="preserve">Подкрепа за това предложение вследствие на периодичния преглед, включително предложеното приемане на по-скорошното таксономично позоваване за </w:t>
            </w:r>
            <w:r>
              <w:rPr>
                <w:i/>
                <w:noProof/>
                <w:sz w:val="20"/>
              </w:rPr>
              <w:t>Puma concolor.</w:t>
            </w:r>
          </w:p>
        </w:tc>
        <w:tc>
          <w:tcPr>
            <w:tcW w:w="992" w:type="dxa"/>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Equus zebra zebra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Подвидът вече не отговаря на критериите за включване в приложение I, макар че следва да се поиска разяснение от Южна Африка относно това дали популацията на подвида е дива или отглеждана в плен. Предпазните мерки за изваждане от списъка изглеждат изпълнени. Прехвърлянето на подвида в приложение II би позволило неговото устойчиво използване и може да доведе до увеличаване на размера на популацията и зоната на разпространение в историческия район на разпространение на подвида. Такова увеличение може да помогне за смекчаване на липсата на генетично разнообразие в рамките на популацията, което е основната известна заплаха за този таксон.</w:t>
            </w:r>
          </w:p>
          <w:p>
            <w:pPr>
              <w:spacing w:before="0" w:after="0"/>
              <w:jc w:val="left"/>
              <w:rPr>
                <w:noProof/>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7</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Ceratotherium simum simum</w:t>
            </w:r>
            <w:r>
              <w:rPr>
                <w:noProof/>
                <w:sz w:val="20"/>
              </w:rPr>
              <w:t xml:space="preserve"> </w:t>
            </w:r>
          </w:p>
          <w:p>
            <w:pPr>
              <w:spacing w:before="0" w:after="0"/>
              <w:jc w:val="left"/>
              <w:rPr>
                <w:i/>
                <w:noProof/>
                <w:sz w:val="20"/>
                <w:szCs w:val="20"/>
              </w:rPr>
            </w:pPr>
            <w:r>
              <w:rPr>
                <w:noProof/>
                <w:sz w:val="20"/>
              </w:rPr>
              <w:t>(изменение на анотацията)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SZ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Предвид трайно високите нива на бракониерството на носорози и незаконната търговия с рогове от носорози е прибързано да се одобрява възобновяването на търговията. Включената в предложението информация не предоставя задоволителни </w:t>
            </w:r>
            <w:r>
              <w:rPr>
                <w:noProof/>
                <w:sz w:val="20"/>
              </w:rPr>
              <w:lastRenderedPageBreak/>
              <w:t>доказателства, че разрешаването на търговията няма да засили търсенето на рогове от носорози и допълнително да стимулира бракониерството. При все това усилията на южноафриканските държави в борбата с бракониерството и незаконната търговия следва да бъдат отчетени и да бъдат насърчавани в бъдеще.</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8 + 9</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Manis crassicaudata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BD, IN, NP, LK,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Критериите на приложение I са изпълнени. Видът се характеризира с предвиждан спад на популацията с 50 % през следващите 21 години (3 поколения), най-вече поради ловни и бракониерски действия за целите на международната търговия.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10</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Manis culionensis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PH,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Критериите на приложение I са изпълнени. Видът се характеризира с очакван спад на популацията от над 50 % за период от 21 години (3 поколения) въз основа на потенциалните нива на експлоатация с цел национална и международна търговия, което се усложнява от лова с цел препитание и загубата и промяната на местообитанията.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Manis javanica</w:t>
            </w:r>
            <w:r>
              <w:rPr>
                <w:noProof/>
                <w:sz w:val="20"/>
              </w:rPr>
              <w:t xml:space="preserve">, </w:t>
            </w:r>
            <w:r>
              <w:rPr>
                <w:i/>
                <w:noProof/>
                <w:sz w:val="20"/>
              </w:rPr>
              <w:t>M. pentadactyla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Критериите на приложение I очевидно са изпълнени. Тези видове се характеризират с отчетлив спад на размера на популацията, най-вече поради ловни и бракониерски действия за целите на международната търговия.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Manis gigantea</w:t>
            </w:r>
            <w:r>
              <w:rPr>
                <w:noProof/>
                <w:sz w:val="20"/>
              </w:rPr>
              <w:t xml:space="preserve">, </w:t>
            </w:r>
            <w:r>
              <w:rPr>
                <w:i/>
                <w:noProof/>
                <w:sz w:val="20"/>
              </w:rPr>
              <w:t>M. temminckii</w:t>
            </w:r>
            <w:r>
              <w:rPr>
                <w:noProof/>
                <w:sz w:val="20"/>
              </w:rPr>
              <w:t xml:space="preserve">, </w:t>
            </w:r>
            <w:r>
              <w:rPr>
                <w:i/>
                <w:noProof/>
                <w:sz w:val="20"/>
              </w:rPr>
              <w:t>M. tetradactyla</w:t>
            </w:r>
            <w:r>
              <w:rPr>
                <w:noProof/>
                <w:sz w:val="20"/>
              </w:rPr>
              <w:t xml:space="preserve">, </w:t>
            </w:r>
            <w:r>
              <w:rPr>
                <w:i/>
                <w:noProof/>
                <w:sz w:val="20"/>
              </w:rPr>
              <w:t>M. tricuspis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AO, BW, TD, CI, GA, GN, KE, LR, NG, SN, ZA, TG,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Тези видове могат да отговарят на критериите за включване в приложение I. Включването в приложение I изглежда обосновано с оглед на риска от изместване на търговията от азиатски към африкански видове люспеници и от трудното разграничаване на люспите от животни от двата вида.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13</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Macaca sylvanus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MA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14</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Loxodonta africana</w:t>
            </w:r>
            <w:r>
              <w:rPr>
                <w:noProof/>
                <w:sz w:val="20"/>
              </w:rPr>
              <w:t xml:space="preserve"> </w:t>
            </w:r>
          </w:p>
          <w:p>
            <w:pPr>
              <w:spacing w:before="0" w:after="0"/>
              <w:jc w:val="left"/>
              <w:rPr>
                <w:noProof/>
                <w:sz w:val="20"/>
                <w:szCs w:val="20"/>
              </w:rPr>
            </w:pPr>
            <w:r>
              <w:rPr>
                <w:noProof/>
                <w:sz w:val="20"/>
              </w:rPr>
              <w:t>(изменение на анотацията за популацията в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Предвид трайно високите нива на бракониерството на слонове и незаконната търговия със слонова кост е прибързано да се одобрява възобновяване на </w:t>
            </w:r>
            <w:r>
              <w:rPr>
                <w:noProof/>
                <w:sz w:val="20"/>
              </w:rPr>
              <w:lastRenderedPageBreak/>
              <w:t>търговията. При все това усилията на Намибия в борбата с бракониерството и незаконната търговия следва да бъдат отчетени и да бъдат насърчавани в бъдеще.</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15</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Loxodonta africana</w:t>
            </w:r>
            <w:r>
              <w:rPr>
                <w:noProof/>
                <w:sz w:val="20"/>
              </w:rPr>
              <w:t xml:space="preserve"> </w:t>
            </w:r>
          </w:p>
          <w:p>
            <w:pPr>
              <w:spacing w:before="0" w:after="0"/>
              <w:jc w:val="left"/>
              <w:rPr>
                <w:noProof/>
                <w:sz w:val="20"/>
                <w:szCs w:val="20"/>
              </w:rPr>
            </w:pPr>
            <w:r>
              <w:rPr>
                <w:noProof/>
                <w:sz w:val="20"/>
              </w:rPr>
              <w:t>(заличаване на анотацията за популацията в ZW)</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NA, ZW</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Предвид трайно високите нива на бракониерството на слонове и незаконната търговия със слонова кост е прибързано да се одобрява възобновяване на търговията.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16</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Loxodonta africana</w:t>
            </w:r>
          </w:p>
          <w:p>
            <w:pPr>
              <w:spacing w:before="0" w:after="0"/>
              <w:jc w:val="left"/>
              <w:rPr>
                <w:i/>
                <w:noProof/>
                <w:sz w:val="20"/>
                <w:szCs w:val="20"/>
              </w:rPr>
            </w:pPr>
            <w:r>
              <w:rPr>
                <w:noProof/>
                <w:sz w:val="20"/>
              </w:rPr>
              <w:t>(популации в BW, NA, ZA, ZW)</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BJ, BF, CF, TD, ET, KE, LR, ML, NE, NG, SN, LK, UG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Възражение срещу прехвърлянето в приложение I на популациите в BW, NA, ZA, ZW. При тези четири национални популации се наблюдава тенденция към нарастване (</w:t>
            </w:r>
            <w:r>
              <w:rPr>
                <w:i/>
                <w:noProof/>
                <w:sz w:val="20"/>
              </w:rPr>
              <w:t>предстои потвърждение за Зимбабве</w:t>
            </w:r>
            <w:r>
              <w:rPr>
                <w:noProof/>
                <w:sz w:val="20"/>
              </w:rPr>
              <w:t>) и те не отговарят на критериите за прехвърляне в приложение I. Усилията на южноафриканските държави за устойчиво управление на техните популации от слонове и в борбата с бракониерството и незаконната търговия следва да бъдат отчетени и тези държави да бъдат насърчавани да продължат усилията си.</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17</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Falco peregrinus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Този вид вече не отговаря на критериите на приложение I. Макар потенциалното въздействие на международната търговия върху дивата популация на този вид да изглежда ограничена, е необходима допълнителна информация от вносителя, за да се определи дали предпазните защитни мерки, заложени в Резолюция Conf. 9.24 (Rev. CoP16), са изпълнени от всички държави износителки. Това се отнася по-специално за държави на разпространение извън Северна Америка и Европа и бъдещата им способност да прилагат член IV от конвенцията и да осъществяват подходящ контрол върху изпълнението.</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18</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Lichenostomus melanops cassidix</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Подкрепа за това предложение в резултат на периодичния преглед. Този таксон вече не отговаря на критериите на приложение I. Международната търговия не представлява заплаха </w:t>
            </w:r>
            <w:r>
              <w:rPr>
                <w:noProof/>
                <w:sz w:val="20"/>
              </w:rPr>
              <w:lastRenderedPageBreak/>
              <w:t xml:space="preserve">за този таксон.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19</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Psittacus erithacus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AO, TD, EU, GA, GN, NG, SN, TG,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[Габон е съвносител]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20</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Ninox novaeseelandiae undulata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Подкрепа за това предложение в резултат на периодичния преглед. Този таксон е изчезнал и вече не отговаря на критериите на приложение 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 xml:space="preserve">Crocodylus acutus </w:t>
            </w:r>
          </w:p>
          <w:p>
            <w:pPr>
              <w:spacing w:before="0" w:after="0"/>
              <w:jc w:val="left"/>
              <w:rPr>
                <w:noProof/>
                <w:sz w:val="20"/>
                <w:szCs w:val="20"/>
              </w:rPr>
            </w:pPr>
            <w:r>
              <w:rPr>
                <w:noProof/>
                <w:sz w:val="20"/>
              </w:rPr>
              <w:t>(популация в Колумбия — залива Cispata)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Подкрепа, при условие че Колумбия потвърди, че ще спазва задълженията си за докладване съгласно Резолюция 11.16 (Rev. CoP15) и ще осъществява строг контрол върху изпълнението, за да гарантира, че няма да има случаи на „изпиране“ на диви екземпляри с произход извън залива Cispata. Това предложение отговаря на критериите на Резолюция 11.16. Разрешаването на международната търговия с екземпляри, отглеждани в контролирана среда, вероятно ще бъде от полза за опазването на популацията на вида.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Crocodylus moreletii</w:t>
            </w:r>
          </w:p>
          <w:p>
            <w:pPr>
              <w:spacing w:before="0" w:after="0"/>
              <w:jc w:val="left"/>
              <w:rPr>
                <w:i/>
                <w:noProof/>
                <w:sz w:val="20"/>
                <w:szCs w:val="20"/>
              </w:rPr>
            </w:pPr>
            <w:r>
              <w:rPr>
                <w:noProof/>
                <w:sz w:val="20"/>
              </w:rPr>
              <w:t>(заличаване на анотацията за MX)</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Видът е обект на система за строг мониторинг, управление и контрол върху изпълнението в Мексико. Има вероятност бъдещата международна търговия с диви екземпляри да бъде устойчива, законна и проследима.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23</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Crocodylus niloticus</w:t>
            </w:r>
          </w:p>
          <w:p>
            <w:pPr>
              <w:spacing w:before="0" w:after="0"/>
              <w:jc w:val="left"/>
              <w:rPr>
                <w:i/>
                <w:noProof/>
                <w:sz w:val="20"/>
                <w:szCs w:val="20"/>
              </w:rPr>
            </w:pPr>
            <w:r>
              <w:rPr>
                <w:noProof/>
                <w:sz w:val="20"/>
              </w:rPr>
              <w:t>(включване на анотация за MG)</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Възможност за подкрепа, при условие че:</w:t>
            </w:r>
          </w:p>
          <w:p>
            <w:pPr>
              <w:spacing w:before="0" w:after="0"/>
              <w:jc w:val="left"/>
              <w:rPr>
                <w:noProof/>
                <w:sz w:val="20"/>
                <w:szCs w:val="20"/>
              </w:rPr>
            </w:pPr>
            <w:r>
              <w:rPr>
                <w:noProof/>
                <w:sz w:val="20"/>
              </w:rPr>
              <w:t>— се потвърди, че предложената квота за износ е устойчива;</w:t>
            </w:r>
          </w:p>
          <w:p>
            <w:pPr>
              <w:spacing w:before="0" w:after="0"/>
              <w:jc w:val="left"/>
              <w:rPr>
                <w:noProof/>
                <w:sz w:val="20"/>
                <w:szCs w:val="20"/>
              </w:rPr>
            </w:pPr>
            <w:r>
              <w:rPr>
                <w:noProof/>
                <w:sz w:val="20"/>
              </w:rPr>
              <w:t>— са наложени строги ограничения на размера; и</w:t>
            </w:r>
          </w:p>
          <w:p>
            <w:pPr>
              <w:spacing w:before="0" w:after="0"/>
              <w:jc w:val="left"/>
              <w:rPr>
                <w:noProof/>
                <w:sz w:val="20"/>
                <w:szCs w:val="20"/>
              </w:rPr>
            </w:pPr>
            <w:r>
              <w:rPr>
                <w:noProof/>
                <w:sz w:val="20"/>
              </w:rPr>
              <w:t>— точка 4 от анотацията е изменена.</w:t>
            </w:r>
          </w:p>
          <w:p>
            <w:pPr>
              <w:spacing w:before="0" w:after="0"/>
              <w:jc w:val="left"/>
              <w:rPr>
                <w:noProof/>
                <w:sz w:val="20"/>
                <w:szCs w:val="20"/>
              </w:rPr>
            </w:pPr>
            <w:r>
              <w:rPr>
                <w:noProof/>
                <w:sz w:val="20"/>
              </w:rPr>
              <w:t xml:space="preserve">Тази анотация ще влезе в сила само след като Мадагаскар спази препоръките на 65-ия Постоянен комитет.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24</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Crocodylus porosus</w:t>
            </w:r>
          </w:p>
          <w:p>
            <w:pPr>
              <w:spacing w:before="0" w:after="0"/>
              <w:jc w:val="left"/>
              <w:rPr>
                <w:noProof/>
                <w:sz w:val="20"/>
                <w:szCs w:val="20"/>
              </w:rPr>
            </w:pPr>
            <w:r>
              <w:rPr>
                <w:noProof/>
                <w:sz w:val="20"/>
              </w:rPr>
              <w:t>(включване на анотация)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Подкрепа, но да се прикани Малайзия да предостави допълнителна информация и гаранции по отношение на бъдещия контрол върху изпълнението в съответствие с предпазните мерки, изложени в Резолюция Conf. 9.24 (Rev. </w:t>
            </w:r>
            <w:r>
              <w:rPr>
                <w:noProof/>
                <w:sz w:val="20"/>
              </w:rPr>
              <w:lastRenderedPageBreak/>
              <w:t>CoP16).</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25</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Abronia anzuetoi</w:t>
            </w:r>
            <w:r>
              <w:rPr>
                <w:noProof/>
                <w:sz w:val="20"/>
              </w:rPr>
              <w:t xml:space="preserve">, </w:t>
            </w:r>
            <w:r>
              <w:rPr>
                <w:i/>
                <w:noProof/>
                <w:sz w:val="20"/>
              </w:rPr>
              <w:t>Abronia campbelli</w:t>
            </w:r>
            <w:r>
              <w:rPr>
                <w:noProof/>
                <w:sz w:val="20"/>
              </w:rPr>
              <w:t xml:space="preserve">, </w:t>
            </w:r>
            <w:r>
              <w:rPr>
                <w:i/>
                <w:noProof/>
                <w:sz w:val="20"/>
              </w:rPr>
              <w:t>Abronia fimbriata,</w:t>
            </w:r>
            <w:r>
              <w:rPr>
                <w:noProof/>
                <w:sz w:val="20"/>
              </w:rPr>
              <w:t xml:space="preserve"> </w:t>
            </w:r>
            <w:r>
              <w:rPr>
                <w:i/>
                <w:noProof/>
                <w:sz w:val="20"/>
              </w:rPr>
              <w:t>Abronia frosti</w:t>
            </w:r>
            <w:r>
              <w:rPr>
                <w:noProof/>
                <w:sz w:val="20"/>
              </w:rPr>
              <w:t xml:space="preserve">, </w:t>
            </w:r>
            <w:r>
              <w:rPr>
                <w:i/>
                <w:noProof/>
                <w:sz w:val="20"/>
              </w:rPr>
              <w:t>Abronia meledona</w:t>
            </w:r>
            <w:r>
              <w:rPr>
                <w:noProof/>
                <w:sz w:val="20"/>
              </w:rPr>
              <w:t xml:space="preserve">, </w:t>
            </w:r>
            <w:r>
              <w:rPr>
                <w:i/>
                <w:noProof/>
                <w:sz w:val="20"/>
              </w:rPr>
              <w:t>Abronia aurita</w:t>
            </w:r>
            <w:r>
              <w:rPr>
                <w:noProof/>
                <w:sz w:val="20"/>
              </w:rPr>
              <w:t xml:space="preserve">, </w:t>
            </w:r>
            <w:r>
              <w:rPr>
                <w:i/>
                <w:noProof/>
                <w:sz w:val="20"/>
              </w:rPr>
              <w:t>Abronia gaiophantasma</w:t>
            </w:r>
            <w:r>
              <w:rPr>
                <w:noProof/>
                <w:sz w:val="20"/>
              </w:rPr>
              <w:t xml:space="preserve">, </w:t>
            </w:r>
            <w:r>
              <w:rPr>
                <w:i/>
                <w:noProof/>
                <w:sz w:val="20"/>
              </w:rPr>
              <w:t>Abronia montecristoi</w:t>
            </w:r>
            <w:r>
              <w:rPr>
                <w:noProof/>
                <w:sz w:val="20"/>
              </w:rPr>
              <w:t xml:space="preserve">, </w:t>
            </w:r>
            <w:r>
              <w:rPr>
                <w:i/>
                <w:noProof/>
                <w:sz w:val="20"/>
              </w:rPr>
              <w:t>Abronia salvadorense</w:t>
            </w:r>
            <w:r>
              <w:rPr>
                <w:noProof/>
                <w:sz w:val="20"/>
              </w:rPr>
              <w:t xml:space="preserve">, </w:t>
            </w:r>
            <w:r>
              <w:rPr>
                <w:i/>
                <w:noProof/>
                <w:sz w:val="20"/>
              </w:rPr>
              <w:t>Abronia vasconcelosii</w:t>
            </w:r>
          </w:p>
          <w:p>
            <w:pPr>
              <w:spacing w:before="0" w:after="0"/>
              <w:jc w:val="left"/>
              <w:rPr>
                <w:noProof/>
                <w:sz w:val="20"/>
                <w:szCs w:val="20"/>
              </w:rPr>
            </w:pPr>
            <w:r>
              <w:rPr>
                <w:noProof/>
                <w:sz w:val="20"/>
              </w:rPr>
              <w:t xml:space="preserve">(включване на анотация) </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GT</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Подкрепа за прехвърлянето на </w:t>
            </w:r>
            <w:r>
              <w:rPr>
                <w:i/>
                <w:noProof/>
                <w:sz w:val="20"/>
              </w:rPr>
              <w:t>A. anzuetoi, A. campbelli, A. fimbriata, A. frosti</w:t>
            </w:r>
            <w:r>
              <w:rPr>
                <w:noProof/>
                <w:sz w:val="20"/>
              </w:rPr>
              <w:t xml:space="preserve"> и </w:t>
            </w:r>
            <w:r>
              <w:rPr>
                <w:i/>
                <w:noProof/>
                <w:sz w:val="20"/>
              </w:rPr>
              <w:t>A. Meledona</w:t>
            </w:r>
            <w:r>
              <w:rPr>
                <w:noProof/>
                <w:sz w:val="20"/>
              </w:rPr>
              <w:t xml:space="preserve"> в приложение I, но възражение срещу приемането на „нулева квота за износ за екземпляри, развъждани в други държави, които не са страни на произход на видовете“, както е предложено за </w:t>
            </w:r>
            <w:r>
              <w:rPr>
                <w:i/>
                <w:noProof/>
                <w:sz w:val="20"/>
              </w:rPr>
              <w:t>Abronia aurita, A. gaiophantasma, A. montecristoi, A. salvadorense</w:t>
            </w:r>
            <w:r>
              <w:rPr>
                <w:noProof/>
                <w:sz w:val="20"/>
              </w:rPr>
              <w:t xml:space="preserve"> и </w:t>
            </w:r>
            <w:r>
              <w:rPr>
                <w:i/>
                <w:noProof/>
                <w:sz w:val="20"/>
              </w:rPr>
              <w:t>A. Vasconcelosii.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26</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Abronia</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[Мексико е съвносител]</w:t>
            </w:r>
          </w:p>
          <w:p>
            <w:pPr>
              <w:spacing w:before="0" w:after="0"/>
              <w:jc w:val="left"/>
              <w:rPr>
                <w:noProof/>
                <w:sz w:val="20"/>
                <w:szCs w:val="20"/>
              </w:rPr>
            </w:pPr>
            <w:r>
              <w:rPr>
                <w:noProof/>
                <w:sz w:val="20"/>
              </w:rPr>
              <w:t>Може да е необходимо изключване от предложението на видовете, обхванати от предложение 25 (за включване в приложение 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27 + 28</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 xml:space="preserve">Rhampholeon </w:t>
            </w:r>
            <w:r>
              <w:rPr>
                <w:noProof/>
                <w:sz w:val="20"/>
              </w:rPr>
              <w:t>spp</w:t>
            </w:r>
            <w:r>
              <w:rPr>
                <w:i/>
                <w:noProof/>
                <w:sz w:val="20"/>
              </w:rPr>
              <w:t>.</w:t>
            </w:r>
            <w:r>
              <w:rPr>
                <w:noProof/>
                <w:sz w:val="20"/>
              </w:rPr>
              <w:t xml:space="preserve">, </w:t>
            </w:r>
            <w:r>
              <w:rPr>
                <w:i/>
                <w:noProof/>
                <w:sz w:val="20"/>
              </w:rPr>
              <w:t xml:space="preserve">Rieppeleon </w:t>
            </w:r>
            <w:r>
              <w:rPr>
                <w:noProof/>
                <w:sz w:val="20"/>
              </w:rPr>
              <w:t>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CF, TD, GA, NG, KE,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Африканските хамелеони пигмеи са единственият вид хамелеон, който все още не е обхванат от CITES, а редица видове </w:t>
            </w:r>
            <w:r>
              <w:rPr>
                <w:i/>
                <w:noProof/>
                <w:sz w:val="20"/>
              </w:rPr>
              <w:t>Rhampholeon</w:t>
            </w:r>
            <w:r>
              <w:rPr>
                <w:noProof/>
                <w:sz w:val="20"/>
              </w:rPr>
              <w:t xml:space="preserve"> са с ограничена зона на разпространение. Търговското търсене е изместено към тези африкански видове, които сега са широко предлагани в международната търговия с домашни любимци, по-специално в Европа и Съединените щати.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29</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Cnemaspis psychedelica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30</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Lygodactylus williamsi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TZ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Paroedura masobe</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noProof/>
                <w:sz w:val="20"/>
              </w:rPr>
              <w:t>Lanthanotidae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MY</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Критериите на приложение I са изпълнени. Видът е обект на нарастващо търсене в международната търговия с домашни любимци, включително в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33</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Shinisaurus crocodilurus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CN, EU, VN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34</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Atheris desaixi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Няма позиция, но Кения се приканва да предостави информация, по-специално данни относно международната търговия, които показват, че критериите на приложение II са изпълнени. Включване в приложение III би било по-подходящо.</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0</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35</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Bitis worthingtoni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Няма позиция, но Кения се приканва да предостави информация, по-специално данни относно международната търговия, които показват, че </w:t>
            </w:r>
            <w:r>
              <w:rPr>
                <w:noProof/>
                <w:sz w:val="20"/>
              </w:rPr>
              <w:lastRenderedPageBreak/>
              <w:t>критериите на приложение II са изпълнени. Включване в приложение III би било по-подходящо.</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0</w:t>
            </w:r>
          </w:p>
        </w:tc>
      </w:tr>
      <w:tr>
        <w:tc>
          <w:tcPr>
            <w:tcW w:w="948" w:type="dxa"/>
            <w:shd w:val="clear" w:color="auto" w:fill="auto"/>
          </w:tcPr>
          <w:p>
            <w:pPr>
              <w:spacing w:before="0" w:after="0"/>
              <w:ind w:right="175"/>
              <w:jc w:val="left"/>
              <w:rPr>
                <w:noProof/>
                <w:sz w:val="20"/>
                <w:szCs w:val="20"/>
              </w:rPr>
            </w:pPr>
            <w:r>
              <w:rPr>
                <w:noProof/>
                <w:sz w:val="20"/>
              </w:rPr>
              <w:lastRenderedPageBreak/>
              <w:t>36</w:t>
            </w:r>
          </w:p>
        </w:tc>
        <w:tc>
          <w:tcPr>
            <w:tcW w:w="2562" w:type="dxa"/>
            <w:shd w:val="clear" w:color="auto" w:fill="auto"/>
          </w:tcPr>
          <w:p>
            <w:pPr>
              <w:spacing w:before="0" w:after="0"/>
              <w:jc w:val="left"/>
              <w:rPr>
                <w:i/>
                <w:noProof/>
                <w:sz w:val="20"/>
                <w:szCs w:val="20"/>
              </w:rPr>
            </w:pPr>
            <w:r>
              <w:rPr>
                <w:i/>
                <w:noProof/>
                <w:sz w:val="20"/>
              </w:rPr>
              <w:t>Cyclanorbis elegans</w:t>
            </w:r>
            <w:r>
              <w:rPr>
                <w:noProof/>
                <w:sz w:val="20"/>
              </w:rPr>
              <w:t xml:space="preserve">, </w:t>
            </w:r>
            <w:r>
              <w:rPr>
                <w:i/>
                <w:noProof/>
                <w:sz w:val="20"/>
              </w:rPr>
              <w:t>Cyclanorbis senegalensis</w:t>
            </w:r>
            <w:r>
              <w:rPr>
                <w:noProof/>
                <w:sz w:val="20"/>
              </w:rPr>
              <w:t xml:space="preserve">, </w:t>
            </w:r>
            <w:r>
              <w:rPr>
                <w:i/>
                <w:noProof/>
                <w:sz w:val="20"/>
              </w:rPr>
              <w:t>Cycloderma aubryi</w:t>
            </w:r>
            <w:r>
              <w:rPr>
                <w:noProof/>
                <w:sz w:val="20"/>
              </w:rPr>
              <w:t xml:space="preserve">, </w:t>
            </w:r>
            <w:r>
              <w:rPr>
                <w:i/>
                <w:noProof/>
                <w:sz w:val="20"/>
              </w:rPr>
              <w:t>Cycloderma frenatum</w:t>
            </w:r>
            <w:r>
              <w:rPr>
                <w:noProof/>
                <w:sz w:val="20"/>
              </w:rPr>
              <w:t xml:space="preserve">, </w:t>
            </w:r>
            <w:r>
              <w:rPr>
                <w:i/>
                <w:noProof/>
                <w:sz w:val="20"/>
              </w:rPr>
              <w:t>Trionyx triunguis</w:t>
            </w:r>
            <w:r>
              <w:rPr>
                <w:noProof/>
                <w:sz w:val="20"/>
              </w:rPr>
              <w:t xml:space="preserve">, </w:t>
            </w:r>
            <w:r>
              <w:rPr>
                <w:i/>
                <w:noProof/>
                <w:sz w:val="20"/>
              </w:rPr>
              <w:t>Rafetus euphraticus</w:t>
            </w:r>
          </w:p>
        </w:tc>
        <w:tc>
          <w:tcPr>
            <w:tcW w:w="993" w:type="dxa"/>
            <w:shd w:val="clear" w:color="auto" w:fill="auto"/>
          </w:tcPr>
          <w:p>
            <w:pPr>
              <w:spacing w:before="0" w:after="0"/>
              <w:jc w:val="left"/>
              <w:rPr>
                <w:noProof/>
                <w:sz w:val="20"/>
                <w:szCs w:val="20"/>
              </w:rPr>
            </w:pPr>
            <w:r>
              <w:rPr>
                <w:noProof/>
                <w:sz w:val="20"/>
              </w:rPr>
              <w:t>0 — II</w:t>
            </w:r>
          </w:p>
        </w:tc>
        <w:tc>
          <w:tcPr>
            <w:tcW w:w="1134" w:type="dxa"/>
            <w:shd w:val="clear" w:color="auto" w:fill="auto"/>
          </w:tcPr>
          <w:p>
            <w:pPr>
              <w:spacing w:before="0" w:after="0"/>
              <w:jc w:val="left"/>
              <w:rPr>
                <w:noProof/>
                <w:sz w:val="20"/>
                <w:szCs w:val="20"/>
              </w:rPr>
            </w:pPr>
            <w:r>
              <w:rPr>
                <w:noProof/>
                <w:sz w:val="20"/>
              </w:rPr>
              <w:t>BF, TD, GA, GN, LR, MR, NG, TG, US</w:t>
            </w:r>
          </w:p>
        </w:tc>
        <w:tc>
          <w:tcPr>
            <w:tcW w:w="3118" w:type="dxa"/>
            <w:shd w:val="clear" w:color="auto" w:fill="auto"/>
          </w:tcPr>
          <w:p>
            <w:pPr>
              <w:spacing w:before="0" w:after="0"/>
              <w:jc w:val="left"/>
              <w:rPr>
                <w:noProof/>
                <w:sz w:val="20"/>
                <w:szCs w:val="20"/>
              </w:rPr>
            </w:pPr>
            <w:r>
              <w:rPr>
                <w:noProof/>
                <w:sz w:val="20"/>
              </w:rPr>
              <w:t>Мекочерупчестите костенурки са уязвими спрямо прекомерна експлоатация. Вследствие на засиленото търсене в Азия в рамките на международната търговия на мекочерупчести костенурки и части от тях за консумация като храна и ползване в традиционната медицина се наблюдава изместване на търговията към други източници на костенурки, по-специално в Африка. Поради това посочените шест вида отговарят на критериите за включване в списъка в приложение II.</w:t>
            </w:r>
          </w:p>
        </w:tc>
        <w:tc>
          <w:tcPr>
            <w:tcW w:w="992" w:type="dxa"/>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37</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Dyscophus antongilii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Предложението предоставя твърде ограничена информация, която не позволява да се определи дали са изпълнени защитните мерки, изложени в Резолюция Conf. 9.24 (Rev. CoP16), по-специално по отношение на бъдещата способност за прилагане на член IV от конвенцията и за осъществяване на подходящ контрол върху изпълнението. Освен това не е напълно ясно дали критериите на приложение I вече не се изпълняват, като се има предвид, че видът е с ограничена област на разпространение и е застрашен от влошаване на качеството на местообитанието.</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38</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Dyscophus guineti</w:t>
            </w:r>
            <w:r>
              <w:rPr>
                <w:noProof/>
                <w:sz w:val="20"/>
              </w:rPr>
              <w:t xml:space="preserve">, </w:t>
            </w:r>
            <w:r>
              <w:rPr>
                <w:i/>
                <w:noProof/>
                <w:sz w:val="20"/>
              </w:rPr>
              <w:t>Dyscophus insularis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И двата вида се предлагат в международната търговия с домашни любимци, но е спорно дали нейните настоящи нива представляват сериозна заплаха за видовете. Подкрепа, при условие че Мадагаскар може да предостави допълнителни данни относно търговията.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39</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iCs/>
                <w:noProof/>
                <w:sz w:val="20"/>
                <w:szCs w:val="20"/>
              </w:rPr>
            </w:pPr>
            <w:r>
              <w:rPr>
                <w:i/>
                <w:noProof/>
                <w:sz w:val="20"/>
              </w:rPr>
              <w:t>Scaphiophryne marmorata</w:t>
            </w:r>
            <w:r>
              <w:rPr>
                <w:noProof/>
                <w:sz w:val="20"/>
              </w:rPr>
              <w:t xml:space="preserve">, </w:t>
            </w:r>
            <w:r>
              <w:rPr>
                <w:i/>
                <w:noProof/>
                <w:sz w:val="20"/>
              </w:rPr>
              <w:t>Scaphiophryne boribory</w:t>
            </w:r>
          </w:p>
          <w:p>
            <w:pPr>
              <w:spacing w:before="0" w:after="0"/>
              <w:jc w:val="left"/>
              <w:rPr>
                <w:i/>
                <w:noProof/>
                <w:sz w:val="20"/>
                <w:szCs w:val="20"/>
              </w:rPr>
            </w:pPr>
            <w:r>
              <w:rPr>
                <w:noProof/>
                <w:sz w:val="20"/>
              </w:rPr>
              <w:t xml:space="preserve">+ добавяне на </w:t>
            </w:r>
            <w:r>
              <w:rPr>
                <w:i/>
                <w:noProof/>
                <w:sz w:val="20"/>
              </w:rPr>
              <w:t>Scaphiophryne spinosa</w:t>
            </w:r>
            <w:r>
              <w:rPr>
                <w:noProof/>
                <w:sz w:val="20"/>
              </w:rPr>
              <w:t>? (изглеждат еднакво)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И двата вида са с малка област на разпространение и тенденция към намаляване на популацията. Видовете са застрашени от разрушаване на местообитанията, както и от събиране за целите на </w:t>
            </w:r>
            <w:r>
              <w:rPr>
                <w:noProof/>
                <w:sz w:val="20"/>
              </w:rPr>
              <w:lastRenderedPageBreak/>
              <w:t>търговията с домашни любимци.</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40</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Telmatobius culeus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BO, PE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Подкрепа, при условие че вносителите предоставят допълнителна информация, доказваща, че видът е сериозно засегнат от международната търговия.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Paramesotriton hongkongensis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CN</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Видът е с малка област на разпространение и тенденция към намаляване на популацията. Събирането на значителен брой екземпляри за целите на търговията с домашни любимци е отчетено като основната заплаха за вида.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Carcharhinus falciformis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BS, BD, BJ, BR, BF, KM, DO, EG, EU, FJ, GA, GH, GN, GW, MV, MR, PW, PA, WS, SN, LK, UA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[Република Малдиви е съвносител]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43</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Alopias</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BS, BD, BJ, BR, BF, KM, DO, EG, EU, FJ, GA, GH, GN, GW, KE, MV, MR, PW, PA, WS, SN, SC, LK, UA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[Шри Ланка е съвносител]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44</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Mobula</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BS, BD, BJ, BR, BF, KM, CR, EC, EG, EU, FJ, GH, GN, GW, MV, MR, PW, PA, WS, SN, SC, LK,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[Фиджи е съвносител]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45</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Potamotrygon motoro</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BO</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Възражение, освен ако се предостави нова информация от вносителя. Видовете са обект на търговия, но е налице ограничена информация за въздействието от събирането за целите на </w:t>
            </w:r>
            <w:r>
              <w:rPr>
                <w:noProof/>
                <w:sz w:val="20"/>
              </w:rPr>
              <w:lastRenderedPageBreak/>
              <w:t>международната търговия върху природозащитния им статус.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46</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Pterapogon kauderni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 от ЕС]</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47</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Holacanthus clarionensis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Макар че основната заплаха за този вид е смущаването на неговите местообитания, данните сочат, че събирането за целите на международната търговия е довело до намаляване на продължителността на живота, на размера на популацията и на екземплярите.</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48</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noProof/>
                <w:sz w:val="20"/>
              </w:rPr>
              <w:t>Nautilidae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FJ, IN, PW, 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Критериите на приложение II са изпълнени. Тези видове са обект на интензивна международна търговия и са уязвими спрямо прекомерна експлоатация. В областите, в които се е осъществявала или се осъществява риболовна дейност, е документирано намаляване на популацията. Включването на тези видове в приложение I вероятно ще осигури добавена стойност за тяхното опазване.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49</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Polymita</w:t>
            </w:r>
            <w:r>
              <w:rPr>
                <w:noProof/>
                <w:sz w:val="20"/>
              </w:rPr>
              <w:t xml:space="preserve"> spp.</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CU</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Видът е застрашен както от разрушаване на местообитанията, така и от международната търговия, и изпълнява критериите на приложение I.</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50</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 xml:space="preserve">Beaucarnea </w:t>
            </w:r>
            <w:r>
              <w:rPr>
                <w:noProof/>
                <w:sz w:val="20"/>
              </w:rPr>
              <w:t>spp</w:t>
            </w:r>
            <w:r>
              <w:rPr>
                <w:i/>
                <w:noProof/>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Основните заплахи за тези декоративни видове са влошаването на състоянието на местообитанията и незаконното събиране на растения и семена за целите на международната търговия.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Tillandsia mauryana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0</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Подкрепа за това предложение в резултат на периодичния преглед. Това декоративно растение, което е ендемичен вид за Мексико, е обект на строга защита и по всичко личи, че няма износ на диви екземпляри.</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
                <w:noProof/>
                <w:sz w:val="20"/>
                <w:szCs w:val="20"/>
              </w:rPr>
            </w:pPr>
            <w:r>
              <w:rPr>
                <w:i/>
                <w:noProof/>
                <w:sz w:val="20"/>
              </w:rPr>
              <w:t>Sclerocactus cloverae</w:t>
            </w:r>
            <w:r>
              <w:rPr>
                <w:noProof/>
                <w:sz w:val="20"/>
              </w:rPr>
              <w:t xml:space="preserve">, </w:t>
            </w:r>
            <w:r>
              <w:rPr>
                <w:i/>
                <w:noProof/>
                <w:sz w:val="20"/>
              </w:rPr>
              <w:t>Sclerocactus sileri</w:t>
            </w:r>
            <w:r>
              <w:rPr>
                <w:noProof/>
                <w:sz w:val="20"/>
              </w:rPr>
              <w:t>,</w:t>
            </w:r>
            <w:r>
              <w:rPr>
                <w:i/>
                <w:noProof/>
                <w:sz w:val="20"/>
              </w:rPr>
              <w:t xml:space="preserve"> Sclerocactus spinosior</w:t>
            </w:r>
            <w:r>
              <w:rPr>
                <w:noProof/>
                <w:sz w:val="20"/>
              </w:rPr>
              <w:t xml:space="preserve"> </w:t>
            </w:r>
            <w:r>
              <w:rPr>
                <w:i/>
                <w:noProof/>
                <w:sz w:val="20"/>
              </w:rPr>
              <w:t>blainei</w:t>
            </w:r>
            <w:r>
              <w:rPr>
                <w:noProof/>
                <w:sz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II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Декоративни кактуси, които са ендемични видове за САЩ. Подкрепа за това предложение в резултат на периодичния преглед.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53</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Dalbergia cochinchinensis</w:t>
            </w:r>
          </w:p>
          <w:p>
            <w:pPr>
              <w:spacing w:before="0" w:after="0"/>
              <w:jc w:val="left"/>
              <w:rPr>
                <w:i/>
                <w:noProof/>
                <w:sz w:val="20"/>
                <w:szCs w:val="20"/>
              </w:rPr>
            </w:pPr>
            <w:r>
              <w:rPr>
                <w:noProof/>
                <w:sz w:val="20"/>
              </w:rPr>
              <w:t>(замяна на анотация #5 с анотация #4)</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TH</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Голяма част от износа от държавите на разпространение се състои от продукти, преминали през вторична обработка, които не са регулирани съгласно настоящата анотация #5. Това дава основание за промяна на </w:t>
            </w:r>
            <w:r>
              <w:rPr>
                <w:noProof/>
                <w:sz w:val="20"/>
              </w:rPr>
              <w:lastRenderedPageBreak/>
              <w:t>анотацията с цел проверките по CITES да се разширят така, че да обхванат съответните продукти.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lastRenderedPageBreak/>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54</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Dalbergia calderonii</w:t>
            </w:r>
            <w:r>
              <w:rPr>
                <w:noProof/>
                <w:sz w:val="20"/>
              </w:rPr>
              <w:t xml:space="preserve">, </w:t>
            </w:r>
            <w:r>
              <w:rPr>
                <w:i/>
                <w:noProof/>
                <w:sz w:val="20"/>
              </w:rPr>
              <w:t>D. calycina</w:t>
            </w:r>
            <w:r>
              <w:rPr>
                <w:noProof/>
                <w:sz w:val="20"/>
              </w:rPr>
              <w:t xml:space="preserve">, </w:t>
            </w:r>
            <w:r>
              <w:rPr>
                <w:i/>
                <w:noProof/>
                <w:sz w:val="20"/>
              </w:rPr>
              <w:t>D. congestiflora</w:t>
            </w:r>
            <w:r>
              <w:rPr>
                <w:noProof/>
                <w:sz w:val="20"/>
              </w:rPr>
              <w:t xml:space="preserve">, </w:t>
            </w:r>
            <w:r>
              <w:rPr>
                <w:i/>
                <w:noProof/>
                <w:sz w:val="20"/>
              </w:rPr>
              <w:t>D. cubilquitzensis</w:t>
            </w:r>
            <w:r>
              <w:rPr>
                <w:noProof/>
                <w:sz w:val="20"/>
              </w:rPr>
              <w:t xml:space="preserve">, </w:t>
            </w:r>
            <w:r>
              <w:rPr>
                <w:i/>
                <w:noProof/>
                <w:sz w:val="20"/>
              </w:rPr>
              <w:t>D. glomerata</w:t>
            </w:r>
            <w:r>
              <w:rPr>
                <w:noProof/>
                <w:sz w:val="20"/>
              </w:rPr>
              <w:t xml:space="preserve">, </w:t>
            </w:r>
            <w:r>
              <w:rPr>
                <w:i/>
                <w:noProof/>
                <w:sz w:val="20"/>
              </w:rPr>
              <w:t>D. longepedunculata</w:t>
            </w:r>
            <w:r>
              <w:rPr>
                <w:noProof/>
                <w:sz w:val="20"/>
              </w:rPr>
              <w:t xml:space="preserve">, </w:t>
            </w:r>
            <w:r>
              <w:rPr>
                <w:i/>
                <w:noProof/>
                <w:sz w:val="20"/>
              </w:rPr>
              <w:t>D. luteola</w:t>
            </w:r>
            <w:r>
              <w:rPr>
                <w:noProof/>
                <w:sz w:val="20"/>
              </w:rPr>
              <w:t xml:space="preserve">, </w:t>
            </w:r>
            <w:r>
              <w:rPr>
                <w:i/>
                <w:noProof/>
                <w:sz w:val="20"/>
              </w:rPr>
              <w:t>D. melanodium</w:t>
            </w:r>
            <w:r>
              <w:rPr>
                <w:noProof/>
                <w:sz w:val="20"/>
              </w:rPr>
              <w:t xml:space="preserve">, </w:t>
            </w:r>
            <w:r>
              <w:rPr>
                <w:i/>
                <w:noProof/>
                <w:sz w:val="20"/>
              </w:rPr>
              <w:t>D. modesta</w:t>
            </w:r>
            <w:r>
              <w:rPr>
                <w:noProof/>
                <w:sz w:val="20"/>
              </w:rPr>
              <w:t xml:space="preserve">, </w:t>
            </w:r>
            <w:r>
              <w:rPr>
                <w:i/>
                <w:noProof/>
                <w:sz w:val="20"/>
              </w:rPr>
              <w:t>D. palo-escrito</w:t>
            </w:r>
            <w:r>
              <w:rPr>
                <w:noProof/>
                <w:sz w:val="20"/>
              </w:rPr>
              <w:t xml:space="preserve">, </w:t>
            </w:r>
            <w:r>
              <w:rPr>
                <w:i/>
                <w:noProof/>
                <w:sz w:val="20"/>
              </w:rPr>
              <w:t>D. rhachiflexa</w:t>
            </w:r>
            <w:r>
              <w:rPr>
                <w:noProof/>
                <w:sz w:val="20"/>
              </w:rPr>
              <w:t xml:space="preserve">, </w:t>
            </w:r>
            <w:r>
              <w:rPr>
                <w:i/>
                <w:noProof/>
                <w:sz w:val="20"/>
              </w:rPr>
              <w:t>D. ruddae</w:t>
            </w:r>
            <w:r>
              <w:rPr>
                <w:noProof/>
                <w:sz w:val="20"/>
              </w:rPr>
              <w:t xml:space="preserve">, </w:t>
            </w:r>
            <w:r>
              <w:rPr>
                <w:i/>
                <w:noProof/>
                <w:sz w:val="20"/>
              </w:rPr>
              <w:t>D. tucurensis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MX</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Подкрепа, но Мексико да се насърчи да потърси компромис с вносителите на предложение 55 и в оптималния случай двете предложения да бъдат обединени. Също така Мексико да се насърчи да проучи възможностите за включване на анотация в предложението, така че проверките по CITES да се прилагат за продукти от дървен материал, изнасян основно от държавите на разпространение, като се избягва пораждането на излишна административна тежест по отношение на продуктите, които са преобразувани и реекспортирани от трети държави.</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55</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 xml:space="preserve">Dalbergia </w:t>
            </w:r>
            <w:r>
              <w:rPr>
                <w:noProof/>
                <w:sz w:val="20"/>
              </w:rPr>
              <w:t xml:space="preserve">spp. </w:t>
            </w:r>
          </w:p>
          <w:p>
            <w:pPr>
              <w:spacing w:before="0" w:after="0"/>
              <w:jc w:val="left"/>
              <w:rPr>
                <w:noProof/>
                <w:sz w:val="20"/>
                <w:szCs w:val="20"/>
              </w:rPr>
            </w:pPr>
            <w:r>
              <w:rPr>
                <w:noProof/>
                <w:sz w:val="20"/>
              </w:rPr>
              <w:t>(с изключение на видовете, включени в приложение 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AR, BR, GT, KE</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Подкрепа, но вносителите на предложението да се насърчат да потърсят компромис с Мексико по отношение на предложение 54 и в оптималния случай двете предложения да бъдат обединени. Също така вносителите на предложението да се насърчат да проучат възможностите за включване на анотация, така че проверките по CITES да се прилагат за продукти от дървен материал, изнасян основно от държавите на разпространение, като се избягва пораждането на излишна административна тежест по отношение на продуктите, които са преобразувани и реекспортирани от трети държави. Ако няма налична информация за продуктите, изнасяни основно от държавите на разпространение, Съюзът следва да подкрепи приемането на широк обхват с предпазна цел.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56</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Guibourtia demeusei, Guibourtia pellegriniana, Guibourtia tessmannii</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EU, GA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[Габон е съвносител]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57</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Pterocarpus erinaceus</w:t>
            </w:r>
          </w:p>
          <w:p>
            <w:pPr>
              <w:spacing w:before="0" w:after="0"/>
              <w:jc w:val="left"/>
              <w:rPr>
                <w:i/>
                <w:noProof/>
                <w:sz w:val="20"/>
                <w:szCs w:val="20"/>
              </w:rPr>
            </w:pPr>
            <w:r>
              <w:rPr>
                <w:noProof/>
                <w:sz w:val="20"/>
              </w:rPr>
              <w:t>(без анотация)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BJ, BF, TD, CI, EU, GN, GW, ML, NG, SN, </w:t>
            </w:r>
            <w:r>
              <w:rPr>
                <w:noProof/>
                <w:sz w:val="20"/>
              </w:rPr>
              <w:lastRenderedPageBreak/>
              <w:t>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lastRenderedPageBreak/>
              <w:t>[Сенегал е съвносител]</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lastRenderedPageBreak/>
              <w:t>58</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Adansonia grandidieri</w:t>
            </w:r>
          </w:p>
          <w:p>
            <w:pPr>
              <w:spacing w:before="0" w:after="0"/>
              <w:jc w:val="left"/>
              <w:rPr>
                <w:i/>
                <w:noProof/>
                <w:sz w:val="20"/>
                <w:szCs w:val="20"/>
              </w:rPr>
            </w:pPr>
            <w:r>
              <w:rPr>
                <w:noProof/>
                <w:sz w:val="20"/>
              </w:rPr>
              <w:t>(включване на анотация)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0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MG</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Основната заплаха за този вид е незадоволителното възстановяване. В предложението се съдържат много ограничени данни относно търговията, като се посочва, че видът се събира основно за целите на националната търговия и използване, макар че е възможно вече да е поставено началото на международна търговия с масла.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59</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Abies numidica</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DZ</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Възражение, освен ако Алжир предостави подробно подкрепящо заявление. Международната търговия не представлява заплаха за вида (заплахите са събиране на национално ниво за използване като дърва за огрев и животински пасбища). Критериите на приложение I не са изпълнени.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60</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Aquilaria</w:t>
            </w:r>
            <w:r>
              <w:rPr>
                <w:noProof/>
                <w:sz w:val="20"/>
              </w:rPr>
              <w:t xml:space="preserve"> spp., </w:t>
            </w:r>
            <w:r>
              <w:rPr>
                <w:i/>
                <w:noProof/>
                <w:sz w:val="20"/>
              </w:rPr>
              <w:t>Gyrinops</w:t>
            </w:r>
            <w:r>
              <w:rPr>
                <w:noProof/>
                <w:sz w:val="20"/>
              </w:rPr>
              <w:t xml:space="preserve"> spp. </w:t>
            </w:r>
          </w:p>
          <w:p>
            <w:pPr>
              <w:spacing w:before="0" w:after="0"/>
              <w:jc w:val="left"/>
              <w:rPr>
                <w:i/>
                <w:noProof/>
                <w:sz w:val="20"/>
                <w:szCs w:val="20"/>
              </w:rPr>
            </w:pPr>
            <w:r>
              <w:rPr>
                <w:noProof/>
                <w:sz w:val="20"/>
              </w:rPr>
              <w:t>(изменение на анотация #14)</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Премахването на дървесните стърготини от изключенията към настоящия списък в приложение II ще гарантира, че проверките по CITES се прилагат за дървени стърготини, дори когато се търгуват като готови продукти, опаковани и готови за търговия на дребно. Дървените стърготини представляват значителна част от международната търговия с агарово дърво.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61</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i/>
                <w:noProof/>
                <w:sz w:val="20"/>
              </w:rPr>
              <w:t>Siphonochilus aethiopicus</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0 — II</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ZA</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Подкрепа, но вносителят на предложението се приканва да потвърди, че списъкът от приложение II ще бъде ограничен до популациите в Южна Африка, Свазиленд, Мозамбик и Зимбабве, както и да разработи идентификационни материали.</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r>
        <w:tc>
          <w:tcPr>
            <w:tcW w:w="948" w:type="dxa"/>
            <w:tcBorders>
              <w:top w:val="single" w:sz="4" w:space="0" w:color="auto"/>
              <w:left w:val="single" w:sz="4" w:space="0" w:color="auto"/>
              <w:bottom w:val="single" w:sz="4" w:space="0" w:color="auto"/>
              <w:right w:val="single" w:sz="4" w:space="0" w:color="auto"/>
            </w:tcBorders>
            <w:shd w:val="clear" w:color="auto" w:fill="auto"/>
          </w:tcPr>
          <w:p>
            <w:pPr>
              <w:spacing w:before="0" w:after="0"/>
              <w:ind w:right="175"/>
              <w:jc w:val="left"/>
              <w:rPr>
                <w:noProof/>
                <w:sz w:val="20"/>
                <w:szCs w:val="20"/>
              </w:rPr>
            </w:pPr>
            <w:r>
              <w:rPr>
                <w:noProof/>
                <w:sz w:val="20"/>
              </w:rPr>
              <w:t>62</w:t>
            </w:r>
          </w:p>
        </w:tc>
        <w:tc>
          <w:tcPr>
            <w:tcW w:w="256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iCs/>
                <w:noProof/>
                <w:sz w:val="20"/>
                <w:szCs w:val="20"/>
              </w:rPr>
            </w:pPr>
            <w:r>
              <w:rPr>
                <w:i/>
                <w:noProof/>
                <w:sz w:val="20"/>
              </w:rPr>
              <w:t>Bulnesia sarmientoi</w:t>
            </w:r>
          </w:p>
          <w:p>
            <w:pPr>
              <w:spacing w:before="0" w:after="0"/>
              <w:jc w:val="left"/>
              <w:rPr>
                <w:noProof/>
                <w:sz w:val="20"/>
                <w:szCs w:val="20"/>
              </w:rPr>
            </w:pPr>
            <w:r>
              <w:rPr>
                <w:noProof/>
                <w:sz w:val="20"/>
              </w:rPr>
              <w:t>(изменение на анотация #11)</w:t>
            </w:r>
          </w:p>
        </w:tc>
        <w:tc>
          <w:tcPr>
            <w:tcW w:w="993"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 xml:space="preserve">II — II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US</w:t>
            </w:r>
          </w:p>
        </w:tc>
        <w:tc>
          <w:tcPr>
            <w:tcW w:w="3118"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noProof/>
                <w:sz w:val="20"/>
                <w:szCs w:val="20"/>
              </w:rPr>
            </w:pPr>
            <w:r>
              <w:rPr>
                <w:noProof/>
                <w:sz w:val="20"/>
              </w:rPr>
              <w:t>Предложеното изменение на анотация #11, приложима за настоящия списък в приложение II, следва да улесни прилагането на CITES чрез пояснението, че готовите продукти, съдържащи екстракти като съставки, включително аромати, не се считат за обхванати от проверките по CITES.</w:t>
            </w:r>
          </w:p>
        </w:tc>
        <w:tc>
          <w:tcPr>
            <w:tcW w:w="992" w:type="dxa"/>
            <w:tcBorders>
              <w:top w:val="single" w:sz="4" w:space="0" w:color="auto"/>
              <w:left w:val="single" w:sz="4" w:space="0" w:color="auto"/>
              <w:bottom w:val="single" w:sz="4" w:space="0" w:color="auto"/>
              <w:right w:val="single" w:sz="4" w:space="0" w:color="auto"/>
            </w:tcBorders>
            <w:shd w:val="clear" w:color="auto" w:fill="auto"/>
          </w:tcPr>
          <w:p>
            <w:pPr>
              <w:spacing w:before="0" w:after="0"/>
              <w:jc w:val="center"/>
              <w:rPr>
                <w:noProof/>
                <w:sz w:val="20"/>
                <w:szCs w:val="20"/>
              </w:rPr>
            </w:pPr>
            <w:r>
              <w:rPr>
                <w:noProof/>
                <w:sz w:val="20"/>
              </w:rPr>
              <w:t>+</w:t>
            </w:r>
          </w:p>
        </w:tc>
      </w:tr>
    </w:tbl>
    <w:p>
      <w:pPr>
        <w:rPr>
          <w:noProof/>
          <w:sz w:val="22"/>
        </w:rPr>
      </w:pPr>
      <w:r>
        <w:rPr>
          <w:noProof/>
          <w:sz w:val="22"/>
        </w:rPr>
        <w:t xml:space="preserve">* Макар че се предлага Съюзът да възрази срещу това предложение, той следва да не блокира приемането му, в случай че по него е възможен консенсус.  </w:t>
      </w:r>
    </w:p>
    <w:p>
      <w:pPr>
        <w:rPr>
          <w:noProof/>
          <w:szCs w:val="24"/>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За всички морски видове позицията на Съюза следва да се основава на научните оценки, изготвени от експертната група на ФАО, от IUCN и Traffic, както и от други свързани източници.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3E6F5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9E8F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26EF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B27D2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56A9D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7ADA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3E9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3895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5 10:4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CP" w:val="\u1082?\u1098?\u1084?"/>
    <w:docVar w:name="LW_ANNEX_NBR_FIRST" w:val="2"/>
    <w:docVar w:name="LW_ANNEX_NBR_LAST" w:val="2"/>
    <w:docVar w:name="LW_CONFIDENCE" w:val=" "/>
    <w:docVar w:name="LW_CONST_RESTREINT_UE" w:val="RESTREINT UE"/>
    <w:docVar w:name="LW_CORRIGENDUM" w:val="&lt;UNUSED&gt;"/>
    <w:docVar w:name="LW_COVERPAGE_GUID" w:val="22171932A9664ECA9BA1692D6EB76174"/>
    <w:docVar w:name="LW_CROSSREFERENCE" w:val="&lt;UNUSED&gt;"/>
    <w:docVar w:name="LW_DocType" w:val="ANNEX"/>
    <w:docVar w:name="LW_EMISSION" w:val="1.7.2016"/>
    <w:docVar w:name="LW_EMISSION_ISODATE" w:val="2016-07-0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7?\u1086?\u1079?\u1080?\u1094?\u1080?\u1103?, \u1082?\u1086?\u1103?\u1090?\u1086? \u1076?\u1072? \u1073?\u1098?\u1076?\u1077? \u1087?\u1088?\u1080?\u1077?\u1090?\u1072? \u1086?\u1090? \u1080?\u1084?\u1077?\u1090?\u1086? \u1085?\u1072? \u1045?\u1074?\u1088?\u1086?\u1087?\u1077?\u1081?\u1089?\u1082?\u1080?\u1103? \u1089?\u1098?\u1102?\u1079? \u1087?\u1086? \u1086?\u1090?\u1085?\u1086?\u1096?\u1077?\u1085?\u1080?\u1077? \u1085?\u1072? \u1085?\u1103?\u1082?\u1086?\u1080? \u1087?\u1088?\u1077?\u1076?\u1083?\u1086?\u1078?\u1077?\u1085?\u1080?\u1103?, \u1087?\u1088?\u1077?\u1076?\u1089?\u1090?\u1072?\u1074?\u1077?\u1085?\u1080? \u1074? \u1088?\u1072?\u1084?\u1082?\u1080?\u1090?\u1077? \u1085?\u1072? 17-\u1072?\u1090?\u1072? \u1050?\u1086?\u1085?\u1092?\u1077?\u1088?\u1077?\u1085?\u1094?\u1080?\u1103? \u1085?\u1072? \u1089?\u1090?\u1088?\u1072?\u1085?\u1080?\u1090?\u1077? (C\u1086?P17) \u1087?\u1086? \u1050?\u1086?\u1085?\u1074?\u1077?\u1085?\u1094?\u1080?\u1103?\u1090?\u1072? \u1087?\u1086? \u1084?\u1077?\u1078?\u1076?\u1091?\u1085?\u1072?\u1088?\u1086?\u1076?\u1085?\u1072?\u1090?\u1072? \u1090?\u1098?\u1088?\u1075?\u1086?\u1074?\u1080?\u1103? \u1089?\u1098?\u1089? \u1079?\u1072?\u1089?\u1090?\u1088?\u1072?\u1096?\u1077?\u1085?\u1080? \u1074?\u1080?\u1076?\u1086?\u1074?\u1077? \u1086?\u1090? \u1076?\u1080?\u1074?\u1072?\u1090?\u1072? \u1092?\u1072?\u1091?\u1085?\u1072? \u1080? \u1092?\u1083?\u1086?\u1088?\u1072? (CITES), \u1049?\u1086?\u1093?\u1072?\u1085?\u1077?\u1089?\u1073?\u1091?\u1088?\u1075?, \u1070?\u1078?\u1085?\u1072? \u1040?\u1092?\u1088?\u1080?\u1082?\u1072?, 24 \u1089?\u1077?\u1087?\u1090?\u1077?\u1084?\u1074?\u1088?\u1080?\u8212?5 \u1086?\u1082?\u1090?\u1086?\u1084?\u1074?\u1088?\u1080? 2016 \u1075?."/>
    <w:docVar w:name="LW_PART_NBR" w:val="1"/>
    <w:docVar w:name="LW_PART_NBR_TOTAL" w:val="1"/>
    <w:docVar w:name="LW_REF.INST.NEW" w:val="COM"/>
    <w:docVar w:name="LW_REF.INST.NEW_ADOPTED" w:val="final"/>
    <w:docVar w:name="LW_REF.INST.NEW_TEXT" w:val="(2016) 437"/>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bg-BG" w:eastAsia="bg-BG"/>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bg-BG" w:eastAsia="bg-BG"/>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bg-BG"/>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bg-BG"/>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link w:val="Heading5Char"/>
    <w:uiPriority w:val="9"/>
    <w:qFormat/>
    <w:pPr>
      <w:spacing w:before="240"/>
      <w:jc w:val="left"/>
      <w:outlineLvl w:val="4"/>
    </w:pPr>
    <w:rPr>
      <w:rFonts w:eastAsia="Times New Roman"/>
      <w:b/>
      <w:bCs/>
      <w:sz w:val="20"/>
      <w:szCs w:val="20"/>
    </w:rPr>
  </w:style>
  <w:style w:type="paragraph" w:styleId="Heading6">
    <w:name w:val="heading 6"/>
    <w:basedOn w:val="Normal"/>
    <w:link w:val="Heading6Char"/>
    <w:uiPriority w:val="9"/>
    <w:qFormat/>
    <w:pPr>
      <w:spacing w:before="240"/>
      <w:jc w:val="left"/>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val="bg-BG" w:eastAsia="bg-BG"/>
    </w:rPr>
  </w:style>
  <w:style w:type="character" w:customStyle="1" w:styleId="Heading6Char">
    <w:name w:val="Heading 6 Char"/>
    <w:basedOn w:val="DefaultParagraphFont"/>
    <w:link w:val="Heading6"/>
    <w:uiPriority w:val="9"/>
    <w:rPr>
      <w:rFonts w:ascii="Times New Roman" w:eastAsia="Times New Roman" w:hAnsi="Times New Roman" w:cs="Times New Roman"/>
      <w:b/>
      <w:bCs/>
      <w:sz w:val="15"/>
      <w:szCs w:val="15"/>
      <w:lang w:val="bg-BG" w:eastAsia="bg-BG"/>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18"/>
      <w:szCs w:val="18"/>
      <w:shd w:val="clear" w:color="auto" w:fill="F2F2F2"/>
      <w:lang w:eastAsia="bg-BG"/>
    </w:rPr>
  </w:style>
  <w:style w:type="paragraph" w:styleId="HTMLPreformatted">
    <w:name w:val="HTML Preformatted"/>
    <w:basedOn w:val="Normal"/>
    <w:link w:val="HTMLPreformattedChar"/>
    <w:uiPriority w:val="99"/>
    <w:semiHidden/>
    <w:unhideWhenUsed/>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jc w:val="left"/>
    </w:pPr>
    <w:rPr>
      <w:rFonts w:ascii="Consolas" w:eastAsia="Times New Roman" w:hAnsi="Consolas" w:cs="Consolas"/>
      <w:sz w:val="18"/>
      <w:szCs w:val="18"/>
    </w:rPr>
  </w:style>
  <w:style w:type="character" w:customStyle="1" w:styleId="HTMLPreformattedChar1">
    <w:name w:val="HTML Preformatted Char1"/>
    <w:basedOn w:val="DefaultParagraphFont"/>
    <w:uiPriority w:val="99"/>
    <w:semiHidden/>
    <w:rPr>
      <w:rFonts w:ascii="Consolas" w:hAnsi="Consolas" w:cs="Consolas"/>
      <w:sz w:val="20"/>
      <w:szCs w:val="20"/>
      <w:lang w:val="bg-BG"/>
    </w:rPr>
  </w:style>
  <w:style w:type="paragraph" w:customStyle="1" w:styleId="Annexetitreacte">
    <w:name w:val="Annexe titre (acte)"/>
    <w:basedOn w:val="Normal"/>
    <w:next w:val="Normal"/>
    <w:pPr>
      <w:jc w:val="center"/>
    </w:pPr>
    <w:rPr>
      <w:rFonts w:eastAsia="Times New Roman"/>
      <w:b/>
      <w:szCs w:val="24"/>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25</Pages>
  <Words>5990</Words>
  <Characters>33846</Characters>
  <Application>Microsoft Office Word</Application>
  <DocSecurity>0</DocSecurity>
  <Lines>2603</Lines>
  <Paragraphs>1048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OHM Doerthe (ENV)</dc:creator>
  <cp:lastModifiedBy>DIGIT/A3</cp:lastModifiedBy>
  <cp:revision>7</cp:revision>
  <cp:lastPrinted>2016-07-19T12:46:00Z</cp:lastPrinted>
  <dcterms:created xsi:type="dcterms:W3CDTF">2016-07-20T07:47:00Z</dcterms:created>
  <dcterms:modified xsi:type="dcterms:W3CDTF">2016-07-25T08:47:00Z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2</vt:lpwstr>
  </property>
  <property fmtid="{D5CDD505-2E9C-101B-9397-08002B2CF9AE}" pid="8" name="Last annex">
    <vt:lpwstr>2</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