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2CF25A2145F4768811135953988D04F" style="width:450.75pt;height:379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t xml:space="preserve">Annex </w:t>
      </w:r>
    </w:p>
    <w:p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List of Commission documents on which the Commission received reasoned opinions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regarding compliance with the subsidiarity principle from national Parliaments in 2015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694"/>
        <w:gridCol w:w="1417"/>
        <w:gridCol w:w="1276"/>
        <w:gridCol w:w="2410"/>
      </w:tblGrid>
      <w:tr>
        <w:trPr>
          <w:cantSplit/>
          <w:trHeight w:val="1636"/>
        </w:trPr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Commission document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Title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Number of reasoned opinions (Protocol No 2)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Number of votes (Protocol No 2)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National chamber submitting reasoned opinions</w:t>
            </w:r>
          </w:p>
        </w:tc>
      </w:tr>
      <w:tr>
        <w:trPr>
          <w:cantSplit/>
          <w:trHeight w:val="3531"/>
        </w:trPr>
        <w:tc>
          <w:tcPr>
            <w:tcW w:w="284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COM(2015) 450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Proposal for a Regulation on establishing a crisis relocation mechanism and amending Regulation (EU) No 604/2013 establishing the criteria and mechanisms for determining the Member State responsible for examining an application for international protection lodged in one of the Member States by a third country national or a stateless person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7 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CZ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Senát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(1 vote)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CZ 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>Poslanecká sněmovna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(1 vote)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HU 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 xml:space="preserve">Országgyűlés </w:t>
            </w:r>
            <w:r>
              <w:rPr>
                <w:rFonts w:ascii="Times New Roman" w:eastAsia="Times New Roman" w:hAnsi="Times New Roman" w:cs="Times New Roman"/>
                <w:noProof/>
              </w:rPr>
              <w:t>(2 votes)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RO 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 xml:space="preserve">Camera Deputaților </w:t>
            </w:r>
            <w:r>
              <w:rPr>
                <w:rFonts w:ascii="Times New Roman" w:eastAsia="Times New Roman" w:hAnsi="Times New Roman" w:cs="Times New Roman"/>
                <w:noProof/>
              </w:rPr>
              <w:t>(1 vote)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>Národná Rada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(2 votes)</w:t>
            </w:r>
          </w:p>
        </w:tc>
      </w:tr>
      <w:tr>
        <w:trPr>
          <w:cantSplit/>
          <w:trHeight w:val="1967"/>
        </w:trPr>
        <w:tc>
          <w:tcPr>
            <w:tcW w:w="284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COM(2015) 177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Proposal for a Regulation amending Regulation (EC) No 1829/2003 as regards the possibility for the Member States to restrict or prohibit the use of genetically modified food and feed on their territory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vertAlign w:val="superscript"/>
              </w:rPr>
              <w:footnoteReference w:id="3"/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s-ES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es-ES"/>
              </w:rPr>
              <w:t>Congreso de los Diputados / Senado</w:t>
            </w:r>
            <w:r>
              <w:rPr>
                <w:rFonts w:ascii="Times New Roman" w:eastAsia="Times New Roman" w:hAnsi="Times New Roman" w:cs="Times New Roman"/>
                <w:noProof/>
                <w:lang w:val="es-ES"/>
              </w:rPr>
              <w:t xml:space="preserve"> 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(both chambers - 2 votes)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NL 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 xml:space="preserve">Tweede Kamer 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(1 vote)</w:t>
            </w:r>
          </w:p>
        </w:tc>
      </w:tr>
      <w:tr>
        <w:trPr>
          <w:cantSplit/>
          <w:trHeight w:val="1838"/>
        </w:trPr>
        <w:tc>
          <w:tcPr>
            <w:tcW w:w="284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COM(2015) 135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Proposal for Council Directive amending Directive 2011/16/EU as regards mandatory automatic exchange of information in the field of taxation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 xml:space="preserve">Riksdag </w:t>
            </w:r>
            <w:r>
              <w:rPr>
                <w:rFonts w:ascii="Times New Roman" w:eastAsia="Times New Roman" w:hAnsi="Times New Roman" w:cs="Times New Roman"/>
                <w:noProof/>
              </w:rPr>
              <w:t>(2 votes)</w:t>
            </w:r>
          </w:p>
        </w:tc>
      </w:tr>
      <w:tr>
        <w:trPr>
          <w:trHeight w:val="416"/>
        </w:trPr>
        <w:tc>
          <w:tcPr>
            <w:tcW w:w="4679" w:type="dxa"/>
            <w:gridSpan w:val="3"/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TOTAL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</w:p>
        </w:tc>
      </w:tr>
    </w:tbl>
    <w:p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3" w:bottom="1135" w:left="1417" w:header="708" w:footer="44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72063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theme="majorBidi"/>
          </w:rPr>
          <w:fldChar w:fldCharType="begin"/>
        </w:r>
        <w:r>
          <w:rPr>
            <w:rFonts w:asciiTheme="majorBidi" w:hAnsiTheme="majorBidi" w:cstheme="majorBidi"/>
          </w:rPr>
          <w:instrText xml:space="preserve"> PAGE   \* MERGEFORMAT </w:instrText>
        </w:r>
        <w:r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2</w:t>
        </w:r>
        <w:r>
          <w:rPr>
            <w:rFonts w:asciiTheme="majorBidi" w:hAnsiTheme="majorBidi" w:cstheme="majorBidi"/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jc w:val="both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>To qualify as a reasoned opinion as defined in Protocol No 2, an opinion must state why the national Parliament considers that a legislative proposal does not comply with the principle of subsidiarity and be sent to the Commission within eight weeks of the transmission of the legislative proposal to national Parliaments.</w:t>
      </w:r>
    </w:p>
  </w:footnote>
  <w:footnote w:id="2">
    <w:p>
      <w:pPr>
        <w:pStyle w:val="FootnoteText"/>
        <w:ind w:left="284" w:hanging="284"/>
        <w:jc w:val="both"/>
        <w:rPr>
          <w:rFonts w:asciiTheme="majorBidi" w:hAnsiTheme="majorBidi" w:cstheme="majorBidi"/>
          <w:b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>Under Protocol No 2, each national Parliament has two votes; in the case of a bicameral system, each chamber has one vote. Where reasoned opinions represent at least a third (for proposals under Article 76 TFEU a quarter) of all votes allocated to the national Parliaments, the yellow card threshold is reached and the draft legislative act must be reviewed. 19 out of 56 votes represent a third of all votes allocated.</w:t>
      </w:r>
    </w:p>
  </w:footnote>
  <w:footnote w:id="3">
    <w:p>
      <w:pPr>
        <w:pStyle w:val="FootnoteText"/>
        <w:ind w:left="284" w:hanging="284"/>
        <w:jc w:val="both"/>
        <w:rPr>
          <w:rFonts w:asciiTheme="majorBidi" w:hAnsiTheme="majorBidi" w:cstheme="majorBidi"/>
          <w:b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 xml:space="preserve">Of which one came jointly from the two chambers of the Spanish </w:t>
      </w:r>
      <w:r>
        <w:rPr>
          <w:rFonts w:asciiTheme="majorBidi" w:hAnsiTheme="majorBidi" w:cstheme="majorBidi"/>
          <w:i/>
        </w:rPr>
        <w:t xml:space="preserve">Congreso de los Diputados </w:t>
      </w:r>
      <w:r>
        <w:rPr>
          <w:rFonts w:asciiTheme="majorBidi" w:hAnsiTheme="majorBidi" w:cstheme="majorBidi"/>
        </w:rPr>
        <w:t xml:space="preserve">and the </w:t>
      </w:r>
      <w:r>
        <w:rPr>
          <w:rFonts w:asciiTheme="majorBidi" w:hAnsiTheme="majorBidi" w:cstheme="majorBidi"/>
          <w:i/>
        </w:rPr>
        <w:t>Senado.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B95"/>
    <w:multiLevelType w:val="hybridMultilevel"/>
    <w:tmpl w:val="51B2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7B60"/>
    <w:multiLevelType w:val="hybridMultilevel"/>
    <w:tmpl w:val="DB04C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9D374B"/>
    <w:multiLevelType w:val="hybridMultilevel"/>
    <w:tmpl w:val="D38A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03FD8"/>
    <w:multiLevelType w:val="hybridMultilevel"/>
    <w:tmpl w:val="2308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6A6227C"/>
    <w:multiLevelType w:val="hybridMultilevel"/>
    <w:tmpl w:val="470CF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972EA2"/>
    <w:multiLevelType w:val="hybridMultilevel"/>
    <w:tmpl w:val="D0806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2CF25A2145F4768811135953988D04F"/>
    <w:docVar w:name="LW_CROSSREFERENCE" w:val="&lt;UNUSED&gt;"/>
    <w:docVar w:name="LW_DocType" w:val="NORMAL"/>
    <w:docVar w:name="LW_EMISSION" w:val="15.7.2016"/>
    <w:docVar w:name="LW_EMISSION_ISODATE" w:val="2016-07-15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nnual Report 2015_x000b_on subsidiarity and proportionality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9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2276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3736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5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5793-DD92-4145-ABA7-8C90D73B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1131</Characters>
  <Application>Microsoft Office Word</Application>
  <DocSecurity>0</DocSecurity>
  <Lines>87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 Thomas (SG)</dc:creator>
  <cp:lastModifiedBy>DIGIT/A3</cp:lastModifiedBy>
  <cp:revision>13</cp:revision>
  <cp:lastPrinted>2016-05-27T10:28:00Z</cp:lastPrinted>
  <dcterms:created xsi:type="dcterms:W3CDTF">2016-05-27T09:58:00Z</dcterms:created>
  <dcterms:modified xsi:type="dcterms:W3CDTF">2016-07-12T13:30:00Z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