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CC" w:rsidRDefault="00A43B48">
      <w:pPr>
        <w:pStyle w:val="Pagedecouverture"/>
        <w:rPr>
          <w:noProof/>
          <w:lang w:val="fr-FR"/>
        </w:rPr>
      </w:pPr>
      <w:bookmarkStart w:id="0" w:name="LW_BM_COVERPAGE"/>
      <w:bookmarkStart w:id="1" w:name="_GoBack"/>
      <w:bookmarkEnd w:id="1"/>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68184F3F435423EBFC8424BD3996E37" style="width:450.45pt;height:379.3pt">
            <v:imagedata r:id="rId9" o:title=""/>
          </v:shape>
        </w:pict>
      </w:r>
    </w:p>
    <w:bookmarkEnd w:id="0"/>
    <w:p w:rsidR="00E62DCC" w:rsidRDefault="00E62DCC">
      <w:pPr>
        <w:rPr>
          <w:noProof/>
          <w:lang w:val="fr-FR"/>
        </w:rPr>
        <w:sectPr w:rsidR="00E62DC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E62DCC" w:rsidRDefault="0086542B">
      <w:pPr>
        <w:spacing w:after="240" w:line="240" w:lineRule="auto"/>
        <w:jc w:val="center"/>
        <w:rPr>
          <w:rFonts w:ascii="Times New Roman" w:eastAsia="Times New Roman" w:hAnsi="Times New Roman" w:cs="Times New Roman"/>
          <w:b/>
          <w:noProof/>
          <w:sz w:val="24"/>
          <w:szCs w:val="24"/>
          <w:u w:val="single"/>
          <w:lang w:val="fr-FR"/>
        </w:rPr>
      </w:pPr>
      <w:r>
        <w:rPr>
          <w:rFonts w:ascii="Times New Roman" w:eastAsia="Times New Roman" w:hAnsi="Times New Roman" w:cs="Times New Roman"/>
          <w:b/>
          <w:noProof/>
          <w:sz w:val="24"/>
          <w:szCs w:val="24"/>
          <w:u w:val="single"/>
          <w:lang w:val="fr-FR"/>
        </w:rPr>
        <w:lastRenderedPageBreak/>
        <w:t xml:space="preserve">Annexe </w:t>
      </w:r>
    </w:p>
    <w:p w:rsidR="00E62DCC" w:rsidRDefault="0086542B">
      <w:pPr>
        <w:autoSpaceDE w:val="0"/>
        <w:autoSpaceDN w:val="0"/>
        <w:adjustRightInd w:val="0"/>
        <w:spacing w:after="240" w:line="240" w:lineRule="auto"/>
        <w:jc w:val="center"/>
        <w:rPr>
          <w:rFonts w:ascii="Times New Roman" w:eastAsia="Times New Roman" w:hAnsi="Times New Roman" w:cs="Times New Roman"/>
          <w:b/>
          <w:noProof/>
          <w:sz w:val="24"/>
          <w:szCs w:val="24"/>
          <w:lang w:val="fr-FR"/>
        </w:rPr>
      </w:pPr>
      <w:r>
        <w:rPr>
          <w:rFonts w:ascii="Times New Roman" w:eastAsia="Times New Roman" w:hAnsi="Times New Roman" w:cs="Times New Roman"/>
          <w:b/>
          <w:noProof/>
          <w:sz w:val="24"/>
          <w:szCs w:val="24"/>
          <w:lang w:val="fr-FR"/>
        </w:rPr>
        <w:t>Liste des documents de la Commission au sujet desquels la Commission a reçu des avis motivés</w:t>
      </w:r>
      <w:r>
        <w:rPr>
          <w:rFonts w:ascii="Times New Roman" w:eastAsia="Times New Roman" w:hAnsi="Times New Roman" w:cs="Times New Roman"/>
          <w:b/>
          <w:noProof/>
          <w:sz w:val="24"/>
          <w:szCs w:val="24"/>
          <w:vertAlign w:val="superscript"/>
          <w:lang w:val="fr-FR"/>
        </w:rPr>
        <w:footnoteReference w:id="1"/>
      </w:r>
      <w:r>
        <w:rPr>
          <w:rFonts w:ascii="Times New Roman" w:eastAsia="Times New Roman" w:hAnsi="Times New Roman" w:cs="Times New Roman"/>
          <w:b/>
          <w:noProof/>
          <w:sz w:val="24"/>
          <w:szCs w:val="24"/>
          <w:lang w:val="fr-FR"/>
        </w:rPr>
        <w:t xml:space="preserve"> de la part des parlements nationaux en 2015 en ce qui concerne le respect du principe de subsidiarité</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701"/>
        <w:gridCol w:w="2694"/>
        <w:gridCol w:w="1417"/>
        <w:gridCol w:w="1276"/>
        <w:gridCol w:w="2410"/>
      </w:tblGrid>
      <w:tr w:rsidR="00E62DCC" w:rsidRPr="00A43B48">
        <w:trPr>
          <w:cantSplit/>
          <w:trHeight w:val="1636"/>
        </w:trPr>
        <w:tc>
          <w:tcPr>
            <w:tcW w:w="284" w:type="dxa"/>
            <w:tcBorders>
              <w:top w:val="nil"/>
              <w:left w:val="nil"/>
            </w:tcBorders>
            <w:shd w:val="clear" w:color="auto" w:fill="auto"/>
            <w:vAlign w:val="center"/>
          </w:tcPr>
          <w:p w:rsidR="00E62DCC" w:rsidRDefault="00E62DCC">
            <w:pPr>
              <w:spacing w:after="0" w:line="240" w:lineRule="auto"/>
              <w:jc w:val="center"/>
              <w:rPr>
                <w:rFonts w:ascii="Times New Roman" w:eastAsia="Times New Roman" w:hAnsi="Times New Roman" w:cs="Times New Roman"/>
                <w:noProof/>
                <w:lang w:val="fr-FR"/>
              </w:rPr>
            </w:pPr>
          </w:p>
        </w:tc>
        <w:tc>
          <w:tcPr>
            <w:tcW w:w="1701" w:type="dxa"/>
            <w:shd w:val="clear" w:color="auto" w:fill="auto"/>
            <w:vAlign w:val="center"/>
          </w:tcPr>
          <w:p w:rsidR="00E62DCC" w:rsidRDefault="0086542B">
            <w:pPr>
              <w:spacing w:after="0" w:line="240" w:lineRule="auto"/>
              <w:jc w:val="center"/>
              <w:rPr>
                <w:rFonts w:ascii="Times New Roman" w:eastAsia="Times New Roman" w:hAnsi="Times New Roman" w:cs="Times New Roman"/>
                <w:b/>
                <w:noProof/>
                <w:lang w:val="fr-FR"/>
              </w:rPr>
            </w:pPr>
            <w:r>
              <w:rPr>
                <w:rFonts w:ascii="Times New Roman" w:eastAsia="Times New Roman" w:hAnsi="Times New Roman" w:cs="Times New Roman"/>
                <w:b/>
                <w:noProof/>
                <w:lang w:val="fr-FR"/>
              </w:rPr>
              <w:t>Document de la Commission</w:t>
            </w:r>
          </w:p>
        </w:tc>
        <w:tc>
          <w:tcPr>
            <w:tcW w:w="2694" w:type="dxa"/>
            <w:shd w:val="clear" w:color="auto" w:fill="auto"/>
            <w:vAlign w:val="center"/>
          </w:tcPr>
          <w:p w:rsidR="00E62DCC" w:rsidRDefault="0086542B">
            <w:pPr>
              <w:spacing w:after="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b/>
                <w:noProof/>
                <w:lang w:val="fr-FR"/>
              </w:rPr>
              <w:t>Intitulé</w:t>
            </w:r>
          </w:p>
        </w:tc>
        <w:tc>
          <w:tcPr>
            <w:tcW w:w="1417" w:type="dxa"/>
            <w:shd w:val="clear" w:color="auto" w:fill="auto"/>
            <w:vAlign w:val="center"/>
          </w:tcPr>
          <w:p w:rsidR="00E62DCC" w:rsidRDefault="0086542B">
            <w:pPr>
              <w:spacing w:after="0" w:line="240" w:lineRule="auto"/>
              <w:jc w:val="center"/>
              <w:rPr>
                <w:rFonts w:ascii="Times New Roman" w:eastAsia="Times New Roman" w:hAnsi="Times New Roman" w:cs="Times New Roman"/>
                <w:b/>
                <w:noProof/>
                <w:lang w:val="fr-FR"/>
              </w:rPr>
            </w:pPr>
            <w:r>
              <w:rPr>
                <w:rFonts w:ascii="Times New Roman" w:eastAsia="Times New Roman" w:hAnsi="Times New Roman" w:cs="Times New Roman"/>
                <w:b/>
                <w:noProof/>
                <w:lang w:val="fr-FR"/>
              </w:rPr>
              <w:t>Nombre d’avis motivés (protocole nº 2)</w:t>
            </w:r>
          </w:p>
        </w:tc>
        <w:tc>
          <w:tcPr>
            <w:tcW w:w="1276" w:type="dxa"/>
            <w:shd w:val="clear" w:color="auto" w:fill="auto"/>
            <w:vAlign w:val="center"/>
          </w:tcPr>
          <w:p w:rsidR="00E62DCC" w:rsidRDefault="0086542B">
            <w:pPr>
              <w:spacing w:after="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b/>
                <w:noProof/>
                <w:lang w:val="fr-FR"/>
              </w:rPr>
              <w:t>Nombre de voix (protocole nº 2)</w:t>
            </w:r>
            <w:r>
              <w:rPr>
                <w:rFonts w:ascii="Times New Roman" w:eastAsia="Times New Roman" w:hAnsi="Times New Roman" w:cs="Times New Roman"/>
                <w:noProof/>
                <w:vertAlign w:val="superscript"/>
                <w:lang w:val="fr-FR"/>
              </w:rPr>
              <w:footnoteReference w:id="2"/>
            </w:r>
          </w:p>
        </w:tc>
        <w:tc>
          <w:tcPr>
            <w:tcW w:w="2410" w:type="dxa"/>
            <w:shd w:val="clear" w:color="auto" w:fill="auto"/>
            <w:vAlign w:val="center"/>
          </w:tcPr>
          <w:p w:rsidR="00E62DCC" w:rsidRDefault="0086542B">
            <w:pPr>
              <w:spacing w:after="0" w:line="240" w:lineRule="auto"/>
              <w:jc w:val="center"/>
              <w:rPr>
                <w:rFonts w:ascii="Times New Roman" w:eastAsia="Times New Roman" w:hAnsi="Times New Roman" w:cs="Times New Roman"/>
                <w:b/>
                <w:noProof/>
                <w:lang w:val="fr-FR"/>
              </w:rPr>
            </w:pPr>
            <w:r>
              <w:rPr>
                <w:rFonts w:ascii="Times New Roman" w:eastAsia="Times New Roman" w:hAnsi="Times New Roman" w:cs="Times New Roman"/>
                <w:b/>
                <w:noProof/>
                <w:lang w:val="fr-FR"/>
              </w:rPr>
              <w:t>Chambre(s) nationale(s) ayant émis un avis motivé</w:t>
            </w:r>
          </w:p>
        </w:tc>
      </w:tr>
      <w:tr w:rsidR="00E62DCC">
        <w:trPr>
          <w:cantSplit/>
          <w:trHeight w:val="3531"/>
        </w:trPr>
        <w:tc>
          <w:tcPr>
            <w:tcW w:w="284" w:type="dxa"/>
            <w:shd w:val="clear" w:color="auto" w:fill="auto"/>
          </w:tcPr>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noProof/>
                <w:lang w:val="fr-FR"/>
              </w:rPr>
              <w:t>1</w:t>
            </w:r>
          </w:p>
        </w:tc>
        <w:tc>
          <w:tcPr>
            <w:tcW w:w="1701" w:type="dxa"/>
            <w:shd w:val="clear" w:color="auto" w:fill="auto"/>
          </w:tcPr>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noProof/>
                <w:lang w:val="fr-FR"/>
              </w:rPr>
              <w:t>COM(2015) 450</w:t>
            </w:r>
          </w:p>
        </w:tc>
        <w:tc>
          <w:tcPr>
            <w:tcW w:w="2694" w:type="dxa"/>
            <w:shd w:val="clear" w:color="auto" w:fill="auto"/>
          </w:tcPr>
          <w:p w:rsidR="00E62DCC" w:rsidRDefault="0086542B">
            <w:pPr>
              <w:spacing w:after="240" w:line="240" w:lineRule="auto"/>
              <w:rPr>
                <w:rFonts w:ascii="Times New Roman" w:eastAsia="Times New Roman" w:hAnsi="Times New Roman" w:cs="Times New Roman"/>
                <w:noProof/>
                <w:color w:val="000000"/>
                <w:lang w:val="fr-FR"/>
              </w:rPr>
            </w:pPr>
            <w:r>
              <w:rPr>
                <w:rFonts w:ascii="Times New Roman" w:eastAsia="Times New Roman" w:hAnsi="Times New Roman" w:cs="Times New Roman"/>
                <w:noProof/>
                <w:color w:val="000000"/>
                <w:lang w:val="fr-FR"/>
              </w:rPr>
              <w:t>Proposition de règlement du Parlement européen et du Conseil établissant un mécanisme de relocalisation en cas de crise et modifiant le règlement (UE) nº 604/2013 du Parlement et du Conseil du 26 juin 2013 établissant les critères et mécanismes de détermination de l’État membre responsable de l’examen d’une demande de protection internationale introduite dans l’un des États membres par un ressortissant de pays tiers ou un apatride</w:t>
            </w:r>
          </w:p>
        </w:tc>
        <w:tc>
          <w:tcPr>
            <w:tcW w:w="1417" w:type="dxa"/>
            <w:shd w:val="clear" w:color="auto" w:fill="auto"/>
          </w:tcPr>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noProof/>
                <w:lang w:val="fr-FR"/>
              </w:rPr>
              <w:t>5</w:t>
            </w:r>
          </w:p>
        </w:tc>
        <w:tc>
          <w:tcPr>
            <w:tcW w:w="1276" w:type="dxa"/>
            <w:shd w:val="clear" w:color="auto" w:fill="auto"/>
          </w:tcPr>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noProof/>
                <w:lang w:val="fr-FR"/>
              </w:rPr>
              <w:t xml:space="preserve">7 </w:t>
            </w:r>
          </w:p>
        </w:tc>
        <w:tc>
          <w:tcPr>
            <w:tcW w:w="2410" w:type="dxa"/>
            <w:shd w:val="clear" w:color="auto" w:fill="auto"/>
          </w:tcPr>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i/>
                <w:noProof/>
                <w:lang w:val="fr-FR"/>
              </w:rPr>
              <w:t xml:space="preserve">Senát tchèque </w:t>
            </w:r>
            <w:r>
              <w:rPr>
                <w:rFonts w:ascii="Times New Roman" w:eastAsia="Times New Roman" w:hAnsi="Times New Roman" w:cs="Times New Roman"/>
                <w:noProof/>
                <w:lang w:val="fr-FR"/>
              </w:rPr>
              <w:t>(1 voix)</w:t>
            </w:r>
          </w:p>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noProof/>
                <w:lang w:val="fr-FR"/>
              </w:rPr>
              <w:t xml:space="preserve"> </w:t>
            </w:r>
            <w:r>
              <w:rPr>
                <w:rFonts w:ascii="Times New Roman" w:eastAsia="Times New Roman" w:hAnsi="Times New Roman" w:cs="Times New Roman"/>
                <w:i/>
                <w:noProof/>
                <w:lang w:val="fr-FR"/>
              </w:rPr>
              <w:t>Poslanecká sněmovna</w:t>
            </w:r>
            <w:r>
              <w:rPr>
                <w:rFonts w:ascii="Times New Roman" w:eastAsia="Times New Roman" w:hAnsi="Times New Roman" w:cs="Times New Roman"/>
                <w:noProof/>
                <w:lang w:val="fr-FR"/>
              </w:rPr>
              <w:t xml:space="preserve"> tchèque (1 voix)</w:t>
            </w:r>
          </w:p>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i/>
                <w:noProof/>
                <w:lang w:val="fr-FR"/>
              </w:rPr>
              <w:t xml:space="preserve">Országgyűlés hongrois </w:t>
            </w:r>
            <w:r>
              <w:rPr>
                <w:rFonts w:ascii="Times New Roman" w:eastAsia="Times New Roman" w:hAnsi="Times New Roman" w:cs="Times New Roman"/>
                <w:noProof/>
                <w:lang w:val="fr-FR"/>
              </w:rPr>
              <w:t>(2 voix)</w:t>
            </w:r>
          </w:p>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i/>
                <w:noProof/>
                <w:lang w:val="fr-FR"/>
              </w:rPr>
              <w:t xml:space="preserve">Camera Deputaților roumaine </w:t>
            </w:r>
            <w:r>
              <w:rPr>
                <w:rFonts w:ascii="Times New Roman" w:eastAsia="Times New Roman" w:hAnsi="Times New Roman" w:cs="Times New Roman"/>
                <w:noProof/>
                <w:lang w:val="fr-FR"/>
              </w:rPr>
              <w:t>(1 voix)</w:t>
            </w:r>
          </w:p>
          <w:p w:rsidR="00E62DCC" w:rsidRDefault="0086542B">
            <w:pPr>
              <w:spacing w:after="0" w:line="240" w:lineRule="auto"/>
              <w:jc w:val="center"/>
              <w:rPr>
                <w:rFonts w:ascii="Times New Roman" w:eastAsia="Times New Roman" w:hAnsi="Times New Roman" w:cs="Times New Roman"/>
                <w:i/>
                <w:noProof/>
                <w:lang w:val="fr-FR"/>
              </w:rPr>
            </w:pPr>
            <w:r>
              <w:rPr>
                <w:rFonts w:ascii="Times New Roman" w:eastAsia="Times New Roman" w:hAnsi="Times New Roman" w:cs="Times New Roman"/>
                <w:i/>
                <w:noProof/>
                <w:lang w:val="fr-FR"/>
              </w:rPr>
              <w:t>Národná Rada slovaque</w:t>
            </w:r>
          </w:p>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noProof/>
                <w:lang w:val="fr-FR"/>
              </w:rPr>
              <w:t xml:space="preserve"> (2 voix)</w:t>
            </w:r>
          </w:p>
        </w:tc>
      </w:tr>
      <w:tr w:rsidR="00E62DCC">
        <w:trPr>
          <w:cantSplit/>
          <w:trHeight w:val="1967"/>
        </w:trPr>
        <w:tc>
          <w:tcPr>
            <w:tcW w:w="284" w:type="dxa"/>
            <w:shd w:val="clear" w:color="auto" w:fill="auto"/>
          </w:tcPr>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noProof/>
                <w:lang w:val="fr-FR"/>
              </w:rPr>
              <w:t>2</w:t>
            </w:r>
          </w:p>
        </w:tc>
        <w:tc>
          <w:tcPr>
            <w:tcW w:w="1701" w:type="dxa"/>
            <w:shd w:val="clear" w:color="auto" w:fill="auto"/>
          </w:tcPr>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noProof/>
                <w:lang w:val="fr-FR"/>
              </w:rPr>
              <w:t>COM(2015) 177</w:t>
            </w:r>
          </w:p>
        </w:tc>
        <w:tc>
          <w:tcPr>
            <w:tcW w:w="2694" w:type="dxa"/>
            <w:shd w:val="clear" w:color="auto" w:fill="auto"/>
          </w:tcPr>
          <w:p w:rsidR="00E62DCC" w:rsidRDefault="0086542B">
            <w:pPr>
              <w:spacing w:after="240" w:line="240" w:lineRule="auto"/>
              <w:rPr>
                <w:rFonts w:ascii="Times New Roman" w:eastAsia="Times New Roman" w:hAnsi="Times New Roman" w:cs="Times New Roman"/>
                <w:noProof/>
                <w:color w:val="000000"/>
                <w:lang w:val="fr-FR"/>
              </w:rPr>
            </w:pPr>
            <w:r>
              <w:rPr>
                <w:rFonts w:ascii="Times New Roman" w:eastAsia="Times New Roman" w:hAnsi="Times New Roman" w:cs="Times New Roman"/>
                <w:noProof/>
                <w:color w:val="000000"/>
                <w:lang w:val="fr-FR"/>
              </w:rPr>
              <w:t>Proposition de règlement du Parlement européen et du Conseil modifiant le règlement (CE) nº 1829/2003 en ce qui concerne la possibilité pour les États membres de restreindre ou d’interdire sur leur territoire l’utilisation de denrées alimentaires et d’aliments pour animaux génétiquement modifiés </w:t>
            </w:r>
          </w:p>
        </w:tc>
        <w:tc>
          <w:tcPr>
            <w:tcW w:w="1417" w:type="dxa"/>
            <w:shd w:val="clear" w:color="auto" w:fill="auto"/>
          </w:tcPr>
          <w:p w:rsidR="00E62DCC" w:rsidRDefault="0086542B">
            <w:pPr>
              <w:spacing w:after="240" w:line="240" w:lineRule="auto"/>
              <w:jc w:val="center"/>
              <w:rPr>
                <w:rFonts w:ascii="Times New Roman" w:eastAsia="Times New Roman" w:hAnsi="Times New Roman" w:cs="Times New Roman"/>
                <w:noProof/>
                <w:color w:val="000000"/>
                <w:lang w:val="fr-FR"/>
              </w:rPr>
            </w:pPr>
            <w:r>
              <w:rPr>
                <w:rFonts w:ascii="Times New Roman" w:eastAsia="Times New Roman" w:hAnsi="Times New Roman" w:cs="Times New Roman"/>
                <w:noProof/>
                <w:color w:val="000000"/>
                <w:lang w:val="fr-FR"/>
              </w:rPr>
              <w:t>2</w:t>
            </w:r>
            <w:r>
              <w:rPr>
                <w:rFonts w:ascii="Times New Roman" w:eastAsia="Times New Roman" w:hAnsi="Times New Roman" w:cs="Times New Roman"/>
                <w:noProof/>
                <w:color w:val="000000"/>
                <w:vertAlign w:val="superscript"/>
                <w:lang w:val="fr-FR"/>
              </w:rPr>
              <w:footnoteReference w:id="3"/>
            </w:r>
          </w:p>
        </w:tc>
        <w:tc>
          <w:tcPr>
            <w:tcW w:w="1276" w:type="dxa"/>
            <w:shd w:val="clear" w:color="auto" w:fill="auto"/>
          </w:tcPr>
          <w:p w:rsidR="00E62DCC" w:rsidRDefault="0086542B">
            <w:pPr>
              <w:spacing w:after="240" w:line="240" w:lineRule="auto"/>
              <w:jc w:val="center"/>
              <w:rPr>
                <w:rFonts w:ascii="Times New Roman" w:eastAsia="Times New Roman" w:hAnsi="Times New Roman" w:cs="Times New Roman"/>
                <w:noProof/>
                <w:color w:val="000000"/>
                <w:lang w:val="fr-FR"/>
              </w:rPr>
            </w:pPr>
            <w:r>
              <w:rPr>
                <w:rFonts w:ascii="Times New Roman" w:eastAsia="Times New Roman" w:hAnsi="Times New Roman" w:cs="Times New Roman"/>
                <w:noProof/>
                <w:color w:val="000000"/>
                <w:lang w:val="fr-FR"/>
              </w:rPr>
              <w:t>3</w:t>
            </w:r>
          </w:p>
        </w:tc>
        <w:tc>
          <w:tcPr>
            <w:tcW w:w="2410" w:type="dxa"/>
            <w:shd w:val="clear" w:color="auto" w:fill="auto"/>
          </w:tcPr>
          <w:p w:rsidR="00E62DCC" w:rsidRDefault="0086542B">
            <w:pPr>
              <w:spacing w:after="0" w:line="240" w:lineRule="auto"/>
              <w:jc w:val="center"/>
              <w:rPr>
                <w:rFonts w:ascii="Times New Roman" w:eastAsia="Times New Roman" w:hAnsi="Times New Roman" w:cs="Times New Roman"/>
                <w:noProof/>
                <w:lang w:val="es-ES"/>
              </w:rPr>
            </w:pPr>
            <w:r>
              <w:rPr>
                <w:rFonts w:ascii="Times New Roman" w:eastAsia="Times New Roman" w:hAnsi="Times New Roman" w:cs="Times New Roman"/>
                <w:noProof/>
                <w:lang w:val="es-ES"/>
              </w:rPr>
              <w:t xml:space="preserve"> </w:t>
            </w:r>
            <w:r>
              <w:rPr>
                <w:rFonts w:ascii="Times New Roman" w:eastAsia="Times New Roman" w:hAnsi="Times New Roman" w:cs="Times New Roman"/>
                <w:i/>
                <w:noProof/>
                <w:lang w:val="es-ES"/>
              </w:rPr>
              <w:t>Congreso de los Diputados / Senado espagnols</w:t>
            </w:r>
          </w:p>
          <w:p w:rsidR="00E62DCC" w:rsidRDefault="0086542B">
            <w:pPr>
              <w:spacing w:after="240" w:line="240" w:lineRule="auto"/>
              <w:jc w:val="center"/>
              <w:rPr>
                <w:rFonts w:ascii="Times New Roman" w:eastAsia="Times New Roman" w:hAnsi="Times New Roman" w:cs="Times New Roman"/>
                <w:noProof/>
                <w:lang w:val="fr-BE"/>
              </w:rPr>
            </w:pPr>
            <w:r>
              <w:rPr>
                <w:rFonts w:ascii="Times New Roman" w:eastAsia="Times New Roman" w:hAnsi="Times New Roman" w:cs="Times New Roman"/>
                <w:noProof/>
                <w:lang w:val="fr-BE"/>
              </w:rPr>
              <w:t>(les deux chambres - 2 voix)</w:t>
            </w:r>
          </w:p>
          <w:p w:rsidR="00E62DCC" w:rsidRDefault="0086542B">
            <w:pPr>
              <w:spacing w:after="0" w:line="240" w:lineRule="auto"/>
              <w:jc w:val="center"/>
              <w:rPr>
                <w:rFonts w:ascii="Times New Roman" w:eastAsia="Times New Roman" w:hAnsi="Times New Roman" w:cs="Times New Roman"/>
                <w:i/>
                <w:noProof/>
                <w:lang w:val="fr-BE"/>
              </w:rPr>
            </w:pPr>
            <w:r>
              <w:rPr>
                <w:rFonts w:ascii="Times New Roman" w:eastAsia="Times New Roman" w:hAnsi="Times New Roman" w:cs="Times New Roman"/>
                <w:i/>
                <w:noProof/>
                <w:lang w:val="fr-BE"/>
              </w:rPr>
              <w:t>Tweede Kamer néerlandaise</w:t>
            </w:r>
          </w:p>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noProof/>
                <w:lang w:val="fr-FR"/>
              </w:rPr>
              <w:t>(1 voix)</w:t>
            </w:r>
          </w:p>
        </w:tc>
      </w:tr>
      <w:tr w:rsidR="00E62DCC">
        <w:trPr>
          <w:cantSplit/>
          <w:trHeight w:val="1838"/>
        </w:trPr>
        <w:tc>
          <w:tcPr>
            <w:tcW w:w="284" w:type="dxa"/>
            <w:shd w:val="clear" w:color="auto" w:fill="auto"/>
          </w:tcPr>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noProof/>
                <w:lang w:val="fr-FR"/>
              </w:rPr>
              <w:lastRenderedPageBreak/>
              <w:t>3</w:t>
            </w:r>
          </w:p>
        </w:tc>
        <w:tc>
          <w:tcPr>
            <w:tcW w:w="1701" w:type="dxa"/>
            <w:shd w:val="clear" w:color="auto" w:fill="auto"/>
          </w:tcPr>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noProof/>
                <w:lang w:val="fr-FR"/>
              </w:rPr>
              <w:t>COM(2015) 135</w:t>
            </w:r>
          </w:p>
        </w:tc>
        <w:tc>
          <w:tcPr>
            <w:tcW w:w="2694" w:type="dxa"/>
            <w:shd w:val="clear" w:color="auto" w:fill="auto"/>
          </w:tcPr>
          <w:p w:rsidR="00E62DCC" w:rsidRDefault="0086542B">
            <w:pPr>
              <w:spacing w:after="240" w:line="240" w:lineRule="auto"/>
              <w:jc w:val="both"/>
              <w:rPr>
                <w:rFonts w:ascii="Times New Roman" w:hAnsi="Times New Roman" w:cstheme="majorBidi"/>
                <w:noProof/>
                <w:lang w:val="fr-FR"/>
              </w:rPr>
            </w:pPr>
            <w:r>
              <w:rPr>
                <w:rFonts w:ascii="Times New Roman" w:hAnsi="Times New Roman" w:cstheme="majorBidi"/>
                <w:noProof/>
                <w:lang w:val="fr-FR"/>
              </w:rPr>
              <w:t>Proposition de directive du Conseil modifiant la directive 2011/16/UE en ce qui concerne l’échange automatique et obligatoire d’informations dans le domaine fiscal</w:t>
            </w:r>
          </w:p>
          <w:p w:rsidR="00E62DCC" w:rsidRDefault="00E62DCC">
            <w:pPr>
              <w:spacing w:after="240" w:line="240" w:lineRule="auto"/>
              <w:rPr>
                <w:rFonts w:ascii="Times New Roman" w:eastAsia="Times New Roman" w:hAnsi="Times New Roman" w:cs="Times New Roman"/>
                <w:noProof/>
                <w:color w:val="000000"/>
                <w:lang w:val="fr-FR"/>
              </w:rPr>
            </w:pPr>
          </w:p>
        </w:tc>
        <w:tc>
          <w:tcPr>
            <w:tcW w:w="1417" w:type="dxa"/>
            <w:shd w:val="clear" w:color="auto" w:fill="auto"/>
          </w:tcPr>
          <w:p w:rsidR="00E62DCC" w:rsidRDefault="0086542B">
            <w:pPr>
              <w:spacing w:after="240" w:line="240" w:lineRule="auto"/>
              <w:jc w:val="center"/>
              <w:rPr>
                <w:rFonts w:ascii="Times New Roman" w:eastAsia="Times New Roman" w:hAnsi="Times New Roman" w:cs="Times New Roman"/>
                <w:noProof/>
                <w:color w:val="000000"/>
                <w:lang w:val="fr-FR"/>
              </w:rPr>
            </w:pPr>
            <w:r>
              <w:rPr>
                <w:rFonts w:ascii="Times New Roman" w:eastAsia="Times New Roman" w:hAnsi="Times New Roman" w:cs="Times New Roman"/>
                <w:noProof/>
                <w:color w:val="000000"/>
                <w:lang w:val="fr-FR"/>
              </w:rPr>
              <w:t>1</w:t>
            </w:r>
          </w:p>
        </w:tc>
        <w:tc>
          <w:tcPr>
            <w:tcW w:w="1276" w:type="dxa"/>
            <w:shd w:val="clear" w:color="auto" w:fill="auto"/>
          </w:tcPr>
          <w:p w:rsidR="00E62DCC" w:rsidRDefault="0086542B">
            <w:pPr>
              <w:spacing w:after="240" w:line="240" w:lineRule="auto"/>
              <w:jc w:val="center"/>
              <w:rPr>
                <w:rFonts w:ascii="Times New Roman" w:eastAsia="Times New Roman" w:hAnsi="Times New Roman" w:cs="Times New Roman"/>
                <w:noProof/>
                <w:color w:val="000000"/>
                <w:lang w:val="fr-FR"/>
              </w:rPr>
            </w:pPr>
            <w:r>
              <w:rPr>
                <w:rFonts w:ascii="Times New Roman" w:eastAsia="Times New Roman" w:hAnsi="Times New Roman" w:cs="Times New Roman"/>
                <w:noProof/>
                <w:color w:val="000000"/>
                <w:lang w:val="fr-FR"/>
              </w:rPr>
              <w:t>2</w:t>
            </w:r>
          </w:p>
        </w:tc>
        <w:tc>
          <w:tcPr>
            <w:tcW w:w="2410" w:type="dxa"/>
            <w:tcBorders>
              <w:bottom w:val="single" w:sz="4" w:space="0" w:color="auto"/>
            </w:tcBorders>
            <w:shd w:val="clear" w:color="auto" w:fill="auto"/>
          </w:tcPr>
          <w:p w:rsidR="00E62DCC" w:rsidRDefault="0086542B">
            <w:pPr>
              <w:spacing w:after="240" w:line="240" w:lineRule="auto"/>
              <w:jc w:val="center"/>
              <w:rPr>
                <w:rFonts w:ascii="Times New Roman" w:eastAsia="Times New Roman" w:hAnsi="Times New Roman" w:cs="Times New Roman"/>
                <w:noProof/>
                <w:lang w:val="fr-FR"/>
              </w:rPr>
            </w:pPr>
            <w:r>
              <w:rPr>
                <w:rFonts w:ascii="Times New Roman" w:eastAsia="Times New Roman" w:hAnsi="Times New Roman" w:cs="Times New Roman"/>
                <w:i/>
                <w:noProof/>
                <w:lang w:val="fr-FR"/>
              </w:rPr>
              <w:t xml:space="preserve">Riksdag suédois </w:t>
            </w:r>
            <w:r>
              <w:rPr>
                <w:rFonts w:ascii="Times New Roman" w:eastAsia="Times New Roman" w:hAnsi="Times New Roman" w:cs="Times New Roman"/>
                <w:noProof/>
                <w:lang w:val="fr-FR"/>
              </w:rPr>
              <w:t>(2 voix)</w:t>
            </w:r>
          </w:p>
        </w:tc>
      </w:tr>
      <w:tr w:rsidR="00E62DCC">
        <w:trPr>
          <w:trHeight w:val="416"/>
        </w:trPr>
        <w:tc>
          <w:tcPr>
            <w:tcW w:w="4679" w:type="dxa"/>
            <w:gridSpan w:val="3"/>
            <w:shd w:val="clear" w:color="auto" w:fill="auto"/>
            <w:vAlign w:val="center"/>
          </w:tcPr>
          <w:p w:rsidR="00E62DCC" w:rsidRDefault="0086542B">
            <w:pPr>
              <w:spacing w:after="240" w:line="240" w:lineRule="auto"/>
              <w:rPr>
                <w:rFonts w:ascii="Times New Roman" w:eastAsia="Times New Roman" w:hAnsi="Times New Roman" w:cs="Times New Roman"/>
                <w:b/>
                <w:noProof/>
                <w:lang w:val="fr-FR"/>
              </w:rPr>
            </w:pPr>
            <w:r>
              <w:rPr>
                <w:rFonts w:ascii="Times New Roman" w:eastAsia="Times New Roman" w:hAnsi="Times New Roman" w:cs="Times New Roman"/>
                <w:b/>
                <w:noProof/>
                <w:lang w:val="fr-FR"/>
              </w:rPr>
              <w:t xml:space="preserve">TOTAL </w:t>
            </w:r>
          </w:p>
        </w:tc>
        <w:tc>
          <w:tcPr>
            <w:tcW w:w="1417" w:type="dxa"/>
            <w:shd w:val="clear" w:color="auto" w:fill="auto"/>
            <w:vAlign w:val="center"/>
          </w:tcPr>
          <w:p w:rsidR="00E62DCC" w:rsidRDefault="0086542B">
            <w:pPr>
              <w:spacing w:after="240" w:line="240" w:lineRule="auto"/>
              <w:jc w:val="center"/>
              <w:rPr>
                <w:rFonts w:ascii="Times New Roman" w:eastAsia="Times New Roman" w:hAnsi="Times New Roman" w:cs="Times New Roman"/>
                <w:b/>
                <w:noProof/>
                <w:lang w:val="fr-FR"/>
              </w:rPr>
            </w:pPr>
            <w:r>
              <w:rPr>
                <w:rFonts w:ascii="Times New Roman" w:eastAsia="Times New Roman" w:hAnsi="Times New Roman" w:cs="Times New Roman"/>
                <w:b/>
                <w:noProof/>
                <w:lang w:val="fr-FR"/>
              </w:rPr>
              <w:t>8</w:t>
            </w:r>
          </w:p>
        </w:tc>
        <w:tc>
          <w:tcPr>
            <w:tcW w:w="1276" w:type="dxa"/>
            <w:shd w:val="clear" w:color="auto" w:fill="auto"/>
            <w:vAlign w:val="center"/>
          </w:tcPr>
          <w:p w:rsidR="00E62DCC" w:rsidRDefault="0086542B">
            <w:pPr>
              <w:spacing w:after="240" w:line="240" w:lineRule="auto"/>
              <w:jc w:val="center"/>
              <w:rPr>
                <w:rFonts w:ascii="Times New Roman" w:eastAsia="Times New Roman" w:hAnsi="Times New Roman" w:cs="Times New Roman"/>
                <w:b/>
                <w:noProof/>
                <w:lang w:val="fr-FR"/>
              </w:rPr>
            </w:pPr>
            <w:r>
              <w:rPr>
                <w:rFonts w:ascii="Times New Roman" w:eastAsia="Times New Roman" w:hAnsi="Times New Roman" w:cs="Times New Roman"/>
                <w:b/>
                <w:noProof/>
                <w:lang w:val="fr-FR"/>
              </w:rPr>
              <w:t>12</w:t>
            </w:r>
          </w:p>
        </w:tc>
        <w:tc>
          <w:tcPr>
            <w:tcW w:w="2410" w:type="dxa"/>
            <w:tcBorders>
              <w:bottom w:val="nil"/>
              <w:right w:val="nil"/>
            </w:tcBorders>
            <w:shd w:val="clear" w:color="auto" w:fill="auto"/>
            <w:vAlign w:val="center"/>
          </w:tcPr>
          <w:p w:rsidR="00E62DCC" w:rsidRDefault="00E62DCC">
            <w:pPr>
              <w:spacing w:after="240" w:line="240" w:lineRule="auto"/>
              <w:jc w:val="center"/>
              <w:rPr>
                <w:rFonts w:ascii="Times New Roman" w:eastAsia="Times New Roman" w:hAnsi="Times New Roman" w:cs="Times New Roman"/>
                <w:b/>
                <w:i/>
                <w:noProof/>
                <w:lang w:val="fr-FR"/>
              </w:rPr>
            </w:pPr>
          </w:p>
        </w:tc>
      </w:tr>
    </w:tbl>
    <w:p w:rsidR="00E62DCC" w:rsidRDefault="00E62DCC">
      <w:pPr>
        <w:autoSpaceDE w:val="0"/>
        <w:autoSpaceDN w:val="0"/>
        <w:adjustRightInd w:val="0"/>
        <w:spacing w:after="240" w:line="240" w:lineRule="auto"/>
        <w:jc w:val="both"/>
        <w:rPr>
          <w:rFonts w:asciiTheme="majorBidi" w:hAnsiTheme="majorBidi" w:cstheme="majorBidi"/>
          <w:noProof/>
          <w:lang w:val="fr-FR"/>
        </w:rPr>
      </w:pPr>
    </w:p>
    <w:sectPr w:rsidR="00E62DCC">
      <w:headerReference w:type="even" r:id="rId16"/>
      <w:headerReference w:type="default" r:id="rId17"/>
      <w:footerReference w:type="even" r:id="rId18"/>
      <w:footerReference w:type="default" r:id="rId19"/>
      <w:headerReference w:type="first" r:id="rId20"/>
      <w:footerReference w:type="first" r:id="rId21"/>
      <w:pgSz w:w="11906" w:h="16838"/>
      <w:pgMar w:top="992" w:right="1134" w:bottom="851" w:left="1418" w:header="709" w:footer="442"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DCC" w:rsidRDefault="0086542B">
      <w:pPr>
        <w:spacing w:after="0" w:line="240" w:lineRule="auto"/>
      </w:pPr>
      <w:r>
        <w:separator/>
      </w:r>
    </w:p>
  </w:endnote>
  <w:endnote w:type="continuationSeparator" w:id="0">
    <w:p w:rsidR="00E62DCC" w:rsidRDefault="0086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CC" w:rsidRDefault="00E62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CC" w:rsidRDefault="0086542B">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fldSimple w:instr=" DOCVARIABLE &quot;LW_Confidence&quot; \* MERGEFORMAT ">
      <w:r w:rsidR="00A43B48">
        <w:t xml:space="preserve"> </w:t>
      </w:r>
    </w:fldSimple>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CC" w:rsidRDefault="00E62DC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CC" w:rsidRDefault="00E62D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720636"/>
      <w:docPartObj>
        <w:docPartGallery w:val="Page Numbers (Bottom of Page)"/>
        <w:docPartUnique/>
      </w:docPartObj>
    </w:sdtPr>
    <w:sdtEndPr>
      <w:rPr>
        <w:rFonts w:asciiTheme="majorBidi" w:hAnsiTheme="majorBidi" w:cstheme="majorBidi"/>
        <w:noProof/>
      </w:rPr>
    </w:sdtEndPr>
    <w:sdtContent>
      <w:p w:rsidR="00E62DCC" w:rsidRDefault="0086542B">
        <w:pPr>
          <w:pStyle w:val="Foote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sidR="00A43B48">
          <w:rPr>
            <w:rFonts w:asciiTheme="majorBidi" w:hAnsiTheme="majorBidi" w:cstheme="majorBidi"/>
            <w:noProof/>
          </w:rPr>
          <w:t>2</w:t>
        </w:r>
        <w:r>
          <w:rPr>
            <w:rFonts w:asciiTheme="majorBidi" w:hAnsiTheme="majorBidi" w:cstheme="majorBidi"/>
            <w:noProof/>
          </w:rPr>
          <w:fldChar w:fldCharType="end"/>
        </w:r>
      </w:p>
    </w:sdtContent>
  </w:sdt>
  <w:p w:rsidR="00E62DCC" w:rsidRDefault="00E62D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CC" w:rsidRDefault="00E62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DCC" w:rsidRDefault="0086542B">
      <w:pPr>
        <w:spacing w:after="0" w:line="240" w:lineRule="auto"/>
      </w:pPr>
      <w:r>
        <w:separator/>
      </w:r>
    </w:p>
  </w:footnote>
  <w:footnote w:type="continuationSeparator" w:id="0">
    <w:p w:rsidR="00E62DCC" w:rsidRDefault="0086542B">
      <w:pPr>
        <w:spacing w:after="0" w:line="240" w:lineRule="auto"/>
      </w:pPr>
      <w:r>
        <w:continuationSeparator/>
      </w:r>
    </w:p>
  </w:footnote>
  <w:footnote w:id="1">
    <w:p w:rsidR="00E62DCC" w:rsidRDefault="0086542B">
      <w:pPr>
        <w:pStyle w:val="FootnoteText"/>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Pour être considéré comme un avis motivé tel que défini dans le protocole nº 2, un avis doit exposer les raisons pour lesquelles le parlement national estime qu’une proposition législative n’est pas conforme au principe de subsidiarité et être adressé à la Commission dans un délai de huit semaines à compter de la transmission de la proposition aux parlements nationaux.</w:t>
      </w:r>
    </w:p>
  </w:footnote>
  <w:footnote w:id="2">
    <w:p w:rsidR="00E62DCC" w:rsidRDefault="0086542B">
      <w:pPr>
        <w:pStyle w:val="FootnoteText"/>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En vertu du protocole nº 2, chaque parlement national dispose de deux voix; dans le cas d’un système bicaméral, chaque chambre dispose d’une voix. Dans le cas où les avis motivés représentent au moins un tiers (un quart pour les propositions en vertu de l’article 76 du traité sur le fonctionnement de l’Union européenne) de l’ensemble des voix attribuées aux parlements nationaux, le seuil du «carton jaune» est atteint, ce qui signifie que le projet d'acte législatif doit être réexaminé. Dix-neuf des 56 voix représentent un tiers de toutes les voix attribuées.</w:t>
      </w:r>
    </w:p>
    <w:p w:rsidR="00E62DCC" w:rsidRDefault="0086542B">
      <w:pPr>
        <w:pStyle w:val="FootnoteText"/>
        <w:ind w:left="284" w:hanging="284"/>
        <w:jc w:val="both"/>
        <w:rPr>
          <w:rFonts w:asciiTheme="majorBidi" w:hAnsiTheme="majorBidi" w:cstheme="majorBidi"/>
          <w:b/>
          <w:lang w:val="fr-FR"/>
        </w:rPr>
      </w:pPr>
      <w:r>
        <w:rPr>
          <w:rFonts w:asciiTheme="majorBidi" w:hAnsiTheme="majorBidi" w:cstheme="majorBidi"/>
          <w:lang w:val="fr-FR"/>
        </w:rPr>
        <w:t>.</w:t>
      </w:r>
    </w:p>
  </w:footnote>
  <w:footnote w:id="3">
    <w:p w:rsidR="00E62DCC" w:rsidRDefault="0086542B">
      <w:pPr>
        <w:pStyle w:val="FootnoteText"/>
        <w:ind w:left="284" w:hanging="284"/>
        <w:jc w:val="both"/>
        <w:rPr>
          <w:rFonts w:asciiTheme="majorBidi" w:hAnsiTheme="majorBidi" w:cstheme="majorBidi"/>
          <w:b/>
          <w:lang w:val="fr-FR"/>
        </w:rPr>
      </w:pPr>
      <w:r>
        <w:rPr>
          <w:rStyle w:val="FootnoteReference"/>
          <w:rFonts w:asciiTheme="majorBidi" w:hAnsiTheme="majorBidi" w:cstheme="majorBidi"/>
          <w:lang w:val="fr-FR"/>
        </w:rPr>
        <w:footnoteRef/>
      </w:r>
      <w:r>
        <w:rPr>
          <w:rFonts w:asciiTheme="majorBidi" w:hAnsiTheme="majorBidi" w:cstheme="majorBidi"/>
          <w:lang w:val="fr-FR"/>
        </w:rPr>
        <w:tab/>
        <w:t xml:space="preserve">Dont un émis  conjointement par les deux chambres espagnoles : </w:t>
      </w:r>
      <w:r>
        <w:rPr>
          <w:rFonts w:asciiTheme="majorBidi" w:hAnsiTheme="majorBidi" w:cstheme="majorBidi"/>
          <w:i/>
          <w:lang w:val="fr-FR"/>
        </w:rPr>
        <w:t xml:space="preserve">Congreso de los Diputados </w:t>
      </w:r>
      <w:r>
        <w:rPr>
          <w:rFonts w:asciiTheme="majorBidi" w:hAnsiTheme="majorBidi" w:cstheme="majorBidi"/>
          <w:lang w:val="fr-FR"/>
        </w:rPr>
        <w:t xml:space="preserve">et </w:t>
      </w:r>
      <w:r>
        <w:rPr>
          <w:rFonts w:asciiTheme="majorBidi" w:hAnsiTheme="majorBidi" w:cstheme="majorBidi"/>
          <w:i/>
          <w:lang w:val="fr-FR"/>
        </w:rPr>
        <w:t>Senado.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CC" w:rsidRDefault="00E62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CC" w:rsidRDefault="00E62DC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CC" w:rsidRDefault="00E62DC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CC" w:rsidRDefault="00E62D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CC" w:rsidRDefault="00E62D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CC" w:rsidRDefault="00E62D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B95"/>
    <w:multiLevelType w:val="hybridMultilevel"/>
    <w:tmpl w:val="51B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007B60"/>
    <w:multiLevelType w:val="hybridMultilevel"/>
    <w:tmpl w:val="DB04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9D374B"/>
    <w:multiLevelType w:val="hybridMultilevel"/>
    <w:tmpl w:val="D38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40996306"/>
    <w:multiLevelType w:val="hybridMultilevel"/>
    <w:tmpl w:val="5702692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nsid w:val="46A6227C"/>
    <w:multiLevelType w:val="hybridMultilevel"/>
    <w:tmpl w:val="470C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nsid w:val="64972EA2"/>
    <w:multiLevelType w:val="hybridMultilevel"/>
    <w:tmpl w:val="D080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docVars>
    <w:docVar w:name="COVERPAGE_EXISTS" w:val="True"/>
    <w:docVar w:name="DocStatus" w:val="Green"/>
    <w:docVar w:name="LW_ACCOMPAGNANT.CP" w:val="au"/>
    <w:docVar w:name="LW_ANNEX_NBR_FIRST" w:val="1"/>
    <w:docVar w:name="LW_ANNEX_NBR_LAST" w:val="1"/>
    <w:docVar w:name="LW_CONFIDENCE" w:val=" "/>
    <w:docVar w:name="LW_CONST_RESTREINT_UE" w:val="RESTREINT UE"/>
    <w:docVar w:name="LW_CORRIGENDUM" w:val="&lt;UNUSED&gt;"/>
    <w:docVar w:name="LW_COVERPAGE_GUID" w:val="868184F3F435423EBFC8424BD3996E37"/>
    <w:docVar w:name="LW_CROSSREFERENCE" w:val="&lt;UNUSED&gt;"/>
    <w:docVar w:name="LW_DocType" w:val="NORMAL"/>
    <w:docVar w:name="LW_EMISSION" w:val="15.7.2016"/>
    <w:docVar w:name="LW_EMISSION_ISODATE" w:val="2016-07-15"/>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Rapport annuel 2015_x000b_sur la subsidiarité et la proportionnalité"/>
    <w:docVar w:name="LW_PART_NBR" w:val="1"/>
    <w:docVar w:name="LW_PART_NBR_TOTAL" w:val="1"/>
    <w:docVar w:name="LW_REF.INST.NEW" w:val="COM"/>
    <w:docVar w:name="LW_REF.INST.NEW_ADOPTED" w:val="final"/>
    <w:docVar w:name="LW_REF.INST.NEW_TEXT" w:val="(2016) 469"/>
    <w:docVar w:name="LW_REF.INTERNE" w:val="&lt;UNUSED&gt;"/>
    <w:docVar w:name="LW_SUPERTITRE" w:val="&lt;UNUSED&gt;"/>
    <w:docVar w:name="LW_TITRE.OBJ.CP" w:val="&lt;UNUSED&gt;"/>
    <w:docVar w:name="LW_TYPE.DOC.CP" w:val="ANNEXE_x000b_"/>
    <w:docVar w:name="LW_TYPEACTEPRINCIPAL.CP" w:val="RAPPORT DE LA COMMISSION"/>
  </w:docVars>
  <w:rsids>
    <w:rsidRoot w:val="00E62DCC"/>
    <w:rsid w:val="0086542B"/>
    <w:rsid w:val="00A43B48"/>
    <w:rsid w:val="00E62DCC"/>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accompagnantcp">
    <w:name w:val="accompagnant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ypeacteprincipalcp">
    <w:name w:val="typeacteprincipal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objetacteprincipalcp">
    <w:name w:val="objetacteprincipal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1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4791-0D9C-4605-9A10-357EF72D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1381</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2016-06-20T08:32:00Z</dcterms:created>
  <dcterms:modified xsi:type="dcterms:W3CDTF">2016-07-13T14:27:00Z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