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bg-BG"/>
        </w:rPr>
      </w:pPr>
      <w:bookmarkStart w:id="0" w:name="LW_BM_COVERPAGE"/>
      <w:r>
        <w:rPr>
          <w:noProof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32035EE79924350A443BD848C82F951" style="width:450.75pt;height:379.5pt">
            <v:imagedata r:id="rId9" o:title=""/>
          </v:shape>
        </w:pict>
      </w:r>
    </w:p>
    <w:bookmarkEnd w:id="0"/>
    <w:p>
      <w:pPr>
        <w:rPr>
          <w:noProof/>
          <w:lang w:val="bg-BG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bg-BG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  <w:lang w:val="bg-BG"/>
        </w:rPr>
        <w:lastRenderedPageBreak/>
        <w:t xml:space="preserve">Приложение </w:t>
      </w:r>
    </w:p>
    <w:p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lang w:val="bg-BG"/>
        </w:rPr>
        <w:t>Списък на документите на Комисията, във връзка с които тя получи мотивирани становища</w:t>
      </w:r>
      <w:r>
        <w:rPr>
          <w:rFonts w:ascii="Times New Roman" w:hAnsi="Times New Roman"/>
          <w:b/>
          <w:noProof/>
          <w:sz w:val="24"/>
          <w:vertAlign w:val="superscript"/>
          <w:lang w:val="bg-BG"/>
        </w:rPr>
        <w:footnoteReference w:id="1"/>
      </w:r>
      <w:r>
        <w:rPr>
          <w:rFonts w:ascii="Times New Roman" w:hAnsi="Times New Roman"/>
          <w:b/>
          <w:noProof/>
          <w:sz w:val="24"/>
          <w:lang w:val="bg-BG"/>
        </w:rPr>
        <w:t xml:space="preserve"> от националните парламенти през 2015 г. относно спазването на принципа на субсидиарност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2694"/>
        <w:gridCol w:w="1559"/>
        <w:gridCol w:w="1701"/>
        <w:gridCol w:w="1843"/>
      </w:tblGrid>
      <w:tr>
        <w:trPr>
          <w:cantSplit/>
          <w:trHeight w:val="1636"/>
        </w:trPr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Документ на Комисията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Заглавие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Брой мотивирани становища (Протокол № 2)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Брой гласове (Протокол № 2)</w:t>
            </w:r>
            <w:r>
              <w:rPr>
                <w:rFonts w:ascii="Times New Roman" w:hAnsi="Times New Roman"/>
                <w:noProof/>
                <w:sz w:val="24"/>
                <w:vertAlign w:val="superscript"/>
                <w:lang w:val="bg-BG"/>
              </w:rPr>
              <w:footnoteReference w:id="2"/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bg-BG"/>
              </w:rPr>
              <w:t>Национална камара, подала мотивирано становище</w:t>
            </w:r>
          </w:p>
        </w:tc>
      </w:tr>
      <w:tr>
        <w:trPr>
          <w:cantSplit/>
          <w:trHeight w:val="3531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COM(2015) 450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rPr>
                <w:rFonts w:ascii="Times New Roman" w:hAnsi="Times New Roman"/>
                <w:noProof/>
                <w:color w:val="000000"/>
                <w:lang w:val="bg-BG"/>
              </w:rPr>
            </w:pPr>
            <w:r>
              <w:rPr>
                <w:rFonts w:ascii="Times New Roman" w:hAnsi="Times New Roman"/>
                <w:noProof/>
                <w:color w:val="000000"/>
                <w:lang w:val="bg-BG"/>
              </w:rPr>
              <w:t xml:space="preserve">Предложение за Регламент на Европейския парламент и на Съвета за създаване на механизъм за преместване в кризисни ситуации и за изменение на Регламент (ЕС) № 604/2013 </w:t>
            </w:r>
            <w:r>
              <w:rPr>
                <w:rFonts w:ascii="Times New Roman" w:hAnsi="Times New Roman" w:cs="Times New Roman"/>
                <w:noProof/>
                <w:lang w:val="bg-BG"/>
              </w:rPr>
              <w:t>на Европейския парламент и на Съвета от 26 юни 2013 г.</w:t>
            </w:r>
            <w:r>
              <w:rPr>
                <w:noProof/>
                <w:lang w:val="bg-BG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lang w:val="bg-BG"/>
              </w:rPr>
              <w:t>за установяване на критерии и механизми за определяне на държавата членка, компетентна за разглеждането на молба за международна закрила, която е подадена в една от държавите членки от гражданин на трета държава или от лице без гражданство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7 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CZ </w:t>
            </w:r>
            <w:r>
              <w:rPr>
                <w:rFonts w:ascii="Times New Roman" w:hAnsi="Times New Roman"/>
                <w:i/>
                <w:noProof/>
                <w:sz w:val="24"/>
                <w:lang w:val="bg-BG"/>
              </w:rPr>
              <w:t xml:space="preserve">Senát </w:t>
            </w:r>
            <w:r>
              <w:rPr>
                <w:rFonts w:ascii="Times New Roman" w:hAnsi="Times New Roman"/>
                <w:noProof/>
                <w:sz w:val="24"/>
                <w:lang w:val="bg-BG"/>
              </w:rPr>
              <w:t>(1 глас)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CZ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>Poslanecká sněmovna</w:t>
            </w:r>
            <w:r>
              <w:rPr>
                <w:rFonts w:ascii="Times New Roman" w:hAnsi="Times New Roman"/>
                <w:noProof/>
                <w:lang w:val="bg-BG"/>
              </w:rPr>
              <w:t xml:space="preserve"> (1 глас)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HU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 xml:space="preserve">Országgyűlés </w:t>
            </w:r>
            <w:r>
              <w:rPr>
                <w:rFonts w:ascii="Times New Roman" w:hAnsi="Times New Roman"/>
                <w:noProof/>
                <w:lang w:val="bg-BG"/>
              </w:rPr>
              <w:t>(2 гласа)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RO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 xml:space="preserve">Camera Deputaților </w:t>
            </w:r>
            <w:r>
              <w:rPr>
                <w:rFonts w:ascii="Times New Roman" w:hAnsi="Times New Roman"/>
                <w:noProof/>
                <w:lang w:val="bg-BG"/>
              </w:rPr>
              <w:t>(1 глас)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SK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>Národná Rada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 (2 гласа)</w:t>
            </w:r>
          </w:p>
        </w:tc>
      </w:tr>
      <w:tr>
        <w:trPr>
          <w:cantSplit/>
          <w:trHeight w:val="1967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COM(2015) 177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color w:val="000000"/>
                <w:lang w:val="bg-BG"/>
              </w:rPr>
              <w:t>Предложение за Регламент на Европейския парламент и на Съвета за изменение на Регламент (ЕО) № 1829/2003 по отношение на възможността на държавите членки да ограничават или забраняват употребата на генетично модифицирани храни и фуражи на своята територия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2</w:t>
            </w:r>
            <w:r>
              <w:rPr>
                <w:rFonts w:ascii="Times New Roman" w:hAnsi="Times New Roman"/>
                <w:noProof/>
                <w:vertAlign w:val="superscript"/>
                <w:lang w:val="bg-BG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ES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>Congreso de los Diputados/Senado</w:t>
            </w:r>
            <w:r>
              <w:rPr>
                <w:rFonts w:ascii="Times New Roman" w:hAnsi="Times New Roman"/>
                <w:noProof/>
                <w:lang w:val="bg-BG"/>
              </w:rPr>
              <w:t xml:space="preserve"> 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(двете камари — 2 гласа)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NL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 xml:space="preserve">Tweede Kamer </w:t>
            </w:r>
          </w:p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(1 глас)</w:t>
            </w:r>
          </w:p>
        </w:tc>
      </w:tr>
      <w:tr>
        <w:trPr>
          <w:cantSplit/>
          <w:trHeight w:val="1838"/>
        </w:trPr>
        <w:tc>
          <w:tcPr>
            <w:tcW w:w="284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COM(2015) 135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after="240" w:line="240" w:lineRule="auto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color w:val="000000"/>
                <w:lang w:val="bg-BG"/>
              </w:rPr>
              <w:t>Предложение за Директива на Съвета за изменение на Директива 2011/16/ЕС по отношение на задължителния автоматичен обмен на информация в областта на данъчното облагане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bg-BG"/>
              </w:rPr>
            </w:pPr>
            <w:r>
              <w:rPr>
                <w:rFonts w:ascii="Times New Roman" w:hAnsi="Times New Roman"/>
                <w:noProof/>
                <w:lang w:val="bg-BG"/>
              </w:rPr>
              <w:t xml:space="preserve">SE </w:t>
            </w:r>
            <w:r>
              <w:rPr>
                <w:rFonts w:ascii="Times New Roman" w:hAnsi="Times New Roman"/>
                <w:i/>
                <w:noProof/>
                <w:lang w:val="bg-BG"/>
              </w:rPr>
              <w:t xml:space="preserve">Riksdag </w:t>
            </w:r>
            <w:r>
              <w:rPr>
                <w:rFonts w:ascii="Times New Roman" w:hAnsi="Times New Roman"/>
                <w:noProof/>
                <w:lang w:val="bg-BG"/>
              </w:rPr>
              <w:t>(2 гласа)</w:t>
            </w:r>
          </w:p>
        </w:tc>
      </w:tr>
      <w:tr>
        <w:trPr>
          <w:trHeight w:val="416"/>
        </w:trPr>
        <w:tc>
          <w:tcPr>
            <w:tcW w:w="4679" w:type="dxa"/>
            <w:gridSpan w:val="3"/>
            <w:shd w:val="clear" w:color="auto" w:fill="auto"/>
            <w:vAlign w:val="center"/>
          </w:tcPr>
          <w:p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noProof/>
                <w:lang w:val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 xml:space="preserve">ОБЩО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bg-BG"/>
              </w:rPr>
            </w:pPr>
            <w:r>
              <w:rPr>
                <w:rFonts w:ascii="Times New Roman" w:hAnsi="Times New Roman"/>
                <w:b/>
                <w:noProof/>
                <w:lang w:val="bg-BG"/>
              </w:rPr>
              <w:t>12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lang w:val="bg-BG"/>
              </w:rPr>
            </w:pPr>
          </w:p>
        </w:tc>
      </w:tr>
    </w:tbl>
    <w:p>
      <w:pPr>
        <w:spacing w:after="240" w:line="240" w:lineRule="auto"/>
        <w:jc w:val="center"/>
        <w:rPr>
          <w:rFonts w:asciiTheme="majorBidi" w:hAnsiTheme="majorBidi" w:cstheme="majorBidi"/>
          <w:noProof/>
          <w:sz w:val="24"/>
          <w:szCs w:val="24"/>
          <w:lang w:val="bg-BG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3" w:bottom="1135" w:left="1417" w:header="708" w:footer="44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72063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>
        <w:pPr>
          <w:pStyle w:val="Footer"/>
          <w:jc w:val="center"/>
          <w:rPr>
            <w:rFonts w:asciiTheme="majorBidi" w:hAnsiTheme="majorBidi" w:cstheme="majorBidi"/>
          </w:rPr>
        </w:pPr>
        <w:r>
          <w:rPr>
            <w:rFonts w:asciiTheme="majorBidi" w:hAnsiTheme="majorBidi" w:cstheme="majorBidi"/>
          </w:rPr>
          <w:fldChar w:fldCharType="begin"/>
        </w:r>
        <w:r>
          <w:rPr>
            <w:rFonts w:asciiTheme="majorBidi" w:hAnsiTheme="majorBidi" w:cstheme="majorBidi"/>
          </w:rPr>
          <w:instrText xml:space="preserve"> PAGE   \* MERGEFORMAT </w:instrText>
        </w:r>
        <w:r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2</w:t>
        </w:r>
        <w:r>
          <w:rPr>
            <w:rFonts w:asciiTheme="majorBidi" w:hAnsiTheme="majorBidi" w:cstheme="majorBidi"/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ind w:left="284" w:hanging="284"/>
        <w:jc w:val="both"/>
        <w:rPr>
          <w:rFonts w:asciiTheme="majorBidi" w:hAnsiTheme="majorBidi" w:cstheme="majorBidi"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tab/>
      </w:r>
      <w:r>
        <w:rPr>
          <w:rFonts w:asciiTheme="majorBidi" w:hAnsiTheme="majorBidi" w:cstheme="majorBidi"/>
        </w:rPr>
        <w:t>За да може да се определи дадено становище като мотивирано становище съгласно определението в Протокол № 2, в него трябва да се посочват причините, поради които националният парламент счита, че законодателното предложение не е съобразено с принципа на субсидиарност, и то трябва да бъде изпратено на Комисията в срок от осем седмици, считано от момента на предаването на предложението на националните парламенти.</w:t>
      </w:r>
    </w:p>
  </w:footnote>
  <w:footnote w:id="2">
    <w:p>
      <w:pPr>
        <w:pStyle w:val="FootnoteText"/>
        <w:ind w:left="284" w:hanging="284"/>
        <w:jc w:val="both"/>
        <w:rPr>
          <w:rFonts w:asciiTheme="majorBidi" w:hAnsiTheme="majorBidi" w:cstheme="majorBidi"/>
          <w:b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tab/>
      </w:r>
      <w:r>
        <w:rPr>
          <w:rFonts w:asciiTheme="majorBidi" w:hAnsiTheme="majorBidi" w:cstheme="majorBidi"/>
        </w:rPr>
        <w:t>Съгласно Протокол № 2 всеки национален парламент разполага с два гласа. В случай на двукамарна система всяка от камарите разполага с един глас. Когато мотивираните становища представляват най-малко една трета (за предложения по член 76 от ДФЕС — една четвърт) от общия брой на дадените на националните парламенти гласове, прагът за задействане на процедурата за ,,жълт картон“ е достигнат, т.е. проектът на законодателен акт трябва да бъде преразгледан. 19 от общо 56 гласа представляват една трета от общия брой на дадените гласове.</w:t>
      </w:r>
    </w:p>
  </w:footnote>
  <w:footnote w:id="3">
    <w:p>
      <w:pPr>
        <w:pStyle w:val="FootnoteText"/>
        <w:ind w:left="284" w:hanging="284"/>
        <w:jc w:val="both"/>
        <w:rPr>
          <w:rFonts w:asciiTheme="majorBidi" w:hAnsiTheme="majorBidi" w:cstheme="majorBidi"/>
          <w:b/>
        </w:rPr>
      </w:pPr>
      <w:r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>
        <w:tab/>
      </w:r>
      <w:r>
        <w:rPr>
          <w:rFonts w:asciiTheme="majorBidi" w:hAnsiTheme="majorBidi" w:cstheme="majorBidi"/>
        </w:rPr>
        <w:t xml:space="preserve">Едното от които е изпратено съвместно от двете камари на испанския </w:t>
      </w:r>
      <w:r>
        <w:rPr>
          <w:rFonts w:asciiTheme="majorBidi" w:hAnsiTheme="majorBidi" w:cstheme="majorBidi"/>
          <w:i/>
        </w:rPr>
        <w:t xml:space="preserve">Congreso de los Diputados </w:t>
      </w:r>
      <w:r>
        <w:rPr>
          <w:rFonts w:asciiTheme="majorBidi" w:hAnsiTheme="majorBidi" w:cstheme="majorBidi"/>
        </w:rPr>
        <w:t xml:space="preserve">и испанския </w:t>
      </w:r>
      <w:r>
        <w:rPr>
          <w:rFonts w:asciiTheme="majorBidi" w:hAnsiTheme="majorBidi" w:cstheme="majorBidi"/>
          <w:i/>
        </w:rPr>
        <w:t>Senado.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B95"/>
    <w:multiLevelType w:val="hybridMultilevel"/>
    <w:tmpl w:val="51B2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7B60"/>
    <w:multiLevelType w:val="hybridMultilevel"/>
    <w:tmpl w:val="DB04C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9D374B"/>
    <w:multiLevelType w:val="hybridMultilevel"/>
    <w:tmpl w:val="D38A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3FD8"/>
    <w:multiLevelType w:val="hybridMultilevel"/>
    <w:tmpl w:val="2308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6A6227C"/>
    <w:multiLevelType w:val="hybridMultilevel"/>
    <w:tmpl w:val="470CF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972EA2"/>
    <w:multiLevelType w:val="hybridMultilevel"/>
    <w:tmpl w:val="D0806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732035EE79924350A443BD848C82F951"/>
    <w:docVar w:name="LW_CROSSREFERENCE" w:val="&lt;UNUSED&gt;"/>
    <w:docVar w:name="LW_DocType" w:val="NORMAL"/>
    <w:docVar w:name="LW_EMISSION" w:val="15.7.2016"/>
    <w:docVar w:name="LW_EMISSION_ISODATE" w:val="2016-07-15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3?\u1086?\u1076?\u1080?\u1096?\u1077?\u1085? \u1076?\u1086?\u1082?\u1083?\u1072?\u1076? \u1079?\u1072? 2015 \u1075?\u1086?\u1076?\u1080?\u1085?\u1072?_x000b_\u1086?\u1090?\u1085?\u1086?\u1089?\u1085?\u1086? \u1089?\u1091?\u1073?\u1089?\u1080?\u1076?\u1080?\u1072?\u1088?\u1085?\u1086?\u1089?\u1090?\u1090?\u1072? \u1080? \u1087?\u1088?\u1086?\u1087?\u1086?\u1088?\u1094?\u1080?\u1086?\u1085?\u1072?\u1083?\u1085?\u1086?\u1089?\u1090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469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\u1040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character" w:styleId="Hyperlink">
    <w:name w:val="Hyperlink"/>
    <w:rPr>
      <w:color w:val="0000FF"/>
      <w:u w:val="single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82276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053736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5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59E8-D2CC-444D-9638-DE78AEB5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242</Words>
  <Characters>1305</Characters>
  <Application>Microsoft Office Word</Application>
  <DocSecurity>0</DocSecurity>
  <Lines>118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 Thomas (SG)</dc:creator>
  <cp:lastModifiedBy>DIGIT/A3</cp:lastModifiedBy>
  <cp:revision>16</cp:revision>
  <cp:lastPrinted>2016-05-27T10:28:00Z</cp:lastPrinted>
  <dcterms:created xsi:type="dcterms:W3CDTF">2016-05-27T09:58:00Z</dcterms:created>
  <dcterms:modified xsi:type="dcterms:W3CDTF">2016-07-18T11:00:00Z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