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9C243F72EF54055A539323FBB37E2E5" style="width:450.7pt;height:320.75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2"/>
        <w:numPr>
          <w:ilvl w:val="0"/>
          <w:numId w:val="1"/>
        </w:numPr>
        <w:rPr>
          <w:rFonts w:ascii="Times New Roman" w:hAnsi="Times New Roman"/>
          <w:noProof/>
          <w:color w:val="auto"/>
          <w:lang w:val="bg-BG"/>
        </w:rPr>
      </w:pPr>
      <w:bookmarkStart w:id="1" w:name="_GoBack"/>
      <w:bookmarkEnd w:id="1"/>
      <w:r>
        <w:rPr>
          <w:rFonts w:ascii="Times New Roman" w:hAnsi="Times New Roman"/>
          <w:noProof/>
          <w:color w:val="auto"/>
          <w:lang w:val="bg-BG"/>
        </w:rPr>
        <w:lastRenderedPageBreak/>
        <w:t>Въведение</w:t>
      </w:r>
      <w:r>
        <w:rPr>
          <w:noProof/>
          <w:color w:val="auto"/>
          <w:lang w:val="bg-BG"/>
        </w:rPr>
        <w:tab/>
      </w:r>
    </w:p>
    <w:p>
      <w:pPr>
        <w:jc w:val="both"/>
        <w:rPr>
          <w:rFonts w:ascii="Times New Roman" w:hAnsi="Times New Roman"/>
          <w:noProof/>
          <w:lang w:val="bg-BG"/>
        </w:rPr>
      </w:pPr>
      <w:r>
        <w:rPr>
          <w:rFonts w:ascii="Times New Roman" w:hAnsi="Times New Roman"/>
          <w:noProof/>
          <w:lang w:val="bg-BG"/>
        </w:rPr>
        <w:t>Прието през 2009 г. като част от пакета документи за климата и енергетиката, Решение № 406/2009/ЕО</w:t>
      </w:r>
      <w:r>
        <w:rPr>
          <w:rStyle w:val="FootnoteReference"/>
          <w:rFonts w:ascii="Times New Roman" w:hAnsi="Times New Roman"/>
          <w:noProof/>
          <w:lang w:val="bg-BG"/>
        </w:rPr>
        <w:footnoteReference w:id="1"/>
      </w:r>
      <w:r>
        <w:rPr>
          <w:rFonts w:ascii="Times New Roman" w:hAnsi="Times New Roman"/>
          <w:noProof/>
          <w:lang w:val="bg-BG"/>
        </w:rPr>
        <w:t xml:space="preserve"> (наричано още „Решение за разпределяне на усилията“ (РРУ)) установява пределни стойности за емисиите на парникови газове (ЕПГ) за всички държави членки за 2020 г. То обхваща емисии в отраслите на транспорта, сградния фонд, селското стопанство, малките предприятия и отпадъците. На тези отрасли се дължат над 55 % от общите ЕПГ в ЕС през 2013 г.</w:t>
      </w:r>
      <w:r>
        <w:rPr>
          <w:rStyle w:val="FootnoteReference"/>
          <w:rFonts w:ascii="Times New Roman" w:hAnsi="Times New Roman"/>
          <w:noProof/>
          <w:sz w:val="22"/>
          <w:lang w:val="bg-BG"/>
        </w:rPr>
        <w:footnoteReference w:id="2"/>
      </w:r>
      <w:r>
        <w:rPr>
          <w:rFonts w:ascii="Times New Roman" w:hAnsi="Times New Roman"/>
          <w:noProof/>
          <w:lang w:val="bg-BG"/>
        </w:rPr>
        <w:t>. Целта на РРУ е да се намалят ЕПГ в ЕС с 10 % до 2020 г. в сравнение с 2005 г., както и да се насърчи намалението на ЕПГ, които попадат в приложното му поле, по справедлив и разходоефективен начин. РРУ влeзе в сила през юни 2009 г.</w:t>
      </w:r>
    </w:p>
    <w:p>
      <w:pPr>
        <w:jc w:val="both"/>
        <w:rPr>
          <w:rFonts w:ascii="Times New Roman" w:hAnsi="Times New Roman"/>
          <w:noProof/>
          <w:lang w:val="bg-BG"/>
        </w:rPr>
      </w:pPr>
      <w:r>
        <w:rPr>
          <w:rFonts w:ascii="Times New Roman" w:hAnsi="Times New Roman"/>
          <w:noProof/>
          <w:lang w:val="bg-BG"/>
        </w:rPr>
        <w:t>С настоящия доклад се изпълнява разпоредбата на член 14 от Решението за разпределяне на усилията, съгласно който се изисква Комисията да изготви доклад за оценка на изпълнението на РРУ и да го представи на Европейския парламент и Съвета до 31 октомври 2016 г. В него се посочва какви са постигнатите до момента резултати от Решението за разпределяне на усилията, както и какви поуки могат да бъдат извлечени по отношение на предприетите от държавите членки действия за ограничаване на емисиите на парникови газове в обхванатите от Решението отрасли и въздействието, което въпросните действия оказват върху емисиите на тези държави. Резултатите от оценката са представени по-подробно в работния документ на службите на Комисията, придружаващ настоящия доклад</w:t>
      </w:r>
      <w:r>
        <w:rPr>
          <w:rStyle w:val="FootnoteReference"/>
          <w:rFonts w:ascii="Times New Roman" w:hAnsi="Times New Roman"/>
          <w:noProof/>
          <w:lang w:val="bg-BG"/>
        </w:rPr>
        <w:footnoteReference w:id="3"/>
      </w:r>
      <w:r>
        <w:rPr>
          <w:rFonts w:ascii="Times New Roman" w:hAnsi="Times New Roman"/>
          <w:noProof/>
          <w:lang w:val="bg-BG"/>
        </w:rPr>
        <w:t>.</w:t>
      </w:r>
    </w:p>
    <w:p>
      <w:pPr>
        <w:jc w:val="both"/>
        <w:rPr>
          <w:rFonts w:ascii="Times New Roman" w:hAnsi="Times New Roman"/>
          <w:noProof/>
          <w:lang w:val="bg-BG"/>
        </w:rPr>
      </w:pPr>
      <w:r>
        <w:rPr>
          <w:rFonts w:ascii="Times New Roman" w:hAnsi="Times New Roman"/>
          <w:noProof/>
          <w:lang w:val="bg-BG"/>
        </w:rPr>
        <w:t>Като се има предвид, че първата година, през която държавите членки изготвиха доклади съгласно Решението беше 2015 г., към момента на извършване на оценката все още не бяха приложени всички разпоредби на Решението, поради което е по-трудно да се направят заключения относно тяхната целесъобразност и да се обмислят каквито и да било изменения въз основа на извлечени поуки. Въпреки това за оценката могат да бъдат използвани ценни доказателства, произтичащи от правното прилагане на Решението и подготвителната работа, предприета от държавите членки.</w:t>
      </w:r>
    </w:p>
    <w:p>
      <w:pPr>
        <w:pStyle w:val="Heading2"/>
        <w:numPr>
          <w:ilvl w:val="0"/>
          <w:numId w:val="1"/>
        </w:numPr>
        <w:spacing w:after="120"/>
        <w:ind w:left="714" w:hanging="357"/>
        <w:rPr>
          <w:rFonts w:ascii="Times New Roman" w:hAnsi="Times New Roman"/>
          <w:noProof/>
          <w:color w:val="auto"/>
          <w:lang w:val="bg-BG"/>
        </w:rPr>
      </w:pPr>
      <w:r>
        <w:rPr>
          <w:rFonts w:ascii="Times New Roman" w:hAnsi="Times New Roman"/>
          <w:noProof/>
          <w:color w:val="auto"/>
          <w:lang w:val="bg-BG"/>
        </w:rPr>
        <w:t>Контекст</w:t>
      </w:r>
    </w:p>
    <w:p>
      <w:pPr>
        <w:pStyle w:val="Body"/>
        <w:spacing w:after="120"/>
        <w:jc w:val="both"/>
        <w:rPr>
          <w:rFonts w:ascii="Times New Roman" w:hAnsi="Times New Roman"/>
          <w:noProof/>
          <w:sz w:val="22"/>
          <w:lang w:val="bg-BG"/>
        </w:rPr>
      </w:pPr>
      <w:r>
        <w:rPr>
          <w:rFonts w:ascii="Times New Roman" w:hAnsi="Times New Roman"/>
          <w:noProof/>
          <w:sz w:val="22"/>
          <w:lang w:val="bg-BG"/>
        </w:rPr>
        <w:t>В пакета документи за климата и енергетиката са определени цели за 2020 г., съгласно които се изисква намаление от 20 % на емисиите на парникови газове спрямо нивата от 1990 г., достигане на 20 % дял на енергията от възобновяеми източници в крайното енергопотребление на ЕС и подобрение на енергийната ефективност с 20 %.</w:t>
      </w:r>
    </w:p>
    <w:p>
      <w:pPr>
        <w:pStyle w:val="Body"/>
        <w:spacing w:after="120"/>
        <w:jc w:val="both"/>
        <w:rPr>
          <w:rFonts w:ascii="Times New Roman" w:hAnsi="Times New Roman"/>
          <w:noProof/>
          <w:sz w:val="22"/>
          <w:lang w:val="bg-BG"/>
        </w:rPr>
      </w:pPr>
      <w:r>
        <w:rPr>
          <w:rFonts w:ascii="Times New Roman" w:hAnsi="Times New Roman"/>
          <w:noProof/>
          <w:sz w:val="22"/>
          <w:lang w:val="bg-BG"/>
        </w:rPr>
        <w:t xml:space="preserve">Целта за намаление на ЕПГ с 20 % в Европейския съюз до 2020 г. в сравнение с 1990 г. се равнява на намаление от 14 % в сравнение с 2005 г. Това усилие се разпределя между отраслите, обхванати от схемата за търговия с емисии (СТЕ), и отраслите, обхванати от РРУ. Изисква се емисиите, обхванати от СТЕ на ЕС, да се намалят с 21 % спрямо нивата от 2005 г., докато за отраслите, обхванати от РРУ, се изиска намаление от 10 % спрямо нивата от 2005 г. </w:t>
      </w:r>
    </w:p>
    <w:p>
      <w:pPr>
        <w:jc w:val="both"/>
        <w:rPr>
          <w:rStyle w:val="CommentReference"/>
          <w:rFonts w:ascii="Times New Roman" w:hAnsi="Times New Roman"/>
          <w:noProof/>
          <w:sz w:val="22"/>
          <w:szCs w:val="22"/>
          <w:lang w:val="bg-BG"/>
        </w:rPr>
      </w:pPr>
      <w:r>
        <w:rPr>
          <w:rFonts w:ascii="Times New Roman" w:hAnsi="Times New Roman"/>
          <w:noProof/>
          <w:lang w:val="bg-BG"/>
        </w:rPr>
        <w:t>За да се разпределят усилията за намаляване на ЕПГ с 10 % до 2020 г. на равнището на ЕС, за 2020 г. бяха определени национални цели за държавите членки в съответствие с икономическите възможности въз основа на сравнителното им богатство (определено на база брутния вътрешен продукт на глава от населението за 2005 г.). Те варират от намаление на емисиите с 20 % до 2020 г. (спрямо нивата от 2005 г.) за най-богатите държави членки до увеличение с 20 % за най-малко богатите държави членки (вж. фигура 1).</w:t>
      </w:r>
    </w:p>
    <w:p>
      <w:pPr>
        <w:jc w:val="both"/>
        <w:rPr>
          <w:rFonts w:ascii="Times New Roman" w:hAnsi="Times New Roman"/>
          <w:noProof/>
          <w:lang w:val="bg-BG"/>
        </w:rPr>
      </w:pPr>
      <w:r>
        <w:rPr>
          <w:rFonts w:ascii="Times New Roman" w:hAnsi="Times New Roman"/>
          <w:noProof/>
          <w:lang w:val="bg-BG"/>
        </w:rPr>
        <w:lastRenderedPageBreak/>
        <w:t>В РРУ не са определени специфични цели за емисиите за отделните обхванати от РРУ отрасли, като на държавите членки се оставя да избират къде и как да постигнат необходимите намаления. Емисиите и поглъщанията от земеползването, промените в земеползването и горското стопанство (ЗПЗГС) не са включени в РРУ.</w:t>
      </w:r>
    </w:p>
    <w:p>
      <w:pPr>
        <w:jc w:val="both"/>
        <w:rPr>
          <w:rFonts w:ascii="Times New Roman" w:hAnsi="Times New Roman"/>
          <w:noProof/>
          <w:lang w:val="bg-BG"/>
        </w:rPr>
      </w:pPr>
      <w:r>
        <w:rPr>
          <w:rFonts w:ascii="Times New Roman" w:hAnsi="Times New Roman"/>
          <w:noProof/>
          <w:lang w:val="bg-BG"/>
        </w:rPr>
        <w:t xml:space="preserve">За да изпълнят своите ангажименти, от държавите членки се очаква да ограничат своите емисии на парникови газове в обхванатите от РРУ отрасли, както и да приложат национални политики и мерки, за да изпълнят своите задължения. Освен това държавите членки могат да прилагат инструменти за гъвкаво управление, за да изпълнят задълженията си и да увеличат разходната ефективност, ако това е необходимо. </w:t>
      </w:r>
    </w:p>
    <w:p>
      <w:pPr>
        <w:jc w:val="both"/>
        <w:rPr>
          <w:rFonts w:ascii="Times New Roman" w:hAnsi="Times New Roman"/>
          <w:noProof/>
          <w:lang w:val="bg-BG"/>
        </w:rPr>
      </w:pPr>
      <w:r>
        <w:rPr>
          <w:rFonts w:ascii="Times New Roman" w:hAnsi="Times New Roman"/>
          <w:noProof/>
          <w:lang w:val="bg-BG"/>
        </w:rPr>
        <w:t>Също така в РРУ се определя права на съответните задължителни пределни стойности на емисиите (годишно разпределени количества емисии (ГРКЕ)) за всяка година през периода 2013 г. — 2020 г. Постигането на напредък в изпълнението на целите за 2020 г. се гарантира чрез задължения за годишно докладване и проверки на изпълнението. Държавите членки се задължават да докладват своите емисии на парникови газове и прогнозата за очаквания напредък по отношение на изпълнението на своите задължения по РРУ.</w:t>
      </w:r>
    </w:p>
    <w:p>
      <w:pPr>
        <w:jc w:val="both"/>
        <w:rPr>
          <w:rFonts w:ascii="Times New Roman" w:hAnsi="Times New Roman"/>
          <w:noProof/>
          <w:lang w:val="bg-BG"/>
        </w:rPr>
      </w:pPr>
      <w:r>
        <w:rPr>
          <w:rFonts w:ascii="Times New Roman" w:hAnsi="Times New Roman"/>
          <w:noProof/>
          <w:lang w:val="bg-BG"/>
        </w:rPr>
        <w:t>Държавите членки са отговорни за прилагането на политики и мерки, чрез които да изпълнят задълженията си съгласно РРУ, като те биват подпомагани от редица мерки на ЕС</w:t>
      </w:r>
      <w:r>
        <w:rPr>
          <w:rStyle w:val="FootnoteReference"/>
          <w:rFonts w:ascii="Times New Roman" w:hAnsi="Times New Roman"/>
          <w:noProof/>
          <w:sz w:val="22"/>
          <w:lang w:val="bg-BG"/>
        </w:rPr>
        <w:footnoteReference w:id="4"/>
      </w:r>
      <w:r>
        <w:rPr>
          <w:rFonts w:ascii="Times New Roman" w:hAnsi="Times New Roman"/>
          <w:noProof/>
          <w:lang w:val="bg-BG"/>
        </w:rPr>
        <w:t xml:space="preserve">, някои от които също така се очаква да допринесат за постигане на целите на ЕС за 2020 г. за енергията от възобновяеми източници и енергийната ефективност. Тези подкрепящи политики на ЕС са важни за стимулиране на намаляването на емисии на равнището на ЕС в обхванатите от РРУ отрасли. Ясно е обаче, че тези намаления на емисии трябва да бъдат постигнати чрез национални политики и мерки, по-специално в сферите на транспорта и сградния фонд. </w:t>
      </w:r>
    </w:p>
    <w:p>
      <w:pPr>
        <w:jc w:val="both"/>
        <w:rPr>
          <w:rFonts w:ascii="Times New Roman" w:hAnsi="Times New Roman"/>
          <w:noProof/>
          <w:lang w:val="bg-BG"/>
        </w:rPr>
      </w:pPr>
    </w:p>
    <w:p>
      <w:pPr>
        <w:pStyle w:val="Caption"/>
        <w:keepNext/>
        <w:rPr>
          <w:noProof/>
          <w:lang w:val="bg-BG"/>
        </w:rPr>
      </w:pPr>
      <w:bookmarkStart w:id="2" w:name="_Toc453609817"/>
      <w:r>
        <w:rPr>
          <w:noProof/>
          <w:lang w:val="bg-BG"/>
        </w:rPr>
        <w:t xml:space="preserve">Фигура </w:t>
      </w:r>
      <w:r>
        <w:rPr>
          <w:noProof/>
          <w:lang w:val="bg-BG"/>
        </w:rPr>
        <w:fldChar w:fldCharType="begin"/>
      </w:r>
      <w:r>
        <w:rPr>
          <w:noProof/>
          <w:lang w:val="bg-BG"/>
        </w:rPr>
        <w:instrText xml:space="preserve"> SEQ Figure \* ARABIC </w:instrText>
      </w:r>
      <w:r>
        <w:rPr>
          <w:noProof/>
          <w:lang w:val="bg-BG"/>
        </w:rPr>
        <w:fldChar w:fldCharType="separate"/>
      </w:r>
      <w:r>
        <w:rPr>
          <w:noProof/>
          <w:lang w:val="bg-BG"/>
        </w:rPr>
        <w:t>1</w:t>
      </w:r>
      <w:r>
        <w:rPr>
          <w:noProof/>
          <w:lang w:val="bg-BG"/>
        </w:rPr>
        <w:fldChar w:fldCharType="end"/>
      </w:r>
      <w:r>
        <w:rPr>
          <w:noProof/>
          <w:lang w:val="bg-BG"/>
        </w:rPr>
        <w:t xml:space="preserve">: пределни стойности за емисиите на парникови газове на държавите членки през 2020 г. съгласно </w:t>
      </w:r>
      <w:bookmarkEnd w:id="2"/>
      <w:r>
        <w:rPr>
          <w:noProof/>
          <w:lang w:val="bg-BG"/>
        </w:rPr>
        <w:t>РРУ</w:t>
      </w:r>
    </w:p>
    <w:p>
      <w:pPr>
        <w:autoSpaceDE w:val="0"/>
        <w:autoSpaceDN w:val="0"/>
        <w:adjustRightInd w:val="0"/>
        <w:jc w:val="both"/>
        <w:rPr>
          <w:noProof/>
          <w:lang w:val="bg-BG"/>
        </w:rPr>
      </w:pPr>
      <w:r>
        <w:rPr>
          <w:noProof/>
          <w:lang w:val="en-US"/>
        </w:rPr>
        <w:drawing>
          <wp:inline distT="0" distB="0" distL="0" distR="0">
            <wp:extent cx="5661025" cy="2838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61025" cy="2838450"/>
                    </a:xfrm>
                    <a:prstGeom prst="rect">
                      <a:avLst/>
                    </a:prstGeom>
                    <a:noFill/>
                    <a:ln>
                      <a:noFill/>
                    </a:ln>
                  </pic:spPr>
                </pic:pic>
              </a:graphicData>
            </a:graphic>
          </wp:inline>
        </w:drawing>
      </w:r>
    </w:p>
    <w:p>
      <w:pPr>
        <w:autoSpaceDE w:val="0"/>
        <w:autoSpaceDN w:val="0"/>
        <w:adjustRightInd w:val="0"/>
        <w:jc w:val="both"/>
        <w:rPr>
          <w:rFonts w:ascii="Times New Roman" w:hAnsi="Times New Roman"/>
          <w:noProof/>
          <w:sz w:val="20"/>
          <w:szCs w:val="20"/>
          <w:lang w:val="bg-BG"/>
        </w:rPr>
      </w:pPr>
      <w:r>
        <w:rPr>
          <w:rFonts w:ascii="Times New Roman" w:hAnsi="Times New Roman"/>
          <w:noProof/>
          <w:sz w:val="20"/>
          <w:lang w:val="bg-BG"/>
        </w:rPr>
        <w:t xml:space="preserve">Пределните стойности за емисиите през 2020 г. са определени спрямо нивата на емисиите за 2005 г. Източник: Решение № 406/2009/ЕО. </w:t>
      </w:r>
    </w:p>
    <w:p>
      <w:pPr>
        <w:autoSpaceDE w:val="0"/>
        <w:autoSpaceDN w:val="0"/>
        <w:adjustRightInd w:val="0"/>
        <w:jc w:val="both"/>
        <w:rPr>
          <w:rFonts w:ascii="Times New Roman" w:hAnsi="Times New Roman"/>
          <w:noProof/>
          <w:lang w:val="bg-BG"/>
        </w:rPr>
      </w:pPr>
    </w:p>
    <w:p>
      <w:pPr>
        <w:autoSpaceDE w:val="0"/>
        <w:autoSpaceDN w:val="0"/>
        <w:adjustRightInd w:val="0"/>
        <w:jc w:val="both"/>
        <w:rPr>
          <w:rFonts w:ascii="Times New Roman" w:hAnsi="Times New Roman"/>
          <w:noProof/>
          <w:lang w:val="bg-BG"/>
        </w:rPr>
      </w:pPr>
      <w:r>
        <w:rPr>
          <w:rFonts w:ascii="Times New Roman" w:hAnsi="Times New Roman"/>
          <w:noProof/>
          <w:lang w:val="bg-BG"/>
        </w:rPr>
        <w:t>За да се осигури гъвкавост за държавите членки при изпълнение на техните задължения, както и за да се увеличи цялостната разходна ефективност при постигане на целта за 2020 г. на равнището на ЕС, в РРУ са предвидени редица инструменти за гъвкаво управление. Това е свързано с възможностите на държавите членки да управляват своите собствени ГРКЕ в рамките на периода на изпълнение на задълженията и да прехвърлят</w:t>
      </w:r>
      <w:r>
        <w:rPr>
          <w:noProof/>
          <w:lang w:val="bg-BG"/>
        </w:rPr>
        <w:t xml:space="preserve"> </w:t>
      </w:r>
      <w:r>
        <w:rPr>
          <w:rFonts w:ascii="Times New Roman" w:hAnsi="Times New Roman"/>
          <w:noProof/>
          <w:lang w:val="bg-BG"/>
        </w:rPr>
        <w:t>ГРКЕ помежду си. В случай че ЕПГ на държава членка превишават нейните ГРКЕ за дадена година, тя може да вземе 5 % от своите ГРКЕ от следващата година, да закупи ГРКЕ от други държави членки или да използва кредити от международни проекти, за да се вмести в своите годишни пределни стойности. Ако дадена държава членка намали своите емисии с повече от необходимото, като по този начин преизпълни своята цел за дадена година, тя може да запази ГРКЕ, които са в повече, за да ги използва на по-късен етап в рамките на периода на задължението или да ги прехвърли на други държави членки</w:t>
      </w:r>
      <w:r>
        <w:rPr>
          <w:rStyle w:val="FootnoteReference"/>
          <w:rFonts w:ascii="Times New Roman" w:hAnsi="Times New Roman"/>
          <w:noProof/>
          <w:lang w:val="bg-BG"/>
        </w:rPr>
        <w:footnoteReference w:id="5"/>
      </w:r>
      <w:r>
        <w:rPr>
          <w:rFonts w:ascii="Times New Roman" w:hAnsi="Times New Roman"/>
          <w:noProof/>
          <w:lang w:val="bg-BG"/>
        </w:rPr>
        <w:t xml:space="preserve">. </w:t>
      </w:r>
    </w:p>
    <w:p>
      <w:pPr>
        <w:jc w:val="both"/>
        <w:rPr>
          <w:rFonts w:ascii="Times New Roman" w:hAnsi="Times New Roman"/>
          <w:noProof/>
          <w:lang w:val="bg-BG"/>
        </w:rPr>
      </w:pPr>
      <w:r>
        <w:rPr>
          <w:rFonts w:ascii="Times New Roman" w:hAnsi="Times New Roman"/>
          <w:noProof/>
          <w:lang w:val="bg-BG"/>
        </w:rPr>
        <w:t>В РРУ е предвиден годишен цикъл на докладване и изпълнение, който включва докладване от държавите членки на техните ЕПГ в национални доклади за инвентаризация, прегледи на инвентаризацията на емисиите за потвърждаване на докладваните</w:t>
      </w:r>
      <w:r>
        <w:rPr>
          <w:noProof/>
          <w:lang w:val="bg-BG"/>
        </w:rPr>
        <w:t xml:space="preserve"> </w:t>
      </w:r>
      <w:r>
        <w:rPr>
          <w:rFonts w:ascii="Times New Roman" w:hAnsi="Times New Roman"/>
          <w:noProof/>
          <w:lang w:val="bg-BG"/>
        </w:rPr>
        <w:t>емисии и проверки на изпълнението (т.е. съпоставяне на действителните емисии на държавите членки с тяхното годишно разпределено количество емисии за съответната година). Ако емисиите на държава членка надвишават нейното годишно разпределено количество емисии дори след като се отчетат инструментите за гъвкаво управление, тя подлежи на определени санкции и трябва да предприеме коригиращи</w:t>
      </w:r>
      <w:r>
        <w:rPr>
          <w:b/>
          <w:bCs/>
          <w:noProof/>
          <w:lang w:val="bg-BG"/>
        </w:rPr>
        <w:t xml:space="preserve"> </w:t>
      </w:r>
      <w:r>
        <w:rPr>
          <w:rFonts w:ascii="Times New Roman" w:hAnsi="Times New Roman"/>
          <w:noProof/>
          <w:lang w:val="bg-BG"/>
        </w:rPr>
        <w:t>мерки.</w:t>
      </w:r>
    </w:p>
    <w:p>
      <w:pPr>
        <w:pStyle w:val="Heading2"/>
        <w:numPr>
          <w:ilvl w:val="0"/>
          <w:numId w:val="1"/>
        </w:numPr>
        <w:rPr>
          <w:rFonts w:ascii="Times New Roman" w:hAnsi="Times New Roman"/>
          <w:noProof/>
          <w:color w:val="auto"/>
          <w:lang w:val="bg-BG"/>
        </w:rPr>
      </w:pPr>
      <w:r>
        <w:rPr>
          <w:rFonts w:ascii="Times New Roman" w:hAnsi="Times New Roman"/>
          <w:noProof/>
          <w:color w:val="auto"/>
          <w:lang w:val="bg-BG"/>
        </w:rPr>
        <w:t>Обхват на оценката и метод на оценяване</w:t>
      </w:r>
    </w:p>
    <w:p>
      <w:pPr>
        <w:jc w:val="both"/>
        <w:rPr>
          <w:rFonts w:ascii="Times New Roman" w:hAnsi="Times New Roman"/>
          <w:noProof/>
          <w:szCs w:val="24"/>
          <w:lang w:val="bg-BG"/>
        </w:rPr>
      </w:pPr>
      <w:r>
        <w:rPr>
          <w:rFonts w:ascii="Times New Roman" w:hAnsi="Times New Roman"/>
          <w:noProof/>
          <w:lang w:val="bg-BG"/>
        </w:rPr>
        <w:t>Оценката на Решението за разпределяне на усилията се извърши през 2015 г. от Комисията и се ръководи от група, включваща членове от съответните генерални дирекции</w:t>
      </w:r>
      <w:r>
        <w:rPr>
          <w:noProof/>
          <w:lang w:val="bg-BG"/>
        </w:rPr>
        <w:t xml:space="preserve"> </w:t>
      </w:r>
      <w:r>
        <w:rPr>
          <w:rFonts w:ascii="Times New Roman" w:hAnsi="Times New Roman"/>
          <w:noProof/>
          <w:lang w:val="bg-BG"/>
        </w:rPr>
        <w:t>на Комисията. В тази група участва и Европейската агенция за околната среда. Оценката бе подпомогната от външно проучване за изпълнението на Решението за разпределяне на усилията</w:t>
      </w:r>
      <w:r>
        <w:rPr>
          <w:rFonts w:ascii="Times New Roman" w:hAnsi="Times New Roman"/>
          <w:noProof/>
          <w:vertAlign w:val="superscript"/>
          <w:lang w:val="bg-BG"/>
        </w:rPr>
        <w:footnoteReference w:id="6"/>
      </w:r>
      <w:r>
        <w:rPr>
          <w:rFonts w:ascii="Times New Roman" w:hAnsi="Times New Roman"/>
          <w:noProof/>
          <w:lang w:val="bg-BG"/>
        </w:rPr>
        <w:t xml:space="preserve">. </w:t>
      </w:r>
    </w:p>
    <w:p>
      <w:pPr>
        <w:pStyle w:val="Body"/>
        <w:spacing w:after="120"/>
        <w:jc w:val="both"/>
        <w:rPr>
          <w:rFonts w:ascii="Times New Roman" w:hAnsi="Times New Roman"/>
          <w:noProof/>
          <w:sz w:val="22"/>
          <w:lang w:val="bg-BG"/>
        </w:rPr>
      </w:pPr>
      <w:r>
        <w:rPr>
          <w:rFonts w:ascii="Times New Roman" w:hAnsi="Times New Roman"/>
          <w:noProof/>
          <w:sz w:val="22"/>
          <w:lang w:val="bg-BG"/>
        </w:rPr>
        <w:t>В рамките на оценката се проучиха въздействията на Решението за разпределяне</w:t>
      </w:r>
      <w:r>
        <w:rPr>
          <w:rFonts w:ascii="Times New Roman" w:hAnsi="Times New Roman"/>
          <w:noProof/>
          <w:lang w:val="bg-BG"/>
        </w:rPr>
        <w:t xml:space="preserve"> </w:t>
      </w:r>
      <w:r>
        <w:rPr>
          <w:rFonts w:ascii="Times New Roman" w:hAnsi="Times New Roman"/>
          <w:noProof/>
          <w:sz w:val="22"/>
          <w:lang w:val="bg-BG"/>
        </w:rPr>
        <w:t xml:space="preserve">на усилията както на равнището на ЕС, така и на равнището на държавите членки с акцент върху действия в държавите членки от 2009 г. насам, насочени към постигане на техните задължения по РРУ. Тя обхвана периода от датата на влизане в сила на РРУ, през юни 2009 г., до ноември 2015 г. Съгласно изискването на член 14 от РРУ оценката обхвана всички разпоредби и изисквания на Решението, включително и това как изпълнението повлия върху конкуренцията. </w:t>
      </w:r>
    </w:p>
    <w:p>
      <w:pPr>
        <w:jc w:val="both"/>
        <w:rPr>
          <w:rFonts w:ascii="Times New Roman" w:hAnsi="Times New Roman"/>
          <w:noProof/>
          <w:lang w:val="bg-BG"/>
        </w:rPr>
      </w:pPr>
      <w:r>
        <w:rPr>
          <w:rFonts w:ascii="Times New Roman" w:hAnsi="Times New Roman"/>
          <w:noProof/>
          <w:lang w:val="bg-BG"/>
        </w:rPr>
        <w:t>При оценката се прецениха приложимостта, ефективността, ефикасността, съгласуваността и добавената стойност за ЕС по отношение на досегашното прилагане на РРУ. В нея се използваха доказателства от докладваните емисии и тенденции в областта на емисиите, приетите политики и мерки, както и въпросници и структурирани интервюта с експерти от държавите членки и други ключови заинтересовани страни, участващи в прилагането на РРУ на национално равнище</w:t>
      </w:r>
      <w:r>
        <w:rPr>
          <w:rStyle w:val="FootnoteReference"/>
          <w:rFonts w:ascii="Times New Roman" w:hAnsi="Times New Roman"/>
          <w:noProof/>
          <w:lang w:val="bg-BG"/>
        </w:rPr>
        <w:footnoteReference w:id="7"/>
      </w:r>
      <w:r>
        <w:rPr>
          <w:rFonts w:ascii="Times New Roman" w:hAnsi="Times New Roman"/>
          <w:noProof/>
          <w:lang w:val="bg-BG"/>
        </w:rPr>
        <w:t>. Тя също така се основа на резултатите от обществена консултация относно изготвянето на законодателно предложение за намаляване на ЕПГ в държавите членки в обхванатите от РРУ отрасли през периода 2021 г. — 2030 г.</w:t>
      </w:r>
      <w:r>
        <w:rPr>
          <w:rStyle w:val="FootnoteReference"/>
          <w:rFonts w:ascii="Times New Roman" w:hAnsi="Times New Roman"/>
          <w:noProof/>
          <w:lang w:val="bg-BG"/>
        </w:rPr>
        <w:footnoteReference w:id="8"/>
      </w:r>
      <w:r>
        <w:rPr>
          <w:rFonts w:ascii="Times New Roman" w:hAnsi="Times New Roman"/>
          <w:noProof/>
          <w:lang w:val="bg-BG"/>
        </w:rPr>
        <w:t>.</w:t>
      </w:r>
    </w:p>
    <w:p>
      <w:pPr>
        <w:jc w:val="both"/>
        <w:rPr>
          <w:rFonts w:ascii="Times New Roman" w:hAnsi="Times New Roman"/>
          <w:noProof/>
          <w:lang w:val="bg-BG"/>
        </w:rPr>
      </w:pPr>
      <w:r>
        <w:rPr>
          <w:rFonts w:ascii="Times New Roman" w:hAnsi="Times New Roman"/>
          <w:noProof/>
          <w:lang w:val="bg-BG"/>
        </w:rPr>
        <w:t>Резултатите от оценката бяха използвани при изготвяне на оценката на въздействието, придружаващо законодателното предложение на Комисията за продължаване на изпълнението</w:t>
      </w:r>
      <w:r>
        <w:rPr>
          <w:rFonts w:ascii="Times New Roman" w:hAnsi="Times New Roman"/>
          <w:b/>
          <w:i/>
          <w:noProof/>
          <w:lang w:val="bg-BG"/>
        </w:rPr>
        <w:t xml:space="preserve"> </w:t>
      </w:r>
      <w:r>
        <w:rPr>
          <w:rFonts w:ascii="Times New Roman" w:hAnsi="Times New Roman"/>
          <w:noProof/>
          <w:lang w:val="bg-BG"/>
        </w:rPr>
        <w:t xml:space="preserve">на РРУ след 2020 г. в рамката в областта на климата и енергетиката за периода до 2030 г. </w:t>
      </w:r>
    </w:p>
    <w:p>
      <w:pPr>
        <w:pStyle w:val="Heading2"/>
        <w:numPr>
          <w:ilvl w:val="0"/>
          <w:numId w:val="1"/>
        </w:numPr>
        <w:rPr>
          <w:rFonts w:ascii="Times New Roman" w:hAnsi="Times New Roman"/>
          <w:noProof/>
          <w:color w:val="auto"/>
          <w:lang w:val="bg-BG"/>
        </w:rPr>
      </w:pPr>
      <w:r>
        <w:rPr>
          <w:rFonts w:ascii="Times New Roman" w:hAnsi="Times New Roman"/>
          <w:noProof/>
          <w:color w:val="auto"/>
          <w:lang w:val="bg-BG"/>
        </w:rPr>
        <w:t>Прилагане — текущо състояние</w:t>
      </w:r>
    </w:p>
    <w:p>
      <w:pPr>
        <w:jc w:val="both"/>
        <w:rPr>
          <w:rFonts w:ascii="Times New Roman" w:hAnsi="Times New Roman"/>
          <w:noProof/>
          <w:lang w:val="bg-BG"/>
        </w:rPr>
      </w:pPr>
      <w:r>
        <w:rPr>
          <w:rFonts w:ascii="Times New Roman" w:hAnsi="Times New Roman"/>
          <w:noProof/>
          <w:lang w:val="bg-BG"/>
        </w:rPr>
        <w:t>РРУ е все още на ранен етап: повечето изисквания за докладване от страна на държавите членки по линия на РРУ възникнаха за пръв път през 2015 г., като проверката на изпълнението за първите две години от периода на изпълнение на задълженията (2013 г. — 2014 г.) е насрочена за 2016 г. Въпреки това, благодарение на наличните годишни доклади за емисиите, е възможно да се установят основните тенденции в областта на емисиите в държавите членки и на равнището на ЕС.</w:t>
      </w:r>
    </w:p>
    <w:p>
      <w:pPr>
        <w:jc w:val="both"/>
        <w:rPr>
          <w:rFonts w:ascii="Times New Roman" w:hAnsi="Times New Roman"/>
          <w:noProof/>
          <w:lang w:val="bg-BG"/>
        </w:rPr>
      </w:pPr>
      <w:r>
        <w:rPr>
          <w:rFonts w:ascii="Times New Roman" w:hAnsi="Times New Roman"/>
          <w:noProof/>
          <w:lang w:val="bg-BG"/>
        </w:rPr>
        <w:t>В рамките на РРУ държавите членки трябва всяка година да докладват своите емисии на парникови газове. Освен това те трябва да докладват за прилаганите от тях национални политики и мерки през година, както и през 2015 г. да представят актуализирани прогнози относно очаквания напредък по своите цели за 2020 г. Всяка година Комисията събира докладваната от държавите членки информация и публикува доклад за напредъка, в който анализира и представя напредъка на държавите членки по техните цели за 2020 г. съгласно РРУ. Оценката на напредъка на държавите членки по техните цели също е част от доклада по държави в рамките на Европейския семестър, публикуван всяка пролет от Комисията. Европейската агенция за околна среда, която съдейства на Комисията при изпълнението на РРУ, също публикува всяка година тенденции и прогнози за емисиите в ЕС и в неговите държави членки.</w:t>
      </w:r>
    </w:p>
    <w:p>
      <w:pPr>
        <w:jc w:val="both"/>
        <w:rPr>
          <w:rFonts w:ascii="Times New Roman" w:hAnsi="Times New Roman"/>
          <w:noProof/>
          <w:lang w:val="bg-BG"/>
        </w:rPr>
      </w:pPr>
      <w:r>
        <w:rPr>
          <w:rFonts w:ascii="Times New Roman" w:hAnsi="Times New Roman"/>
          <w:noProof/>
          <w:lang w:val="bg-BG"/>
        </w:rPr>
        <w:t xml:space="preserve">Досега държавите членки изпълняват своите задължения за докладване, а обменът на информация с Комисията върви добре. Експертите от Комисията и държавите членки се срещат няколко пъти годишно в рамките на работни групи към Комитета по изменението на климата, за да проследяват изпълнението на задълженията за докладване съгласно РРУ. </w:t>
      </w:r>
    </w:p>
    <w:p>
      <w:pPr>
        <w:jc w:val="both"/>
        <w:rPr>
          <w:rFonts w:ascii="Times New Roman" w:hAnsi="Times New Roman"/>
          <w:noProof/>
          <w:lang w:val="bg-BG"/>
        </w:rPr>
      </w:pPr>
      <w:r>
        <w:rPr>
          <w:rFonts w:ascii="Times New Roman" w:hAnsi="Times New Roman"/>
          <w:noProof/>
          <w:lang w:val="bg-BG"/>
        </w:rPr>
        <w:t xml:space="preserve">Между 2005 г. и 2013 г. бяха постигнати общи намаления на емисиите във всички отрасли от -3 % в селското стопанство до -25 % в сферата на отпадъците (фигура 2). През този период също бе отбелязано и сближаване на интензитета на емисиите на парникови газове между държавите членки както на глава от населението, така и на БВП. </w:t>
      </w:r>
    </w:p>
    <w:p>
      <w:pPr>
        <w:jc w:val="both"/>
        <w:rPr>
          <w:rFonts w:ascii="Times New Roman" w:hAnsi="Times New Roman"/>
          <w:noProof/>
          <w:lang w:val="bg-BG"/>
        </w:rPr>
      </w:pPr>
      <w:r>
        <w:rPr>
          <w:rFonts w:ascii="Times New Roman" w:hAnsi="Times New Roman"/>
          <w:noProof/>
          <w:lang w:val="bg-BG"/>
        </w:rPr>
        <w:t>Обхванатите от РРУ емисии на държава членка също значително се понижиха от 2005 г. нататък.</w:t>
      </w:r>
      <w:r>
        <w:rPr>
          <w:rFonts w:ascii="Times New Roman" w:hAnsi="Times New Roman"/>
          <w:noProof/>
          <w:color w:val="000000"/>
          <w:lang w:val="bg-BG"/>
        </w:rPr>
        <w:t xml:space="preserve"> През 2013 г. и 2014 г. обхванатите от РРУ емисии във всички държави членки са под техните годишни пределни стойности</w:t>
      </w:r>
      <w:r>
        <w:rPr>
          <w:rStyle w:val="FootnoteReference"/>
          <w:rFonts w:ascii="Times New Roman" w:hAnsi="Times New Roman"/>
          <w:noProof/>
          <w:color w:val="000000"/>
          <w:lang w:val="bg-BG"/>
        </w:rPr>
        <w:footnoteReference w:id="9"/>
      </w:r>
      <w:r>
        <w:rPr>
          <w:rFonts w:ascii="Times New Roman" w:hAnsi="Times New Roman"/>
          <w:noProof/>
          <w:color w:val="000000"/>
          <w:lang w:val="bg-BG"/>
        </w:rPr>
        <w:t>.</w:t>
      </w:r>
      <w:r>
        <w:rPr>
          <w:rFonts w:ascii="Times New Roman" w:hAnsi="Times New Roman"/>
          <w:noProof/>
          <w:lang w:val="bg-BG"/>
        </w:rPr>
        <w:t xml:space="preserve"> В държавите, на които бе разрешено да увеличават емисиите спрямо нивата от 2005 г., принципно бе постигнато по-голямо преизпълнение. Емисиите на държавите, изпаднали в особено тежка икономическа рецесия (напр. Гърция, Португалия и Испания), също бяха значително по-ниски от техните пределни стойности за 2014 г.</w:t>
      </w:r>
    </w:p>
    <w:p>
      <w:pPr>
        <w:jc w:val="both"/>
        <w:rPr>
          <w:rFonts w:ascii="Times New Roman" w:hAnsi="Times New Roman"/>
          <w:noProof/>
          <w:lang w:val="bg-BG"/>
        </w:rPr>
      </w:pPr>
    </w:p>
    <w:p>
      <w:pPr>
        <w:keepNext/>
        <w:jc w:val="both"/>
        <w:rPr>
          <w:rFonts w:ascii="Times New Roman" w:hAnsi="Times New Roman"/>
          <w:b/>
          <w:noProof/>
          <w:lang w:val="bg-BG"/>
        </w:rPr>
      </w:pPr>
      <w:r>
        <w:rPr>
          <w:rFonts w:ascii="Times New Roman" w:hAnsi="Times New Roman"/>
          <w:b/>
          <w:noProof/>
          <w:lang w:val="bg-BG"/>
        </w:rPr>
        <w:t>Фигура 2: постигнати намаления на емисии по РРУ за 2005 г. — 2013 г. в целия ЕС</w:t>
      </w:r>
    </w:p>
    <w:p>
      <w:pPr>
        <w:rPr>
          <w:noProof/>
          <w:lang w:val="bg-BG"/>
        </w:rPr>
      </w:pPr>
      <w:r>
        <w:rPr>
          <w:noProof/>
          <w:lang w:val="en-US"/>
        </w:rPr>
        <w:drawing>
          <wp:inline distT="0" distB="0" distL="0" distR="0">
            <wp:extent cx="3133725" cy="626110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33725" cy="6261100"/>
                    </a:xfrm>
                    <a:prstGeom prst="rect">
                      <a:avLst/>
                    </a:prstGeom>
                    <a:noFill/>
                  </pic:spPr>
                </pic:pic>
              </a:graphicData>
            </a:graphic>
          </wp:inline>
        </w:drawing>
      </w:r>
    </w:p>
    <w:p>
      <w:pPr>
        <w:jc w:val="both"/>
        <w:rPr>
          <w:rFonts w:ascii="Times New Roman" w:hAnsi="Times New Roman"/>
          <w:noProof/>
          <w:lang w:val="bg-BG"/>
        </w:rPr>
      </w:pPr>
      <w:r>
        <w:rPr>
          <w:rFonts w:ascii="Times New Roman" w:hAnsi="Times New Roman"/>
          <w:noProof/>
          <w:lang w:val="bg-BG"/>
        </w:rPr>
        <w:t>Според представените през 2015 г. прогнози на държавите членки се очаква общите обхванати от РРУ емисии да продължат да спадат до 2020 г. (фигура 3), като се запазят под нивото на целта на равнището на ЕС. Прогнозира се 24 държави членки да постигнат своите национални цели чрез собствени средства, докато за четири държави членки се очаква да се нуждаят от допълнителни мерки или да използват инструментите за гъвкаво управление, предвидени в РРУ, за да постигнат своите цели</w:t>
      </w:r>
      <w:r>
        <w:rPr>
          <w:rStyle w:val="FootnoteReference"/>
          <w:rFonts w:ascii="Times New Roman" w:hAnsi="Times New Roman"/>
          <w:noProof/>
          <w:sz w:val="22"/>
          <w:lang w:val="bg-BG"/>
        </w:rPr>
        <w:footnoteReference w:id="10"/>
      </w:r>
      <w:r>
        <w:rPr>
          <w:rFonts w:ascii="Times New Roman" w:hAnsi="Times New Roman"/>
          <w:noProof/>
          <w:lang w:val="bg-BG"/>
        </w:rPr>
        <w:t>.</w:t>
      </w:r>
    </w:p>
    <w:p>
      <w:pPr>
        <w:jc w:val="both"/>
        <w:rPr>
          <w:rFonts w:ascii="Times New Roman" w:hAnsi="Times New Roman"/>
          <w:noProof/>
          <w:lang w:val="bg-BG"/>
        </w:rPr>
      </w:pPr>
      <w:r>
        <w:rPr>
          <w:rFonts w:ascii="Times New Roman" w:hAnsi="Times New Roman"/>
          <w:noProof/>
          <w:lang w:val="bg-BG"/>
        </w:rPr>
        <w:t>Досега предвидените в РРУ инструменти за гъвкаво управление не са използвани в никоя държава членка, тъй като изглежда, че през първите две години от периода на изпълнение на задълженията всички държави се вместват в своите годишни пределни стойности за емисиите. В бъдеще може да се очаква, че инструментите за гъвкаво управление, като например търговия с други държави членки, ще се използват от някои държави членки, за чиито емисии се прогнозира, че ще надхвърлят техните пределни стойности до 2020 г. Макар че инструментите за гъвкаво управление в рамките на РРУ не са изпробвани, те продължават да имат широка подкрепа и отново получиха одобрението на държавите членки по време на консултацията със заинтересованите страни.</w:t>
      </w:r>
    </w:p>
    <w:p>
      <w:pPr>
        <w:keepNext/>
        <w:rPr>
          <w:rFonts w:ascii="Times New Roman" w:hAnsi="Times New Roman"/>
          <w:b/>
          <w:noProof/>
        </w:rPr>
      </w:pPr>
      <w:bookmarkStart w:id="3" w:name="_Toc449716497"/>
      <w:r>
        <w:rPr>
          <w:rFonts w:ascii="Times New Roman" w:hAnsi="Times New Roman"/>
          <w:b/>
          <w:noProof/>
          <w:lang w:val="bg-BG"/>
        </w:rPr>
        <w:t>Фигура 3: реални и прогнозни общи емисии, обхванати от РРУ за 20</w:t>
      </w:r>
      <w:r>
        <w:rPr>
          <w:rFonts w:ascii="Times New Roman" w:hAnsi="Times New Roman"/>
          <w:b/>
          <w:noProof/>
          <w:lang w:val="ru-RU"/>
        </w:rPr>
        <w:t>0</w:t>
      </w:r>
      <w:r>
        <w:rPr>
          <w:rFonts w:ascii="Times New Roman" w:hAnsi="Times New Roman"/>
          <w:b/>
          <w:noProof/>
          <w:lang w:val="bg-BG"/>
        </w:rPr>
        <w:t>5 г. — 2020 г.</w:t>
      </w:r>
      <w:bookmarkEnd w:id="3"/>
    </w:p>
    <w:p>
      <w:pPr>
        <w:keepNext/>
        <w:rPr>
          <w:rFonts w:ascii="Times New Roman" w:hAnsi="Times New Roman"/>
          <w:b/>
          <w:noProof/>
          <w:lang w:val="ru-RU"/>
        </w:rPr>
      </w:pPr>
    </w:p>
    <w:p>
      <w:pPr>
        <w:rPr>
          <w:noProof/>
          <w:lang w:val="bg-BG"/>
        </w:rPr>
      </w:pPr>
      <w:r>
        <w:rPr>
          <w:noProof/>
          <w:lang w:val="en-US"/>
        </w:rPr>
        <w:drawing>
          <wp:inline distT="0" distB="0" distL="0" distR="0">
            <wp:extent cx="5732060" cy="30922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3510" cy="3092992"/>
                    </a:xfrm>
                    <a:prstGeom prst="rect">
                      <a:avLst/>
                    </a:prstGeom>
                    <a:noFill/>
                  </pic:spPr>
                </pic:pic>
              </a:graphicData>
            </a:graphic>
          </wp:inline>
        </w:drawing>
      </w:r>
    </w:p>
    <w:p>
      <w:pPr>
        <w:rPr>
          <w:rFonts w:ascii="Times New Roman" w:hAnsi="Times New Roman"/>
          <w:noProof/>
          <w:sz w:val="20"/>
          <w:szCs w:val="20"/>
          <w:lang w:val="bg-BG"/>
        </w:rPr>
      </w:pPr>
      <w:r>
        <w:rPr>
          <w:rFonts w:ascii="Times New Roman" w:hAnsi="Times New Roman"/>
          <w:noProof/>
          <w:sz w:val="20"/>
          <w:lang w:val="bg-BG"/>
        </w:rPr>
        <w:t>Източник: ЕИП (2015 г.). Тенденции и прогнози за Европа 2015 г., актуализирани с данните от инвентаризацията на емисиите за март 2016 г. Черната пунктирана линия представлява правата на годишните пределни стойности на емисиите съгласно РРУ за периода 2013 г. — 2020 г.</w:t>
      </w:r>
    </w:p>
    <w:p>
      <w:pPr>
        <w:rPr>
          <w:rFonts w:ascii="Times New Roman" w:hAnsi="Times New Roman"/>
          <w:noProof/>
          <w:sz w:val="20"/>
          <w:szCs w:val="20"/>
          <w:lang w:val="bg-BG"/>
        </w:rPr>
      </w:pPr>
    </w:p>
    <w:p>
      <w:pPr>
        <w:pStyle w:val="Heading2"/>
        <w:numPr>
          <w:ilvl w:val="0"/>
          <w:numId w:val="1"/>
        </w:numPr>
        <w:rPr>
          <w:rFonts w:ascii="Times New Roman" w:hAnsi="Times New Roman"/>
          <w:noProof/>
          <w:color w:val="auto"/>
          <w:lang w:val="bg-BG"/>
        </w:rPr>
      </w:pPr>
      <w:r>
        <w:rPr>
          <w:rFonts w:ascii="Times New Roman" w:hAnsi="Times New Roman"/>
          <w:noProof/>
          <w:color w:val="auto"/>
          <w:lang w:val="bg-BG"/>
        </w:rPr>
        <w:t>Резултати от оценката</w:t>
      </w:r>
    </w:p>
    <w:p>
      <w:pPr>
        <w:jc w:val="both"/>
        <w:rPr>
          <w:rFonts w:ascii="Times New Roman" w:hAnsi="Times New Roman"/>
          <w:noProof/>
          <w:lang w:val="bg-BG"/>
        </w:rPr>
      </w:pPr>
      <w:r>
        <w:rPr>
          <w:rFonts w:ascii="Times New Roman" w:hAnsi="Times New Roman"/>
          <w:noProof/>
          <w:lang w:val="bg-BG"/>
        </w:rPr>
        <w:t xml:space="preserve">Съгласно насоките за оценка на Комисията в оценката бяха обхванати приложимостта, ефикасността, ефективността, съгласуваността и добавената стойност за ЕС на Решението за разпределяне на усилията. В нея се разгледа също и дали е постигнато въздействие върху конкуренцията, тъй като това е изискване по член 14 от РРУ. </w:t>
      </w:r>
    </w:p>
    <w:p>
      <w:pPr>
        <w:pStyle w:val="Heading3"/>
        <w:rPr>
          <w:rFonts w:ascii="Times New Roman" w:hAnsi="Times New Roman"/>
          <w:noProof/>
          <w:color w:val="auto"/>
          <w:lang w:val="bg-BG"/>
        </w:rPr>
      </w:pPr>
      <w:r>
        <w:rPr>
          <w:rFonts w:ascii="Times New Roman" w:hAnsi="Times New Roman"/>
          <w:noProof/>
          <w:color w:val="auto"/>
          <w:lang w:val="bg-BG"/>
        </w:rPr>
        <w:t>5.1</w:t>
      </w:r>
      <w:r>
        <w:rPr>
          <w:noProof/>
          <w:color w:val="auto"/>
          <w:lang w:val="bg-BG"/>
        </w:rPr>
        <w:tab/>
      </w:r>
      <w:r>
        <w:rPr>
          <w:rFonts w:ascii="Times New Roman" w:hAnsi="Times New Roman"/>
          <w:noProof/>
          <w:color w:val="auto"/>
          <w:lang w:val="bg-BG"/>
        </w:rPr>
        <w:t>Приложимост</w:t>
      </w:r>
    </w:p>
    <w:p>
      <w:pPr>
        <w:jc w:val="both"/>
        <w:rPr>
          <w:rFonts w:ascii="Times New Roman" w:hAnsi="Times New Roman"/>
          <w:i/>
          <w:noProof/>
          <w:lang w:val="bg-BG"/>
        </w:rPr>
      </w:pPr>
      <w:r>
        <w:rPr>
          <w:rFonts w:ascii="Times New Roman" w:hAnsi="Times New Roman"/>
          <w:noProof/>
          <w:lang w:val="bg-BG"/>
        </w:rPr>
        <w:t>Целите на РРУ остават приложими и все още съответстват в значителна степен на нуждите на ЕС. По-специално остава необходимостта от продължаване на ограничаването на антропогенните емисии на парникови газове и от въвеждане на подходящи механизми, които да отразяват пълната социална цена на изменението на климата. РРУ остава приложимо също и за отстраняване на неефективностите на пазара, тъй като задължителният характер на Решението спомага за осигуряване на подходящи ценови сигнали за намаляване на емисиите</w:t>
      </w:r>
      <w:r>
        <w:rPr>
          <w:rFonts w:ascii="Times New Roman" w:hAnsi="Times New Roman"/>
          <w:i/>
          <w:noProof/>
          <w:lang w:val="bg-BG"/>
        </w:rPr>
        <w:t>.</w:t>
      </w:r>
    </w:p>
    <w:p>
      <w:pPr>
        <w:pStyle w:val="Subtitle1"/>
        <w:spacing w:before="120" w:after="120"/>
        <w:jc w:val="both"/>
        <w:rPr>
          <w:rFonts w:ascii="Times New Roman" w:hAnsi="Times New Roman"/>
          <w:b w:val="0"/>
          <w:i w:val="0"/>
          <w:noProof/>
          <w:sz w:val="22"/>
          <w:lang w:val="bg-BG"/>
        </w:rPr>
      </w:pPr>
      <w:r>
        <w:rPr>
          <w:rFonts w:ascii="Times New Roman" w:hAnsi="Times New Roman"/>
          <w:b w:val="0"/>
          <w:i w:val="0"/>
          <w:noProof/>
          <w:sz w:val="22"/>
          <w:lang w:val="bg-BG"/>
        </w:rPr>
        <w:t>Заключенията на Европейския съвет от октомври 2014 г. относно Рамката на политиката за климата и енергетиката до 2030 г. потвърдиха значението на РРУ и продължаването му до 2030 г., като се запазват всички елементи, приложени в Решението за разпределяне</w:t>
      </w:r>
      <w:r>
        <w:rPr>
          <w:rFonts w:ascii="Times New Roman" w:hAnsi="Times New Roman"/>
          <w:noProof/>
          <w:lang w:val="bg-BG"/>
        </w:rPr>
        <w:t xml:space="preserve"> </w:t>
      </w:r>
      <w:r>
        <w:rPr>
          <w:rFonts w:ascii="Times New Roman" w:hAnsi="Times New Roman"/>
          <w:b w:val="0"/>
          <w:i w:val="0"/>
          <w:noProof/>
          <w:sz w:val="22"/>
          <w:lang w:val="bg-BG"/>
        </w:rPr>
        <w:t xml:space="preserve">на усилията за 2020 г. </w:t>
      </w:r>
    </w:p>
    <w:p>
      <w:pPr>
        <w:pStyle w:val="Subtitle1"/>
        <w:spacing w:before="120" w:after="120"/>
        <w:jc w:val="both"/>
        <w:rPr>
          <w:rFonts w:ascii="Times New Roman" w:hAnsi="Times New Roman"/>
          <w:b w:val="0"/>
          <w:i w:val="0"/>
          <w:noProof/>
          <w:sz w:val="22"/>
          <w:lang w:val="bg-BG"/>
        </w:rPr>
      </w:pPr>
      <w:r>
        <w:rPr>
          <w:rFonts w:ascii="Times New Roman" w:hAnsi="Times New Roman"/>
          <w:b w:val="0"/>
          <w:i w:val="0"/>
          <w:noProof/>
          <w:sz w:val="22"/>
          <w:lang w:val="bg-BG"/>
        </w:rPr>
        <w:t xml:space="preserve">Приемането през декември 2015 г. на Парижкото споразумение потвърждава ангажимента на най-високо равнище на ЕС за значителни намаления на вътрешните емисии на парникови газове също и за 2030 г., и по-нататък. Както е предвидено в неговия планиран национално определен принос (INDC), ЕС се ангажира с намаление до 2030 г. на емисиите на своя територия с най-малко 40 % спрямо нивата от 1990 г. </w:t>
      </w:r>
    </w:p>
    <w:p>
      <w:pPr>
        <w:pStyle w:val="Heading3"/>
        <w:rPr>
          <w:rFonts w:ascii="Times New Roman" w:hAnsi="Times New Roman"/>
          <w:noProof/>
          <w:color w:val="auto"/>
          <w:lang w:val="bg-BG"/>
        </w:rPr>
      </w:pPr>
      <w:r>
        <w:rPr>
          <w:rFonts w:ascii="Times New Roman" w:hAnsi="Times New Roman"/>
          <w:noProof/>
          <w:color w:val="auto"/>
          <w:lang w:val="bg-BG"/>
        </w:rPr>
        <w:t>5.2</w:t>
      </w:r>
      <w:r>
        <w:rPr>
          <w:noProof/>
          <w:color w:val="auto"/>
          <w:lang w:val="bg-BG"/>
        </w:rPr>
        <w:tab/>
      </w:r>
      <w:r>
        <w:rPr>
          <w:rFonts w:ascii="Times New Roman" w:hAnsi="Times New Roman"/>
          <w:noProof/>
          <w:color w:val="auto"/>
          <w:lang w:val="bg-BG"/>
        </w:rPr>
        <w:t>Ефективност</w:t>
      </w:r>
    </w:p>
    <w:p>
      <w:pPr>
        <w:jc w:val="both"/>
        <w:rPr>
          <w:rFonts w:ascii="Times New Roman" w:hAnsi="Times New Roman"/>
          <w:noProof/>
          <w:lang w:val="bg-BG"/>
        </w:rPr>
      </w:pPr>
      <w:r>
        <w:rPr>
          <w:rFonts w:ascii="Times New Roman" w:hAnsi="Times New Roman"/>
          <w:noProof/>
          <w:lang w:val="bg-BG"/>
        </w:rPr>
        <w:t>ЕС е на път да постигне своята цел за намаление на емисиите на парникови газове до 2020 г. в отраслите според РРУ. Въз основа на представените през 2015 г. доклади на държавите членки емисиите на парникови газове през 2013 г. и 2014 г. във всички държави членки бяха под своите годишни пределни стойности за тези години. Общите емисии през 2013 г. на равнището на ЕС, обхванати от РРУ, бяха с 9,7 % по-ниски от тези през 2005 г. През 2014 г. обхванатите от РРУ емисии на ЕС се понижиха още до ниво 12,9 % под нивата от 2005 г., което бе по-ниско от целта съгласно РРУ за целия ЕС за 2020 г. Това означава, че ЕС е на път да постигне своята цел съгласно РРУ през 2020 г. и че всички държави членки са допринесли за намалението на емисиите на парникови газове.</w:t>
      </w:r>
      <w:r>
        <w:rPr>
          <w:rFonts w:ascii="Times New Roman" w:hAnsi="Times New Roman"/>
          <w:b/>
          <w:i/>
          <w:noProof/>
          <w:lang w:val="bg-BG"/>
        </w:rPr>
        <w:t xml:space="preserve"> </w:t>
      </w:r>
    </w:p>
    <w:p>
      <w:pPr>
        <w:pStyle w:val="Subtitle1"/>
        <w:spacing w:before="120" w:after="120"/>
        <w:jc w:val="both"/>
        <w:rPr>
          <w:rFonts w:ascii="Times New Roman" w:hAnsi="Times New Roman"/>
          <w:b w:val="0"/>
          <w:i w:val="0"/>
          <w:noProof/>
          <w:sz w:val="22"/>
          <w:lang w:val="bg-BG"/>
        </w:rPr>
      </w:pPr>
      <w:r>
        <w:rPr>
          <w:rFonts w:ascii="Times New Roman" w:hAnsi="Times New Roman"/>
          <w:b w:val="0"/>
          <w:i w:val="0"/>
          <w:noProof/>
          <w:sz w:val="22"/>
          <w:lang w:val="bg-BG"/>
        </w:rPr>
        <w:t>Постигнатото намаление на емисиите представлява значително подобрение в изпълнението в сравнение с основния вариант, когато бяха договорени целите за 2020 г. Досега намаленията на емисиите са много по-значителни от очакваното през 2007 г., когато Европейският съвет одобри общите цели на ЕС по отношение на климата за 2020 г., а Комисията извърши оценка на въздействието на пакета документи за климата и енергетиката. Като основен вариант в тази оценка на въздействието се очакваше обхванатите от РРУ емисии за целия ЕС да се увеличат с 2,4 % между 2005 г. и 2020 г.</w:t>
      </w:r>
      <w:r>
        <w:rPr>
          <w:rStyle w:val="FootnoteReference"/>
          <w:rFonts w:ascii="Times New Roman" w:hAnsi="Times New Roman"/>
          <w:b w:val="0"/>
          <w:i w:val="0"/>
          <w:noProof/>
          <w:lang w:val="bg-BG"/>
        </w:rPr>
        <w:footnoteReference w:id="11"/>
      </w:r>
      <w:r>
        <w:rPr>
          <w:rFonts w:ascii="Times New Roman" w:hAnsi="Times New Roman"/>
          <w:b w:val="0"/>
          <w:i w:val="0"/>
          <w:noProof/>
          <w:sz w:val="22"/>
          <w:lang w:val="bg-BG"/>
        </w:rPr>
        <w:t xml:space="preserve">. </w:t>
      </w:r>
    </w:p>
    <w:p>
      <w:pPr>
        <w:pStyle w:val="Subtitle1"/>
        <w:spacing w:before="120" w:after="120"/>
        <w:jc w:val="both"/>
        <w:rPr>
          <w:rFonts w:ascii="Times New Roman" w:hAnsi="Times New Roman"/>
          <w:b w:val="0"/>
          <w:i w:val="0"/>
          <w:noProof/>
          <w:sz w:val="22"/>
          <w:szCs w:val="22"/>
          <w:lang w:val="bg-BG"/>
        </w:rPr>
      </w:pPr>
      <w:r>
        <w:rPr>
          <w:rFonts w:ascii="Times New Roman" w:hAnsi="Times New Roman"/>
          <w:b w:val="0"/>
          <w:i w:val="0"/>
          <w:noProof/>
          <w:sz w:val="22"/>
          <w:lang w:val="bg-BG"/>
        </w:rPr>
        <w:t xml:space="preserve">И досега икономическата рецесия оказва въздействие върху емисиите на парникови газове в някои отрасли на РРУ (особено превоза на товари), като се очаква тези въздействия да дават отзвук до 2020 г. Въпреки това колебанията в БВП не оказват пряко въздействие върху много обхванати от РРУ отрасли (като например сградния фонд и селското стопанство), които са по-податливи на влияние на различни политики, а това дава основание да се заключи, че някои от емисиите на парникови газове в обхванатите от РРУ отрасли могат да бъдат отдадени на намесата на такива политики на равнището на ЕС и на държавите членки. </w:t>
      </w:r>
    </w:p>
    <w:p>
      <w:pPr>
        <w:pStyle w:val="Subtitle1"/>
        <w:spacing w:before="120" w:after="120"/>
        <w:jc w:val="both"/>
        <w:rPr>
          <w:rFonts w:ascii="Times New Roman" w:hAnsi="Times New Roman"/>
          <w:b w:val="0"/>
          <w:i w:val="0"/>
          <w:noProof/>
          <w:sz w:val="22"/>
          <w:lang w:val="bg-BG"/>
        </w:rPr>
      </w:pPr>
      <w:r>
        <w:rPr>
          <w:rFonts w:ascii="Times New Roman" w:hAnsi="Times New Roman"/>
          <w:b w:val="0"/>
          <w:i w:val="0"/>
          <w:noProof/>
          <w:sz w:val="22"/>
          <w:lang w:val="bg-BG"/>
        </w:rPr>
        <w:t>С други думи, постигнатите намаления на емисиите могат отчасти да бъдат отдадени на политиките и мерките в областта на климата и енергетиката, които държавите членки вече са приложили (някои от които в отговор на РРУ), и се очаква да продължат да ограничават емисиите в бъдеще.</w:t>
      </w:r>
    </w:p>
    <w:p>
      <w:pPr>
        <w:jc w:val="both"/>
        <w:rPr>
          <w:rFonts w:ascii="Times New Roman" w:hAnsi="Times New Roman"/>
          <w:noProof/>
          <w:lang w:val="bg-BG"/>
        </w:rPr>
      </w:pPr>
      <w:r>
        <w:rPr>
          <w:rFonts w:ascii="Times New Roman" w:hAnsi="Times New Roman"/>
          <w:noProof/>
          <w:lang w:val="bg-BG"/>
        </w:rPr>
        <w:t>Това наблюдение се подкрепя допълнително и от декомпозиционен анализ, извършен за периода 2005 г. — 2012 г., който обхваща емисиите на CO</w:t>
      </w:r>
      <w:r>
        <w:rPr>
          <w:rFonts w:ascii="Times New Roman" w:hAnsi="Times New Roman"/>
          <w:noProof/>
          <w:vertAlign w:val="subscript"/>
          <w:lang w:val="bg-BG"/>
        </w:rPr>
        <w:t xml:space="preserve">2 </w:t>
      </w:r>
      <w:r>
        <w:rPr>
          <w:rFonts w:ascii="Times New Roman" w:hAnsi="Times New Roman"/>
          <w:noProof/>
          <w:lang w:val="bg-BG"/>
        </w:rPr>
        <w:t>от изгаряне на изкопаеми горива, на които се падат около 80 % от общите ЕПГ, както в обхванатите от СТЕ отрасли, така и в отраслите в рамките на РРУ. При анализа бе направено заключението, че технологичните промени са имали най-голям принос за намалението на емисиите, който значително надвишава приноса на прехвърлянето в рамките на икономическите отрасли и между тях и далеч компенсира свързаните с БВП причинители на емисиите в условията на икономическа криза.</w:t>
      </w:r>
    </w:p>
    <w:p>
      <w:pPr>
        <w:jc w:val="both"/>
        <w:rPr>
          <w:rFonts w:ascii="Times New Roman" w:hAnsi="Times New Roman"/>
          <w:noProof/>
          <w:lang w:val="bg-BG"/>
        </w:rPr>
      </w:pPr>
      <w:r>
        <w:rPr>
          <w:rFonts w:ascii="Times New Roman" w:hAnsi="Times New Roman"/>
          <w:noProof/>
          <w:lang w:val="bg-BG"/>
        </w:rPr>
        <w:t>Резултатите показаха, че емисиите на CO</w:t>
      </w:r>
      <w:r>
        <w:rPr>
          <w:rFonts w:ascii="Times New Roman" w:hAnsi="Times New Roman"/>
          <w:noProof/>
          <w:vertAlign w:val="subscript"/>
          <w:lang w:val="bg-BG"/>
        </w:rPr>
        <w:t>2</w:t>
      </w:r>
      <w:r>
        <w:rPr>
          <w:rFonts w:ascii="Times New Roman" w:hAnsi="Times New Roman"/>
          <w:noProof/>
          <w:lang w:val="bg-BG"/>
        </w:rPr>
        <w:t xml:space="preserve"> между 2005 г. и 2012 г. са намалели като цяло с 11,5 %. Технологичните промени имаха най-значим ефект за намалението на емисиите, като доведоха до намаление с 18,5 % и значително надвишиха приноса на прехвърлянето между икономическите отрасли. Като цяло, политиките, провеждани в областта на климата и енергетиката, имаха значителен принос за въвеждането на нисковъглеродни технологии, включително енергията от възобновяеми източници. Ръстът на икономическата активност (БВП) доведе до нарастване на емисиите с 6,8 %. Структурните промени в икономиката (при постоянен БВП и интензитет на CO</w:t>
      </w:r>
      <w:r>
        <w:rPr>
          <w:rFonts w:ascii="Times New Roman" w:hAnsi="Times New Roman"/>
          <w:noProof/>
          <w:vertAlign w:val="subscript"/>
          <w:lang w:val="bg-BG"/>
        </w:rPr>
        <w:t>2</w:t>
      </w:r>
      <w:r>
        <w:rPr>
          <w:rFonts w:ascii="Times New Roman" w:hAnsi="Times New Roman"/>
          <w:noProof/>
          <w:lang w:val="bg-BG"/>
        </w:rPr>
        <w:t xml:space="preserve"> във всеки икономически отрасъл) доведоха до по-слабо увеличение на емисиите с 1,7 %</w:t>
      </w:r>
      <w:r>
        <w:rPr>
          <w:rStyle w:val="FootnoteReference"/>
          <w:rFonts w:ascii="Times New Roman" w:hAnsi="Times New Roman"/>
          <w:noProof/>
          <w:sz w:val="22"/>
          <w:lang w:val="bg-BG"/>
        </w:rPr>
        <w:footnoteReference w:id="12"/>
      </w:r>
      <w:r>
        <w:rPr>
          <w:rFonts w:ascii="Times New Roman" w:hAnsi="Times New Roman"/>
          <w:noProof/>
          <w:lang w:val="bg-BG"/>
        </w:rPr>
        <w:t xml:space="preserve">. </w:t>
      </w:r>
    </w:p>
    <w:p>
      <w:pPr>
        <w:jc w:val="both"/>
        <w:rPr>
          <w:rFonts w:ascii="Times New Roman" w:hAnsi="Times New Roman"/>
          <w:noProof/>
          <w:lang w:val="bg-BG"/>
        </w:rPr>
      </w:pPr>
      <w:r>
        <w:rPr>
          <w:rFonts w:ascii="Times New Roman" w:hAnsi="Times New Roman"/>
          <w:noProof/>
          <w:lang w:val="bg-BG"/>
        </w:rPr>
        <w:t>Не беше възможно да се определи количествено степента, до която наблюдаваната тенденция на историческите емисии и очакваните тенденции на бъдещите емисии, могат да бъдат обосновано отдадени на конкретни политики. Трудно е, по-специално, да се изолира влиянието на РРУ върху националните политики за климата и енергетиката и от други инициативи в целия ЕС по пакета от документи за климата и енергетиката, които имат по-пряко въздействие върху различните причинители на емисиите.</w:t>
      </w:r>
    </w:p>
    <w:p>
      <w:pPr>
        <w:jc w:val="both"/>
        <w:rPr>
          <w:rFonts w:ascii="Times New Roman" w:hAnsi="Times New Roman"/>
          <w:noProof/>
          <w:lang w:val="bg-BG"/>
        </w:rPr>
      </w:pPr>
      <w:r>
        <w:rPr>
          <w:rFonts w:ascii="Times New Roman" w:hAnsi="Times New Roman"/>
          <w:noProof/>
          <w:lang w:val="bg-BG"/>
        </w:rPr>
        <w:t>Докато някои заинтересовани страни счетоха, че РРУ е важна движеща сила за нови национални политики и мерки в някои държави членки, други бяха на мнение, че досега РРУ вероятно е оказвало слабо или никакво влияние върху развитието на националните политики. Нивото на влияние на РРУ явно варира между отделните държави членки, което може да отразява различното положение на държавите членки по отношение на целите им, свързани с РРУ, т.е. дали трябва да предприемат по-нататъшни действия или не.</w:t>
      </w:r>
    </w:p>
    <w:p>
      <w:pPr>
        <w:jc w:val="both"/>
        <w:rPr>
          <w:rFonts w:ascii="Times New Roman" w:hAnsi="Times New Roman"/>
          <w:noProof/>
          <w:lang w:val="bg-BG"/>
        </w:rPr>
      </w:pPr>
      <w:r>
        <w:rPr>
          <w:rFonts w:ascii="Times New Roman" w:hAnsi="Times New Roman"/>
          <w:noProof/>
          <w:lang w:val="bg-BG"/>
        </w:rPr>
        <w:t xml:space="preserve">Оценката на РРУ показа увеличение на изпълнението на националните политики в отраслите, обхванати от РРУ през повечето години, считано от 2007 г. нататък, когато Европейският съвет постигна съгласие по общите цели на ЕС за климата за 2020 г. Без РРУ действията на равнище държави членки за намаление на емисиите в отраслите, обхванати от РРУ, вероятно нямаше да бъдат предприети или можеше да бъдат предприети с по-бавни темпове. </w:t>
      </w:r>
    </w:p>
    <w:p>
      <w:pPr>
        <w:pStyle w:val="Heading3"/>
        <w:rPr>
          <w:rFonts w:ascii="Times New Roman" w:hAnsi="Times New Roman"/>
          <w:noProof/>
          <w:color w:val="auto"/>
          <w:lang w:val="bg-BG"/>
        </w:rPr>
      </w:pPr>
      <w:r>
        <w:rPr>
          <w:rFonts w:ascii="Times New Roman" w:hAnsi="Times New Roman"/>
          <w:noProof/>
          <w:color w:val="auto"/>
          <w:lang w:val="bg-BG"/>
        </w:rPr>
        <w:t>5.3</w:t>
      </w:r>
      <w:r>
        <w:rPr>
          <w:noProof/>
          <w:color w:val="auto"/>
          <w:lang w:val="bg-BG"/>
        </w:rPr>
        <w:tab/>
      </w:r>
      <w:r>
        <w:rPr>
          <w:rFonts w:ascii="Times New Roman" w:hAnsi="Times New Roman"/>
          <w:noProof/>
          <w:color w:val="auto"/>
          <w:lang w:val="bg-BG"/>
        </w:rPr>
        <w:t>Ефикасност</w:t>
      </w:r>
    </w:p>
    <w:p>
      <w:pPr>
        <w:pStyle w:val="Subtitle1"/>
        <w:spacing w:before="120" w:after="120"/>
        <w:jc w:val="both"/>
        <w:rPr>
          <w:rFonts w:ascii="Times New Roman" w:hAnsi="Times New Roman"/>
          <w:b w:val="0"/>
          <w:i w:val="0"/>
          <w:noProof/>
          <w:sz w:val="22"/>
          <w:szCs w:val="22"/>
          <w:lang w:val="bg-BG"/>
        </w:rPr>
      </w:pPr>
      <w:r>
        <w:rPr>
          <w:rFonts w:ascii="Times New Roman" w:hAnsi="Times New Roman"/>
          <w:b w:val="0"/>
          <w:i w:val="0"/>
          <w:noProof/>
          <w:sz w:val="22"/>
          <w:lang w:val="bg-BG"/>
        </w:rPr>
        <w:t>Трудно е да бъде определен количественият размер на разходите и ползите в резултат на прилагането на мерки в обхванатите от РРУ отрасли, тъй като е трудно към момента да се установи наличието на пряка връзка между много национални политики за климата и енергетиката и намаляването на емисиите в отраслите, обхванати от РРУ. Това се дължи и на факта, че политиките и мерките, докладвани от държавите членки, дават недостатъчна информация за очакваните и реалните разходи и ползи от тях.</w:t>
      </w:r>
    </w:p>
    <w:p>
      <w:pPr>
        <w:jc w:val="both"/>
        <w:rPr>
          <w:rFonts w:ascii="Times New Roman" w:hAnsi="Times New Roman"/>
          <w:noProof/>
          <w:lang w:val="bg-BG"/>
        </w:rPr>
      </w:pPr>
      <w:r>
        <w:rPr>
          <w:rFonts w:ascii="Times New Roman" w:hAnsi="Times New Roman"/>
          <w:noProof/>
          <w:lang w:val="bg-BG"/>
        </w:rPr>
        <w:t>Основната полза, свързана с РРУ, се отнася до намалението на ЕПГ в отраслите, обхванати от Решението. В допълнение към всички преки разходи изпълнението</w:t>
      </w:r>
      <w:r>
        <w:rPr>
          <w:rFonts w:ascii="Times New Roman" w:hAnsi="Times New Roman"/>
          <w:b/>
          <w:i/>
          <w:noProof/>
          <w:lang w:val="bg-BG"/>
        </w:rPr>
        <w:t xml:space="preserve"> </w:t>
      </w:r>
      <w:r>
        <w:rPr>
          <w:rFonts w:ascii="Times New Roman" w:hAnsi="Times New Roman"/>
          <w:noProof/>
          <w:lang w:val="bg-BG"/>
        </w:rPr>
        <w:t>на РРУ е постигнало редица потенциални съпътстващи икономически ползи, като например подобряването на качеството на въздуха и енергийната сигурност.</w:t>
      </w:r>
    </w:p>
    <w:p>
      <w:pPr>
        <w:jc w:val="both"/>
        <w:rPr>
          <w:rFonts w:ascii="Times New Roman" w:hAnsi="Times New Roman"/>
          <w:noProof/>
          <w:lang w:val="bg-BG"/>
        </w:rPr>
      </w:pPr>
      <w:r>
        <w:rPr>
          <w:rFonts w:ascii="Times New Roman" w:hAnsi="Times New Roman"/>
          <w:noProof/>
          <w:lang w:val="bg-BG"/>
        </w:rPr>
        <w:t>Друга по-качествена полза от РРУ е, че то помага на държавите членки при създаването на институционални рамки, цели и процедури за събиране на данни и докладване относно намалението на емисиите в обхванатите от РРУ отрасли. Тази полза е по-видна в онези държави членки, в които политиките за намаление на емисиите в тези отрасли са прехвърлени на регионално ниво.</w:t>
      </w:r>
    </w:p>
    <w:p>
      <w:pPr>
        <w:pStyle w:val="Subtitle1"/>
        <w:spacing w:before="120" w:after="120"/>
        <w:jc w:val="both"/>
        <w:rPr>
          <w:rFonts w:ascii="Times New Roman" w:hAnsi="Times New Roman"/>
          <w:b w:val="0"/>
          <w:i w:val="0"/>
          <w:noProof/>
          <w:sz w:val="22"/>
          <w:szCs w:val="22"/>
          <w:lang w:val="bg-BG"/>
        </w:rPr>
      </w:pPr>
      <w:r>
        <w:rPr>
          <w:rFonts w:ascii="Times New Roman" w:hAnsi="Times New Roman"/>
          <w:b w:val="0"/>
          <w:i w:val="0"/>
          <w:noProof/>
          <w:sz w:val="22"/>
          <w:lang w:val="bg-BG"/>
        </w:rPr>
        <w:t>Разходите за изпълнението на РРУ идват от два основни източника — прилагане на политики и мерки в съответните отрасли и докладване по РРУ.</w:t>
      </w:r>
    </w:p>
    <w:p>
      <w:pPr>
        <w:jc w:val="both"/>
        <w:rPr>
          <w:rFonts w:ascii="Times New Roman" w:hAnsi="Times New Roman"/>
          <w:noProof/>
          <w:lang w:val="bg-BG"/>
        </w:rPr>
      </w:pPr>
      <w:r>
        <w:rPr>
          <w:rFonts w:ascii="Times New Roman" w:hAnsi="Times New Roman"/>
          <w:noProof/>
          <w:lang w:val="bg-BG"/>
        </w:rPr>
        <w:t>По отношение на разходите за докладване бе установено, че предоставянето на резултати по РРУ става по ефективен начин, макар че все още може да има възможности за намаление на административната тежест. Разходите, свързани с докладването и изпълнението, са скромни и се поемат основно от Комисията и Европейската агенция за околната среда. Не бе установена значителна разлика между държавите членки. Възможно е да съществуват възможности за намаление на административните разходи на равнището на ЕС, например чрез опростени или по-редки проверки на изпълнението.</w:t>
      </w:r>
    </w:p>
    <w:p>
      <w:pPr>
        <w:pStyle w:val="Subtitle1"/>
        <w:spacing w:before="120" w:after="120"/>
        <w:jc w:val="both"/>
        <w:rPr>
          <w:rFonts w:ascii="Times New Roman" w:hAnsi="Times New Roman"/>
          <w:b w:val="0"/>
          <w:i w:val="0"/>
          <w:noProof/>
          <w:sz w:val="22"/>
          <w:szCs w:val="22"/>
          <w:lang w:val="bg-BG"/>
        </w:rPr>
      </w:pPr>
      <w:r>
        <w:rPr>
          <w:rFonts w:ascii="Times New Roman" w:hAnsi="Times New Roman"/>
          <w:b w:val="0"/>
          <w:i w:val="0"/>
          <w:noProof/>
          <w:sz w:val="22"/>
          <w:lang w:val="bg-BG"/>
        </w:rPr>
        <w:t xml:space="preserve">По отношение на инструментите за гъвкаво управление, предвидени в РРУ, три държави членки посочиха, че са планирали да закупят годишно разпределени количества емисии (ГРКЕ) от други, докато десет държави членки възнамеряваха да продават ГРКЕ. Слабото търсене на такива прехвърляния може да се дължи на факта, че РРУ е все още в първите години на прилагането си и че може да съществуват други фактори, непроучени в оценката, които биха подтикнали държавите членки да предпочетат прилагането на собствени действия на местно ниво, вместо да купуват ГРКЕ от други държави членки. </w:t>
      </w:r>
    </w:p>
    <w:p>
      <w:pPr>
        <w:pStyle w:val="Heading3"/>
        <w:rPr>
          <w:rFonts w:ascii="Times New Roman" w:eastAsia="Calibri" w:hAnsi="Times New Roman"/>
          <w:noProof/>
          <w:color w:val="auto"/>
          <w:lang w:val="bg-BG"/>
        </w:rPr>
      </w:pPr>
      <w:r>
        <w:rPr>
          <w:rFonts w:ascii="Times New Roman" w:hAnsi="Times New Roman"/>
          <w:noProof/>
          <w:color w:val="auto"/>
          <w:lang w:val="bg-BG"/>
        </w:rPr>
        <w:t>5.4</w:t>
      </w:r>
      <w:r>
        <w:rPr>
          <w:noProof/>
          <w:color w:val="auto"/>
          <w:lang w:val="bg-BG"/>
        </w:rPr>
        <w:tab/>
      </w:r>
      <w:r>
        <w:rPr>
          <w:rFonts w:ascii="Times New Roman" w:hAnsi="Times New Roman"/>
          <w:noProof/>
          <w:color w:val="auto"/>
          <w:lang w:val="bg-BG"/>
        </w:rPr>
        <w:t>Съгласуваност</w:t>
      </w:r>
    </w:p>
    <w:p>
      <w:pPr>
        <w:pStyle w:val="Subtitle1"/>
        <w:spacing w:before="120" w:after="120"/>
        <w:jc w:val="both"/>
        <w:rPr>
          <w:rFonts w:ascii="Times New Roman" w:hAnsi="Times New Roman"/>
          <w:b w:val="0"/>
          <w:i w:val="0"/>
          <w:noProof/>
          <w:sz w:val="22"/>
          <w:szCs w:val="22"/>
          <w:lang w:val="bg-BG"/>
        </w:rPr>
      </w:pPr>
      <w:r>
        <w:rPr>
          <w:rFonts w:ascii="Times New Roman" w:hAnsi="Times New Roman"/>
          <w:b w:val="0"/>
          <w:i w:val="0"/>
          <w:noProof/>
          <w:sz w:val="22"/>
          <w:lang w:val="bg-BG"/>
        </w:rPr>
        <w:t xml:space="preserve">Според данните от интервюта със заинтересовани страни и в по-малка степен от прегледа на специализираната литература, целите на РРУ са до голяма степен съгласувани с други политики на ЕС за климата и енергетиката, като например СТЕ, енергийната ефективност и енергията от възобновяеми източници. Заинтересованите страни установяват силна съгласуваност с целите на ЕС, свързани с енергийната ефективност и енергията от възобновяеми източници, въпреки че някои от тях оспориха съгласуваността на самите цели. </w:t>
      </w:r>
    </w:p>
    <w:p>
      <w:pPr>
        <w:pStyle w:val="Subtitle1"/>
        <w:spacing w:before="120" w:after="120"/>
        <w:jc w:val="both"/>
        <w:rPr>
          <w:rFonts w:ascii="Times New Roman" w:hAnsi="Times New Roman"/>
          <w:b w:val="0"/>
          <w:i w:val="0"/>
          <w:noProof/>
          <w:sz w:val="22"/>
          <w:szCs w:val="22"/>
          <w:lang w:val="bg-BG"/>
        </w:rPr>
      </w:pPr>
      <w:r>
        <w:rPr>
          <w:rFonts w:ascii="Times New Roman" w:hAnsi="Times New Roman"/>
          <w:b w:val="0"/>
          <w:i w:val="0"/>
          <w:noProof/>
          <w:sz w:val="22"/>
          <w:lang w:val="bg-BG"/>
        </w:rPr>
        <w:t xml:space="preserve">Вследствие на осигурената гъвкавост по отношение на това как държавите членки да прилагат на практика пределните стойности за емисиите, бе установено, че целите на РРУ са в голяма степен съгласувани с разработването на националните политики. </w:t>
      </w:r>
    </w:p>
    <w:p>
      <w:pPr>
        <w:jc w:val="both"/>
        <w:rPr>
          <w:rFonts w:ascii="Times New Roman" w:hAnsi="Times New Roman"/>
          <w:noProof/>
          <w:lang w:val="bg-BG"/>
        </w:rPr>
      </w:pPr>
      <w:r>
        <w:rPr>
          <w:rFonts w:ascii="Times New Roman" w:hAnsi="Times New Roman"/>
          <w:noProof/>
          <w:lang w:val="bg-BG"/>
        </w:rPr>
        <w:t xml:space="preserve">Налице е потенциално отсъствие на съгласуваност между РРУ и другите видове намеси по отношение на земеделието и земеползването, промените в земеползването и горското стопанство (ЗПЗГС). Част от проблема със съгласуваността засяга други международни ангажименти, а не съгласуваността с политиките на ЕС. Земеделието е включено в РРУ и Протокола от Киото, докато ЗПЗГС е в Протокола от Киото, но не и в РРУ. </w:t>
      </w:r>
    </w:p>
    <w:p>
      <w:pPr>
        <w:pStyle w:val="Subtitle1"/>
        <w:spacing w:before="120" w:after="120"/>
        <w:jc w:val="both"/>
        <w:rPr>
          <w:rFonts w:ascii="Times New Roman" w:hAnsi="Times New Roman"/>
          <w:b w:val="0"/>
          <w:i w:val="0"/>
          <w:noProof/>
          <w:sz w:val="22"/>
          <w:szCs w:val="22"/>
          <w:lang w:val="bg-BG"/>
        </w:rPr>
      </w:pPr>
      <w:r>
        <w:rPr>
          <w:rFonts w:ascii="Times New Roman" w:hAnsi="Times New Roman"/>
          <w:b w:val="0"/>
          <w:i w:val="0"/>
          <w:noProof/>
          <w:sz w:val="22"/>
          <w:lang w:val="bg-BG"/>
        </w:rPr>
        <w:t>Съгласуваността с други задължения за докладване бе също отбелязана като важна, особено съгласуваността с вътрешните за ЕС и с международните изисквания за докладване. Въпреки това бяха набелязани възможности за оптимизиране на задълженията за докладване съгласно РРУ и законодателството на ЕС, насочено към енергетиката.</w:t>
      </w:r>
    </w:p>
    <w:p>
      <w:pPr>
        <w:pStyle w:val="Heading3"/>
        <w:rPr>
          <w:rFonts w:ascii="Times New Roman" w:hAnsi="Times New Roman"/>
          <w:noProof/>
          <w:color w:val="auto"/>
          <w:lang w:val="bg-BG"/>
        </w:rPr>
      </w:pPr>
      <w:r>
        <w:rPr>
          <w:rFonts w:ascii="Times New Roman" w:hAnsi="Times New Roman"/>
          <w:noProof/>
          <w:color w:val="auto"/>
          <w:lang w:val="bg-BG"/>
        </w:rPr>
        <w:t>5.5</w:t>
      </w:r>
      <w:r>
        <w:rPr>
          <w:noProof/>
          <w:color w:val="auto"/>
          <w:lang w:val="bg-BG"/>
        </w:rPr>
        <w:tab/>
      </w:r>
      <w:r>
        <w:rPr>
          <w:rFonts w:ascii="Times New Roman" w:hAnsi="Times New Roman"/>
          <w:noProof/>
          <w:color w:val="auto"/>
          <w:lang w:val="bg-BG"/>
        </w:rPr>
        <w:t>Добавена стойност за ЕС</w:t>
      </w:r>
    </w:p>
    <w:p>
      <w:pPr>
        <w:jc w:val="both"/>
        <w:rPr>
          <w:rFonts w:ascii="Times New Roman" w:hAnsi="Times New Roman"/>
          <w:noProof/>
          <w:lang w:val="bg-BG"/>
        </w:rPr>
      </w:pPr>
      <w:r>
        <w:rPr>
          <w:rFonts w:ascii="Times New Roman" w:hAnsi="Times New Roman"/>
          <w:noProof/>
          <w:lang w:val="bg-BG"/>
        </w:rPr>
        <w:t xml:space="preserve">За по-голямата част от държавите — членки на ЕС, преди РРУ не е имало или е имало само слаби вътрешни движещи сили на политиката, което подсказва, че без РРУ действията вероятно нямаше да бъдат предприети или можеше да бъдат предприети с по-бавни темпове. </w:t>
      </w:r>
    </w:p>
    <w:p>
      <w:pPr>
        <w:jc w:val="both"/>
        <w:rPr>
          <w:rFonts w:ascii="Times New Roman" w:hAnsi="Times New Roman"/>
          <w:noProof/>
          <w:lang w:val="bg-BG"/>
        </w:rPr>
      </w:pPr>
      <w:r>
        <w:rPr>
          <w:rFonts w:ascii="Times New Roman" w:hAnsi="Times New Roman"/>
          <w:noProof/>
          <w:lang w:val="bg-BG"/>
        </w:rPr>
        <w:t>Оценката показа, че онези държави членки, които имат заложени в националното си законодателство по-амбициозни цели за ЕПГ от целите в РРУ, биха така или иначе предприели действия в изпълнение на тези национални законодателни актове. Това обаче не отчита факта, че дискусиите около целите на ЕС за 2020 г. може да са били в подкрепа на определянето на национални цели, на първо място, чрез създаване на сигурност, че други държави — членки на ЕС, ще предприемат минимални действия. Дори когато са съществували други движещи сили за действията в държавите членки, се счете, че РРУ оказва допълнително положително действие, дори не като основната движеща сила.</w:t>
      </w:r>
    </w:p>
    <w:p>
      <w:pPr>
        <w:jc w:val="both"/>
        <w:rPr>
          <w:rFonts w:ascii="Times New Roman" w:hAnsi="Times New Roman"/>
          <w:noProof/>
          <w:lang w:val="bg-BG"/>
        </w:rPr>
      </w:pPr>
      <w:r>
        <w:rPr>
          <w:rFonts w:ascii="Times New Roman" w:hAnsi="Times New Roman"/>
          <w:noProof/>
          <w:lang w:val="bg-BG"/>
        </w:rPr>
        <w:t xml:space="preserve">Друга важна добавена стойност на РРУ към момента е подобряването на качеството на данните и прогнозите за емисиите, свързани с обхванатите от РРУ отрасли на национално равнище, което е помогнало за подобряване на подготовката на политиките. Годишното докладване на емисиите, комбинирано с двугодишните изисквания за докладване на политиките и мерките, както и прогнозите, осигурява по-добрата информираност на държавите членки за напредъка не само при политиките за ЕПГ, но и за климата и енергетиката. Задълженията за докладване осигуряват на държавите членки и на останалите заинтересовани страни от ЕС инструмент за съпоставка на изпълнението им с това на други държави в ЕС. </w:t>
      </w:r>
    </w:p>
    <w:p>
      <w:pPr>
        <w:jc w:val="both"/>
        <w:rPr>
          <w:rFonts w:ascii="Times New Roman" w:hAnsi="Times New Roman"/>
          <w:noProof/>
          <w:lang w:val="bg-BG"/>
        </w:rPr>
      </w:pPr>
      <w:r>
        <w:rPr>
          <w:rFonts w:ascii="Times New Roman" w:hAnsi="Times New Roman"/>
          <w:noProof/>
          <w:lang w:val="bg-BG"/>
        </w:rPr>
        <w:t>Сред заинтересованите страни съществува солиден консенсус, че продължава да е налице необходимост от инструмент като РРУ и за периода след 2020 г.</w:t>
      </w:r>
    </w:p>
    <w:p>
      <w:pPr>
        <w:pStyle w:val="Heading3"/>
        <w:rPr>
          <w:rFonts w:ascii="Times New Roman" w:hAnsi="Times New Roman"/>
          <w:noProof/>
          <w:color w:val="auto"/>
          <w:lang w:val="bg-BG"/>
        </w:rPr>
      </w:pPr>
      <w:r>
        <w:rPr>
          <w:rFonts w:ascii="Times New Roman" w:hAnsi="Times New Roman"/>
          <w:noProof/>
          <w:color w:val="auto"/>
          <w:lang w:val="bg-BG"/>
        </w:rPr>
        <w:t>5.6</w:t>
      </w:r>
      <w:r>
        <w:rPr>
          <w:noProof/>
          <w:color w:val="auto"/>
          <w:lang w:val="bg-BG"/>
        </w:rPr>
        <w:tab/>
      </w:r>
      <w:r>
        <w:rPr>
          <w:rFonts w:ascii="Times New Roman" w:hAnsi="Times New Roman"/>
          <w:noProof/>
          <w:color w:val="auto"/>
          <w:lang w:val="bg-BG"/>
        </w:rPr>
        <w:t xml:space="preserve">Конкуренция </w:t>
      </w:r>
    </w:p>
    <w:p>
      <w:pPr>
        <w:pStyle w:val="Subtitle1"/>
        <w:spacing w:before="120" w:after="120"/>
        <w:jc w:val="both"/>
        <w:rPr>
          <w:rFonts w:ascii="Times New Roman" w:hAnsi="Times New Roman"/>
          <w:b w:val="0"/>
          <w:i w:val="0"/>
          <w:noProof/>
          <w:sz w:val="22"/>
          <w:szCs w:val="22"/>
          <w:lang w:val="bg-BG"/>
        </w:rPr>
      </w:pPr>
      <w:r>
        <w:rPr>
          <w:rFonts w:ascii="Times New Roman" w:hAnsi="Times New Roman"/>
          <w:b w:val="0"/>
          <w:i w:val="0"/>
          <w:noProof/>
          <w:sz w:val="22"/>
          <w:lang w:val="bg-BG"/>
        </w:rPr>
        <w:t>В оценката бе разгледано дали е възможно вътрешните политики и мерки, приложени от държавите членки в отговор на РРУ, да са нарушили вътрешния пазар на ЕС. Поради липсата на специфични данни, свързани с въздействието на тези национални мерки върху вътрешния пазар на ЕС, резултатът от оценката се базира единствено на становищата на заинтересованите страни.</w:t>
      </w:r>
    </w:p>
    <w:p>
      <w:pPr>
        <w:pStyle w:val="Subtitle1"/>
        <w:jc w:val="both"/>
        <w:rPr>
          <w:rFonts w:ascii="Times New Roman" w:hAnsi="Times New Roman"/>
          <w:b w:val="0"/>
          <w:i w:val="0"/>
          <w:noProof/>
          <w:sz w:val="22"/>
          <w:szCs w:val="22"/>
          <w:lang w:val="bg-BG"/>
        </w:rPr>
      </w:pPr>
      <w:r>
        <w:rPr>
          <w:rFonts w:ascii="Times New Roman" w:hAnsi="Times New Roman"/>
          <w:b w:val="0"/>
          <w:i w:val="0"/>
          <w:noProof/>
          <w:sz w:val="22"/>
          <w:lang w:val="bg-BG"/>
        </w:rPr>
        <w:t>По-голямата част от заинтересованите страни посочиха, че РРУ не е оказало никакво или е оказало ограничено въздействие върху конкуренцията в рамките на ЕС. Двама респонденти посочиха, че националните политики за смекчаване, произтичащи от РРУ, могат да ограничат потенциала за растеж в селското стопанство поради отбелязания по-нисък потенциал за смекчаване в този отрасъл. При все това нито една заинтересована страна не представи примери за това къде националните политики и мерки, произтичащи от РРУ, са оказали каквото и да било неблагоприятно въздействие върху конкретно предприятие или части от отрасъл.</w:t>
      </w:r>
    </w:p>
    <w:p>
      <w:pPr>
        <w:pStyle w:val="Heading2"/>
        <w:numPr>
          <w:ilvl w:val="0"/>
          <w:numId w:val="1"/>
        </w:numPr>
        <w:rPr>
          <w:rFonts w:ascii="Times New Roman" w:hAnsi="Times New Roman"/>
          <w:noProof/>
          <w:color w:val="auto"/>
          <w:sz w:val="22"/>
          <w:lang w:val="bg-BG"/>
        </w:rPr>
      </w:pPr>
      <w:r>
        <w:rPr>
          <w:rFonts w:ascii="Times New Roman" w:hAnsi="Times New Roman"/>
          <w:noProof/>
          <w:color w:val="auto"/>
          <w:sz w:val="22"/>
          <w:lang w:val="bg-BG"/>
        </w:rPr>
        <w:t>Заключения</w:t>
      </w:r>
    </w:p>
    <w:p>
      <w:pPr>
        <w:jc w:val="both"/>
        <w:rPr>
          <w:rFonts w:ascii="Times New Roman" w:hAnsi="Times New Roman"/>
          <w:noProof/>
          <w:lang w:val="bg-BG"/>
        </w:rPr>
      </w:pPr>
      <w:r>
        <w:rPr>
          <w:rFonts w:ascii="Times New Roman" w:hAnsi="Times New Roman"/>
          <w:noProof/>
          <w:lang w:val="bg-BG"/>
        </w:rPr>
        <w:t xml:space="preserve">Прилагането на РРУ е все още в ранен етап. Въпреки това от събраните досега доказателства става ясно, че целите съгласно РРУ бяха ефективни за стимулиране на нови национални политики и мерки за насърчаване на ефективни намаления на ЕПГ, попадащи в приложното поле на РРУ. Повечето намаления на емисии от 2009 г. насам се дължат на технологични промени и политики, които доведоха до въвеждане на технология с по-малко емисии на въглерод. Този ефект е засилен от факта, че РРУ е изготвено заедно с редица други инициативи на ЕС в областта на климата и енергетиката като част от пакета документи за 2020 г., по-специално за енергийната ефективност и енергията от възобновяеми източници. В няколко от обхванатите от РРУ отрасли, включително сградния фонд, транспорта, селското стопанство и отпадъците, част от намаленията на емисиите към момента могат да се отдадат на фактори, повлияни от политически намеси, свързани с пакета документи за 2020 г. </w:t>
      </w:r>
    </w:p>
    <w:p>
      <w:pPr>
        <w:jc w:val="both"/>
        <w:rPr>
          <w:rFonts w:ascii="Times New Roman" w:hAnsi="Times New Roman"/>
          <w:noProof/>
          <w:lang w:val="bg-BG"/>
        </w:rPr>
      </w:pPr>
      <w:r>
        <w:rPr>
          <w:rFonts w:ascii="Times New Roman" w:hAnsi="Times New Roman"/>
          <w:noProof/>
          <w:lang w:val="bg-BG"/>
        </w:rPr>
        <w:t xml:space="preserve">Макар и да бе възможно да се установи, че РРУ допринесе за стимулиране на нови национални политики в някои държави членки на този етап, липсваха достатъчно доказателства за количествено определяне на цялостното въздействие на РРУ върху ЕПГ. Доказателствата за преките разходи за националните политики, приложени в отговор на РРУ, са много ограничени, поради което не бе възможно тези разходи да бъдат оценени със сигурност. Това се дължи отчасти на факта, че досега националните политики и мерки, докладвани от държавите членки, дават недостатъчна информация за очакваните и реалните разходи и ползи от тях. </w:t>
      </w:r>
    </w:p>
    <w:p>
      <w:pPr>
        <w:jc w:val="both"/>
        <w:rPr>
          <w:rFonts w:ascii="Times New Roman" w:hAnsi="Times New Roman"/>
          <w:noProof/>
          <w:lang w:val="bg-BG"/>
        </w:rPr>
      </w:pPr>
      <w:r>
        <w:rPr>
          <w:rFonts w:ascii="Times New Roman" w:hAnsi="Times New Roman"/>
          <w:noProof/>
          <w:lang w:val="bg-BG"/>
        </w:rPr>
        <w:t>Установи се, че РРУ е довело до ограничена допълнителна административна тежест на равнището на държавите членки, макар че е вероятно да съществуват възможности за намаление на административните разходи на равнището на ЕС, например чрез опростени или по-редки проверки на изпълнението.</w:t>
      </w:r>
    </w:p>
    <w:p>
      <w:pPr>
        <w:jc w:val="both"/>
        <w:rPr>
          <w:rFonts w:ascii="Times New Roman" w:hAnsi="Times New Roman"/>
          <w:noProof/>
          <w:lang w:val="bg-BG"/>
        </w:rPr>
      </w:pPr>
      <w:r>
        <w:rPr>
          <w:rFonts w:ascii="Times New Roman" w:hAnsi="Times New Roman"/>
          <w:noProof/>
          <w:lang w:val="bg-BG"/>
        </w:rPr>
        <w:t xml:space="preserve">РРУ остава съгласувано с други политики на ЕС в областта на климата и енергетиката. Обществената консултация показа солиден консенсус сред заинтересованите страни за това, че продължава да е налице необходимост от инструмент като РРУ и за периода след 2020 г. </w:t>
      </w:r>
    </w:p>
    <w:p>
      <w:pPr>
        <w:jc w:val="both"/>
        <w:rPr>
          <w:rFonts w:ascii="Times New Roman" w:hAnsi="Times New Roman"/>
          <w:noProof/>
          <w:lang w:val="bg-BG"/>
        </w:rPr>
      </w:pPr>
      <w:r>
        <w:rPr>
          <w:rFonts w:ascii="Times New Roman" w:hAnsi="Times New Roman"/>
          <w:noProof/>
          <w:lang w:val="bg-BG"/>
        </w:rPr>
        <w:t xml:space="preserve">Установи се, че РРУ внася добавена стойност чрез действия на ЕС. Постигната е висока степен на съгласие между заинтересованите страни от държавите членки за това, че РРУ е повишило осведомеността за потенциала за смекчаване в обхванатите от РРУ отрасли, и че то е допринесло за установяване на нови национални институционални и правни рамки. Освен това Решението е подобрило координацията на смекчаването на последиците от ЕПГ в обхванатите от РРУ отрасли и между националните и регионалните или местните органи на управление. </w:t>
      </w:r>
    </w:p>
    <w:p>
      <w:pPr>
        <w:jc w:val="both"/>
        <w:rPr>
          <w:rFonts w:ascii="Times New Roman" w:hAnsi="Times New Roman"/>
          <w:noProof/>
          <w:lang w:val="bg-BG"/>
        </w:rPr>
      </w:pPr>
      <w:r>
        <w:rPr>
          <w:rFonts w:ascii="Times New Roman" w:hAnsi="Times New Roman"/>
          <w:noProof/>
          <w:lang w:val="bg-BG"/>
        </w:rPr>
        <w:t>Заинтересованите страни не представиха никакви доказателства за това, че националните политики, произтичащи от РРУ, са нарушили неоправдано конкуренцията на вътрешния пазар на ЕС.</w:t>
      </w:r>
    </w:p>
    <w:p>
      <w:pPr>
        <w:jc w:val="both"/>
        <w:rPr>
          <w:rFonts w:ascii="Times New Roman" w:hAnsi="Times New Roman"/>
          <w:noProof/>
          <w:lang w:val="bg-BG"/>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75991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after="0"/>
        <w:rPr>
          <w:lang w:val="bg-BG"/>
        </w:rPr>
      </w:pPr>
      <w:r>
        <w:rPr>
          <w:rStyle w:val="FootnoteReference"/>
          <w:lang w:val="bg-BG"/>
        </w:rPr>
        <w:footnoteRef/>
      </w:r>
      <w:r>
        <w:rPr>
          <w:lang w:val="bg-BG"/>
        </w:rPr>
        <w:t xml:space="preserve"> Решение № 406/2009/ЕО на Европейския парламент и на Съвета от 23 април 2009 г. относно усилията на държавите членки за намаляване на техните емисии на парникови газове, необходими за изпълнение на ангажиментите на Общността за намаляване на емисиите на парникови газове до 2020 г.; http://eur-lex.europa.eu/legal-content/BG/TXT/PDF/?uri=CELEX:32009D0406&amp;from=BG.</w:t>
      </w:r>
    </w:p>
  </w:footnote>
  <w:footnote w:id="2">
    <w:p>
      <w:pPr>
        <w:pStyle w:val="FootnoteText"/>
        <w:spacing w:after="0"/>
        <w:ind w:left="0" w:firstLine="0"/>
        <w:contextualSpacing/>
        <w:rPr>
          <w:lang w:val="bg-BG"/>
        </w:rPr>
      </w:pPr>
      <w:r>
        <w:rPr>
          <w:rStyle w:val="FootnoteReference"/>
          <w:lang w:val="bg-BG"/>
        </w:rPr>
        <w:footnoteRef/>
      </w:r>
      <w:r>
        <w:rPr>
          <w:lang w:val="bg-BG"/>
        </w:rPr>
        <w:t xml:space="preserve"> Настоящото РРУ обхваща същите парникови газове като Протокола от Киото, с изключение на азотен трифлуорид NF3. Емисиите и поглъщанията от земеползването, промените в земеползването и горското стопанство (ЗПЗГС) не са включени в РРУ. ЕПГ от международното корабоплаване не попадат в приложното поле на РРУ.</w:t>
      </w:r>
    </w:p>
  </w:footnote>
  <w:footnote w:id="3">
    <w:p>
      <w:pPr>
        <w:pStyle w:val="FootnoteText"/>
        <w:spacing w:after="0"/>
        <w:rPr>
          <w:lang w:val="bg-BG"/>
        </w:rPr>
      </w:pPr>
      <w:r>
        <w:rPr>
          <w:rStyle w:val="FootnoteReference"/>
          <w:lang w:val="bg-BG"/>
        </w:rPr>
        <w:footnoteRef/>
      </w:r>
      <w:r>
        <w:rPr>
          <w:lang w:val="bg-BG"/>
        </w:rPr>
        <w:t xml:space="preserve"> SWD </w:t>
      </w:r>
      <w:r>
        <w:rPr>
          <w:sz w:val="18"/>
          <w:szCs w:val="18"/>
          <w:lang w:val="bg-BG"/>
        </w:rPr>
        <w:t>(2016) 251.</w:t>
      </w:r>
    </w:p>
  </w:footnote>
  <w:footnote w:id="4">
    <w:p>
      <w:pPr>
        <w:pStyle w:val="FootnoteText"/>
        <w:spacing w:after="0"/>
        <w:ind w:left="0" w:firstLine="0"/>
        <w:contextualSpacing/>
        <w:rPr>
          <w:lang w:val="bg-BG"/>
        </w:rPr>
      </w:pPr>
      <w:r>
        <w:rPr>
          <w:rStyle w:val="FootnoteReference"/>
          <w:lang w:val="bg-BG"/>
        </w:rPr>
        <w:footnoteRef/>
      </w:r>
      <w:r>
        <w:rPr>
          <w:lang w:val="bg-BG"/>
        </w:rPr>
        <w:t xml:space="preserve"> Примери за съответно законодателство на ЕС са регулирането на емисиите на CO</w:t>
      </w:r>
      <w:r>
        <w:rPr>
          <w:vertAlign w:val="subscript"/>
          <w:lang w:val="bg-BG"/>
        </w:rPr>
        <w:t>2</w:t>
      </w:r>
      <w:r>
        <w:rPr>
          <w:lang w:val="bg-BG"/>
        </w:rPr>
        <w:t xml:space="preserve"> от леки и лекотоварни автомобили, Директивата относно депонирането на отпадъци, Директивата относно енергийните характеристики на сградите, Директивата относно енергийната ефективност, Директивата за енергията от възобновяеми източници, Регламентът за флуорираните газове и Директивата за автомобилните климатични уредби, рамката за екопроектирането, Директивата за нитратите, както и екологизирането на общата селскостопанска политика. </w:t>
      </w:r>
    </w:p>
  </w:footnote>
  <w:footnote w:id="5">
    <w:p>
      <w:pPr>
        <w:pStyle w:val="FootnoteText"/>
        <w:rPr>
          <w:lang w:val="bg-BG"/>
        </w:rPr>
      </w:pPr>
      <w:r>
        <w:rPr>
          <w:rStyle w:val="FootnoteReference"/>
          <w:lang w:val="bg-BG"/>
        </w:rPr>
        <w:footnoteRef/>
      </w:r>
      <w:r>
        <w:rPr>
          <w:lang w:val="bg-BG"/>
        </w:rPr>
        <w:t xml:space="preserve"> За повече информация относно съществуващите инструменти за гъвкаво управление вж. приложение 4 към SWD </w:t>
      </w:r>
      <w:r>
        <w:rPr>
          <w:sz w:val="18"/>
          <w:szCs w:val="18"/>
          <w:lang w:val="bg-BG"/>
        </w:rPr>
        <w:t>(2016) 251</w:t>
      </w:r>
      <w:r>
        <w:rPr>
          <w:lang w:val="bg-BG"/>
        </w:rPr>
        <w:t>.</w:t>
      </w:r>
    </w:p>
  </w:footnote>
  <w:footnote w:id="6">
    <w:p>
      <w:pPr>
        <w:pStyle w:val="NoSpacing"/>
        <w:rPr>
          <w:rFonts w:ascii="Times New Roman" w:hAnsi="Times New Roman"/>
          <w:szCs w:val="20"/>
          <w:lang w:val="bg-BG"/>
        </w:rPr>
      </w:pPr>
      <w:r>
        <w:rPr>
          <w:rStyle w:val="FootnoteReference"/>
          <w:rFonts w:ascii="Times New Roman" w:hAnsi="Times New Roman"/>
          <w:lang w:val="bg-BG"/>
        </w:rPr>
        <w:footnoteRef/>
      </w:r>
      <w:r>
        <w:rPr>
          <w:rFonts w:ascii="Times New Roman" w:hAnsi="Times New Roman"/>
          <w:lang w:val="bg-BG"/>
        </w:rPr>
        <w:t xml:space="preserve"> В приложение 3 към </w:t>
      </w:r>
      <w:r>
        <w:rPr>
          <w:rFonts w:ascii="Times New Roman" w:hAnsi="Times New Roman"/>
          <w:sz w:val="18"/>
          <w:szCs w:val="18"/>
          <w:lang w:val="bg-BG"/>
        </w:rPr>
        <w:t xml:space="preserve">SWD(2016) 251 </w:t>
      </w:r>
      <w:r>
        <w:rPr>
          <w:rFonts w:ascii="Times New Roman" w:hAnsi="Times New Roman"/>
          <w:lang w:val="bg-BG"/>
        </w:rPr>
        <w:t xml:space="preserve">е представена методологията, прилагана при оценката на използваните доказателства. За да разгледате външното проучване, вж. </w:t>
      </w:r>
      <w:r>
        <w:rPr>
          <w:rFonts w:ascii="Times New Roman" w:hAnsi="Times New Roman"/>
          <w:i/>
          <w:lang w:val="bg-BG"/>
        </w:rPr>
        <w:t>Допълнително проучване за оценка на Решение № 406/2009/ЕО (Решение за разпределяне</w:t>
      </w:r>
      <w:r>
        <w:rPr>
          <w:rFonts w:ascii="Times New Roman" w:hAnsi="Times New Roman"/>
          <w:lang w:val="bg-BG"/>
        </w:rPr>
        <w:t xml:space="preserve"> </w:t>
      </w:r>
      <w:r>
        <w:rPr>
          <w:rFonts w:ascii="Times New Roman" w:hAnsi="Times New Roman"/>
          <w:i/>
          <w:lang w:val="bg-BG"/>
        </w:rPr>
        <w:t xml:space="preserve">на усилията), </w:t>
      </w:r>
      <w:r>
        <w:rPr>
          <w:rFonts w:ascii="Times New Roman" w:hAnsi="Times New Roman"/>
          <w:lang w:val="bg-BG"/>
        </w:rPr>
        <w:t>Ricardo Energy and Environment с Trinomic и Vito.</w:t>
      </w:r>
    </w:p>
  </w:footnote>
  <w:footnote w:id="7">
    <w:p>
      <w:pPr>
        <w:pStyle w:val="FootnoteText"/>
        <w:spacing w:after="0"/>
        <w:rPr>
          <w:lang w:val="bg-BG"/>
        </w:rPr>
      </w:pPr>
      <w:r>
        <w:rPr>
          <w:rStyle w:val="FootnoteReference"/>
          <w:lang w:val="bg-BG"/>
        </w:rPr>
        <w:footnoteRef/>
      </w:r>
      <w:r>
        <w:rPr>
          <w:lang w:val="bg-BG"/>
        </w:rPr>
        <w:t xml:space="preserve"> Резултатите от консултацията със заинтересованите страни са представени в приложение 2 към </w:t>
      </w:r>
      <w:r>
        <w:rPr>
          <w:sz w:val="18"/>
          <w:szCs w:val="18"/>
          <w:lang w:val="bg-BG"/>
        </w:rPr>
        <w:t>SWD(2016) 251</w:t>
      </w:r>
      <w:r>
        <w:rPr>
          <w:lang w:val="bg-BG"/>
        </w:rPr>
        <w:t>.</w:t>
      </w:r>
    </w:p>
  </w:footnote>
  <w:footnote w:id="8">
    <w:p>
      <w:pPr>
        <w:pStyle w:val="FootnoteText"/>
        <w:jc w:val="left"/>
        <w:rPr>
          <w:lang w:val="bg-BG"/>
        </w:rPr>
      </w:pPr>
      <w:r>
        <w:rPr>
          <w:rStyle w:val="FootnoteReference"/>
          <w:lang w:val="bg-BG"/>
        </w:rPr>
        <w:footnoteRef/>
      </w:r>
      <w:r>
        <w:rPr>
          <w:lang w:val="bg-BG"/>
        </w:rPr>
        <w:t xml:space="preserve"> За повече информация за тази консултация вж.</w:t>
      </w:r>
      <w:r>
        <w:rPr>
          <w:lang w:val="ru-RU"/>
        </w:rPr>
        <w:br/>
      </w:r>
      <w:r>
        <w:rPr>
          <w:lang w:val="bg-BG"/>
        </w:rPr>
        <w:t>http://ec.europa.eu/clima/consultations/articles/0025_en.htm.</w:t>
      </w:r>
    </w:p>
  </w:footnote>
  <w:footnote w:id="9">
    <w:p>
      <w:pPr>
        <w:pStyle w:val="FootnoteText"/>
        <w:spacing w:after="0"/>
        <w:rPr>
          <w:sz w:val="18"/>
          <w:lang w:val="bg-BG"/>
        </w:rPr>
      </w:pPr>
      <w:r>
        <w:rPr>
          <w:rStyle w:val="FootnoteReference"/>
          <w:lang w:val="bg-BG"/>
        </w:rPr>
        <w:footnoteRef/>
      </w:r>
      <w:r>
        <w:rPr>
          <w:lang w:val="bg-BG"/>
        </w:rPr>
        <w:t xml:space="preserve"> Въз основа на докладите за емисиите, представени през </w:t>
      </w:r>
      <w:r>
        <w:rPr>
          <w:sz w:val="18"/>
          <w:szCs w:val="18"/>
          <w:lang w:val="bg-BG"/>
        </w:rPr>
        <w:t>2015 г. Вж. също SWD(2016) 251, стр. 17.</w:t>
      </w:r>
    </w:p>
  </w:footnote>
  <w:footnote w:id="10">
    <w:p>
      <w:pPr>
        <w:pStyle w:val="FootnoteText"/>
        <w:spacing w:after="0"/>
        <w:ind w:left="0" w:firstLine="0"/>
        <w:contextualSpacing/>
        <w:rPr>
          <w:lang w:val="bg-BG"/>
        </w:rPr>
      </w:pPr>
      <w:r>
        <w:rPr>
          <w:rStyle w:val="FootnoteReference"/>
          <w:lang w:val="bg-BG"/>
        </w:rPr>
        <w:footnoteRef/>
      </w:r>
      <w:r>
        <w:rPr>
          <w:lang w:val="bg-BG"/>
        </w:rPr>
        <w:t xml:space="preserve"> Доклад за напредъка на дейностите в областта на климата, COM(2015) 576 final.</w:t>
      </w:r>
    </w:p>
  </w:footnote>
  <w:footnote w:id="11">
    <w:p>
      <w:pPr>
        <w:pStyle w:val="FootnoteText"/>
        <w:spacing w:after="0"/>
        <w:rPr>
          <w:lang w:val="bg-BG"/>
        </w:rPr>
      </w:pPr>
      <w:r>
        <w:rPr>
          <w:rStyle w:val="FootnoteReference"/>
          <w:lang w:val="bg-BG"/>
        </w:rPr>
        <w:footnoteRef/>
      </w:r>
      <w:r>
        <w:rPr>
          <w:lang w:val="bg-BG"/>
        </w:rPr>
        <w:t xml:space="preserve"> SEC (2008) 85/3 ЕО. Вж. също </w:t>
      </w:r>
      <w:r>
        <w:rPr>
          <w:i/>
          <w:sz w:val="18"/>
          <w:szCs w:val="18"/>
          <w:lang w:val="bg-BG"/>
        </w:rPr>
        <w:t>проучването в подкрепа на оценката на Решение № 406/2009/EО (Решение за разпределяне на усилията), стр</w:t>
      </w:r>
      <w:r>
        <w:rPr>
          <w:sz w:val="18"/>
          <w:szCs w:val="18"/>
          <w:lang w:val="bg-BG"/>
        </w:rPr>
        <w:t>. 12.</w:t>
      </w:r>
    </w:p>
  </w:footnote>
  <w:footnote w:id="12">
    <w:p>
      <w:pPr>
        <w:autoSpaceDE w:val="0"/>
        <w:autoSpaceDN w:val="0"/>
        <w:adjustRightInd w:val="0"/>
        <w:spacing w:before="0" w:after="0"/>
        <w:contextualSpacing/>
        <w:rPr>
          <w:rFonts w:ascii="Times New Roman" w:hAnsi="Times New Roman"/>
          <w:sz w:val="20"/>
          <w:lang w:val="bg-BG"/>
        </w:rPr>
      </w:pPr>
      <w:r>
        <w:rPr>
          <w:rStyle w:val="FootnoteReference"/>
          <w:rFonts w:ascii="Times New Roman" w:hAnsi="Times New Roman"/>
          <w:lang w:val="bg-BG"/>
        </w:rPr>
        <w:footnoteRef/>
      </w:r>
      <w:r>
        <w:rPr>
          <w:rFonts w:ascii="Times New Roman" w:hAnsi="Times New Roman"/>
          <w:sz w:val="20"/>
          <w:lang w:val="bg-BG"/>
        </w:rPr>
        <w:t xml:space="preserve"> Доклад за напредъка на дейностите в областта на климата, COM(2015) 576 final, стр.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86AFF"/>
    <w:multiLevelType w:val="hybridMultilevel"/>
    <w:tmpl w:val="1934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DA3D65"/>
    <w:multiLevelType w:val="hybridMultilevel"/>
    <w:tmpl w:val="3968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7528D9"/>
    <w:multiLevelType w:val="hybridMultilevel"/>
    <w:tmpl w:val="A9F47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B910D7"/>
    <w:multiLevelType w:val="hybridMultilevel"/>
    <w:tmpl w:val="85B87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7E23178"/>
    <w:multiLevelType w:val="hybridMultilevel"/>
    <w:tmpl w:val="2DD6C8A8"/>
    <w:lvl w:ilvl="0" w:tplc="9036EF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8284BDC"/>
    <w:multiLevelType w:val="hybridMultilevel"/>
    <w:tmpl w:val="90B85F28"/>
    <w:lvl w:ilvl="0" w:tplc="FDCE6E6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9C243F72EF54055A539323FBB37E2E5"/>
    <w:docVar w:name="LW_CROSSREFERENCE" w:val="{SWD(2016) 251 final}"/>
    <w:docVar w:name="LW_DocType" w:val="NORMAL"/>
    <w:docVar w:name="LW_EMISSION" w:val="20.7.2016"/>
    <w:docVar w:name="LW_EMISSION_ISODATE" w:val="2016-07-20"/>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483"/>
    <w:docVar w:name="LW_REF.INTERNE" w:val="&lt;UNUSED&gt;"/>
    <w:docVar w:name="LW_SOUS.TITRE.OBJ.CP" w:val="&lt;UNUSED&gt;"/>
    <w:docVar w:name="LW_SUPERTITRE" w:val="&lt;UNUSED&gt;"/>
    <w:docVar w:name="LW_TITRE.OBJ.CP" w:val="\u1086?\u1090?\u1085?\u1086?\u1089?\u1085?\u1086? \u1086?\u1094?\u1077?\u1085?\u1082?\u1072?\u1090?\u1072? \u1085?\u1072? \u1087?\u1088?\u1080?\u1083?\u1072?\u1075?\u1072?\u1085?\u1077?\u1090?\u1086? \u1085?\u1072? \u1056?\u1077?\u1096?\u1077?\u1085?\u1080?\u1077? \u8470? 406/2009/\u1045?O \u1089?\u1098?\u1075?\u1083?\u1072?\u1089?\u1085?\u1086? \u1095?\u1083?\u1077?\u1085? 14 \u1086?\u1090? \u1085?\u1077?\u1075?\u1086?"/>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Paragraph">
    <w:name w:val="List Paragraph"/>
    <w:aliases w:val="Heading 2_sj,Numbered Para 1,Dot pt,No Spacing1,List Paragraph Char Char Char,Indicator Text,Bullet 1,List Paragraph1,Bullet Points,MAIN CONTENT,List Paragraph12,F5 List Paragraph,1st level - Bullet List Paragraph,Lettre d'introduction"/>
    <w:basedOn w:val="Normal"/>
    <w:link w:val="ListParagraphChar"/>
    <w:uiPriority w:val="34"/>
    <w:qFormat/>
    <w:pPr>
      <w:ind w:left="720"/>
      <w:contextualSpacing/>
    </w:pPr>
  </w:style>
  <w:style w:type="paragraph" w:customStyle="1" w:styleId="Bulletpoint1">
    <w:name w:val="Bullet point1"/>
    <w:basedOn w:val="NormalIndent"/>
    <w:link w:val="Bulletpoint1Char"/>
    <w:qFormat/>
    <w:pPr>
      <w:numPr>
        <w:numId w:val="3"/>
      </w:numPr>
      <w:spacing w:before="0"/>
    </w:pPr>
    <w:rPr>
      <w:rFonts w:ascii="Verdana" w:eastAsia="Times New Roman" w:hAnsi="Verdana" w:cs="Times New Roman"/>
      <w:sz w:val="18"/>
      <w:szCs w:val="20"/>
    </w:rPr>
  </w:style>
  <w:style w:type="character" w:customStyle="1" w:styleId="Bulletpoint1Char">
    <w:name w:val="Bullet point1 Char"/>
    <w:basedOn w:val="DefaultParagraphFont"/>
    <w:link w:val="Bulletpoint1"/>
    <w:rPr>
      <w:rFonts w:ascii="Verdana" w:eastAsia="Times New Roman" w:hAnsi="Verdana" w:cs="Times New Roman"/>
      <w:sz w:val="18"/>
      <w:szCs w:val="20"/>
    </w:rPr>
  </w:style>
  <w:style w:type="paragraph" w:customStyle="1" w:styleId="Body">
    <w:name w:val="Body"/>
    <w:basedOn w:val="Normal"/>
    <w:link w:val="BodyChar"/>
    <w:qFormat/>
    <w:pPr>
      <w:spacing w:before="0" w:after="240"/>
    </w:pPr>
    <w:rPr>
      <w:rFonts w:ascii="Verdana" w:eastAsia="Times New Roman" w:hAnsi="Verdana" w:cs="Times New Roman"/>
      <w:sz w:val="18"/>
      <w:szCs w:val="20"/>
    </w:rPr>
  </w:style>
  <w:style w:type="character" w:customStyle="1" w:styleId="BodyChar">
    <w:name w:val="Body Char"/>
    <w:link w:val="Body"/>
    <w:rPr>
      <w:rFonts w:ascii="Verdana" w:eastAsia="Times New Roman" w:hAnsi="Verdana" w:cs="Times New Roman"/>
      <w:sz w:val="18"/>
      <w:szCs w:val="20"/>
    </w:rPr>
  </w:style>
  <w:style w:type="paragraph" w:styleId="NormalIndent">
    <w:name w:val="Normal Indent"/>
    <w:basedOn w:val="Normal"/>
    <w:uiPriority w:val="99"/>
    <w:semiHidden/>
    <w:unhideWhenUsed/>
    <w:pPr>
      <w:ind w:left="720"/>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3">
    <w:name w:val="Body Text 3"/>
    <w:basedOn w:val="Normal"/>
    <w:link w:val="BodyText3Char"/>
    <w:pPr>
      <w:spacing w:before="0"/>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Caption">
    <w:name w:val="caption"/>
    <w:aliases w:val="caption for tables,figures,Beschriftung Char2 Char,Beschriftung Char1 Cha...,Beschriftung Char2,Beschriftung Char1 Char1,Beschriftung Char Char Char1,Beschriftung Char1 Char Char,Beschriftung Char Char Char Char,Beschriftung Char Char1 Char"/>
    <w:basedOn w:val="Normal"/>
    <w:next w:val="Normal"/>
    <w:link w:val="CaptionChar"/>
    <w:uiPriority w:val="99"/>
    <w:qFormat/>
    <w:pPr>
      <w:jc w:val="both"/>
    </w:pPr>
    <w:rPr>
      <w:rFonts w:ascii="Times New Roman" w:eastAsia="Times New Roman" w:hAnsi="Times New Roman" w:cs="Times New Roman"/>
      <w:b/>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before="0" w:after="240"/>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FootnotesymbolCarZchn"/>
    <w:uiPriority w:val="99"/>
    <w:unhideWhenUsed/>
    <w:qFormat/>
    <w:rPr>
      <w:sz w:val="20"/>
      <w:vertAlign w:val="superscript"/>
    </w:rPr>
  </w:style>
  <w:style w:type="character" w:styleId="CommentReference">
    <w:name w:val="annotation reference"/>
    <w:rPr>
      <w:sz w:val="16"/>
      <w:szCs w:val="16"/>
    </w:rPr>
  </w:style>
  <w:style w:type="character" w:customStyle="1" w:styleId="CaptionChar">
    <w:name w:val="Caption Char"/>
    <w:aliases w:val="caption for tables Char,figures Char,Beschriftung Char2 Char Char,Beschriftung Char1 Cha... Char,Beschriftung Char2 Char1,Beschriftung Char1 Char1 Char,Beschriftung Char Char Char1 Char,Beschriftung Char1 Char Char Char"/>
    <w:link w:val="Caption"/>
    <w:uiPriority w:val="99"/>
    <w:locked/>
    <w:rPr>
      <w:rFonts w:ascii="Times New Roman" w:eastAsia="Times New Roman" w:hAnsi="Times New Roman" w:cs="Times New Roman"/>
      <w:b/>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jc w:val="both"/>
    </w:pPr>
    <w:rPr>
      <w:sz w:val="20"/>
      <w:vertAlign w:val="superscript"/>
    </w:rPr>
  </w:style>
  <w:style w:type="paragraph" w:styleId="NoSpacing">
    <w:name w:val="No Spacing"/>
    <w:uiPriority w:val="1"/>
    <w:qFormat/>
    <w:pPr>
      <w:spacing w:before="0" w:after="0"/>
      <w:jc w:val="both"/>
    </w:pPr>
    <w:rPr>
      <w:rFonts w:ascii="Arial" w:eastAsia="Times New Roman" w:hAnsi="Arial" w:cs="Times New Roman"/>
      <w:sz w:val="20"/>
      <w:szCs w:val="24"/>
    </w:rPr>
  </w:style>
  <w:style w:type="paragraph" w:customStyle="1" w:styleId="Text1">
    <w:name w:val="Text 1"/>
    <w:basedOn w:val="Normal"/>
    <w:pPr>
      <w:spacing w:before="0" w:after="240"/>
      <w:ind w:left="482"/>
      <w:jc w:val="both"/>
    </w:pPr>
    <w:rPr>
      <w:rFonts w:ascii="Times New Roman" w:eastAsia="Times New Roman" w:hAnsi="Times New Roman" w:cs="Times New Roman"/>
      <w:sz w:val="24"/>
      <w:szCs w:val="20"/>
    </w:rPr>
  </w:style>
  <w:style w:type="paragraph" w:customStyle="1" w:styleId="Subtitle1">
    <w:name w:val="Subtitle 1"/>
    <w:basedOn w:val="Body"/>
    <w:link w:val="Subtitle1Char"/>
    <w:qFormat/>
    <w:rPr>
      <w:b/>
      <w:i/>
    </w:rPr>
  </w:style>
  <w:style w:type="character" w:customStyle="1" w:styleId="Subtitle1Char">
    <w:name w:val="Subtitle 1 Char"/>
    <w:basedOn w:val="BodyChar"/>
    <w:link w:val="Subtitle1"/>
    <w:rPr>
      <w:rFonts w:ascii="Verdana" w:eastAsia="Times New Roman" w:hAnsi="Verdana" w:cs="Times New Roman"/>
      <w:b/>
      <w:i/>
      <w:sz w:val="18"/>
      <w:szCs w:val="20"/>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ListParagraphChar">
    <w:name w:val="List Paragraph Char"/>
    <w:aliases w:val="Heading 2_sj Char,Numbered Para 1 Char,Dot pt Char,No Spacing1 Char,List Paragraph Char Char Char Char,Indicator Text Char,Bullet 1 Char,List Paragraph1 Char,Bullet Points Char,MAIN CONTENT Char,List Paragraph12 Char"/>
    <w:basedOn w:val="DefaultParagraphFont"/>
    <w:link w:val="ListParagraph"/>
    <w:uiPriority w:val="34"/>
    <w:qFormat/>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Paragraph">
    <w:name w:val="List Paragraph"/>
    <w:aliases w:val="Heading 2_sj,Numbered Para 1,Dot pt,No Spacing1,List Paragraph Char Char Char,Indicator Text,Bullet 1,List Paragraph1,Bullet Points,MAIN CONTENT,List Paragraph12,F5 List Paragraph,1st level - Bullet List Paragraph,Lettre d'introduction"/>
    <w:basedOn w:val="Normal"/>
    <w:link w:val="ListParagraphChar"/>
    <w:uiPriority w:val="34"/>
    <w:qFormat/>
    <w:pPr>
      <w:ind w:left="720"/>
      <w:contextualSpacing/>
    </w:pPr>
  </w:style>
  <w:style w:type="paragraph" w:customStyle="1" w:styleId="Bulletpoint1">
    <w:name w:val="Bullet point1"/>
    <w:basedOn w:val="NormalIndent"/>
    <w:link w:val="Bulletpoint1Char"/>
    <w:qFormat/>
    <w:pPr>
      <w:numPr>
        <w:numId w:val="3"/>
      </w:numPr>
      <w:spacing w:before="0"/>
    </w:pPr>
    <w:rPr>
      <w:rFonts w:ascii="Verdana" w:eastAsia="Times New Roman" w:hAnsi="Verdana" w:cs="Times New Roman"/>
      <w:sz w:val="18"/>
      <w:szCs w:val="20"/>
    </w:rPr>
  </w:style>
  <w:style w:type="character" w:customStyle="1" w:styleId="Bulletpoint1Char">
    <w:name w:val="Bullet point1 Char"/>
    <w:basedOn w:val="DefaultParagraphFont"/>
    <w:link w:val="Bulletpoint1"/>
    <w:rPr>
      <w:rFonts w:ascii="Verdana" w:eastAsia="Times New Roman" w:hAnsi="Verdana" w:cs="Times New Roman"/>
      <w:sz w:val="18"/>
      <w:szCs w:val="20"/>
    </w:rPr>
  </w:style>
  <w:style w:type="paragraph" w:customStyle="1" w:styleId="Body">
    <w:name w:val="Body"/>
    <w:basedOn w:val="Normal"/>
    <w:link w:val="BodyChar"/>
    <w:qFormat/>
    <w:pPr>
      <w:spacing w:before="0" w:after="240"/>
    </w:pPr>
    <w:rPr>
      <w:rFonts w:ascii="Verdana" w:eastAsia="Times New Roman" w:hAnsi="Verdana" w:cs="Times New Roman"/>
      <w:sz w:val="18"/>
      <w:szCs w:val="20"/>
    </w:rPr>
  </w:style>
  <w:style w:type="character" w:customStyle="1" w:styleId="BodyChar">
    <w:name w:val="Body Char"/>
    <w:link w:val="Body"/>
    <w:rPr>
      <w:rFonts w:ascii="Verdana" w:eastAsia="Times New Roman" w:hAnsi="Verdana" w:cs="Times New Roman"/>
      <w:sz w:val="18"/>
      <w:szCs w:val="20"/>
    </w:rPr>
  </w:style>
  <w:style w:type="paragraph" w:styleId="NormalIndent">
    <w:name w:val="Normal Indent"/>
    <w:basedOn w:val="Normal"/>
    <w:uiPriority w:val="99"/>
    <w:semiHidden/>
    <w:unhideWhenUsed/>
    <w:pPr>
      <w:ind w:left="720"/>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3">
    <w:name w:val="Body Text 3"/>
    <w:basedOn w:val="Normal"/>
    <w:link w:val="BodyText3Char"/>
    <w:pPr>
      <w:spacing w:before="0"/>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Caption">
    <w:name w:val="caption"/>
    <w:aliases w:val="caption for tables,figures,Beschriftung Char2 Char,Beschriftung Char1 Cha...,Beschriftung Char2,Beschriftung Char1 Char1,Beschriftung Char Char Char1,Beschriftung Char1 Char Char,Beschriftung Char Char Char Char,Beschriftung Char Char1 Char"/>
    <w:basedOn w:val="Normal"/>
    <w:next w:val="Normal"/>
    <w:link w:val="CaptionChar"/>
    <w:uiPriority w:val="99"/>
    <w:qFormat/>
    <w:pPr>
      <w:jc w:val="both"/>
    </w:pPr>
    <w:rPr>
      <w:rFonts w:ascii="Times New Roman" w:eastAsia="Times New Roman" w:hAnsi="Times New Roman" w:cs="Times New Roman"/>
      <w:b/>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before="0" w:after="240"/>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FootnotesymbolCarZchn"/>
    <w:uiPriority w:val="99"/>
    <w:unhideWhenUsed/>
    <w:qFormat/>
    <w:rPr>
      <w:sz w:val="20"/>
      <w:vertAlign w:val="superscript"/>
    </w:rPr>
  </w:style>
  <w:style w:type="character" w:styleId="CommentReference">
    <w:name w:val="annotation reference"/>
    <w:rPr>
      <w:sz w:val="16"/>
      <w:szCs w:val="16"/>
    </w:rPr>
  </w:style>
  <w:style w:type="character" w:customStyle="1" w:styleId="CaptionChar">
    <w:name w:val="Caption Char"/>
    <w:aliases w:val="caption for tables Char,figures Char,Beschriftung Char2 Char Char,Beschriftung Char1 Cha... Char,Beschriftung Char2 Char1,Beschriftung Char1 Char1 Char,Beschriftung Char Char Char1 Char,Beschriftung Char1 Char Char Char"/>
    <w:link w:val="Caption"/>
    <w:uiPriority w:val="99"/>
    <w:locked/>
    <w:rPr>
      <w:rFonts w:ascii="Times New Roman" w:eastAsia="Times New Roman" w:hAnsi="Times New Roman" w:cs="Times New Roman"/>
      <w:b/>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jc w:val="both"/>
    </w:pPr>
    <w:rPr>
      <w:sz w:val="20"/>
      <w:vertAlign w:val="superscript"/>
    </w:rPr>
  </w:style>
  <w:style w:type="paragraph" w:styleId="NoSpacing">
    <w:name w:val="No Spacing"/>
    <w:uiPriority w:val="1"/>
    <w:qFormat/>
    <w:pPr>
      <w:spacing w:before="0" w:after="0"/>
      <w:jc w:val="both"/>
    </w:pPr>
    <w:rPr>
      <w:rFonts w:ascii="Arial" w:eastAsia="Times New Roman" w:hAnsi="Arial" w:cs="Times New Roman"/>
      <w:sz w:val="20"/>
      <w:szCs w:val="24"/>
    </w:rPr>
  </w:style>
  <w:style w:type="paragraph" w:customStyle="1" w:styleId="Text1">
    <w:name w:val="Text 1"/>
    <w:basedOn w:val="Normal"/>
    <w:pPr>
      <w:spacing w:before="0" w:after="240"/>
      <w:ind w:left="482"/>
      <w:jc w:val="both"/>
    </w:pPr>
    <w:rPr>
      <w:rFonts w:ascii="Times New Roman" w:eastAsia="Times New Roman" w:hAnsi="Times New Roman" w:cs="Times New Roman"/>
      <w:sz w:val="24"/>
      <w:szCs w:val="20"/>
    </w:rPr>
  </w:style>
  <w:style w:type="paragraph" w:customStyle="1" w:styleId="Subtitle1">
    <w:name w:val="Subtitle 1"/>
    <w:basedOn w:val="Body"/>
    <w:link w:val="Subtitle1Char"/>
    <w:qFormat/>
    <w:rPr>
      <w:b/>
      <w:i/>
    </w:rPr>
  </w:style>
  <w:style w:type="character" w:customStyle="1" w:styleId="Subtitle1Char">
    <w:name w:val="Subtitle 1 Char"/>
    <w:basedOn w:val="BodyChar"/>
    <w:link w:val="Subtitle1"/>
    <w:rPr>
      <w:rFonts w:ascii="Verdana" w:eastAsia="Times New Roman" w:hAnsi="Verdana" w:cs="Times New Roman"/>
      <w:b/>
      <w:i/>
      <w:sz w:val="18"/>
      <w:szCs w:val="20"/>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ListParagraphChar">
    <w:name w:val="List Paragraph Char"/>
    <w:aliases w:val="Heading 2_sj Char,Numbered Para 1 Char,Dot pt Char,No Spacing1 Char,List Paragraph Char Char Char Char,Indicator Text Char,Bullet 1 Char,List Paragraph1 Char,Bullet Points Char,MAIN CONTENT Char,List Paragraph12 Char"/>
    <w:basedOn w:val="DefaultParagraphFont"/>
    <w:link w:val="ListParagraph"/>
    <w:uiPriority w:val="34"/>
    <w:qFormat/>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7497E-0207-4AFF-8972-DDB2F5FB4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11</Pages>
  <Words>4524</Words>
  <Characters>24522</Characters>
  <Application>Microsoft Office Word</Application>
  <DocSecurity>0</DocSecurity>
  <Lines>383</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70</cp:revision>
  <cp:lastPrinted>2016-07-14T11:26:00Z</cp:lastPrinted>
  <dcterms:created xsi:type="dcterms:W3CDTF">2016-07-15T07:43:00Z</dcterms:created>
  <dcterms:modified xsi:type="dcterms:W3CDTF">2016-07-29T08:09:00Z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