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D7" w:rsidRPr="00DC021E" w:rsidRDefault="009A7912" w:rsidP="006A2759">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979FF87066D4C87A18129FBF3F641C1" style="width:451pt;height:463.4pt">
            <v:imagedata r:id="rId9" o:title=""/>
          </v:shape>
        </w:pict>
      </w:r>
    </w:p>
    <w:p w:rsidR="004E45D7" w:rsidRPr="00DC021E" w:rsidRDefault="004E45D7" w:rsidP="004E45D7">
      <w:pPr>
        <w:sectPr w:rsidR="004E45D7" w:rsidRPr="00DC021E" w:rsidSect="006A275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A48A9" w:rsidRPr="00DC021E" w:rsidRDefault="005A48A9" w:rsidP="005A48A9">
      <w:pPr>
        <w:pStyle w:val="Exposdesmotifstitre"/>
      </w:pPr>
      <w:r w:rsidRPr="00DC021E">
        <w:lastRenderedPageBreak/>
        <w:t>EXPLANATORY MEMORANDUM</w:t>
      </w:r>
    </w:p>
    <w:p w:rsidR="005A48A9" w:rsidRPr="00DC021E" w:rsidRDefault="005A48A9" w:rsidP="00734424">
      <w:pPr>
        <w:keepNext/>
        <w:tabs>
          <w:tab w:val="left" w:pos="850"/>
        </w:tabs>
        <w:spacing w:before="360"/>
        <w:outlineLvl w:val="0"/>
        <w:rPr>
          <w:b/>
          <w:smallCaps/>
        </w:rPr>
      </w:pPr>
      <w:r w:rsidRPr="00DC021E">
        <w:rPr>
          <w:b/>
          <w:smallCaps/>
        </w:rPr>
        <w:t>1.</w:t>
      </w:r>
      <w:r w:rsidRPr="00DC021E">
        <w:rPr>
          <w:b/>
          <w:smallCaps/>
        </w:rPr>
        <w:tab/>
        <w:t>CONTEXT OF THE PROPOSAL</w:t>
      </w:r>
    </w:p>
    <w:p w:rsidR="005A48A9" w:rsidRPr="00DC021E" w:rsidRDefault="005A48A9" w:rsidP="005A48A9">
      <w:pPr>
        <w:keepNext/>
        <w:tabs>
          <w:tab w:val="left" w:pos="850"/>
        </w:tabs>
        <w:ind w:left="850" w:hanging="850"/>
        <w:outlineLvl w:val="1"/>
        <w:rPr>
          <w:rFonts w:eastAsia="Arial Unicode MS"/>
          <w:b/>
        </w:rPr>
      </w:pPr>
      <w:r w:rsidRPr="00DC021E">
        <w:rPr>
          <w:rFonts w:eastAsia="Arial Unicode MS"/>
          <w:b/>
          <w:u w:color="000000"/>
          <w:bdr w:val="nil"/>
          <w:lang w:val="en-US" w:eastAsia="en-GB"/>
        </w:rPr>
        <w:t>•</w:t>
      </w:r>
      <w:r w:rsidRPr="00DC021E">
        <w:rPr>
          <w:rFonts w:eastAsia="Arial Unicode MS"/>
          <w:b/>
          <w:u w:color="000000"/>
          <w:bdr w:val="nil"/>
          <w:lang w:val="en-US" w:eastAsia="en-GB"/>
        </w:rPr>
        <w:tab/>
      </w:r>
      <w:r w:rsidRPr="00DC021E">
        <w:rPr>
          <w:rFonts w:eastAsia="Arial Unicode MS"/>
          <w:b/>
        </w:rPr>
        <w:t>Reasons for and objectives of the proposal</w:t>
      </w:r>
    </w:p>
    <w:p w:rsidR="005A48A9" w:rsidRPr="00DC021E" w:rsidRDefault="005A48A9" w:rsidP="005A48A9">
      <w:pPr>
        <w:spacing w:before="0" w:after="200"/>
      </w:pPr>
      <w:r w:rsidRPr="00DC021E">
        <w:t xml:space="preserve">Climate change is a trans-boundary problem which cannot be solved by national or local action alone. Since 1992, the EU has worked to develop joint solutions and drive forward global action to tackle climate change. </w:t>
      </w:r>
    </w:p>
    <w:p w:rsidR="005A48A9" w:rsidRPr="00DC021E" w:rsidRDefault="005A48A9" w:rsidP="005A48A9">
      <w:r w:rsidRPr="00DC021E">
        <w:t>The Paris Agreement was adopted in December 2015 at the 21</w:t>
      </w:r>
      <w:r w:rsidRPr="00DC021E">
        <w:rPr>
          <w:vertAlign w:val="superscript"/>
        </w:rPr>
        <w:t>st</w:t>
      </w:r>
      <w:r w:rsidRPr="00DC021E">
        <w:t xml:space="preserve"> Conference of the Parties of the United Nations Framework Convention on Climate Change (UNFCCC). The Agreement includes a long-term goal and spells out that the contribution from land use and forests in reaching the long term climate mitigation objectives will be critical.</w:t>
      </w:r>
      <w:r w:rsidRPr="00DC021E">
        <w:rPr>
          <w:rStyle w:val="FootnoteReference"/>
        </w:rPr>
        <w:footnoteReference w:id="1"/>
      </w:r>
      <w:r w:rsidRPr="00DC021E">
        <w:t xml:space="preserve"> </w:t>
      </w:r>
    </w:p>
    <w:p w:rsidR="00D67833" w:rsidRPr="00DC021E" w:rsidRDefault="00D67833" w:rsidP="005A48A9">
      <w:r w:rsidRPr="00DC021E">
        <w:t>This proposal also implements EU commitments under the Paris agreement on climate change. On 10 June 2016 the Commission presented a proposal for the EU to ratify the Paris agreement</w:t>
      </w:r>
      <w:r w:rsidRPr="00DC021E">
        <w:rPr>
          <w:rStyle w:val="FootnoteReference"/>
        </w:rPr>
        <w:footnoteReference w:id="2"/>
      </w:r>
      <w:r w:rsidRPr="00DC021E">
        <w:t>. This proposal followed the Commission's assessment of the Paris agreement</w:t>
      </w:r>
      <w:r w:rsidRPr="00DC021E">
        <w:rPr>
          <w:rStyle w:val="FootnoteReference"/>
        </w:rPr>
        <w:footnoteReference w:id="3"/>
      </w:r>
      <w:r w:rsidRPr="00DC021E">
        <w:t>.</w:t>
      </w:r>
    </w:p>
    <w:p w:rsidR="005A48A9" w:rsidRPr="00DC021E" w:rsidRDefault="005A48A9" w:rsidP="005A48A9">
      <w:r w:rsidRPr="00DC021E">
        <w:t xml:space="preserve">The European Council's guidance on including land use, land use change and forestry (LULUCF) into the EU's 2030 climate and energy framework is also reflected in the EU's </w:t>
      </w:r>
      <w:r w:rsidR="009F0DA8" w:rsidRPr="00DC021E">
        <w:t>Intended Nationally Determined Contribution</w:t>
      </w:r>
      <w:r w:rsidRPr="00DC021E">
        <w:t>. The EU announced that its target is "an economy-wide absolute reduction from base year emissions", reaching "at least 40% domestic reduction", covering 100% of the EU's emissions. As for LULUCF, it was added that "policy on how to include Land Use, Land Use Change and Forestry into the 2030 greenhouse gas mitigation framework will be established as soon as technical conditions allow and in any case before 2020."</w:t>
      </w:r>
      <w:r w:rsidRPr="00DC021E">
        <w:rPr>
          <w:rStyle w:val="FootnoteReference"/>
        </w:rPr>
        <w:footnoteReference w:id="4"/>
      </w:r>
      <w:r w:rsidRPr="00DC021E">
        <w:t xml:space="preserve"> </w:t>
      </w:r>
    </w:p>
    <w:p w:rsidR="005A48A9" w:rsidRPr="00DC021E" w:rsidRDefault="005A48A9" w:rsidP="005A48A9">
      <w:r w:rsidRPr="00DC021E">
        <w:t>The objective of this proposal is to determine how the LULUCF sector will be included into the EU climate policy framework, as of 2021. Up to this date, the Kyoto Protocol places constraints on the EU and each of its Member States</w:t>
      </w:r>
      <w:r w:rsidR="006D3511" w:rsidRPr="00DC021E">
        <w:t>, as they</w:t>
      </w:r>
      <w:r w:rsidRPr="00DC021E">
        <w:t xml:space="preserve"> need to ensure that the LULUCF sector does not yield extra emissions. However, the Kyoto Protocol will expire at the end of 2020. Consequently, governance for the LULUCF sector needs to be further developed within the EU. </w:t>
      </w:r>
    </w:p>
    <w:p w:rsidR="005A48A9" w:rsidRPr="00DC021E" w:rsidRDefault="005A48A9" w:rsidP="005A48A9"/>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r>
      <w:r w:rsidRPr="00DC021E">
        <w:rPr>
          <w:rFonts w:eastAsia="Arial Unicode MS"/>
          <w:b/>
        </w:rPr>
        <w:t>Consistency with existing policy provisions in the policy area</w:t>
      </w:r>
    </w:p>
    <w:p w:rsidR="005A48A9" w:rsidRPr="00DC021E" w:rsidRDefault="005A48A9" w:rsidP="005A48A9">
      <w:r w:rsidRPr="00DC021E">
        <w:t>The current 2020 EU climate policy framework covers most sectors and greenhouse gases. It consists of two main elements:</w:t>
      </w:r>
    </w:p>
    <w:p w:rsidR="005A48A9" w:rsidRPr="00DC021E" w:rsidRDefault="005A48A9" w:rsidP="00B86412">
      <w:pPr>
        <w:pStyle w:val="Point0letter"/>
        <w:numPr>
          <w:ilvl w:val="1"/>
          <w:numId w:val="15"/>
        </w:numPr>
      </w:pPr>
      <w:r w:rsidRPr="00DC021E">
        <w:t xml:space="preserve">The EU Emissions Trading System (EU ETS);  </w:t>
      </w:r>
    </w:p>
    <w:p w:rsidR="005A48A9" w:rsidRPr="00DC021E" w:rsidRDefault="005A48A9" w:rsidP="00DC56EE">
      <w:pPr>
        <w:pStyle w:val="Point0letter"/>
      </w:pPr>
      <w:r w:rsidRPr="00DC021E">
        <w:lastRenderedPageBreak/>
        <w:t>Sectors</w:t>
      </w:r>
      <w:r w:rsidRPr="00DC021E">
        <w:rPr>
          <w:rStyle w:val="FootnoteReference"/>
          <w:szCs w:val="24"/>
        </w:rPr>
        <w:footnoteReference w:id="5"/>
      </w:r>
      <w:r w:rsidRPr="00DC021E">
        <w:t xml:space="preserve"> outside the EU ETS are addressed by the Effort Sharing Decision (ESD).  </w:t>
      </w:r>
    </w:p>
    <w:p w:rsidR="005A48A9" w:rsidRPr="00DC021E" w:rsidRDefault="005A48A9" w:rsidP="005A48A9">
      <w:pPr>
        <w:spacing w:before="0" w:after="200"/>
      </w:pPr>
      <w:r w:rsidRPr="00DC021E">
        <w:t>Progress towards the 2020 targets is ensured through annual reporting obligations and compliance checks, set out in Regulation 525/2013/EC.</w:t>
      </w:r>
      <w:r w:rsidRPr="00DC021E">
        <w:rPr>
          <w:rStyle w:val="FootnoteReference"/>
        </w:rPr>
        <w:footnoteReference w:id="6"/>
      </w:r>
      <w:r w:rsidRPr="00DC021E">
        <w:t xml:space="preserve">  </w:t>
      </w:r>
    </w:p>
    <w:p w:rsidR="005A48A9" w:rsidRPr="00DC021E" w:rsidRDefault="005A48A9" w:rsidP="005A48A9">
      <w:pPr>
        <w:spacing w:before="0" w:after="200"/>
      </w:pPr>
      <w:r w:rsidRPr="00DC021E">
        <w:t>Emission</w:t>
      </w:r>
      <w:r w:rsidR="00A21BED" w:rsidRPr="00DC021E">
        <w:t>s</w:t>
      </w:r>
      <w:r w:rsidRPr="00DC021E">
        <w:t xml:space="preserve"> and removals</w:t>
      </w:r>
      <w:r w:rsidRPr="00DC021E">
        <w:rPr>
          <w:rStyle w:val="FootnoteReference"/>
        </w:rPr>
        <w:footnoteReference w:id="7"/>
      </w:r>
      <w:r w:rsidRPr="00DC021E">
        <w:t xml:space="preserve"> of greenhouse gases in LULUCF are currently covered by international obligations under the Kyoto Protocol only, up to 2020. The implementation of the current LULUCF Decision (529/2013/EU) is under way and will deliver improved accounting systems by 2020. Without a legal framework consolidating this implementation and defining the applicable rules for the period post-2020, the way in which LULUCF would be included in the overall framework could be heterogeneous across the EU.</w:t>
      </w:r>
      <w:r w:rsidR="00A21BED" w:rsidRPr="00DC021E">
        <w:t xml:space="preserve"> Differences in reporting and accounting rules from one Member State to the other would negatively affect the optimal functioning of the single market. </w:t>
      </w:r>
    </w:p>
    <w:p w:rsidR="005A48A9" w:rsidRPr="00DC021E" w:rsidRDefault="005A48A9" w:rsidP="005A48A9">
      <w:pPr>
        <w:keepNext/>
        <w:tabs>
          <w:tab w:val="left" w:pos="850"/>
        </w:tabs>
        <w:ind w:left="850" w:hanging="850"/>
        <w:outlineLvl w:val="1"/>
        <w:rPr>
          <w:rFonts w:eastAsia="Arial Unicode MS"/>
          <w:b/>
        </w:rPr>
      </w:pPr>
      <w:r w:rsidRPr="00DC021E">
        <w:rPr>
          <w:rFonts w:eastAsia="Arial Unicode MS"/>
          <w:b/>
          <w:u w:color="000000"/>
          <w:bdr w:val="nil"/>
          <w:lang w:val="en-US" w:eastAsia="en-GB"/>
        </w:rPr>
        <w:t>•</w:t>
      </w:r>
      <w:r w:rsidRPr="00DC021E">
        <w:rPr>
          <w:rFonts w:eastAsia="Arial Unicode MS"/>
          <w:b/>
          <w:u w:color="000000"/>
          <w:bdr w:val="nil"/>
          <w:lang w:val="en-US" w:eastAsia="en-GB"/>
        </w:rPr>
        <w:tab/>
      </w:r>
      <w:r w:rsidRPr="00DC021E">
        <w:rPr>
          <w:rFonts w:eastAsia="Arial Unicode MS"/>
          <w:b/>
        </w:rPr>
        <w:t>Consistency with other Union policies</w:t>
      </w:r>
    </w:p>
    <w:p w:rsidR="005A48A9" w:rsidRPr="00DC021E" w:rsidRDefault="005A48A9" w:rsidP="005A48A9">
      <w:pPr>
        <w:spacing w:before="0" w:after="200"/>
      </w:pPr>
      <w:r w:rsidRPr="00DC021E">
        <w:t xml:space="preserve">A legal proposal for the inclusion of LULUCF into the 2030 EU climate and energy policy framework is a key part of the Commission strategy for a </w:t>
      </w:r>
      <w:r w:rsidRPr="00DC021E">
        <w:rPr>
          <w:i/>
        </w:rPr>
        <w:t>resilient Energy Union with a forward looking climate change policy</w:t>
      </w:r>
      <w:r w:rsidRPr="00DC021E">
        <w:t xml:space="preserve">, underpinning its decarbonisation dimension. The proposal is also needed to complete the integrated framework for climate and energy policies up to 2030 endorsed by the European Council in October 2014. </w:t>
      </w:r>
    </w:p>
    <w:p w:rsidR="005A48A9" w:rsidRPr="00DC021E" w:rsidRDefault="00F955E3" w:rsidP="005A48A9">
      <w:pPr>
        <w:spacing w:before="0" w:after="200"/>
      </w:pPr>
      <w:r w:rsidRPr="00DC021E">
        <w:t>According to the international rules under UN</w:t>
      </w:r>
      <w:r w:rsidR="003206E5" w:rsidRPr="00DC021E">
        <w:t xml:space="preserve"> Framework Convention on Climate Change</w:t>
      </w:r>
      <w:r w:rsidRPr="00DC021E">
        <w:t xml:space="preserve"> and the Kyoto Protocol, emissions related to biomass use are reported and accounted for under LULUCF, i.e. biomass use in the energy sector is zero rated. In this way double counting of emissions is avoided. </w:t>
      </w:r>
      <w:r w:rsidR="005A48A9" w:rsidRPr="00DC021E">
        <w:t xml:space="preserve"> </w:t>
      </w:r>
    </w:p>
    <w:p w:rsidR="005A48A9" w:rsidRPr="00DC021E" w:rsidRDefault="005A48A9" w:rsidP="005A48A9">
      <w:pPr>
        <w:keepNext/>
        <w:tabs>
          <w:tab w:val="left" w:pos="850"/>
        </w:tabs>
        <w:spacing w:before="360"/>
        <w:ind w:left="850" w:hanging="850"/>
        <w:outlineLvl w:val="0"/>
        <w:rPr>
          <w:b/>
          <w:smallCaps/>
        </w:rPr>
      </w:pPr>
      <w:r w:rsidRPr="00DC021E">
        <w:rPr>
          <w:b/>
          <w:smallCaps/>
        </w:rPr>
        <w:t>2.</w:t>
      </w:r>
      <w:r w:rsidRPr="00DC021E">
        <w:rPr>
          <w:b/>
          <w:smallCaps/>
        </w:rPr>
        <w:tab/>
        <w:t>LEGAL BASIS, SUBSIDIARITY AND PROPORTIONALITY</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Legal basis</w:t>
      </w:r>
    </w:p>
    <w:p w:rsidR="005A48A9" w:rsidRPr="00DC021E" w:rsidRDefault="005A48A9" w:rsidP="005A48A9">
      <w:pPr>
        <w:pBdr>
          <w:top w:val="nil"/>
          <w:left w:val="nil"/>
          <w:bottom w:val="nil"/>
          <w:right w:val="nil"/>
          <w:between w:val="nil"/>
          <w:bar w:val="nil"/>
        </w:pBdr>
        <w:spacing w:before="0" w:after="240"/>
        <w:rPr>
          <w:rFonts w:eastAsia="Arial Unicode MS"/>
        </w:rPr>
      </w:pPr>
      <w:r w:rsidRPr="00DC021E">
        <w:rPr>
          <w:rFonts w:eastAsia="Times New Roman"/>
          <w:szCs w:val="24"/>
        </w:rPr>
        <w:t>Articles 191 to 193 of the T</w:t>
      </w:r>
      <w:r w:rsidR="003206E5" w:rsidRPr="00DC021E">
        <w:rPr>
          <w:rFonts w:eastAsia="Times New Roman"/>
          <w:szCs w:val="24"/>
        </w:rPr>
        <w:t xml:space="preserve">reaty on the </w:t>
      </w:r>
      <w:r w:rsidRPr="00DC021E">
        <w:rPr>
          <w:rFonts w:eastAsia="Times New Roman"/>
          <w:szCs w:val="24"/>
        </w:rPr>
        <w:t>F</w:t>
      </w:r>
      <w:r w:rsidR="003206E5" w:rsidRPr="00DC021E">
        <w:rPr>
          <w:rFonts w:eastAsia="Times New Roman"/>
          <w:szCs w:val="24"/>
        </w:rPr>
        <w:t xml:space="preserve">unctioning of the </w:t>
      </w:r>
      <w:r w:rsidRPr="00DC021E">
        <w:rPr>
          <w:rFonts w:eastAsia="Times New Roman"/>
          <w:szCs w:val="24"/>
        </w:rPr>
        <w:t>E</w:t>
      </w:r>
      <w:r w:rsidR="003206E5" w:rsidRPr="00DC021E">
        <w:rPr>
          <w:rFonts w:eastAsia="Times New Roman"/>
          <w:szCs w:val="24"/>
        </w:rPr>
        <w:t xml:space="preserve">uropean </w:t>
      </w:r>
      <w:r w:rsidRPr="00DC021E">
        <w:rPr>
          <w:rFonts w:eastAsia="Times New Roman"/>
          <w:szCs w:val="24"/>
        </w:rPr>
        <w:t>U</w:t>
      </w:r>
      <w:r w:rsidR="003206E5" w:rsidRPr="00DC021E">
        <w:rPr>
          <w:rFonts w:eastAsia="Times New Roman"/>
          <w:szCs w:val="24"/>
        </w:rPr>
        <w:t>nion</w:t>
      </w:r>
      <w:r w:rsidRPr="00DC021E">
        <w:rPr>
          <w:rFonts w:eastAsia="Times New Roman"/>
          <w:szCs w:val="24"/>
        </w:rPr>
        <w:t xml:space="preserve"> confirm and specify EU competencies in the area of climate change. </w:t>
      </w:r>
      <w:r w:rsidRPr="00DC021E">
        <w:t xml:space="preserve">The legal basis for this proposal is Article 192. </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 xml:space="preserve">Subsidiarity (for non-exclusive competence) </w:t>
      </w:r>
    </w:p>
    <w:p w:rsidR="005A48A9" w:rsidRPr="00DC021E" w:rsidRDefault="005A48A9" w:rsidP="005A48A9">
      <w:pPr>
        <w:pBdr>
          <w:top w:val="nil"/>
          <w:left w:val="nil"/>
          <w:bottom w:val="nil"/>
          <w:right w:val="nil"/>
          <w:between w:val="nil"/>
          <w:bar w:val="nil"/>
        </w:pBdr>
        <w:spacing w:before="0" w:after="240"/>
        <w:rPr>
          <w:rFonts w:eastAsia="Arial Unicode MS"/>
        </w:rPr>
      </w:pPr>
      <w:r w:rsidRPr="00DC021E">
        <w:rPr>
          <w:rFonts w:eastAsia="Arial Unicode MS"/>
        </w:rPr>
        <w:t>Climate change is a trans-boundary problem which cannot be solved by national or local action alone. The European Union competence to take action on climate change derives from Article 191 of the Treaty on the Functioning of the European Union. As the EU addresses climate change commitments jointly, LULUCF also needs to be addressed in a coordinated manner.</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Proportionality</w:t>
      </w:r>
    </w:p>
    <w:p w:rsidR="005A48A9" w:rsidRPr="00DC021E" w:rsidRDefault="005A48A9" w:rsidP="005A48A9">
      <w:pPr>
        <w:pBdr>
          <w:top w:val="nil"/>
          <w:left w:val="nil"/>
          <w:bottom w:val="nil"/>
          <w:right w:val="nil"/>
          <w:between w:val="nil"/>
          <w:bar w:val="nil"/>
        </w:pBdr>
        <w:spacing w:before="0" w:after="240"/>
        <w:rPr>
          <w:rFonts w:eastAsia="Arial Unicode MS"/>
        </w:rPr>
      </w:pPr>
      <w:r w:rsidRPr="00DC021E">
        <w:rPr>
          <w:rFonts w:eastAsia="Arial Unicode MS"/>
        </w:rPr>
        <w:t xml:space="preserve">The inclusion of LULUCF into the 2030 framework will provide a common framework on how the sector can be counted towards the EU's joint reduction target. The choice of action in </w:t>
      </w:r>
      <w:r w:rsidRPr="00DC021E">
        <w:rPr>
          <w:rFonts w:eastAsia="Arial Unicode MS"/>
        </w:rPr>
        <w:lastRenderedPageBreak/>
        <w:t xml:space="preserve">pursuit of the various objectives related to LULUCF will be up to the Member States, thereby also fully respecting subsidiarity.  </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Choice of the instrument</w:t>
      </w:r>
    </w:p>
    <w:p w:rsidR="005A48A9" w:rsidRPr="00DC021E" w:rsidRDefault="005A48A9" w:rsidP="005A48A9">
      <w:pPr>
        <w:pBdr>
          <w:top w:val="nil"/>
          <w:left w:val="nil"/>
          <w:bottom w:val="nil"/>
          <w:right w:val="nil"/>
          <w:between w:val="nil"/>
          <w:bar w:val="nil"/>
        </w:pBdr>
        <w:spacing w:before="0" w:after="240"/>
        <w:rPr>
          <w:rFonts w:eastAsia="Arial Unicode MS"/>
        </w:rPr>
      </w:pPr>
      <w:r w:rsidRPr="00DC021E">
        <w:rPr>
          <w:rFonts w:eastAsia="Arial Unicode MS"/>
        </w:rPr>
        <w:t xml:space="preserve">The European Council has agreed to a single binding objective for climate and energy policy between 2021 and 2030, for an overall economy-wide reduction of at least 40% of greenhouse gas emission levels below 1990 levels. Requirements are placed on the Member States to contribute to achieving the necessary emission reductions as well as on the European Environment Agency. This proposal accompanies that of </w:t>
      </w:r>
      <w:r w:rsidR="006F1658" w:rsidRPr="00DC021E">
        <w:rPr>
          <w:rFonts w:eastAsia="Arial Unicode MS"/>
        </w:rPr>
        <w:t xml:space="preserve">for a </w:t>
      </w:r>
      <w:r w:rsidR="006F1658" w:rsidRPr="00DC021E">
        <w:t>Regulation [] on binding annual greenhouse gas emission reductions by Member States from 2021 to 2030 for a resilient Energy Union and to meet commitments under the Paris Agreement and amending Regulation No 525/2013 of the European Parliament and the Council on a mechanism for monitoring and reporting greenhouse gas emissions and other information relevant to climate change</w:t>
      </w:r>
      <w:r w:rsidRPr="00DC021E">
        <w:rPr>
          <w:rFonts w:eastAsia="Arial Unicode MS"/>
        </w:rPr>
        <w:t xml:space="preserve">, which covers more than half of these greenhouse gas emissions, and the objective of the proposal is best pursued through a Regulation. </w:t>
      </w:r>
    </w:p>
    <w:p w:rsidR="005A48A9" w:rsidRPr="00DC021E" w:rsidRDefault="005A48A9" w:rsidP="005A48A9">
      <w:pPr>
        <w:keepNext/>
        <w:tabs>
          <w:tab w:val="left" w:pos="850"/>
        </w:tabs>
        <w:spacing w:before="360"/>
        <w:ind w:left="850" w:hanging="850"/>
        <w:outlineLvl w:val="0"/>
        <w:rPr>
          <w:b/>
          <w:smallCaps/>
        </w:rPr>
      </w:pPr>
      <w:r w:rsidRPr="00DC021E">
        <w:rPr>
          <w:b/>
          <w:smallCaps/>
        </w:rPr>
        <w:t>3.</w:t>
      </w:r>
      <w:r w:rsidRPr="00DC021E">
        <w:rPr>
          <w:b/>
          <w:smallCaps/>
        </w:rPr>
        <w:tab/>
        <w:t>RESULTS OF EX-POST EVALUATIONS, STAKEHOLDER CONSULTATIONS AND IMPACT ASSESSMENTS</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Ex-post evaluations/fitness checks of existing legislation</w:t>
      </w:r>
    </w:p>
    <w:p w:rsidR="005A48A9" w:rsidRPr="00DC021E" w:rsidRDefault="005A48A9" w:rsidP="005A48A9">
      <w:pPr>
        <w:pBdr>
          <w:top w:val="nil"/>
          <w:left w:val="nil"/>
          <w:bottom w:val="nil"/>
          <w:right w:val="nil"/>
          <w:between w:val="nil"/>
          <w:bar w:val="nil"/>
        </w:pBdr>
        <w:spacing w:before="0" w:after="240"/>
        <w:rPr>
          <w:rFonts w:eastAsia="Arial Unicode MS"/>
        </w:rPr>
      </w:pPr>
      <w:r w:rsidRPr="00DC021E">
        <w:rPr>
          <w:rFonts w:eastAsia="Arial Unicode MS"/>
        </w:rPr>
        <w:t>There was no related ex-post evaluation or fitness check related to this proposal.</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Stakeholder consultations</w:t>
      </w:r>
    </w:p>
    <w:p w:rsidR="00D85CB1" w:rsidRPr="00DC021E" w:rsidRDefault="005A48A9" w:rsidP="0057575A">
      <w:pPr>
        <w:spacing w:before="0" w:after="240"/>
        <w:rPr>
          <w:rFonts w:eastAsia="Times New Roman"/>
          <w:szCs w:val="20"/>
        </w:rPr>
      </w:pPr>
      <w:r w:rsidRPr="00DC021E">
        <w:rPr>
          <w:rFonts w:eastAsia="Times New Roman"/>
          <w:szCs w:val="20"/>
        </w:rPr>
        <w:t>Between March and June 2015, the European Commission conducted a public consultation on how best to address emissions from agriculture, forestry and other land use in the context of the 2030 EU climate and energy policy framework. In total, 138 contributions were received</w:t>
      </w:r>
      <w:r w:rsidR="0057575A" w:rsidRPr="00DC021E">
        <w:rPr>
          <w:rFonts w:eastAsia="Times New Roman"/>
          <w:szCs w:val="20"/>
        </w:rPr>
        <w:t xml:space="preserve"> On the policy architecture options, half of respondents had no clear preference, and approximately one third of respondents, mostly environmental NGOs and forestry organisations, were in favour of keeping LULUCF as a separate pillar within the climate policy framework. The option of merging agriculture and LULUCF in a separate pillar outside the ESD received the least support. National governments showed most preference for a separate LULUCF pillar, possibly with flexibility, or to merging LULUCF into the ESD. </w:t>
      </w:r>
      <w:r w:rsidR="0057575A" w:rsidRPr="00DC021E">
        <w:rPr>
          <w:rFonts w:eastAsia="Arial Unicode MS"/>
        </w:rPr>
        <w:t xml:space="preserve">The wide ranging set of views meant that no single option considered by the Commission was able to respond to all these opinions. </w:t>
      </w:r>
      <w:r w:rsidR="0057575A" w:rsidRPr="00DC021E">
        <w:rPr>
          <w:rFonts w:eastAsia="Times New Roman"/>
          <w:szCs w:val="20"/>
        </w:rPr>
        <w:t>Accounting was regarded as key to environmental integrity by most respondents. Strong interest was shown to streamline parallel reporting systems and continue with forest reference levels.</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Collection and use of expertise</w:t>
      </w:r>
    </w:p>
    <w:p w:rsidR="005A48A9" w:rsidRPr="00DC021E" w:rsidRDefault="005A48A9" w:rsidP="005A48A9">
      <w:r w:rsidRPr="00DC021E">
        <w:t xml:space="preserve">The quantitative assessment of future impacts in the EU is consistent with the analyses undertaken for the 2030 framework proposal and the </w:t>
      </w:r>
      <w:r w:rsidR="006F1658" w:rsidRPr="00DC021E">
        <w:t>Regulation [] on binding annual greenhouse gas emission reductions by Member States from 2021 to 2030 for a resilient Energy Union and to meet commitments under the Paris Agreement</w:t>
      </w:r>
      <w:r w:rsidRPr="00DC021E">
        <w:t xml:space="preserve">. The Commission contracted the National Technical University of Athens, </w:t>
      </w:r>
      <w:r w:rsidR="003206E5" w:rsidRPr="00DC021E">
        <w:t xml:space="preserve">International Institute for Applied Systems Analysis </w:t>
      </w:r>
      <w:r w:rsidRPr="00DC021E">
        <w:t xml:space="preserve">and </w:t>
      </w:r>
      <w:proofErr w:type="spellStart"/>
      <w:r w:rsidRPr="00DC021E">
        <w:t>EuroCare</w:t>
      </w:r>
      <w:proofErr w:type="spellEnd"/>
      <w:r w:rsidRPr="00DC021E">
        <w:t xml:space="preserve"> to model EU scenarios. </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Impact assessment</w:t>
      </w:r>
    </w:p>
    <w:p w:rsidR="005A48A9" w:rsidRPr="00DC021E" w:rsidRDefault="005A48A9" w:rsidP="005A48A9">
      <w:pPr>
        <w:pBdr>
          <w:top w:val="nil"/>
          <w:left w:val="nil"/>
          <w:bottom w:val="nil"/>
          <w:right w:val="nil"/>
          <w:between w:val="nil"/>
          <w:bar w:val="nil"/>
        </w:pBdr>
        <w:spacing w:before="0" w:after="240"/>
        <w:rPr>
          <w:rFonts w:eastAsia="Arial Unicode MS"/>
        </w:rPr>
      </w:pPr>
      <w:r w:rsidRPr="00DC021E">
        <w:rPr>
          <w:rFonts w:eastAsia="Arial Unicode MS"/>
        </w:rPr>
        <w:t xml:space="preserve">The Impact Assessment has been prepared and developed in full cooperation with the applicable </w:t>
      </w:r>
      <w:r w:rsidRPr="00DC021E">
        <w:rPr>
          <w:rFonts w:eastAsia="Arial Unicode MS"/>
          <w:i/>
        </w:rPr>
        <w:t>Better Regulation</w:t>
      </w:r>
      <w:r w:rsidRPr="00DC021E">
        <w:rPr>
          <w:rFonts w:eastAsia="Arial Unicode MS"/>
        </w:rPr>
        <w:t xml:space="preserve"> guidance, and has been evaluated by the Regulatory Scrutiny Board, receiving a Positive opinion. Improvements as recommended by the Board have been incorporated into the final version.</w:t>
      </w:r>
    </w:p>
    <w:p w:rsidR="00D85CB1" w:rsidRPr="00DC021E" w:rsidRDefault="00EB7175" w:rsidP="00D85CB1">
      <w:pPr>
        <w:pBdr>
          <w:top w:val="nil"/>
          <w:left w:val="nil"/>
          <w:bottom w:val="nil"/>
          <w:right w:val="nil"/>
          <w:between w:val="nil"/>
          <w:bar w:val="nil"/>
        </w:pBdr>
        <w:spacing w:before="0" w:after="240"/>
        <w:rPr>
          <w:rFonts w:eastAsia="Arial Unicode MS"/>
        </w:rPr>
      </w:pPr>
      <w:r w:rsidRPr="00DC021E">
        <w:rPr>
          <w:rFonts w:eastAsia="Arial Unicode MS"/>
        </w:rPr>
        <w:lastRenderedPageBreak/>
        <w:t>In the conclusion of the I</w:t>
      </w:r>
      <w:r w:rsidR="003206E5" w:rsidRPr="00DC021E">
        <w:rPr>
          <w:rFonts w:eastAsia="Arial Unicode MS"/>
        </w:rPr>
        <w:t xml:space="preserve">mpact </w:t>
      </w:r>
      <w:r w:rsidRPr="00DC021E">
        <w:rPr>
          <w:rFonts w:eastAsia="Arial Unicode MS"/>
        </w:rPr>
        <w:t>A</w:t>
      </w:r>
      <w:r w:rsidR="003206E5" w:rsidRPr="00DC021E">
        <w:rPr>
          <w:rFonts w:eastAsia="Arial Unicode MS"/>
        </w:rPr>
        <w:t>ssessment</w:t>
      </w:r>
      <w:r w:rsidRPr="00DC021E">
        <w:rPr>
          <w:rFonts w:eastAsia="Arial Unicode MS"/>
        </w:rPr>
        <w:t xml:space="preserve">, </w:t>
      </w:r>
      <w:r w:rsidR="00D85CB1" w:rsidRPr="00DC021E">
        <w:rPr>
          <w:rFonts w:eastAsia="Arial Unicode MS"/>
        </w:rPr>
        <w:t>a s</w:t>
      </w:r>
      <w:r w:rsidRPr="00DC021E">
        <w:rPr>
          <w:rFonts w:eastAsia="Arial Unicode MS"/>
        </w:rPr>
        <w:t xml:space="preserve">tand-alone LULUCF policy pillar, which would continue to be utilised together with the no-debit rule, </w:t>
      </w:r>
      <w:r w:rsidR="00D85CB1" w:rsidRPr="00DC021E">
        <w:rPr>
          <w:rFonts w:eastAsia="Arial Unicode MS"/>
        </w:rPr>
        <w:t>was identified</w:t>
      </w:r>
      <w:r w:rsidRPr="00DC021E">
        <w:rPr>
          <w:rFonts w:eastAsia="Arial Unicode MS"/>
        </w:rPr>
        <w:t xml:space="preserve"> as the preferred option</w:t>
      </w:r>
      <w:r w:rsidR="00D85CB1" w:rsidRPr="00DC021E">
        <w:rPr>
          <w:rFonts w:eastAsia="Arial Unicode MS"/>
        </w:rPr>
        <w:t>. A limited degree of fle</w:t>
      </w:r>
      <w:r w:rsidRPr="00DC021E">
        <w:rPr>
          <w:rFonts w:eastAsia="Arial Unicode MS"/>
        </w:rPr>
        <w:t xml:space="preserve">xibility between LULUCF and the non-ETS sectors </w:t>
      </w:r>
      <w:r w:rsidR="00D85CB1" w:rsidRPr="00DC021E">
        <w:rPr>
          <w:rFonts w:eastAsia="Arial Unicode MS"/>
        </w:rPr>
        <w:t xml:space="preserve">would be enabled, justified on the need derived from the </w:t>
      </w:r>
      <w:r w:rsidRPr="00DC021E">
        <w:rPr>
          <w:rFonts w:eastAsia="Arial Unicode MS"/>
        </w:rPr>
        <w:t xml:space="preserve">lower mitigation potential of </w:t>
      </w:r>
      <w:r w:rsidR="00D85CB1" w:rsidRPr="00DC021E">
        <w:rPr>
          <w:rFonts w:eastAsia="Arial Unicode MS"/>
        </w:rPr>
        <w:t>agriculture</w:t>
      </w:r>
      <w:r w:rsidRPr="00DC021E">
        <w:rPr>
          <w:rFonts w:eastAsia="Arial Unicode MS"/>
        </w:rPr>
        <w:t xml:space="preserve"> and the share of the agriculture </w:t>
      </w:r>
      <w:r w:rsidR="00D85CB1" w:rsidRPr="00DC021E">
        <w:rPr>
          <w:rFonts w:eastAsia="Arial Unicode MS"/>
        </w:rPr>
        <w:t>sector for each Member State.  This option would be compatible with food security and biodiversity objectives and would not result in negative employment effects. Such a hybrid option would limit changes of the overall architecture and would thereby minimize administrative burden and red tape while maximising the contributions to the overall achievement of the EU's 2030 targets. The inclusion of LULUCF on the basis of such a hybrid option would also incentivize additional mitigation action in the land and forestry sector and hence be fully compliant with the long term vision for limiting temperature increase as outlined in the Paris Agreement.</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Regulatory fitness and simplification</w:t>
      </w:r>
    </w:p>
    <w:p w:rsidR="00084AD0" w:rsidRPr="00DC021E" w:rsidRDefault="005A48A9" w:rsidP="00084AD0">
      <w:pPr>
        <w:pBdr>
          <w:top w:val="nil"/>
          <w:left w:val="nil"/>
          <w:bottom w:val="nil"/>
          <w:right w:val="nil"/>
          <w:between w:val="nil"/>
          <w:bar w:val="nil"/>
        </w:pBdr>
        <w:spacing w:before="0" w:after="240"/>
      </w:pPr>
      <w:r w:rsidRPr="00DC021E">
        <w:rPr>
          <w:rFonts w:eastAsia="Arial Unicode MS"/>
        </w:rPr>
        <w:t>In line with the Commission commitment to Better Regulation, the proposal has been prepared inclusively, based on transparency and continuous engagement with stakeholders.</w:t>
      </w:r>
      <w:r w:rsidR="00084AD0" w:rsidRPr="00DC021E">
        <w:rPr>
          <w:rFonts w:eastAsia="Arial Unicode MS"/>
        </w:rPr>
        <w:t xml:space="preserve"> As </w:t>
      </w:r>
      <w:r w:rsidR="00084AD0" w:rsidRPr="00DC021E">
        <w:rPr>
          <w:szCs w:val="24"/>
        </w:rPr>
        <w:t>LULUCF accounting is done at national level, with the technical support from research institutes or agencies, a</w:t>
      </w:r>
      <w:r w:rsidR="00084AD0" w:rsidRPr="00DC021E">
        <w:t>ssociated administrative burden and costs for administering compliance will only affect the Member States, the Commission and the European Environment Agency. There are no direct reporting obligations for microenterprises, Small and Medium Enterprises or other enterprises under the current legislation. The proposal would not change this situation</w:t>
      </w:r>
      <w:r w:rsidR="00084AD0" w:rsidRPr="00DC021E">
        <w:rPr>
          <w:szCs w:val="24"/>
        </w:rPr>
        <w:t>.</w:t>
      </w:r>
    </w:p>
    <w:p w:rsidR="00084AD0" w:rsidRPr="00DC021E" w:rsidRDefault="00084AD0" w:rsidP="00084AD0">
      <w:pPr>
        <w:rPr>
          <w:szCs w:val="24"/>
        </w:rPr>
      </w:pPr>
      <w:r w:rsidRPr="00DC021E">
        <w:rPr>
          <w:szCs w:val="24"/>
        </w:rPr>
        <w:t xml:space="preserve">By far the most significant proposed change is to streamline the two existing parallel reporting systems into a single system. This will </w:t>
      </w:r>
      <w:r w:rsidRPr="00DC021E">
        <w:t xml:space="preserve">reduce administrative burden and costs for Member States and the Commission. As to the </w:t>
      </w:r>
      <w:r w:rsidRPr="00DC021E">
        <w:rPr>
          <w:szCs w:val="24"/>
        </w:rPr>
        <w:t>administrative impacts of the accounting rule changes, this is expected to be minimal, because the relevant accounting rules have already been set up as a consequence of LULUCF Decision 529/2013/EU. The administrative costs of the existing regime were analysed in the Impact Assessment accompanying the proposal for the existing LULUCF Decision (SWD (2012) 41 final).</w:t>
      </w:r>
    </w:p>
    <w:p w:rsidR="00084AD0" w:rsidRPr="00DC021E" w:rsidRDefault="00084AD0" w:rsidP="00084AD0">
      <w:pPr>
        <w:pBdr>
          <w:top w:val="nil"/>
          <w:left w:val="nil"/>
          <w:bottom w:val="nil"/>
          <w:right w:val="nil"/>
          <w:between w:val="nil"/>
          <w:bar w:val="nil"/>
        </w:pBdr>
        <w:spacing w:before="0" w:after="240"/>
        <w:rPr>
          <w:szCs w:val="24"/>
        </w:rPr>
      </w:pPr>
      <w:r w:rsidRPr="00DC021E">
        <w:rPr>
          <w:rFonts w:eastAsia="Calibri"/>
        </w:rPr>
        <w:t>The proposal identifies flexibility and synergies of cost-effective mitigation between all activities related to agriculture and land use. The proposal is aligned with the INSPIRE Directive (</w:t>
      </w:r>
      <w:r w:rsidRPr="00DC021E">
        <w:rPr>
          <w:szCs w:val="24"/>
        </w:rPr>
        <w:t>Directive 2007/2/EC) concerning digital and geographic data.</w:t>
      </w:r>
    </w:p>
    <w:p w:rsidR="005A48A9" w:rsidRPr="00DC021E" w:rsidRDefault="00084AD0" w:rsidP="00084AD0">
      <w:pPr>
        <w:pBdr>
          <w:top w:val="nil"/>
          <w:left w:val="nil"/>
          <w:bottom w:val="nil"/>
          <w:right w:val="nil"/>
          <w:between w:val="nil"/>
          <w:bar w:val="nil"/>
        </w:pBdr>
        <w:spacing w:before="0" w:after="240"/>
        <w:rPr>
          <w:rFonts w:eastAsia="Arial Unicode MS"/>
        </w:rPr>
      </w:pPr>
      <w:r w:rsidRPr="00DC021E">
        <w:t>This proposal is not an initiative within the Regulatory Fitness Programme.</w:t>
      </w:r>
      <w:r w:rsidR="005A48A9" w:rsidRPr="00DC021E">
        <w:rPr>
          <w:rFonts w:eastAsia="Arial Unicode MS"/>
        </w:rPr>
        <w:t xml:space="preserve"> </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Fundamental rights</w:t>
      </w:r>
    </w:p>
    <w:p w:rsidR="005A48A9" w:rsidRPr="00DC021E" w:rsidRDefault="005A48A9" w:rsidP="005A48A9">
      <w:pPr>
        <w:pBdr>
          <w:top w:val="nil"/>
          <w:left w:val="nil"/>
          <w:bottom w:val="nil"/>
          <w:right w:val="nil"/>
          <w:between w:val="nil"/>
          <w:bar w:val="nil"/>
        </w:pBdr>
        <w:spacing w:before="0" w:after="240"/>
        <w:rPr>
          <w:rFonts w:eastAsia="Arial Unicode MS"/>
        </w:rPr>
      </w:pPr>
      <w:r w:rsidRPr="00DC021E">
        <w:rPr>
          <w:rFonts w:eastAsia="Arial Unicode MS"/>
        </w:rPr>
        <w:t>As the proposed policy primarily addresses Member States as institutional actors it is consistent with the Charter for fundamental rights.</w:t>
      </w:r>
    </w:p>
    <w:p w:rsidR="005A48A9" w:rsidRPr="00DC021E" w:rsidRDefault="005A48A9" w:rsidP="005A48A9">
      <w:pPr>
        <w:keepNext/>
        <w:tabs>
          <w:tab w:val="left" w:pos="850"/>
        </w:tabs>
        <w:spacing w:before="360"/>
        <w:ind w:left="850" w:hanging="850"/>
        <w:outlineLvl w:val="0"/>
        <w:rPr>
          <w:b/>
          <w:smallCaps/>
        </w:rPr>
      </w:pPr>
      <w:r w:rsidRPr="00DC021E">
        <w:rPr>
          <w:b/>
          <w:smallCaps/>
        </w:rPr>
        <w:t>4.</w:t>
      </w:r>
      <w:r w:rsidRPr="00DC021E">
        <w:rPr>
          <w:b/>
          <w:smallCaps/>
        </w:rPr>
        <w:tab/>
        <w:t>BUDGETARY IMPLICATIONS</w:t>
      </w:r>
    </w:p>
    <w:p w:rsidR="005A48A9" w:rsidRPr="00DC021E" w:rsidRDefault="005A48A9" w:rsidP="005A48A9">
      <w:pPr>
        <w:pBdr>
          <w:top w:val="nil"/>
          <w:left w:val="nil"/>
          <w:bottom w:val="nil"/>
          <w:right w:val="nil"/>
          <w:between w:val="nil"/>
          <w:bar w:val="nil"/>
        </w:pBdr>
        <w:spacing w:before="0" w:after="240"/>
        <w:rPr>
          <w:rFonts w:eastAsia="Arial Unicode MS"/>
        </w:rPr>
      </w:pPr>
      <w:r w:rsidRPr="00DC021E">
        <w:rPr>
          <w:rFonts w:eastAsia="Arial Unicode MS"/>
        </w:rPr>
        <w:t xml:space="preserve">The indirect impacts on Member States’ budgets will depend on the choice of national policies and measures for </w:t>
      </w:r>
      <w:r w:rsidR="003206E5" w:rsidRPr="00DC021E">
        <w:rPr>
          <w:rFonts w:eastAsia="Arial Unicode MS"/>
        </w:rPr>
        <w:t xml:space="preserve">greenhouse gas </w:t>
      </w:r>
      <w:r w:rsidRPr="00DC021E">
        <w:rPr>
          <w:rFonts w:eastAsia="Arial Unicode MS"/>
        </w:rPr>
        <w:t>emission reductions and other mitigation action in the land use sector covered by this initiative chosen in each specific country. The proposal eliminates one (of the existing two) reporting frameworks, streamlining the process of accounting compared to that required under the Kyoto Protocol. This will reduce the administrative costs for Member States and the European Commission.</w:t>
      </w:r>
      <w:r w:rsidR="0021172B" w:rsidRPr="00DC021E">
        <w:rPr>
          <w:rFonts w:eastAsia="Arial Unicode MS"/>
        </w:rPr>
        <w:t xml:space="preserve"> </w:t>
      </w:r>
      <w:r w:rsidR="008C33BB" w:rsidRPr="00DC021E">
        <w:rPr>
          <w:rFonts w:eastAsia="Arial Unicode MS"/>
        </w:rPr>
        <w:t>This proposal has very limited implications for the EU budget</w:t>
      </w:r>
      <w:r w:rsidR="0040210D" w:rsidRPr="00DC021E">
        <w:rPr>
          <w:rFonts w:eastAsia="Arial Unicode MS"/>
        </w:rPr>
        <w:t>, which are presented in the attached legislative financial statement</w:t>
      </w:r>
      <w:r w:rsidR="008C33BB" w:rsidRPr="00DC021E">
        <w:rPr>
          <w:rFonts w:eastAsia="Arial Unicode MS"/>
        </w:rPr>
        <w:t>.</w:t>
      </w:r>
    </w:p>
    <w:p w:rsidR="005A48A9" w:rsidRPr="00DC021E" w:rsidRDefault="005A48A9" w:rsidP="005A48A9">
      <w:pPr>
        <w:keepNext/>
        <w:tabs>
          <w:tab w:val="left" w:pos="850"/>
        </w:tabs>
        <w:spacing w:before="360"/>
        <w:ind w:left="850" w:hanging="850"/>
        <w:outlineLvl w:val="0"/>
        <w:rPr>
          <w:b/>
          <w:smallCaps/>
        </w:rPr>
      </w:pPr>
      <w:r w:rsidRPr="00DC021E">
        <w:rPr>
          <w:b/>
          <w:smallCaps/>
        </w:rPr>
        <w:lastRenderedPageBreak/>
        <w:t>5.</w:t>
      </w:r>
      <w:r w:rsidRPr="00DC021E">
        <w:rPr>
          <w:b/>
          <w:smallCaps/>
        </w:rPr>
        <w:tab/>
        <w:t>OTHER ELEMENTS</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Implementation plans and monitoring, evaluation and reporting arrangements</w:t>
      </w:r>
    </w:p>
    <w:p w:rsidR="005A48A9" w:rsidRPr="00DC021E" w:rsidRDefault="005A48A9" w:rsidP="005A48A9">
      <w:pPr>
        <w:spacing w:before="0" w:after="200"/>
      </w:pPr>
      <w:r w:rsidRPr="00DC021E">
        <w:t>Environmental integrity always needs to be kept in mind when considering options allowing the enhanced use of flexibility. Mitigation activities in LULUCF should result in additional, measurable and sustainable enhancement of carbon sinks. Assurance of these conditions requires a rigorous monitoring, reporting and verification system.</w:t>
      </w:r>
    </w:p>
    <w:p w:rsidR="005A48A9" w:rsidRPr="00DC021E" w:rsidRDefault="005A48A9" w:rsidP="005A48A9">
      <w:pPr>
        <w:spacing w:before="0" w:after="200"/>
        <w:rPr>
          <w:szCs w:val="24"/>
          <w:lang w:eastAsia="en-GB"/>
        </w:rPr>
      </w:pPr>
      <w:r w:rsidRPr="00DC021E">
        <w:rPr>
          <w:szCs w:val="24"/>
          <w:lang w:eastAsia="en-GB"/>
        </w:rPr>
        <w:t xml:space="preserve">International obligations under the UNFCCC framework will mean that the reporting exercise remains annual. </w:t>
      </w:r>
      <w:r w:rsidR="004B1AED" w:rsidRPr="00DC021E">
        <w:rPr>
          <w:szCs w:val="24"/>
          <w:lang w:eastAsia="en-GB"/>
        </w:rPr>
        <w:t xml:space="preserve">Monitoring and reporting continues to rely on the requirements specified in </w:t>
      </w:r>
      <w:r w:rsidR="00852074" w:rsidRPr="00DC021E">
        <w:t>Regulation 525/2013/EC</w:t>
      </w:r>
      <w:r w:rsidR="004B1AED" w:rsidRPr="00DC021E">
        <w:rPr>
          <w:szCs w:val="24"/>
          <w:lang w:eastAsia="en-GB"/>
        </w:rPr>
        <w:t xml:space="preserve">, amended to purpose by this Regulation. </w:t>
      </w:r>
      <w:r w:rsidR="00852074" w:rsidRPr="00DC021E">
        <w:t>Regulation 525/2013/EC</w:t>
      </w:r>
      <w:r w:rsidR="00852074" w:rsidRPr="00DC021E">
        <w:rPr>
          <w:szCs w:val="24"/>
          <w:lang w:eastAsia="en-GB"/>
        </w:rPr>
        <w:t xml:space="preserve"> </w:t>
      </w:r>
      <w:r w:rsidR="004B1AED" w:rsidRPr="00DC021E">
        <w:rPr>
          <w:szCs w:val="24"/>
        </w:rPr>
        <w:t xml:space="preserve">should be further complemented in order to create a comprehensive post-2020 monitoring and compliance framework for all non-ETS sectors, including LULUCF. </w:t>
      </w:r>
      <w:r w:rsidR="004B1AED" w:rsidRPr="00DC021E">
        <w:t xml:space="preserve">These provisions are planned to be integrated into the Governance of the Energy Union, for which a Commission proposal is foreseen by the end of 2016 in the Commission’s work programme and might be further streamlined as part of that proposal. </w:t>
      </w:r>
      <w:r w:rsidRPr="00DC021E">
        <w:rPr>
          <w:szCs w:val="24"/>
          <w:lang w:eastAsia="en-GB"/>
        </w:rPr>
        <w:t xml:space="preserve">Accounting of LULUCF actions </w:t>
      </w:r>
      <w:r w:rsidR="00780CED" w:rsidRPr="00DC021E">
        <w:rPr>
          <w:szCs w:val="24"/>
          <w:lang w:eastAsia="en-GB"/>
        </w:rPr>
        <w:t xml:space="preserve">is </w:t>
      </w:r>
      <w:r w:rsidRPr="00DC021E">
        <w:rPr>
          <w:szCs w:val="24"/>
          <w:lang w:eastAsia="en-GB"/>
        </w:rPr>
        <w:t>best enabled over longer periods. For LULUCF to be integrated with the other sectors in the Non-ETS</w:t>
      </w:r>
      <w:r w:rsidR="00953B35" w:rsidRPr="00DC021E">
        <w:rPr>
          <w:szCs w:val="24"/>
          <w:lang w:eastAsia="en-GB"/>
        </w:rPr>
        <w:t>, c</w:t>
      </w:r>
      <w:r w:rsidR="003B343F" w:rsidRPr="00DC021E">
        <w:rPr>
          <w:rFonts w:eastAsia="Arial Unicode MS"/>
        </w:rPr>
        <w:t>ompliance checks will take place every five years.</w:t>
      </w:r>
      <w:r w:rsidRPr="00DC021E">
        <w:rPr>
          <w:szCs w:val="24"/>
          <w:lang w:eastAsia="en-GB"/>
        </w:rPr>
        <w:t xml:space="preserve"> </w:t>
      </w:r>
    </w:p>
    <w:p w:rsidR="005A48A9" w:rsidRPr="00DC021E" w:rsidRDefault="005A48A9" w:rsidP="005A48A9">
      <w:pPr>
        <w:keepNext/>
        <w:tabs>
          <w:tab w:val="left" w:pos="850"/>
        </w:tabs>
        <w:ind w:left="850" w:hanging="850"/>
        <w:outlineLvl w:val="1"/>
        <w:rPr>
          <w:rFonts w:eastAsia="Arial Unicode MS"/>
          <w:b/>
          <w:u w:color="000000"/>
          <w:bdr w:val="nil"/>
          <w:lang w:val="en-US" w:eastAsia="en-GB"/>
        </w:rPr>
      </w:pPr>
      <w:r w:rsidRPr="00DC021E">
        <w:rPr>
          <w:rFonts w:eastAsia="Arial Unicode MS"/>
          <w:b/>
          <w:u w:color="000000"/>
          <w:bdr w:val="nil"/>
          <w:lang w:val="en-US" w:eastAsia="en-GB"/>
        </w:rPr>
        <w:t>•</w:t>
      </w:r>
      <w:r w:rsidRPr="00DC021E">
        <w:rPr>
          <w:rFonts w:eastAsia="Arial Unicode MS"/>
          <w:b/>
          <w:u w:color="000000"/>
          <w:bdr w:val="nil"/>
          <w:lang w:val="en-US" w:eastAsia="en-GB"/>
        </w:rPr>
        <w:tab/>
        <w:t>Detailed explanation of the specific provisions of the proposal</w:t>
      </w:r>
    </w:p>
    <w:p w:rsidR="005A48A9" w:rsidRPr="00DC021E" w:rsidRDefault="005A48A9" w:rsidP="005A48A9">
      <w:pPr>
        <w:rPr>
          <w:b/>
        </w:rPr>
      </w:pPr>
      <w:r w:rsidRPr="00DC021E">
        <w:rPr>
          <w:b/>
        </w:rPr>
        <w:t>Article 1: Subject matter</w:t>
      </w:r>
    </w:p>
    <w:p w:rsidR="005A48A9" w:rsidRPr="00DC021E" w:rsidRDefault="005A48A9" w:rsidP="005A48A9">
      <w:r w:rsidRPr="00DC021E">
        <w:t>This article explains that the Regulation lays down the commitments of Member States towards meeting the greenhouse gas emission reduction commitment of the Union for the period from 2021 to 2030, and rules for accounting and checking compliance.</w:t>
      </w:r>
    </w:p>
    <w:p w:rsidR="005A48A9" w:rsidRPr="00DC021E" w:rsidRDefault="005A48A9" w:rsidP="005A48A9">
      <w:pPr>
        <w:keepNext/>
        <w:rPr>
          <w:b/>
        </w:rPr>
      </w:pPr>
      <w:r w:rsidRPr="00DC021E">
        <w:rPr>
          <w:b/>
        </w:rPr>
        <w:t>Article 2: Scope</w:t>
      </w:r>
    </w:p>
    <w:p w:rsidR="005A48A9" w:rsidRPr="00DC021E" w:rsidRDefault="005A48A9" w:rsidP="00790906">
      <w:pPr>
        <w:tabs>
          <w:tab w:val="num" w:pos="283"/>
        </w:tabs>
      </w:pPr>
      <w:r w:rsidRPr="00DC021E">
        <w:t>The article defines the scope of coverage of the Regulation. It mirrors the coverage of the existing EU legislation for Member States under the Kyoto Protocol (529/2013/EU). The mandatory scope is in essence forest land and agricultural land, and land for which the use has changed from or to these uses. The approach proposed discards the parallel Kyoto Protocol reporting framework and streamlines the system with the UNFCCC "land-based" reporting framework.</w:t>
      </w:r>
      <w:r w:rsidR="00790906" w:rsidRPr="00DC021E">
        <w:t xml:space="preserve"> The scope includes greenhouse gases CO</w:t>
      </w:r>
      <w:r w:rsidR="00790906" w:rsidRPr="00DC021E">
        <w:rPr>
          <w:vertAlign w:val="subscript"/>
        </w:rPr>
        <w:t>2</w:t>
      </w:r>
      <w:r w:rsidR="00790906" w:rsidRPr="00DC021E">
        <w:t>, CH</w:t>
      </w:r>
      <w:r w:rsidR="00790906" w:rsidRPr="00DC021E">
        <w:rPr>
          <w:vertAlign w:val="subscript"/>
        </w:rPr>
        <w:t>4</w:t>
      </w:r>
      <w:r w:rsidR="00790906" w:rsidRPr="00DC021E">
        <w:t xml:space="preserve"> and N</w:t>
      </w:r>
      <w:r w:rsidR="00790906" w:rsidRPr="00DC021E">
        <w:rPr>
          <w:vertAlign w:val="subscript"/>
        </w:rPr>
        <w:t>2</w:t>
      </w:r>
      <w:r w:rsidR="00790906" w:rsidRPr="00DC021E">
        <w:t>O.</w:t>
      </w:r>
    </w:p>
    <w:p w:rsidR="005A48A9" w:rsidRPr="00DC021E" w:rsidRDefault="005A48A9" w:rsidP="005A48A9">
      <w:pPr>
        <w:keepNext/>
        <w:rPr>
          <w:b/>
        </w:rPr>
      </w:pPr>
      <w:r w:rsidRPr="00DC021E">
        <w:rPr>
          <w:b/>
        </w:rPr>
        <w:t>Article 3: Definitions</w:t>
      </w:r>
    </w:p>
    <w:p w:rsidR="005A48A9" w:rsidRPr="00DC021E" w:rsidRDefault="005A48A9" w:rsidP="005A48A9">
      <w:r w:rsidRPr="00DC021E">
        <w:t xml:space="preserve">The article defines specific terminology.  </w:t>
      </w:r>
    </w:p>
    <w:p w:rsidR="005A48A9" w:rsidRPr="00DC021E" w:rsidRDefault="005A48A9" w:rsidP="005A48A9">
      <w:pPr>
        <w:rPr>
          <w:b/>
        </w:rPr>
      </w:pPr>
      <w:r w:rsidRPr="00DC021E">
        <w:rPr>
          <w:b/>
        </w:rPr>
        <w:t xml:space="preserve">Article 4: Commitments </w:t>
      </w:r>
    </w:p>
    <w:p w:rsidR="005A48A9" w:rsidRPr="00DC021E" w:rsidRDefault="005A48A9" w:rsidP="005A48A9">
      <w:r w:rsidRPr="00DC021E">
        <w:t xml:space="preserve">The commitment for each Member State is to ensure that the LULUCF sector should have, after the application of the accounting rules specified in the Regulation, and taking into account the flexibilities, no net emissions on their territory. This principle is referred to in the Impact Assessment as the "no-debit rule". </w:t>
      </w:r>
    </w:p>
    <w:p w:rsidR="005A48A9" w:rsidRPr="00DC021E" w:rsidRDefault="005A48A9" w:rsidP="005A48A9">
      <w:pPr>
        <w:rPr>
          <w:b/>
        </w:rPr>
      </w:pPr>
      <w:r w:rsidRPr="00DC021E">
        <w:rPr>
          <w:b/>
        </w:rPr>
        <w:t>Article 5: General accounting rules</w:t>
      </w:r>
    </w:p>
    <w:p w:rsidR="005A48A9" w:rsidRPr="00DC021E" w:rsidRDefault="005A48A9" w:rsidP="005A48A9">
      <w:r w:rsidRPr="00DC021E">
        <w:t>The Article lays down general rules to avoid double counting, to manage the transitions between land use categories and to account for each carbon pool, except those falling under a "</w:t>
      </w:r>
      <w:r w:rsidRPr="00DC021E">
        <w:rPr>
          <w:i/>
        </w:rPr>
        <w:t xml:space="preserve">de </w:t>
      </w:r>
      <w:proofErr w:type="spellStart"/>
      <w:r w:rsidRPr="00DC021E">
        <w:rPr>
          <w:i/>
        </w:rPr>
        <w:t>minimis</w:t>
      </w:r>
      <w:proofErr w:type="spellEnd"/>
      <w:r w:rsidRPr="00DC021E">
        <w:t xml:space="preserve">" rule. </w:t>
      </w:r>
      <w:r w:rsidR="008F6357" w:rsidRPr="00DC021E">
        <w:t>It is closely based on the general accounting rules in Decision 529/2013/EU</w:t>
      </w:r>
      <w:r w:rsidR="00853CCB" w:rsidRPr="00DC021E">
        <w:t xml:space="preserve">, adding a dynamic rule for the transition of land use categories. </w:t>
      </w:r>
    </w:p>
    <w:p w:rsidR="005A48A9" w:rsidRPr="00DC021E" w:rsidRDefault="005A48A9" w:rsidP="005A48A9">
      <w:pPr>
        <w:rPr>
          <w:b/>
        </w:rPr>
      </w:pPr>
      <w:r w:rsidRPr="00DC021E">
        <w:rPr>
          <w:b/>
        </w:rPr>
        <w:t>Article 6: Accounting for afforested land and deforested land</w:t>
      </w:r>
    </w:p>
    <w:p w:rsidR="005A48A9" w:rsidRPr="00DC021E" w:rsidRDefault="005A48A9" w:rsidP="005A48A9">
      <w:r w:rsidRPr="00DC021E">
        <w:t xml:space="preserve">This article outlines the specific accounting rules for land use changed </w:t>
      </w:r>
      <w:r w:rsidRPr="00DC021E">
        <w:rPr>
          <w:i/>
        </w:rPr>
        <w:t>from</w:t>
      </w:r>
      <w:r w:rsidRPr="00DC021E">
        <w:t xml:space="preserve"> (deforested) and </w:t>
      </w:r>
      <w:r w:rsidRPr="00DC021E">
        <w:rPr>
          <w:i/>
        </w:rPr>
        <w:t>to</w:t>
      </w:r>
      <w:r w:rsidRPr="00DC021E">
        <w:t xml:space="preserve"> (afforested) forest land. These land accounting categories are accounted using the "gross-</w:t>
      </w:r>
      <w:r w:rsidRPr="00DC021E">
        <w:lastRenderedPageBreak/>
        <w:t>net" approach, i.e. accounting emissions and removals over the period in their entirety.</w:t>
      </w:r>
      <w:r w:rsidR="007E607F" w:rsidRPr="00DC021E">
        <w:t xml:space="preserve"> It is essentially the same as in Decision 529/2013/EU, except for introducing the option of using 30 years instead of the default value for transitioning other land use categories to forest land. </w:t>
      </w:r>
      <w:r w:rsidR="00D53DD5" w:rsidRPr="00DC021E">
        <w:t>The use of this value instead of the default value should be duly justified in the Member State's greenhouse gas inventory submitted to the UNFCCC, in accordance with the</w:t>
      </w:r>
      <w:r w:rsidR="00F97067" w:rsidRPr="00DC021E">
        <w:t xml:space="preserve"> Intergovernmental Panel on Climate Change</w:t>
      </w:r>
      <w:r w:rsidR="00D53DD5" w:rsidRPr="00DC021E">
        <w:t xml:space="preserve"> Guidelines. </w:t>
      </w:r>
      <w:r w:rsidR="007E607F" w:rsidRPr="00DC021E">
        <w:t xml:space="preserve"> </w:t>
      </w:r>
    </w:p>
    <w:p w:rsidR="005A48A9" w:rsidRPr="00DC021E" w:rsidRDefault="005A48A9" w:rsidP="005A48A9">
      <w:pPr>
        <w:rPr>
          <w:b/>
        </w:rPr>
      </w:pPr>
      <w:r w:rsidRPr="00DC021E">
        <w:rPr>
          <w:b/>
        </w:rPr>
        <w:t>Article 7: Accounting for managed cropland, managed grassland and managed wetland</w:t>
      </w:r>
    </w:p>
    <w:p w:rsidR="005A48A9" w:rsidRPr="00DC021E" w:rsidRDefault="005A48A9" w:rsidP="005A48A9">
      <w:r w:rsidRPr="00DC021E">
        <w:t xml:space="preserve">This article outlines the specific accounting rules for managed cropland, grassland and wetland, including categories of land changing </w:t>
      </w:r>
      <w:r w:rsidRPr="00DC021E">
        <w:rPr>
          <w:i/>
        </w:rPr>
        <w:t>from</w:t>
      </w:r>
      <w:r w:rsidRPr="00DC021E">
        <w:t xml:space="preserve"> and </w:t>
      </w:r>
      <w:r w:rsidRPr="00DC021E">
        <w:rPr>
          <w:i/>
        </w:rPr>
        <w:t>to</w:t>
      </w:r>
      <w:r w:rsidRPr="00DC021E">
        <w:t xml:space="preserve"> these categories. This land use change is accounted relative to emissions or removals compared to a historical reference.</w:t>
      </w:r>
    </w:p>
    <w:p w:rsidR="005A48A9" w:rsidRPr="00DC021E" w:rsidRDefault="008D6436" w:rsidP="005A48A9">
      <w:r w:rsidRPr="00DC021E">
        <w:t xml:space="preserve">It is essentially the same as in Decision 529/2013/EU, except that </w:t>
      </w:r>
      <w:r w:rsidR="005A48A9" w:rsidRPr="00DC021E">
        <w:t>a more recent historical reference is proposed in order to improve accuracy of the estimates, align better with the rest of the non-ETS sectors, and simplify accounting by reducing the need for the historical time series.</w:t>
      </w:r>
    </w:p>
    <w:p w:rsidR="005A48A9" w:rsidRPr="00DC021E" w:rsidRDefault="005A48A9" w:rsidP="005A48A9">
      <w:pPr>
        <w:rPr>
          <w:b/>
        </w:rPr>
      </w:pPr>
      <w:r w:rsidRPr="00DC021E">
        <w:rPr>
          <w:b/>
        </w:rPr>
        <w:t>Article 8: Accounting for managed forest land</w:t>
      </w:r>
    </w:p>
    <w:p w:rsidR="005A48A9" w:rsidRPr="00DC021E" w:rsidRDefault="005A48A9" w:rsidP="005A48A9">
      <w:r w:rsidRPr="00DC021E">
        <w:t>This Article provide</w:t>
      </w:r>
      <w:r w:rsidR="009908BD" w:rsidRPr="00DC021E">
        <w:t>s</w:t>
      </w:r>
      <w:r w:rsidRPr="00DC021E">
        <w:t xml:space="preserve"> for accounting rules for managed forest land using</w:t>
      </w:r>
      <w:r w:rsidR="004D0F67" w:rsidRPr="00DC021E">
        <w:t xml:space="preserve"> a</w:t>
      </w:r>
      <w:r w:rsidRPr="00DC021E">
        <w:t xml:space="preserve"> forest reference level to exclude the effects of natural and country-specific characteristics. </w:t>
      </w:r>
      <w:r w:rsidR="000B3474" w:rsidRPr="00DC021E">
        <w:t xml:space="preserve">It is closely based on the </w:t>
      </w:r>
      <w:r w:rsidR="00BC4FBB" w:rsidRPr="00DC021E">
        <w:t xml:space="preserve">relevant </w:t>
      </w:r>
      <w:r w:rsidR="000B3474" w:rsidRPr="00DC021E">
        <w:t xml:space="preserve">rules in Decision 529/2013/EU. </w:t>
      </w:r>
      <w:r w:rsidRPr="00DC021E">
        <w:t xml:space="preserve">The article also establishes an EU governance framework to be used given the expiry of the Kyoto Protocol post-2020. Provisions aim at enhancing the </w:t>
      </w:r>
      <w:r w:rsidR="00964172" w:rsidRPr="00DC021E">
        <w:t xml:space="preserve">accuracy and </w:t>
      </w:r>
      <w:r w:rsidRPr="00DC021E">
        <w:t xml:space="preserve">transparency </w:t>
      </w:r>
      <w:r w:rsidR="00964172" w:rsidRPr="00DC021E">
        <w:t>of</w:t>
      </w:r>
      <w:r w:rsidRPr="00DC021E">
        <w:t xml:space="preserve"> </w:t>
      </w:r>
      <w:r w:rsidR="000E7369" w:rsidRPr="00DC021E">
        <w:t xml:space="preserve">the forest reference levels and </w:t>
      </w:r>
      <w:r w:rsidRPr="00DC021E">
        <w:t>the process</w:t>
      </w:r>
      <w:r w:rsidR="000E7369" w:rsidRPr="00DC021E">
        <w:t xml:space="preserve"> establishing them. This should </w:t>
      </w:r>
      <w:r w:rsidR="004D0F67" w:rsidRPr="00DC021E">
        <w:t>includ</w:t>
      </w:r>
      <w:r w:rsidR="000E7369" w:rsidRPr="00DC021E">
        <w:t>e</w:t>
      </w:r>
      <w:r w:rsidR="004D0F67" w:rsidRPr="00DC021E">
        <w:t xml:space="preserve"> stakeholder consultation in the Member States</w:t>
      </w:r>
      <w:r w:rsidR="00690C19" w:rsidRPr="00DC021E">
        <w:t xml:space="preserve"> and</w:t>
      </w:r>
      <w:r w:rsidRPr="00DC021E">
        <w:t xml:space="preserve"> a review assisted by Member State experts.  </w:t>
      </w:r>
      <w:r w:rsidR="00964172" w:rsidRPr="00DC021E">
        <w:t xml:space="preserve"> </w:t>
      </w:r>
      <w:r w:rsidRPr="00DC021E">
        <w:t xml:space="preserve"> </w:t>
      </w:r>
    </w:p>
    <w:p w:rsidR="005A48A9" w:rsidRPr="00DC021E" w:rsidRDefault="005A48A9" w:rsidP="005A48A9">
      <w:pPr>
        <w:rPr>
          <w:b/>
        </w:rPr>
      </w:pPr>
      <w:r w:rsidRPr="00DC021E">
        <w:rPr>
          <w:b/>
        </w:rPr>
        <w:t>Article 9: Accounting for harvested wood products</w:t>
      </w:r>
    </w:p>
    <w:p w:rsidR="005A48A9" w:rsidRPr="00DC021E" w:rsidRDefault="005A48A9" w:rsidP="005A48A9">
      <w:r w:rsidRPr="00DC021E">
        <w:t>This article determines the accounting approach to this carbon pool in afforested land and managed forest land.</w:t>
      </w:r>
      <w:r w:rsidR="00BC4FBB" w:rsidRPr="00DC021E">
        <w:t xml:space="preserve"> The methodology is essentially unchanged compared to Decision 529/2013/EU. </w:t>
      </w:r>
      <w:r w:rsidRPr="00DC021E">
        <w:t xml:space="preserve">    </w:t>
      </w:r>
    </w:p>
    <w:p w:rsidR="005A48A9" w:rsidRPr="00DC021E" w:rsidRDefault="005A48A9" w:rsidP="005A48A9">
      <w:pPr>
        <w:keepNext/>
        <w:rPr>
          <w:b/>
        </w:rPr>
      </w:pPr>
      <w:r w:rsidRPr="00DC021E">
        <w:rPr>
          <w:b/>
        </w:rPr>
        <w:t>Article 10: Accounting for natural disturbances</w:t>
      </w:r>
    </w:p>
    <w:p w:rsidR="005A48A9" w:rsidRPr="00DC021E" w:rsidRDefault="005A48A9" w:rsidP="005A48A9">
      <w:r w:rsidRPr="00DC021E">
        <w:t xml:space="preserve">This Article permits Member States to exclude emissions from natural disturbances (forest fire, pest invasion, etc.) </w:t>
      </w:r>
      <w:r w:rsidR="002A4F1A" w:rsidRPr="00DC021E">
        <w:t xml:space="preserve">from </w:t>
      </w:r>
      <w:r w:rsidRPr="00DC021E">
        <w:t xml:space="preserve">their accounts. </w:t>
      </w:r>
      <w:r w:rsidR="00F27010" w:rsidRPr="00DC021E">
        <w:t xml:space="preserve">The methodology is essentially unchanged compared to Decision 529/2013/EU. </w:t>
      </w:r>
      <w:r w:rsidRPr="00DC021E">
        <w:t xml:space="preserve">The establishment of the background level will, in the absence of the Kyoto Protocol review, need to be transparent. The Commission will therefore oversee that the applicable guidance and rules have been respected. </w:t>
      </w:r>
    </w:p>
    <w:p w:rsidR="005A48A9" w:rsidRPr="00DC021E" w:rsidRDefault="005A48A9" w:rsidP="005A48A9">
      <w:pPr>
        <w:rPr>
          <w:b/>
        </w:rPr>
      </w:pPr>
      <w:r w:rsidRPr="00DC021E">
        <w:rPr>
          <w:b/>
        </w:rPr>
        <w:t>Article 11: Flexibilities</w:t>
      </w:r>
    </w:p>
    <w:p w:rsidR="005A48A9" w:rsidRPr="00DC021E" w:rsidRDefault="005A48A9" w:rsidP="005A48A9">
      <w:r w:rsidRPr="00DC021E">
        <w:t>This article provides for Member States to compensate for emissions from one land accounting category by removals from another land accounting category in their territory. It also enables a Member State to cumulate the net removals identified in their accounts over the 10 year period. Excess removals may be transferred to another Member State to help ensure their compliance with the no-debit rule. Finally, Member States are required to ensure adequate monitoring that is in compliance of this regulation, in order to avail of the flexibilities.</w:t>
      </w:r>
    </w:p>
    <w:p w:rsidR="005A48A9" w:rsidRPr="00DC021E" w:rsidRDefault="005A48A9" w:rsidP="005A48A9">
      <w:pPr>
        <w:rPr>
          <w:b/>
        </w:rPr>
      </w:pPr>
      <w:r w:rsidRPr="00DC021E">
        <w:rPr>
          <w:b/>
        </w:rPr>
        <w:t xml:space="preserve">Article 12: </w:t>
      </w:r>
      <w:r w:rsidR="00797134" w:rsidRPr="00DC021E">
        <w:rPr>
          <w:b/>
        </w:rPr>
        <w:t>C</w:t>
      </w:r>
      <w:r w:rsidRPr="00DC021E">
        <w:rPr>
          <w:b/>
        </w:rPr>
        <w:t>ompliance check</w:t>
      </w:r>
    </w:p>
    <w:p w:rsidR="005A48A9" w:rsidRPr="00DC021E" w:rsidRDefault="005A48A9" w:rsidP="005A48A9">
      <w:r w:rsidRPr="00DC021E">
        <w:t>This Article outlines the requirements for Member States to ensure appropriate monitoring for accounting purposes, and establishes regular compliance checks by the Commission. In order to ensure a high standard of quality the European Environment Agency will assist the Commission in this work.</w:t>
      </w:r>
    </w:p>
    <w:p w:rsidR="005A48A9" w:rsidRPr="00DC021E" w:rsidRDefault="005A48A9" w:rsidP="005A48A9">
      <w:r w:rsidRPr="00DC021E">
        <w:rPr>
          <w:b/>
        </w:rPr>
        <w:lastRenderedPageBreak/>
        <w:t>Article 13:</w:t>
      </w:r>
      <w:r w:rsidR="000D43CE" w:rsidRPr="00DC021E">
        <w:rPr>
          <w:b/>
        </w:rPr>
        <w:t xml:space="preserve"> </w:t>
      </w:r>
      <w:r w:rsidRPr="00DC021E">
        <w:rPr>
          <w:b/>
        </w:rPr>
        <w:t xml:space="preserve">Registry </w:t>
      </w:r>
    </w:p>
    <w:p w:rsidR="005A48A9" w:rsidRPr="00DC021E" w:rsidRDefault="005A48A9" w:rsidP="005A48A9">
      <w:r w:rsidRPr="00DC021E">
        <w:t xml:space="preserve">This Article relates to the use of Registry for transactions while ensuring no double counting.  </w:t>
      </w:r>
    </w:p>
    <w:p w:rsidR="005A48A9" w:rsidRPr="00DC021E" w:rsidRDefault="005A48A9" w:rsidP="005A48A9">
      <w:pPr>
        <w:rPr>
          <w:b/>
        </w:rPr>
      </w:pPr>
      <w:r w:rsidRPr="00DC021E">
        <w:rPr>
          <w:b/>
        </w:rPr>
        <w:t>Article 14: Exercise of delegation</w:t>
      </w:r>
    </w:p>
    <w:p w:rsidR="005A48A9" w:rsidRPr="00DC021E" w:rsidRDefault="005A48A9" w:rsidP="005A48A9">
      <w:r w:rsidRPr="00DC021E">
        <w:rPr>
          <w:rFonts w:eastAsia="Times New Roman"/>
          <w:szCs w:val="24"/>
        </w:rPr>
        <w:t>The proposal empowers the Commission to adopt delegated acts according to relevant procedures.</w:t>
      </w:r>
    </w:p>
    <w:p w:rsidR="005A48A9" w:rsidRPr="00DC021E" w:rsidRDefault="005A48A9" w:rsidP="005A48A9">
      <w:pPr>
        <w:rPr>
          <w:b/>
        </w:rPr>
      </w:pPr>
      <w:r w:rsidRPr="00DC021E">
        <w:rPr>
          <w:b/>
        </w:rPr>
        <w:t>Article 15: Review</w:t>
      </w:r>
    </w:p>
    <w:p w:rsidR="00181F6A" w:rsidRPr="00DC021E" w:rsidRDefault="00181F6A" w:rsidP="00181F6A">
      <w:r w:rsidRPr="00DC021E">
        <w:t xml:space="preserve">A review of all elements of the regulation to determine whether they remain fit for purpose </w:t>
      </w:r>
    </w:p>
    <w:p w:rsidR="005A48A9" w:rsidRPr="00DC021E" w:rsidRDefault="00181F6A" w:rsidP="00181F6A">
      <w:r w:rsidRPr="00DC021E">
        <w:t xml:space="preserve">is to be performed in 2024, and every 5 years thereafter. </w:t>
      </w:r>
    </w:p>
    <w:p w:rsidR="00797134" w:rsidRPr="00DC021E" w:rsidRDefault="00797134" w:rsidP="009A5B42">
      <w:pPr>
        <w:rPr>
          <w:b/>
        </w:rPr>
      </w:pPr>
      <w:r w:rsidRPr="00DC021E">
        <w:rPr>
          <w:b/>
        </w:rPr>
        <w:t>Article 16: Consequential amendments to Regulation No. 525/2013/EU</w:t>
      </w:r>
    </w:p>
    <w:p w:rsidR="00797134" w:rsidRPr="00DC021E" w:rsidRDefault="00A0745C" w:rsidP="009A5B42">
      <w:r w:rsidRPr="00DC021E">
        <w:t xml:space="preserve">Regulation No. 525/2013/EU is being amended in order to ensure that the reporting requirements currently applying to LULUCF are continued within the framework of that Regulation. Member States are required to report yearly their relevant GHG emissions and they will continue to be required to report every two years on their projections and policies and measures implemented to ensure compliance with their targets. Monitoring requirements for LULUCF are strengthened to ensure the environmental integrity of accounting. </w:t>
      </w:r>
      <w:r w:rsidR="00D1156E" w:rsidRPr="00DC021E">
        <w:t xml:space="preserve"> </w:t>
      </w:r>
      <w:r w:rsidR="006B3634" w:rsidRPr="00DC021E">
        <w:t xml:space="preserve"> </w:t>
      </w:r>
    </w:p>
    <w:p w:rsidR="00470FC0" w:rsidRPr="00DC021E" w:rsidRDefault="00470FC0" w:rsidP="006B21F4"/>
    <w:p w:rsidR="004E45D7" w:rsidRPr="00DC021E" w:rsidRDefault="004E45D7" w:rsidP="006B21F4">
      <w:pPr>
        <w:sectPr w:rsidR="004E45D7" w:rsidRPr="00DC021E" w:rsidSect="006A2759">
          <w:footerReference w:type="default" r:id="rId16"/>
          <w:footerReference w:type="first" r:id="rId17"/>
          <w:pgSz w:w="11907" w:h="16839"/>
          <w:pgMar w:top="1134" w:right="1417" w:bottom="1134" w:left="1417" w:header="709" w:footer="709" w:gutter="0"/>
          <w:cols w:space="708"/>
          <w:docGrid w:linePitch="360"/>
        </w:sectPr>
      </w:pPr>
    </w:p>
    <w:p w:rsidR="00F417DE" w:rsidRPr="00DC021E" w:rsidRDefault="006A2759" w:rsidP="006A2759">
      <w:pPr>
        <w:pStyle w:val="Rfrenceinterinstitutionnelle"/>
      </w:pPr>
      <w:r w:rsidRPr="006A2759">
        <w:t>2016/0230 (COD)</w:t>
      </w:r>
    </w:p>
    <w:p w:rsidR="004E45D7" w:rsidRPr="00DC021E" w:rsidRDefault="006A2759" w:rsidP="006A2759">
      <w:pPr>
        <w:pStyle w:val="Statut"/>
      </w:pPr>
      <w:r w:rsidRPr="006A2759">
        <w:t>Proposal for a</w:t>
      </w:r>
    </w:p>
    <w:p w:rsidR="004E45D7" w:rsidRPr="00E56AA3" w:rsidRDefault="006A2759" w:rsidP="006A2759">
      <w:pPr>
        <w:pStyle w:val="Typedudocument"/>
      </w:pPr>
      <w:r w:rsidRPr="006A2759">
        <w:t>REGULATION OF THE EUROPEAN PARLIAMENT AND OF THE COUNCIL</w:t>
      </w:r>
    </w:p>
    <w:p w:rsidR="004E45D7" w:rsidRPr="00E56AA3" w:rsidRDefault="006A2759" w:rsidP="006A2759">
      <w:pPr>
        <w:pStyle w:val="Titreobjet"/>
      </w:pPr>
      <w:r w:rsidRPr="006A2759">
        <w:t>on the inclusion of greenhouse gas emissions and removals from land use, land use change and forestry into the 2030 climate and energy framework and amending Regulation No 525/2013 of the European Parliament and the Council on a mechanism for monitoring and reporting greenhouse gas emissions and other information relevant to climate change</w:t>
      </w:r>
    </w:p>
    <w:p w:rsidR="004E45D7" w:rsidRPr="00DC021E" w:rsidRDefault="006A2759" w:rsidP="006A2759">
      <w:pPr>
        <w:pStyle w:val="IntrtEEE"/>
      </w:pPr>
      <w:r w:rsidRPr="006A2759">
        <w:t>(Text with EEA relevance)</w:t>
      </w:r>
    </w:p>
    <w:p w:rsidR="004E45D7" w:rsidRPr="00DC021E" w:rsidRDefault="004E45D7" w:rsidP="00886695">
      <w:pPr>
        <w:pStyle w:val="Institutionquiagit"/>
      </w:pPr>
      <w:r w:rsidRPr="00DC021E">
        <w:t>THE EUROPEAN PARLIAMENT AND THE COUNCIL OF THE EUROPEAN UNION,</w:t>
      </w:r>
    </w:p>
    <w:p w:rsidR="004E45D7" w:rsidRPr="00DC021E" w:rsidRDefault="004E45D7" w:rsidP="00886695">
      <w:r w:rsidRPr="00DC021E">
        <w:t>Having regard to the Treaty on the Functioning of the European Union, and in particular Article</w:t>
      </w:r>
      <w:r w:rsidRPr="00DC021E">
        <w:rPr>
          <w:rFonts w:eastAsia="Times New Roman"/>
          <w:szCs w:val="24"/>
          <w:lang w:eastAsia="en-GB"/>
        </w:rPr>
        <w:t xml:space="preserve"> 192(1) </w:t>
      </w:r>
      <w:r w:rsidRPr="00DC021E">
        <w:t>thereof,</w:t>
      </w:r>
    </w:p>
    <w:p w:rsidR="004E45D7" w:rsidRPr="00DC021E" w:rsidRDefault="004E45D7" w:rsidP="00886695">
      <w:r w:rsidRPr="00DC021E">
        <w:t>Having regard to the proposal from the European Commission,</w:t>
      </w:r>
    </w:p>
    <w:p w:rsidR="004E45D7" w:rsidRPr="00DC021E" w:rsidRDefault="004E45D7" w:rsidP="00886695">
      <w:r w:rsidRPr="00DC021E">
        <w:t>After transmission of the draft legislative act to the national parliaments,</w:t>
      </w:r>
    </w:p>
    <w:p w:rsidR="004E45D7" w:rsidRPr="00DC021E" w:rsidRDefault="004E45D7" w:rsidP="00886695">
      <w:r w:rsidRPr="00DC021E">
        <w:t>Having regard to the opinion of the European Economic and Social Committee</w:t>
      </w:r>
      <w:r w:rsidRPr="00DC021E">
        <w:rPr>
          <w:rStyle w:val="FootnoteReference"/>
        </w:rPr>
        <w:footnoteReference w:id="8"/>
      </w:r>
      <w:r w:rsidRPr="00DC021E">
        <w:t xml:space="preserve">, </w:t>
      </w:r>
    </w:p>
    <w:p w:rsidR="004E45D7" w:rsidRPr="00DC021E" w:rsidRDefault="004E45D7" w:rsidP="00886695">
      <w:r w:rsidRPr="00DC021E">
        <w:t>Having regard to the opinion of the Committee of the Regions</w:t>
      </w:r>
      <w:r w:rsidRPr="00DC021E">
        <w:rPr>
          <w:rStyle w:val="FootnoteReference"/>
        </w:rPr>
        <w:footnoteReference w:id="9"/>
      </w:r>
      <w:r w:rsidRPr="00DC021E">
        <w:t xml:space="preserve">, </w:t>
      </w:r>
    </w:p>
    <w:p w:rsidR="004E45D7" w:rsidRPr="00DC021E" w:rsidRDefault="004E45D7" w:rsidP="00886695">
      <w:r w:rsidRPr="00DC021E">
        <w:t>Acting in accordance with the ordinary legislative procedure,</w:t>
      </w:r>
    </w:p>
    <w:p w:rsidR="004E45D7" w:rsidRPr="00DC021E" w:rsidRDefault="004E45D7" w:rsidP="00886695">
      <w:r w:rsidRPr="00DC021E">
        <w:t>Whereas:</w:t>
      </w:r>
    </w:p>
    <w:p w:rsidR="008374B3" w:rsidRPr="00DC021E" w:rsidRDefault="008374B3" w:rsidP="008374B3">
      <w:pPr>
        <w:pStyle w:val="Point0number"/>
        <w:numPr>
          <w:ilvl w:val="0"/>
          <w:numId w:val="9"/>
        </w:numPr>
      </w:pPr>
      <w:r w:rsidRPr="00DC021E">
        <w:t>A binding target of at least a 40% domestic reduction in economy-wide greenhouse gas emissions by 2030 compared to 1990 was endorsed in the Conclusions of the European Council of 23-24 October 2014 on the 2030 climate and energy policy framework. The Council meeting on 6 March 2015 formally approved this contribution of the Union and its Member States as their Intended Nationally Determined Contribution.</w:t>
      </w:r>
    </w:p>
    <w:p w:rsidR="008374B3" w:rsidRPr="00DC021E" w:rsidRDefault="008374B3" w:rsidP="008374B3">
      <w:pPr>
        <w:pStyle w:val="Point0number"/>
        <w:numPr>
          <w:ilvl w:val="0"/>
          <w:numId w:val="9"/>
        </w:numPr>
      </w:pPr>
      <w:r w:rsidRPr="00DC021E">
        <w:t xml:space="preserve">The European Council conclusions foresaw that the target should be delivered collectively by the Union in the most cost-effective manner possible, with the reductions in the Emissions Trading System (ETS) and non-ETS sectors amounting to 43% and 30% by 2030 compared to 2005 respectively, with efforts distributed on the basis of relative GDP per capita. </w:t>
      </w:r>
    </w:p>
    <w:p w:rsidR="004E45D7" w:rsidRPr="00DC021E" w:rsidRDefault="00D67833" w:rsidP="008374B3">
      <w:pPr>
        <w:pStyle w:val="Point0number"/>
        <w:numPr>
          <w:ilvl w:val="0"/>
          <w:numId w:val="9"/>
        </w:numPr>
      </w:pPr>
      <w:r w:rsidRPr="00DC021E">
        <w:t xml:space="preserve">On 10 June 2016 the Commission presented the proposal for the EU to ratify the Paris agreement. This legislative proposal forms part of the implementation of the Union's commitment to economy-wide emission reductions as confirmed in the intended nationally determined reduction commitment of the Union and its Member States submitted to the Secretariat of the </w:t>
      </w:r>
      <w:r w:rsidR="00F97067" w:rsidRPr="00DC021E">
        <w:t>United Nations Framework Convention on Climate Change ('</w:t>
      </w:r>
      <w:r w:rsidRPr="00DC021E">
        <w:t>UNFCCC</w:t>
      </w:r>
      <w:r w:rsidR="00F97067" w:rsidRPr="00DC021E">
        <w:t>')</w:t>
      </w:r>
      <w:r w:rsidRPr="00DC021E">
        <w:t xml:space="preserve"> on 6 March 2015.</w:t>
      </w:r>
      <w:r w:rsidRPr="00DC021E">
        <w:rPr>
          <w:rStyle w:val="FootnoteReference"/>
        </w:rPr>
        <w:t xml:space="preserve"> </w:t>
      </w:r>
      <w:r w:rsidRPr="00DC021E">
        <w:rPr>
          <w:rStyle w:val="FootnoteReference"/>
        </w:rPr>
        <w:footnoteReference w:id="10"/>
      </w:r>
    </w:p>
    <w:p w:rsidR="00AC4E61" w:rsidRPr="00DC021E" w:rsidRDefault="004E45D7" w:rsidP="00AC4E61">
      <w:pPr>
        <w:pStyle w:val="Point0number"/>
      </w:pPr>
      <w:r w:rsidRPr="00DC021E">
        <w:t xml:space="preserve">The Paris Agreement, inter alia, sets out a long-term goal in line with the objective to keep the global temperature increase well below 2°C above pre-industrial levels and to pursue efforts to keep it to 1.5°C above pre-industrial levels. In order to achieve this goal, the </w:t>
      </w:r>
      <w:r w:rsidR="00D3268F" w:rsidRPr="00DC021E">
        <w:t>P</w:t>
      </w:r>
      <w:r w:rsidRPr="00DC021E">
        <w:t xml:space="preserve">arties </w:t>
      </w:r>
      <w:r w:rsidR="00DE659B" w:rsidRPr="00DC021E">
        <w:t>should</w:t>
      </w:r>
      <w:r w:rsidRPr="00DC021E">
        <w:t xml:space="preserve"> prepare, communicate and maintain successive nationally determined contributions.</w:t>
      </w:r>
      <w:r w:rsidR="005A48AC" w:rsidRPr="00DC021E">
        <w:t xml:space="preserve"> </w:t>
      </w:r>
      <w:r w:rsidR="007C3975" w:rsidRPr="00DC021E">
        <w:t xml:space="preserve">The Paris Agreement replaces the approach taken under the 1997 Kyoto Protocol which will not be continued beyond 2020. </w:t>
      </w:r>
      <w:r w:rsidRPr="00DC021E">
        <w:t>The Paris Agreement also calls for a balance between anthropogenic emissions by sources and removals by sinks of greenhouse gases in the second half of this century, and invites Parties to take action to conserve and enhance, as appropriate, sinks and reservoirs of greenhouse gases, including forests.</w:t>
      </w:r>
    </w:p>
    <w:p w:rsidR="004E45D7" w:rsidRPr="00DC021E" w:rsidRDefault="004E45D7" w:rsidP="00CA6731">
      <w:pPr>
        <w:pStyle w:val="Point0number"/>
      </w:pPr>
      <w:r w:rsidRPr="00DC021E">
        <w:t xml:space="preserve">The European Council </w:t>
      </w:r>
      <w:r w:rsidR="00723EE3" w:rsidRPr="00DC021E">
        <w:t xml:space="preserve">of 23-24 October 2014 </w:t>
      </w:r>
      <w:r w:rsidRPr="00DC021E">
        <w:t xml:space="preserve">also acknowledged the multiple objectives of the agriculture and land use sector, with their lower mitigation potential as well as the need to ensure coherence between the </w:t>
      </w:r>
      <w:r w:rsidR="00DE659B" w:rsidRPr="00DC021E">
        <w:t>Union</w:t>
      </w:r>
      <w:r w:rsidRPr="00DC021E">
        <w:t xml:space="preserve"> food security and climate change objectives. The European Council invited the Commission to examine the best means of encouraging the sustainable intensification of food production, while optimising the sector's contribution to greenhouse gas mitigation and sequestration, including through afforestation, and to establish policy on how to include land use, land use change and forestry (</w:t>
      </w:r>
      <w:r w:rsidR="00ED48C6" w:rsidRPr="00DC021E">
        <w:t>'</w:t>
      </w:r>
      <w:r w:rsidRPr="00DC021E">
        <w:t>LULUCF</w:t>
      </w:r>
      <w:r w:rsidR="00ED48C6" w:rsidRPr="00DC021E">
        <w:t>'</w:t>
      </w:r>
      <w:r w:rsidRPr="00DC021E">
        <w:t>) into the 2030 greenhouse gas mitigation framework as soon as technical conditions allow and in any case before 2020.</w:t>
      </w:r>
    </w:p>
    <w:p w:rsidR="004E45D7" w:rsidRPr="00DC021E" w:rsidRDefault="004E45D7" w:rsidP="00CA6731">
      <w:pPr>
        <w:pStyle w:val="Point0number"/>
      </w:pPr>
      <w:r w:rsidRPr="00DC021E">
        <w:t xml:space="preserve">The LULUCF sector can contribute to climate change mitigation in several ways, in particular by reducing emissions, and maintaining and enhancing sinks and carbon stocks. In order for measures aiming in particular at increasing carbon sequestration to be effective, the long-term stability and adaptability of carbon pools is essential.  </w:t>
      </w:r>
    </w:p>
    <w:p w:rsidR="00B70B4D" w:rsidRPr="00DC021E" w:rsidRDefault="00B70B4D" w:rsidP="00CA6731">
      <w:pPr>
        <w:pStyle w:val="Point0number"/>
      </w:pPr>
      <w:r w:rsidRPr="00DC021E">
        <w:t>Decision No 529/2013/EC of the European Parliament and of the Council,</w:t>
      </w:r>
      <w:r w:rsidRPr="00DC021E">
        <w:rPr>
          <w:rStyle w:val="FootnoteReference"/>
        </w:rPr>
        <w:footnoteReference w:id="11"/>
      </w:r>
      <w:r w:rsidRPr="00DC021E">
        <w:t xml:space="preserve"> as a first step, set out accounting rules applicable to greenhouse gas emissions and removals from the LULUCF sector and thereby contributed to policy development towards the inclusion of the LULUCF sector in the Union’s emission reduction commitment.</w:t>
      </w:r>
      <w:r w:rsidR="00D74AAB" w:rsidRPr="00DC021E">
        <w:t xml:space="preserve"> This Regulation </w:t>
      </w:r>
      <w:r w:rsidR="00385856" w:rsidRPr="00DC021E">
        <w:t xml:space="preserve">should </w:t>
      </w:r>
      <w:r w:rsidR="00D74AAB" w:rsidRPr="00DC021E">
        <w:t xml:space="preserve">build on the existing accounting rules, updating and improving </w:t>
      </w:r>
      <w:r w:rsidR="00B63825" w:rsidRPr="00DC021E">
        <w:t xml:space="preserve">them </w:t>
      </w:r>
      <w:r w:rsidR="00D74AAB" w:rsidRPr="00DC021E">
        <w:t xml:space="preserve">for the period 2021-2030. </w:t>
      </w:r>
      <w:r w:rsidR="007E28B7" w:rsidRPr="00DC021E">
        <w:t xml:space="preserve">It </w:t>
      </w:r>
      <w:r w:rsidR="00385856" w:rsidRPr="00DC021E">
        <w:t xml:space="preserve">should </w:t>
      </w:r>
      <w:r w:rsidR="007E28B7" w:rsidRPr="00DC021E">
        <w:t xml:space="preserve">lay down the obligations of Member States in implementing those accounting rules and the obligation to ensure that </w:t>
      </w:r>
      <w:r w:rsidR="00723EE3" w:rsidRPr="00DC021E">
        <w:t xml:space="preserve">the </w:t>
      </w:r>
      <w:r w:rsidR="007E28B7" w:rsidRPr="00DC021E">
        <w:t xml:space="preserve">overall LULUCF sector </w:t>
      </w:r>
      <w:r w:rsidR="00385856" w:rsidRPr="00DC021E">
        <w:t>would</w:t>
      </w:r>
      <w:r w:rsidR="007E28B7" w:rsidRPr="00DC021E">
        <w:t xml:space="preserve"> not generate net emissions. It should not lay down any accounting or reporting obligations for private parties.</w:t>
      </w:r>
      <w:r w:rsidRPr="00DC021E">
        <w:t xml:space="preserve"> </w:t>
      </w:r>
    </w:p>
    <w:p w:rsidR="00385856" w:rsidRPr="00DC021E" w:rsidRDefault="00FA21CC" w:rsidP="00002E41">
      <w:pPr>
        <w:pStyle w:val="Point0number"/>
      </w:pPr>
      <w:r w:rsidRPr="00DC021E">
        <w:t xml:space="preserve">In order to determine accurate accounts of emissions and removals in </w:t>
      </w:r>
      <w:r w:rsidR="00385856" w:rsidRPr="00DC021E">
        <w:t>accordance</w:t>
      </w:r>
      <w:r w:rsidRPr="00DC021E">
        <w:t xml:space="preserve"> with the 2006 </w:t>
      </w:r>
      <w:r w:rsidR="00002E41" w:rsidRPr="00DC021E">
        <w:t>Intergovernmental Panel on Climate Change (</w:t>
      </w:r>
      <w:r w:rsidR="00A801AC" w:rsidRPr="00DC021E">
        <w:t>'</w:t>
      </w:r>
      <w:r w:rsidRPr="00DC021E">
        <w:t>IPCC</w:t>
      </w:r>
      <w:r w:rsidR="00A801AC" w:rsidRPr="00DC021E">
        <w:t>'</w:t>
      </w:r>
      <w:r w:rsidR="00002E41" w:rsidRPr="00DC021E">
        <w:t>)</w:t>
      </w:r>
      <w:r w:rsidRPr="00DC021E">
        <w:t xml:space="preserve"> Guidelines for National Greenhouse Gas Inventories ('IPCC Guidelines'), the annually reported values under Regulation (EU) No. 525/2013 for land use categories and the conversion between land use categories should be utilised, thereby streamlining the approaches used under the UNFCCC and the Kyoto Protocol. Land that is converted to another land use category should be considered in transition to that category for the default value of 20 years in the IPCC Guidelines.</w:t>
      </w:r>
    </w:p>
    <w:p w:rsidR="00BA1ED4" w:rsidRPr="00DC021E" w:rsidRDefault="00437E09" w:rsidP="00CA6731">
      <w:pPr>
        <w:pStyle w:val="Point0number"/>
      </w:pPr>
      <w:r w:rsidRPr="00DC021E">
        <w:t xml:space="preserve">Emissions and removals from forest land depend on a number of natural circumstances, age-class structure, as well as past and present management practices. The use of a base year would not make it possible to reflect those factors and resulting cyclical impacts on emissions and removals or their </w:t>
      </w:r>
      <w:proofErr w:type="spellStart"/>
      <w:r w:rsidRPr="00DC021E">
        <w:t>interannual</w:t>
      </w:r>
      <w:proofErr w:type="spellEnd"/>
      <w:r w:rsidRPr="00DC021E">
        <w:t xml:space="preserve"> variation. The relevant accounting rules should instead provide for the use of reference levels to exclude the effects of natural and country-specific characteristics. In the absence of the </w:t>
      </w:r>
      <w:r w:rsidR="00BA1ED4" w:rsidRPr="00DC021E">
        <w:t xml:space="preserve">international review under the UNFCCC and the </w:t>
      </w:r>
      <w:r w:rsidRPr="00DC021E">
        <w:t>Kyoto Protocol, a review procedure should be established to ensure transparency and improve the quality of accounting in this category.</w:t>
      </w:r>
    </w:p>
    <w:p w:rsidR="00241FDD" w:rsidRPr="00DC021E" w:rsidRDefault="00BA1ED4" w:rsidP="00BA1ED4">
      <w:pPr>
        <w:pStyle w:val="Point0number"/>
      </w:pPr>
      <w:r w:rsidRPr="00DC021E">
        <w:t xml:space="preserve">When the Commission chooses to be assisted by an expert review team in accordance with Commission Decision (C(2016)3301) in the review of national forestry accounting plans, it should build on the good practice and experience of the expert reviews under the UNFCCC, including as regards participation of national experts and recommendations, and select a sufficient number of experts from the Member States. </w:t>
      </w:r>
      <w:r w:rsidR="005562E3" w:rsidRPr="00DC021E">
        <w:t xml:space="preserve"> </w:t>
      </w:r>
    </w:p>
    <w:p w:rsidR="00EA164A" w:rsidRPr="00DC021E" w:rsidRDefault="007672B4" w:rsidP="00683E3D">
      <w:pPr>
        <w:pStyle w:val="Point0number"/>
      </w:pPr>
      <w:r w:rsidRPr="00DC021E">
        <w:rPr>
          <w:lang w:eastAsia="en-GB"/>
        </w:rPr>
        <w:t>The i</w:t>
      </w:r>
      <w:r w:rsidR="00EA164A" w:rsidRPr="00DC021E">
        <w:rPr>
          <w:lang w:eastAsia="en-GB"/>
        </w:rPr>
        <w:t xml:space="preserve">nternationally agreed IPCC </w:t>
      </w:r>
      <w:r w:rsidRPr="00DC021E">
        <w:rPr>
          <w:lang w:eastAsia="en-GB"/>
        </w:rPr>
        <w:t>G</w:t>
      </w:r>
      <w:r w:rsidR="00EA164A" w:rsidRPr="00DC021E">
        <w:rPr>
          <w:lang w:eastAsia="en-GB"/>
        </w:rPr>
        <w:t xml:space="preserve">uidelines state that emissions from the combustion of biomass can be accounted as zero in the energy sector with the condition that these emissions are accounted for in the LULUCF sector. In the EU, emissions from biomass combustion are accounted as zero pursuant to </w:t>
      </w:r>
      <w:r w:rsidR="002A4617" w:rsidRPr="00DC021E">
        <w:rPr>
          <w:lang w:eastAsia="en-GB"/>
        </w:rPr>
        <w:t>A</w:t>
      </w:r>
      <w:r w:rsidR="00EA164A" w:rsidRPr="00DC021E">
        <w:rPr>
          <w:lang w:eastAsia="en-GB"/>
        </w:rPr>
        <w:t xml:space="preserve">rticle 38 of Regulation </w:t>
      </w:r>
      <w:r w:rsidR="00D1156E" w:rsidRPr="00DC021E">
        <w:t xml:space="preserve">(EU) No. </w:t>
      </w:r>
      <w:r w:rsidR="00EA164A" w:rsidRPr="00DC021E">
        <w:rPr>
          <w:lang w:eastAsia="en-GB"/>
        </w:rPr>
        <w:t xml:space="preserve">601/2012 and the provisions set out in </w:t>
      </w:r>
      <w:r w:rsidR="002A4617" w:rsidRPr="00DC021E">
        <w:t>Regulation (EU) No. 525/2013</w:t>
      </w:r>
      <w:r w:rsidR="00EA164A" w:rsidRPr="00DC021E">
        <w:rPr>
          <w:lang w:eastAsia="en-GB"/>
        </w:rPr>
        <w:t xml:space="preserve">, hence consistency with the IPCC </w:t>
      </w:r>
      <w:r w:rsidR="00D1156E" w:rsidRPr="00DC021E">
        <w:rPr>
          <w:lang w:eastAsia="en-GB"/>
        </w:rPr>
        <w:t>G</w:t>
      </w:r>
      <w:r w:rsidR="00EA164A" w:rsidRPr="00DC021E">
        <w:rPr>
          <w:lang w:eastAsia="en-GB"/>
        </w:rPr>
        <w:t xml:space="preserve">uidelines would only be ensured if these emissions should be covered accurately under this </w:t>
      </w:r>
      <w:r w:rsidR="00D1156E" w:rsidRPr="00DC021E">
        <w:rPr>
          <w:lang w:eastAsia="en-GB"/>
        </w:rPr>
        <w:t>R</w:t>
      </w:r>
      <w:r w:rsidR="00EA164A" w:rsidRPr="00DC021E">
        <w:rPr>
          <w:lang w:eastAsia="en-GB"/>
        </w:rPr>
        <w:t>egulation</w:t>
      </w:r>
      <w:r w:rsidR="00D1156E" w:rsidRPr="00DC021E">
        <w:rPr>
          <w:lang w:eastAsia="en-GB"/>
        </w:rPr>
        <w:t>.</w:t>
      </w:r>
    </w:p>
    <w:p w:rsidR="00EA7864" w:rsidRPr="00DC021E" w:rsidRDefault="00BE0CEA" w:rsidP="00CA6731">
      <w:pPr>
        <w:pStyle w:val="Point0number"/>
      </w:pPr>
      <w:r w:rsidRPr="00DC021E">
        <w:t xml:space="preserve">The increased sustainable use of harvested wood products can substantially limit emissions into and enhance removals of greenhouse gases from the atmosphere. The accounting rules should ensure that Member States accurately reflect in accounts the changes in the harvested wood products pool when they take place, to provide incentives for </w:t>
      </w:r>
      <w:r w:rsidR="00E62D5C" w:rsidRPr="00DC021E">
        <w:t xml:space="preserve">enhanced </w:t>
      </w:r>
      <w:r w:rsidRPr="00DC021E">
        <w:t>use of harvested wood products with long life cycles.</w:t>
      </w:r>
      <w:r w:rsidR="00970165" w:rsidRPr="00DC021E">
        <w:t xml:space="preserve"> The Commission should provide guidance on methodological issues related to the </w:t>
      </w:r>
      <w:r w:rsidR="00E219CA" w:rsidRPr="00DC021E">
        <w:t>accounting for</w:t>
      </w:r>
      <w:r w:rsidR="00970165" w:rsidRPr="00DC021E">
        <w:t xml:space="preserve"> harvested wood products.</w:t>
      </w:r>
    </w:p>
    <w:p w:rsidR="00F25A00" w:rsidRPr="00DC021E" w:rsidRDefault="00F25A00" w:rsidP="00CA6731">
      <w:pPr>
        <w:pStyle w:val="Point0number"/>
      </w:pPr>
      <w:r w:rsidRPr="00DC021E">
        <w:t>Natural disturbances, such as wildfires, insect and disease infestations, extreme weather events and geological disturbances that are beyond the control of, and not materially influenced by, a Member State, may result in greenhouse gas emissions of a temporary nature in the LULUCF sector, or may cause the reversal of previous removals. As reversal can also be the result of management decisions, such as decisions to harvest or plant trees, this Regulation should ensure that human-induced reversals of removals are always accurately reflected in LULUCF accounts. Moreover, this Regulation should provide Member States with a limited possibility to exclude emissions resulting from disturbances that are beyond their control from their LULUCF accounts. However, the manner in which Member States apply those provisions should not lead to undue under-accounting.</w:t>
      </w:r>
    </w:p>
    <w:p w:rsidR="003819DE" w:rsidRPr="00DC021E" w:rsidRDefault="003819DE" w:rsidP="00CA6731">
      <w:pPr>
        <w:pStyle w:val="Point0number"/>
      </w:pPr>
      <w:r w:rsidRPr="00DC021E">
        <w:t xml:space="preserve">Depending on national preferences, Member States should be able to choose adequate national policies for achieving their commitments in LULUCF, including the possibility of compensating emissions from one land category by removals from another land category. They should also be able to cumulate net removals over the period 2021-2030. Trading among Member States should continue as an additional option to help compliance. Following the practice in the second commitment period of the Kyoto Protocol, there should also be a possibility for a Member State to use its overachievement under Regulation [] on binding annual greenhouse gas emission reductions by Member States from 2021 to 2030 for a resilient Energy Union and to meet commitments under the Paris Agreement </w:t>
      </w:r>
      <w:r w:rsidR="007D0792" w:rsidRPr="00DC021E">
        <w:t xml:space="preserve">and amending Regulation No 525/2013 of the European Parliament and the Council on a mechanism for monitoring and reporting greenhouse gas emissions and other information relevant to climate change </w:t>
      </w:r>
      <w:r w:rsidRPr="00DC021E">
        <w:t>in order to ensure its compliance with its commitment under this Regulation.</w:t>
      </w:r>
    </w:p>
    <w:p w:rsidR="005F72DD" w:rsidRPr="00DC021E" w:rsidRDefault="00785004" w:rsidP="00CA6731">
      <w:pPr>
        <w:pStyle w:val="Point0number"/>
      </w:pPr>
      <w:r w:rsidRPr="00DC021E">
        <w:rPr>
          <w:szCs w:val="24"/>
        </w:rPr>
        <w:t xml:space="preserve">In order to ensure efficient, transparent and cost-effective reporting and verification of greenhouse gas emissions and removals and of other information necessary to assess compliance with Member States' commitments, reporting requirements should be included in Regulation (EU) No. 525/2013 by this Regulation, and compliance checks under this Regulation should take these reports into account. </w:t>
      </w:r>
      <w:r w:rsidR="009F7D96" w:rsidRPr="00DC021E">
        <w:t xml:space="preserve"> </w:t>
      </w:r>
      <w:r w:rsidR="009F7D96" w:rsidRPr="00DC021E">
        <w:rPr>
          <w:szCs w:val="24"/>
        </w:rPr>
        <w:t xml:space="preserve"> </w:t>
      </w:r>
      <w:r w:rsidR="00110641" w:rsidRPr="00DC021E">
        <w:t>Regulation (EU) No. 525/2013 should therefore be amended accordingly. These provisions may further be streamlined to take into consideration any relevant changes in respect of the integrated governance of the Energy Union for which a proposal is foreseen by the end of 2016 in the Commission’s work programme.</w:t>
      </w:r>
      <w:r w:rsidR="00110641" w:rsidRPr="00DC021E">
        <w:rPr>
          <w:szCs w:val="24"/>
        </w:rPr>
        <w:t xml:space="preserve"> </w:t>
      </w:r>
    </w:p>
    <w:p w:rsidR="004E45D7" w:rsidRPr="00DC021E" w:rsidRDefault="005A7AEA" w:rsidP="00CA6731">
      <w:pPr>
        <w:pStyle w:val="Point0number"/>
      </w:pPr>
      <w:r w:rsidRPr="00DC021E">
        <w:rPr>
          <w:szCs w:val="24"/>
        </w:rPr>
        <w:t>The European Environment Agency should assist the Commission, as appropriate in accordance with its annual work programme, with the system of annual reporting of greenhouse gas emissions and removals, the assessment of information on policies and measures and national projections, the evaluation of planned additional policies and measures, and the compliance checks carried out by the Commission under this Regulation.</w:t>
      </w:r>
      <w:r w:rsidRPr="00DC021E">
        <w:t xml:space="preserve"> </w:t>
      </w:r>
    </w:p>
    <w:p w:rsidR="00A8681B" w:rsidRPr="00DC021E" w:rsidRDefault="00E219CA" w:rsidP="00F55C83">
      <w:pPr>
        <w:pStyle w:val="Point0number"/>
      </w:pPr>
      <w:r w:rsidRPr="00DC021E">
        <w:t>To facilitate data collection and methodology improvement</w:t>
      </w:r>
      <w:r w:rsidR="00856D08" w:rsidRPr="00DC021E">
        <w:t>,</w:t>
      </w:r>
      <w:r w:rsidRPr="00DC021E">
        <w:t xml:space="preserve"> land use should be inventoried and reported using geographical tracking of each land area, corresponding to national and EU data collection systems. The best use shall be made of existing Union and M</w:t>
      </w:r>
      <w:r w:rsidR="006F5EA7" w:rsidRPr="00DC021E">
        <w:t xml:space="preserve">ember </w:t>
      </w:r>
      <w:r w:rsidRPr="00DC021E">
        <w:t>S</w:t>
      </w:r>
      <w:r w:rsidR="006F5EA7" w:rsidRPr="00DC021E">
        <w:t>tate</w:t>
      </w:r>
      <w:r w:rsidRPr="00DC021E">
        <w:t xml:space="preserve"> programmes and surveys including </w:t>
      </w:r>
      <w:r w:rsidR="0049132A" w:rsidRPr="00DC021E">
        <w:t xml:space="preserve">the </w:t>
      </w:r>
      <w:r w:rsidR="00F55C83" w:rsidRPr="00DC021E">
        <w:t xml:space="preserve">LUCAS Land Use Cover </w:t>
      </w:r>
      <w:r w:rsidR="00DD1985" w:rsidRPr="00DC021E">
        <w:t>Area f</w:t>
      </w:r>
      <w:r w:rsidR="00F55C83" w:rsidRPr="00DC021E">
        <w:t xml:space="preserve">rame Survey and the European Earth observation programme Copernicus </w:t>
      </w:r>
      <w:r w:rsidRPr="00DC021E">
        <w:t xml:space="preserve">for data collection. Data management, including sharing for the reporting reuse and dissemination should conform to </w:t>
      </w:r>
      <w:r w:rsidR="0023250E" w:rsidRPr="00DC021E">
        <w:t>Directive 2007/2/EC of the European Parliament and of the Council of 14 March 2007 establishing an Infrastructure for Spatial Information in the European Community</w:t>
      </w:r>
      <w:r w:rsidRPr="00DC021E">
        <w:t>.</w:t>
      </w:r>
    </w:p>
    <w:p w:rsidR="004E45D7" w:rsidRPr="00DC021E" w:rsidRDefault="00AD50B9" w:rsidP="00CA6731">
      <w:pPr>
        <w:pStyle w:val="Point0number"/>
      </w:pPr>
      <w:r w:rsidRPr="00DC021E">
        <w:t>In order to provide for the appropriate accounting</w:t>
      </w:r>
      <w:r w:rsidR="00C1414B" w:rsidRPr="00DC021E">
        <w:t xml:space="preserve"> of transactions </w:t>
      </w:r>
      <w:r w:rsidRPr="00DC021E">
        <w:t xml:space="preserve"> under this Regulation</w:t>
      </w:r>
      <w:r w:rsidR="00C1414B" w:rsidRPr="00DC021E">
        <w:t>, including the use of flexibilities and tracking compliance</w:t>
      </w:r>
      <w:r w:rsidRPr="00DC021E">
        <w:t>, the power to adopt acts in accordance with Article 290 of the Treaty on the Functioning of the European Union should be delegated to the Commission in respect of the technical adaptation of definitions, values, lists of greenhouse gases and carbon pools, the update of reference levels</w:t>
      </w:r>
      <w:r w:rsidR="00FD7997" w:rsidRPr="00DC021E">
        <w:t xml:space="preserve">, the accounting of transactions and the revision of </w:t>
      </w:r>
      <w:r w:rsidRPr="00DC021E">
        <w:t>methodology and informat</w:t>
      </w:r>
      <w:r w:rsidR="007E122C" w:rsidRPr="00DC021E">
        <w:t>i</w:t>
      </w:r>
      <w:r w:rsidRPr="00DC021E">
        <w:t xml:space="preserve">on requirements. </w:t>
      </w:r>
      <w:r w:rsidR="00C1414B" w:rsidRPr="00DC021E">
        <w:t>These measures shall take into acc</w:t>
      </w:r>
      <w:r w:rsidR="00723EE3" w:rsidRPr="00DC021E">
        <w:t>o</w:t>
      </w:r>
      <w:r w:rsidR="00C1414B" w:rsidRPr="00DC021E">
        <w:t>unt the provisions in Commission Regulation No 389/2013 establishing a Union Registry. The necessary provisions should be contained in a single legal instrument combining the accounting provisions pursuant to Directive 2003/87/EC, Regula</w:t>
      </w:r>
      <w:r w:rsidR="00AD7A33" w:rsidRPr="00DC021E">
        <w:t>tion</w:t>
      </w:r>
      <w:r w:rsidR="00C1414B" w:rsidRPr="00DC021E">
        <w:t xml:space="preserve"> (EU) No 525/2013, Regulation [] on binding annual greenhouse gas emission reductions by Member States from 2021 to 2030 for a resilient Energy Union and this Regulation. </w:t>
      </w:r>
      <w:r w:rsidR="004E45D7" w:rsidRPr="00DC021E">
        <w:t>It is of particular importance that the Commission carry out appropriate consultations during its preparatory work, including at expert level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have systematic access to meetings of Commission expert groups dealing with the preparation of delegated acts.</w:t>
      </w:r>
      <w:r w:rsidR="00CA716D" w:rsidRPr="00DC021E">
        <w:t xml:space="preserve"> </w:t>
      </w:r>
      <w:r w:rsidR="00A8681B" w:rsidRPr="00DC021E">
        <w:t xml:space="preserve"> </w:t>
      </w:r>
    </w:p>
    <w:p w:rsidR="004E45D7" w:rsidRPr="00DC021E" w:rsidRDefault="00BC6F92" w:rsidP="00CA6731">
      <w:pPr>
        <w:pStyle w:val="Point0number"/>
      </w:pPr>
      <w:r w:rsidRPr="00DC021E">
        <w:rPr>
          <w:noProof/>
        </w:rPr>
        <w:t>This Regulation should be reviewed as of 2024 and every 5 years thereafter in order to assess its overall functioning. This review can also be informed by the results of the global stocktake of the Paris Agreement.</w:t>
      </w:r>
    </w:p>
    <w:p w:rsidR="004E45D7" w:rsidRPr="00DC021E" w:rsidRDefault="004E45D7" w:rsidP="00CA6731">
      <w:pPr>
        <w:pStyle w:val="Point0number"/>
      </w:pPr>
      <w:r w:rsidRPr="00DC021E">
        <w:t>Since the objectives of this Regulation cannot be sufficiently achieved by the Member States but can rather, by reason of its scale and effects be better achieved at Union level, the Union may adopt measures, in accordance with the principle of subsidiarity as set out in Article 5 of the Treaty of the European Union. In accordance with the principle of proportionality, as set out in that Article, this Regulation does not go beyond what is necessary in order to achieve those objectives,</w:t>
      </w:r>
    </w:p>
    <w:p w:rsidR="004E45D7" w:rsidRPr="00DC021E" w:rsidRDefault="004E45D7" w:rsidP="00886695">
      <w:pPr>
        <w:pStyle w:val="Formuledadoption"/>
      </w:pPr>
      <w:r w:rsidRPr="00DC021E">
        <w:t>HAVE ADOPTED THIS REGULATION:</w:t>
      </w:r>
    </w:p>
    <w:p w:rsidR="004E45D7" w:rsidRPr="00DC021E" w:rsidRDefault="004E45D7"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Article 1</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Subject matter</w:t>
      </w:r>
    </w:p>
    <w:p w:rsidR="00750C70" w:rsidRPr="00DC021E" w:rsidRDefault="004C0E22" w:rsidP="007364A3">
      <w:pPr>
        <w:spacing w:before="100" w:beforeAutospacing="1" w:after="100" w:afterAutospacing="1"/>
        <w:rPr>
          <w:szCs w:val="24"/>
        </w:rPr>
      </w:pPr>
      <w:r w:rsidRPr="00DC021E">
        <w:rPr>
          <w:rFonts w:eastAsia="Times New Roman"/>
          <w:szCs w:val="24"/>
          <w:lang w:eastAsia="en-GB"/>
        </w:rPr>
        <w:t xml:space="preserve">This Regulation </w:t>
      </w:r>
      <w:r w:rsidR="002C224E" w:rsidRPr="00DC021E">
        <w:rPr>
          <w:rFonts w:eastAsia="Times New Roman"/>
          <w:szCs w:val="24"/>
          <w:lang w:eastAsia="en-GB"/>
        </w:rPr>
        <w:t xml:space="preserve">sets out Member States' commitments </w:t>
      </w:r>
      <w:r w:rsidR="007364A3" w:rsidRPr="00DC021E">
        <w:rPr>
          <w:rFonts w:eastAsia="Times New Roman"/>
          <w:szCs w:val="24"/>
          <w:lang w:eastAsia="en-GB"/>
        </w:rPr>
        <w:t xml:space="preserve">on </w:t>
      </w:r>
      <w:r w:rsidR="0086650F" w:rsidRPr="00DC021E">
        <w:rPr>
          <w:rFonts w:eastAsia="Times New Roman"/>
          <w:szCs w:val="24"/>
          <w:lang w:eastAsia="en-GB"/>
        </w:rPr>
        <w:t>land use, land use change and forestry ('LULUCF')</w:t>
      </w:r>
      <w:r w:rsidR="007364A3" w:rsidRPr="00DC021E">
        <w:rPr>
          <w:rFonts w:eastAsia="Times New Roman"/>
          <w:szCs w:val="24"/>
          <w:lang w:eastAsia="en-GB"/>
        </w:rPr>
        <w:t xml:space="preserve"> that ensure</w:t>
      </w:r>
      <w:r w:rsidR="007A02F0" w:rsidRPr="00DC021E">
        <w:rPr>
          <w:rFonts w:eastAsia="Times New Roman"/>
          <w:szCs w:val="24"/>
          <w:lang w:eastAsia="en-GB"/>
        </w:rPr>
        <w:t xml:space="preserve"> </w:t>
      </w:r>
      <w:r w:rsidR="007A02F0" w:rsidRPr="00DC021E">
        <w:rPr>
          <w:noProof/>
        </w:rPr>
        <w:t xml:space="preserve">meeting the greenhouse gas emission reduction commitment of the Union for the period from 2021 to 2030, </w:t>
      </w:r>
      <w:r w:rsidR="007364A3" w:rsidRPr="00DC021E">
        <w:rPr>
          <w:noProof/>
        </w:rPr>
        <w:t xml:space="preserve">as well as the rules for the accounting of emissions and removals from LULUCF </w:t>
      </w:r>
      <w:r w:rsidR="00750C70" w:rsidRPr="00DC021E">
        <w:rPr>
          <w:noProof/>
        </w:rPr>
        <w:t xml:space="preserve"> </w:t>
      </w:r>
      <w:r w:rsidR="007A02F0" w:rsidRPr="00DC021E">
        <w:rPr>
          <w:noProof/>
        </w:rPr>
        <w:t>and checking</w:t>
      </w:r>
      <w:r w:rsidR="007A02F0" w:rsidRPr="00DC021E">
        <w:rPr>
          <w:szCs w:val="24"/>
        </w:rPr>
        <w:t xml:space="preserve"> the compliance of Member States with </w:t>
      </w:r>
      <w:r w:rsidR="00750C70" w:rsidRPr="00DC021E">
        <w:rPr>
          <w:szCs w:val="24"/>
        </w:rPr>
        <w:t xml:space="preserve">these </w:t>
      </w:r>
      <w:r w:rsidR="007A02F0" w:rsidRPr="00DC021E">
        <w:rPr>
          <w:szCs w:val="24"/>
        </w:rPr>
        <w:t xml:space="preserve">commitments. </w:t>
      </w:r>
    </w:p>
    <w:p w:rsidR="001D6A5B" w:rsidRPr="00DC021E" w:rsidRDefault="001D6A5B"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Article 2</w:t>
      </w:r>
    </w:p>
    <w:p w:rsidR="001D6A5B" w:rsidRPr="00DC021E" w:rsidRDefault="001D6A5B"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Scope</w:t>
      </w:r>
    </w:p>
    <w:p w:rsidR="001D6A5B" w:rsidRPr="00DC021E" w:rsidRDefault="00750C70" w:rsidP="001D6A5B">
      <w:pPr>
        <w:pStyle w:val="ManualNumPar1"/>
        <w:ind w:left="0" w:firstLine="0"/>
      </w:pPr>
      <w:r w:rsidRPr="00DC021E">
        <w:t xml:space="preserve">1. </w:t>
      </w:r>
      <w:r w:rsidR="001D6A5B" w:rsidRPr="00DC021E">
        <w:t xml:space="preserve">This Regulation applies to emissions </w:t>
      </w:r>
      <w:r w:rsidRPr="00DC021E">
        <w:t xml:space="preserve">and removals </w:t>
      </w:r>
      <w:r w:rsidR="001D6A5B" w:rsidRPr="00DC021E">
        <w:t xml:space="preserve">of the greenhouse gases </w:t>
      </w:r>
      <w:r w:rsidRPr="00DC021E">
        <w:t xml:space="preserve">listed in </w:t>
      </w:r>
      <w:r w:rsidR="00BD0CC7" w:rsidRPr="00DC021E">
        <w:t>Annex I</w:t>
      </w:r>
      <w:r w:rsidR="0005253E" w:rsidRPr="00DC021E">
        <w:t>, section A</w:t>
      </w:r>
      <w:r w:rsidR="009547EC" w:rsidRPr="00DC021E">
        <w:t xml:space="preserve">, as reported </w:t>
      </w:r>
      <w:r w:rsidR="00592990" w:rsidRPr="00DC021E">
        <w:t xml:space="preserve">pursuant to </w:t>
      </w:r>
      <w:r w:rsidR="00844C3D" w:rsidRPr="00DC021E">
        <w:t xml:space="preserve">Article 7 of </w:t>
      </w:r>
      <w:r w:rsidR="00844C3D" w:rsidRPr="00DC021E">
        <w:rPr>
          <w:rFonts w:eastAsia="Times New Roman"/>
          <w:szCs w:val="24"/>
          <w:lang w:eastAsia="en-GB"/>
        </w:rPr>
        <w:t xml:space="preserve">Regulation (EU) No 525/2013 </w:t>
      </w:r>
      <w:r w:rsidR="00844C3D" w:rsidRPr="00DC021E">
        <w:t>occurring in any of the following land accounting categories on the territories of Member States</w:t>
      </w:r>
      <w:r w:rsidR="004B0DA6" w:rsidRPr="00DC021E">
        <w:t xml:space="preserve"> </w:t>
      </w:r>
      <w:r w:rsidR="00844C3D" w:rsidRPr="00DC021E">
        <w:t>during the period from 2021 to 2030</w:t>
      </w:r>
      <w:r w:rsidR="001D6A5B" w:rsidRPr="00DC021E">
        <w:rPr>
          <w:rFonts w:eastAsia="Times New Roman"/>
          <w:szCs w:val="24"/>
          <w:lang w:eastAsia="en-GB"/>
        </w:rPr>
        <w:t>:</w:t>
      </w:r>
    </w:p>
    <w:p w:rsidR="007E122C" w:rsidRPr="00DC021E" w:rsidRDefault="007E122C" w:rsidP="00097AB2">
      <w:pPr>
        <w:pStyle w:val="Point0letter"/>
        <w:rPr>
          <w:lang w:eastAsia="en-GB"/>
        </w:rPr>
      </w:pPr>
      <w:r w:rsidRPr="00DC021E">
        <w:rPr>
          <w:lang w:eastAsia="en-GB"/>
        </w:rPr>
        <w:t xml:space="preserve">afforested land: </w:t>
      </w:r>
      <w:r w:rsidR="00897FE0" w:rsidRPr="00DC021E">
        <w:rPr>
          <w:lang w:eastAsia="en-GB"/>
        </w:rPr>
        <w:t xml:space="preserve">land use reported as </w:t>
      </w:r>
      <w:r w:rsidRPr="00DC021E">
        <w:rPr>
          <w:lang w:eastAsia="en-GB"/>
        </w:rPr>
        <w:t>cropland, grassland, wetlands, settlements, and other land converted to forest land;</w:t>
      </w:r>
    </w:p>
    <w:p w:rsidR="007E122C" w:rsidRPr="00DC021E" w:rsidRDefault="007E122C" w:rsidP="00097AB2">
      <w:pPr>
        <w:pStyle w:val="Point0letter"/>
        <w:rPr>
          <w:lang w:eastAsia="en-GB"/>
        </w:rPr>
      </w:pPr>
      <w:r w:rsidRPr="00DC021E">
        <w:rPr>
          <w:lang w:eastAsia="en-GB"/>
        </w:rPr>
        <w:t xml:space="preserve">deforested land: </w:t>
      </w:r>
      <w:r w:rsidR="00897FE0" w:rsidRPr="00DC021E">
        <w:rPr>
          <w:lang w:eastAsia="en-GB"/>
        </w:rPr>
        <w:t xml:space="preserve">land use reported as </w:t>
      </w:r>
      <w:r w:rsidRPr="00DC021E">
        <w:rPr>
          <w:lang w:eastAsia="en-GB"/>
        </w:rPr>
        <w:t>forest land converted to cropland, grassland, wetlands, settlements, and other land;</w:t>
      </w:r>
    </w:p>
    <w:p w:rsidR="007E122C" w:rsidRPr="00DC021E" w:rsidRDefault="00BE0DCE" w:rsidP="00097AB2">
      <w:pPr>
        <w:pStyle w:val="Point0letter"/>
        <w:rPr>
          <w:lang w:eastAsia="en-GB"/>
        </w:rPr>
      </w:pPr>
      <w:r w:rsidRPr="00DC021E">
        <w:rPr>
          <w:lang w:eastAsia="en-GB"/>
        </w:rPr>
        <w:t xml:space="preserve">managed </w:t>
      </w:r>
      <w:r w:rsidR="007E122C" w:rsidRPr="00DC021E">
        <w:rPr>
          <w:lang w:eastAsia="en-GB"/>
        </w:rPr>
        <w:t xml:space="preserve">cropland: </w:t>
      </w:r>
      <w:r w:rsidR="00897FE0" w:rsidRPr="00DC021E">
        <w:rPr>
          <w:lang w:eastAsia="en-GB"/>
        </w:rPr>
        <w:t xml:space="preserve">land use reported as </w:t>
      </w:r>
      <w:r w:rsidR="007E122C" w:rsidRPr="00DC021E">
        <w:rPr>
          <w:lang w:eastAsia="en-GB"/>
        </w:rPr>
        <w:t>cropland remaining cropland and grassland, wetland, settlement, other land converted to cropland and cropland converted to wetland, settlement and other land;</w:t>
      </w:r>
    </w:p>
    <w:p w:rsidR="007E122C" w:rsidRPr="00DC021E" w:rsidRDefault="00BE0DCE" w:rsidP="00097AB2">
      <w:pPr>
        <w:pStyle w:val="Point0letter"/>
        <w:rPr>
          <w:lang w:eastAsia="en-GB"/>
        </w:rPr>
      </w:pPr>
      <w:r w:rsidRPr="00DC021E">
        <w:rPr>
          <w:lang w:eastAsia="en-GB"/>
        </w:rPr>
        <w:t xml:space="preserve">managed </w:t>
      </w:r>
      <w:r w:rsidR="007E122C" w:rsidRPr="00DC021E">
        <w:rPr>
          <w:lang w:eastAsia="en-GB"/>
        </w:rPr>
        <w:t>grassland</w:t>
      </w:r>
      <w:r w:rsidR="00897FE0" w:rsidRPr="00DC021E">
        <w:rPr>
          <w:lang w:eastAsia="en-GB"/>
        </w:rPr>
        <w:t xml:space="preserve">: land use reported as </w:t>
      </w:r>
      <w:r w:rsidR="007E122C" w:rsidRPr="00DC021E">
        <w:rPr>
          <w:lang w:eastAsia="en-GB"/>
        </w:rPr>
        <w:t>grassland remaining grassland and cropland, wetland, settlement, other land converted to grassland and grassland converted to wetland, settlement and other land;</w:t>
      </w:r>
    </w:p>
    <w:p w:rsidR="00897FE0" w:rsidRPr="00DC021E" w:rsidRDefault="00BE0DCE" w:rsidP="00097AB2">
      <w:pPr>
        <w:pStyle w:val="Point0letter"/>
        <w:rPr>
          <w:lang w:eastAsia="en-GB"/>
        </w:rPr>
      </w:pPr>
      <w:r w:rsidRPr="00DC021E">
        <w:rPr>
          <w:lang w:eastAsia="en-GB"/>
        </w:rPr>
        <w:t xml:space="preserve">managed </w:t>
      </w:r>
      <w:r w:rsidR="00897FE0" w:rsidRPr="00DC021E">
        <w:rPr>
          <w:lang w:eastAsia="en-GB"/>
        </w:rPr>
        <w:t>forest land: land use reported as forest land remaining forest land</w:t>
      </w:r>
      <w:r w:rsidR="00750C70" w:rsidRPr="00DC021E">
        <w:rPr>
          <w:lang w:eastAsia="en-GB"/>
        </w:rPr>
        <w:t>.</w:t>
      </w:r>
    </w:p>
    <w:p w:rsidR="00897FE0" w:rsidRPr="00DC021E" w:rsidRDefault="00750C70" w:rsidP="00CA198B">
      <w:pPr>
        <w:rPr>
          <w:lang w:eastAsia="en-GB"/>
        </w:rPr>
      </w:pPr>
      <w:r w:rsidRPr="00DC021E">
        <w:rPr>
          <w:lang w:eastAsia="en-GB"/>
        </w:rPr>
        <w:t xml:space="preserve">2. A </w:t>
      </w:r>
      <w:r w:rsidR="00897FE0" w:rsidRPr="00DC021E">
        <w:rPr>
          <w:lang w:eastAsia="en-GB"/>
        </w:rPr>
        <w:t xml:space="preserve">Member State </w:t>
      </w:r>
      <w:r w:rsidRPr="00DC021E">
        <w:rPr>
          <w:lang w:eastAsia="en-GB"/>
        </w:rPr>
        <w:t xml:space="preserve">may </w:t>
      </w:r>
      <w:r w:rsidR="00897FE0" w:rsidRPr="00DC021E">
        <w:rPr>
          <w:lang w:eastAsia="en-GB"/>
        </w:rPr>
        <w:t xml:space="preserve">choose to </w:t>
      </w:r>
      <w:r w:rsidRPr="00DC021E">
        <w:rPr>
          <w:lang w:eastAsia="en-GB"/>
        </w:rPr>
        <w:t xml:space="preserve">include managed wetland, </w:t>
      </w:r>
      <w:r w:rsidR="0086650F" w:rsidRPr="00DC021E">
        <w:rPr>
          <w:lang w:eastAsia="en-GB"/>
        </w:rPr>
        <w:t xml:space="preserve">defined </w:t>
      </w:r>
      <w:r w:rsidR="004B0DA6" w:rsidRPr="00DC021E">
        <w:rPr>
          <w:lang w:eastAsia="en-GB"/>
        </w:rPr>
        <w:t>as land</w:t>
      </w:r>
      <w:r w:rsidR="00897FE0" w:rsidRPr="00DC021E">
        <w:rPr>
          <w:lang w:eastAsia="en-GB"/>
        </w:rPr>
        <w:t xml:space="preserve"> use reported as wetland remaining wetland, and settlement, other land converted to wetland and wetland converted to settlement and other land</w:t>
      </w:r>
      <w:r w:rsidRPr="00DC021E">
        <w:rPr>
          <w:lang w:eastAsia="en-GB"/>
        </w:rPr>
        <w:t xml:space="preserve">, </w:t>
      </w:r>
      <w:r w:rsidR="00CA198B" w:rsidRPr="00DC021E">
        <w:rPr>
          <w:lang w:eastAsia="en-GB"/>
        </w:rPr>
        <w:t>in the scope of its commitment pursuant to Article 4. Where a Member State chooses to do so, it shall account for emissions and removals from managed wetland in accordance with this Regulation</w:t>
      </w:r>
      <w:r w:rsidR="00F74D7A" w:rsidRPr="00DC021E">
        <w:rPr>
          <w:lang w:eastAsia="en-GB"/>
        </w:rPr>
        <w:t>.</w:t>
      </w:r>
      <w:r w:rsidR="00897FE0" w:rsidRPr="00DC021E">
        <w:rPr>
          <w:lang w:eastAsia="en-GB"/>
        </w:rPr>
        <w:t xml:space="preserve">  </w:t>
      </w:r>
    </w:p>
    <w:p w:rsidR="004E45D7" w:rsidRPr="00DC021E" w:rsidRDefault="00785766"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Article 3</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Definitions</w:t>
      </w:r>
    </w:p>
    <w:p w:rsidR="004E45D7" w:rsidRPr="00DC021E" w:rsidRDefault="004E45D7" w:rsidP="0062310C">
      <w:pPr>
        <w:spacing w:before="100" w:beforeAutospacing="1" w:after="100" w:afterAutospacing="1"/>
        <w:rPr>
          <w:rFonts w:eastAsia="Times New Roman"/>
          <w:szCs w:val="24"/>
          <w:lang w:eastAsia="en-GB"/>
        </w:rPr>
      </w:pPr>
      <w:r w:rsidRPr="00DC021E">
        <w:rPr>
          <w:rFonts w:eastAsia="Times New Roman"/>
          <w:szCs w:val="24"/>
          <w:lang w:eastAsia="en-GB"/>
        </w:rPr>
        <w:t>1. For the purposes of this Regulation, the following definitions shall apply:</w:t>
      </w:r>
    </w:p>
    <w:p w:rsidR="00350DC0" w:rsidRPr="00DC021E" w:rsidRDefault="00350DC0" w:rsidP="00097AB2">
      <w:pPr>
        <w:pStyle w:val="Point1letter"/>
        <w:rPr>
          <w:lang w:eastAsia="en-GB"/>
        </w:rPr>
      </w:pPr>
      <w:r w:rsidRPr="00DC021E">
        <w:rPr>
          <w:rFonts w:eastAsia="Times New Roman"/>
          <w:szCs w:val="24"/>
          <w:lang w:eastAsia="en-GB"/>
        </w:rPr>
        <w:t>‘sink’ means any process, activity or mechanism that removes a greenhouse gas, an aerosol, or a precursor to a greenhouse gas from the atmosphere;</w:t>
      </w:r>
    </w:p>
    <w:p w:rsidR="009840E7" w:rsidRPr="00DC021E" w:rsidRDefault="009840E7" w:rsidP="00097AB2">
      <w:pPr>
        <w:pStyle w:val="Point1letter"/>
        <w:rPr>
          <w:lang w:eastAsia="en-GB"/>
        </w:rPr>
      </w:pPr>
      <w:r w:rsidRPr="00DC021E">
        <w:rPr>
          <w:lang w:eastAsia="en-GB"/>
        </w:rPr>
        <w:t>‘source’ means any process, activity or mechanism that releases a greenhouse gas, an aerosol or a precursor to a greenhouse gas into the atmosphere;</w:t>
      </w:r>
    </w:p>
    <w:p w:rsidR="004E45D7" w:rsidRPr="00DC021E" w:rsidRDefault="00350DC0" w:rsidP="00097AB2">
      <w:pPr>
        <w:pStyle w:val="Point1letter"/>
        <w:rPr>
          <w:lang w:eastAsia="en-GB"/>
        </w:rPr>
      </w:pPr>
      <w:r w:rsidRPr="00DC021E" w:rsidDel="00350DC0">
        <w:rPr>
          <w:lang w:eastAsia="en-GB"/>
        </w:rPr>
        <w:t xml:space="preserve"> </w:t>
      </w:r>
      <w:r w:rsidR="004E45D7" w:rsidRPr="00DC021E">
        <w:rPr>
          <w:lang w:eastAsia="en-GB"/>
        </w:rPr>
        <w:t>‘carbon stock’ means the mass of carbon stored in a carbon pool;</w:t>
      </w:r>
    </w:p>
    <w:p w:rsidR="004E45D7" w:rsidRPr="00DC021E" w:rsidRDefault="004E45D7" w:rsidP="00097AB2">
      <w:pPr>
        <w:pStyle w:val="Point1letter"/>
        <w:rPr>
          <w:lang w:eastAsia="en-GB"/>
        </w:rPr>
      </w:pPr>
      <w:r w:rsidRPr="00DC021E">
        <w:rPr>
          <w:lang w:eastAsia="en-GB"/>
        </w:rPr>
        <w:t>‘carbon pool’ means the whole or part of a biogeochemical feature or system within the territory of a Member State within which carbon, any precursor to a greenhouse gas containing carbon or any greenhouse gas containing carbon is stored;</w:t>
      </w:r>
    </w:p>
    <w:p w:rsidR="004E45D7" w:rsidRPr="00DC021E" w:rsidRDefault="004E45D7" w:rsidP="00097AB2">
      <w:pPr>
        <w:pStyle w:val="Point1letter"/>
        <w:rPr>
          <w:lang w:eastAsia="en-GB"/>
        </w:rPr>
      </w:pPr>
      <w:r w:rsidRPr="00DC021E">
        <w:rPr>
          <w:lang w:eastAsia="en-GB"/>
        </w:rPr>
        <w:t>‘harvested wood product’ means any product of wood harvesting that has left a site where wood is harvested;</w:t>
      </w:r>
    </w:p>
    <w:p w:rsidR="004E45D7" w:rsidRPr="00DC021E" w:rsidRDefault="004E45D7" w:rsidP="00097AB2">
      <w:pPr>
        <w:pStyle w:val="Point1letter"/>
        <w:rPr>
          <w:lang w:eastAsia="en-GB"/>
        </w:rPr>
      </w:pPr>
      <w:r w:rsidRPr="00DC021E">
        <w:rPr>
          <w:lang w:eastAsia="en-GB"/>
        </w:rPr>
        <w:t>‘forest’ means an area of land defined by the minimum values for area size, tree crown cover or an equivalent stocking level, and potential tree height at maturity at the place of growth of the trees. It includes areas with trees, including groups of growing young natural trees, or plantations that have yet to reach the minimum values for tree crown cover or equivalent stocking level or minimum tree height , including any area that normally forms part of the forest area but on which there are temporarily no trees as a result of human intervention, such as harvesting, or as a result of natural causes, but which area can be expected to revert to forest;</w:t>
      </w:r>
    </w:p>
    <w:p w:rsidR="004E45D7" w:rsidRPr="00DC021E" w:rsidRDefault="004E45D7" w:rsidP="00097AB2">
      <w:pPr>
        <w:pStyle w:val="Point1letter"/>
        <w:rPr>
          <w:lang w:eastAsia="en-GB"/>
        </w:rPr>
      </w:pPr>
      <w:r w:rsidRPr="00DC021E">
        <w:rPr>
          <w:lang w:eastAsia="en-GB"/>
        </w:rPr>
        <w:t>‘natural disturbances’ mean any non-anthropogenic events or circumstances that cause significant emissions in forests and the occurrence of which are beyond the control of the relevant Member State, provided the Member State is objectively unable to significantly limit the effect of the events or circumstances, even after their occurrence, on emissions;</w:t>
      </w:r>
    </w:p>
    <w:p w:rsidR="004E45D7" w:rsidRPr="00DC021E" w:rsidRDefault="004E45D7" w:rsidP="00097AB2">
      <w:pPr>
        <w:pStyle w:val="Point1letter"/>
        <w:rPr>
          <w:lang w:eastAsia="en-GB"/>
        </w:rPr>
      </w:pPr>
      <w:r w:rsidRPr="00DC021E">
        <w:rPr>
          <w:lang w:eastAsia="en-GB"/>
        </w:rPr>
        <w:t>‘instantaneous oxidation’ means an accounting method that assumes that the release into the atmosphere of the entire quantity of carbon stored in harvested wood products occurs at the time of harvest.</w:t>
      </w:r>
    </w:p>
    <w:p w:rsidR="004E45D7" w:rsidRPr="00DC021E" w:rsidRDefault="004E45D7" w:rsidP="004E45D7">
      <w:pPr>
        <w:spacing w:before="100" w:beforeAutospacing="1" w:after="100" w:afterAutospacing="1"/>
        <w:rPr>
          <w:rFonts w:eastAsia="Times New Roman"/>
          <w:szCs w:val="24"/>
          <w:lang w:eastAsia="en-GB"/>
        </w:rPr>
      </w:pPr>
      <w:r w:rsidRPr="00DC021E">
        <w:rPr>
          <w:rFonts w:eastAsia="Times New Roman"/>
          <w:szCs w:val="24"/>
          <w:lang w:eastAsia="en-GB"/>
        </w:rPr>
        <w:t>2. The Commission shall be empowered to adopt delegated acts in accordance with Article 1</w:t>
      </w:r>
      <w:r w:rsidR="00A62A62" w:rsidRPr="00DC021E">
        <w:rPr>
          <w:rFonts w:eastAsia="Times New Roman"/>
          <w:szCs w:val="24"/>
          <w:lang w:eastAsia="en-GB"/>
        </w:rPr>
        <w:t>4</w:t>
      </w:r>
      <w:r w:rsidRPr="00DC021E">
        <w:rPr>
          <w:rFonts w:eastAsia="Times New Roman"/>
          <w:szCs w:val="24"/>
          <w:lang w:eastAsia="en-GB"/>
        </w:rPr>
        <w:t xml:space="preserve"> to a</w:t>
      </w:r>
      <w:r w:rsidR="009C5177" w:rsidRPr="00DC021E">
        <w:rPr>
          <w:rFonts w:eastAsia="Times New Roman"/>
          <w:szCs w:val="24"/>
          <w:lang w:eastAsia="en-GB"/>
        </w:rPr>
        <w:t>dapt</w:t>
      </w:r>
      <w:r w:rsidRPr="00DC021E">
        <w:rPr>
          <w:rFonts w:eastAsia="Times New Roman"/>
          <w:szCs w:val="24"/>
          <w:lang w:eastAsia="en-GB"/>
        </w:rPr>
        <w:t xml:space="preserve"> the definitions in paragraph 1 to</w:t>
      </w:r>
      <w:r w:rsidR="009C5177" w:rsidRPr="00DC021E">
        <w:rPr>
          <w:rFonts w:eastAsia="Times New Roman"/>
          <w:szCs w:val="24"/>
          <w:lang w:eastAsia="en-GB"/>
        </w:rPr>
        <w:t xml:space="preserve"> scientific developments or technical progress and to </w:t>
      </w:r>
      <w:r w:rsidRPr="00DC021E">
        <w:rPr>
          <w:rFonts w:eastAsia="Times New Roman"/>
          <w:szCs w:val="24"/>
          <w:lang w:eastAsia="en-GB"/>
        </w:rPr>
        <w:t xml:space="preserve">ensure consistency between those definitions and any changes to relevant definitions </w:t>
      </w:r>
      <w:r w:rsidR="005F48A9" w:rsidRPr="00DC021E">
        <w:rPr>
          <w:rFonts w:eastAsia="Times New Roman"/>
          <w:szCs w:val="24"/>
          <w:lang w:eastAsia="en-GB"/>
        </w:rPr>
        <w:t xml:space="preserve">in </w:t>
      </w:r>
      <w:r w:rsidR="002202A0" w:rsidRPr="00DC021E">
        <w:rPr>
          <w:rFonts w:eastAsia="Times New Roman"/>
          <w:szCs w:val="24"/>
          <w:lang w:eastAsia="en-GB"/>
        </w:rPr>
        <w:t>the 2006 IPCC Guidelines for National Greenhouse Gas Inventories ('IPCC Guidelines')</w:t>
      </w:r>
      <w:r w:rsidRPr="00DC021E">
        <w:rPr>
          <w:rFonts w:eastAsia="Times New Roman"/>
          <w:szCs w:val="24"/>
          <w:lang w:eastAsia="en-GB"/>
        </w:rPr>
        <w:t xml:space="preserve">. </w:t>
      </w:r>
    </w:p>
    <w:p w:rsidR="004E45D7" w:rsidRPr="00DC021E" w:rsidRDefault="00785766"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Article 4</w:t>
      </w:r>
    </w:p>
    <w:p w:rsidR="004E45D7" w:rsidRPr="00DC021E" w:rsidRDefault="00543F3E"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 xml:space="preserve">Commitments </w:t>
      </w:r>
    </w:p>
    <w:p w:rsidR="004E45D7" w:rsidRPr="00DC021E" w:rsidRDefault="008379BC" w:rsidP="004E45D7">
      <w:pPr>
        <w:spacing w:before="100" w:beforeAutospacing="1" w:after="100" w:afterAutospacing="1"/>
        <w:rPr>
          <w:rFonts w:eastAsia="Times New Roman"/>
          <w:szCs w:val="24"/>
          <w:lang w:eastAsia="en-GB"/>
        </w:rPr>
      </w:pPr>
      <w:r w:rsidRPr="00DC021E">
        <w:rPr>
          <w:szCs w:val="24"/>
        </w:rPr>
        <w:t xml:space="preserve">For the period from 2021 to 2025 and from 2026 to 2030, </w:t>
      </w:r>
      <w:r w:rsidR="00175087" w:rsidRPr="00DC021E">
        <w:rPr>
          <w:szCs w:val="24"/>
        </w:rPr>
        <w:t xml:space="preserve">taking into account </w:t>
      </w:r>
      <w:r w:rsidRPr="00DC021E">
        <w:t>the flexibilities provided for in Article 1</w:t>
      </w:r>
      <w:r w:rsidR="00A62A62" w:rsidRPr="00DC021E">
        <w:t>1</w:t>
      </w:r>
      <w:r w:rsidRPr="00DC021E">
        <w:t xml:space="preserve">, </w:t>
      </w:r>
      <w:r w:rsidRPr="00DC021E">
        <w:rPr>
          <w:szCs w:val="24"/>
        </w:rPr>
        <w:t>e</w:t>
      </w:r>
      <w:r w:rsidRPr="00DC021E">
        <w:rPr>
          <w:rFonts w:eastAsia="Times New Roman"/>
          <w:szCs w:val="24"/>
          <w:lang w:eastAsia="en-GB"/>
        </w:rPr>
        <w:t>ach Member State shall ensure that emissions do not exceed removals</w:t>
      </w:r>
      <w:r w:rsidR="00367BE0" w:rsidRPr="00DC021E">
        <w:rPr>
          <w:rFonts w:eastAsia="Times New Roman"/>
          <w:szCs w:val="24"/>
          <w:lang w:eastAsia="en-GB"/>
        </w:rPr>
        <w:t>,</w:t>
      </w:r>
      <w:r w:rsidRPr="00DC021E">
        <w:rPr>
          <w:rFonts w:eastAsia="Times New Roman"/>
          <w:szCs w:val="24"/>
          <w:lang w:eastAsia="en-GB"/>
        </w:rPr>
        <w:t xml:space="preserve"> </w:t>
      </w:r>
      <w:r w:rsidR="00FB32A1" w:rsidRPr="00DC021E">
        <w:rPr>
          <w:rFonts w:eastAsia="Times New Roman"/>
          <w:szCs w:val="24"/>
          <w:lang w:eastAsia="en-GB"/>
        </w:rPr>
        <w:t>calculated as the sum of total emissions and removals on their territory in the land accounting categories referred to in Article 2 combined</w:t>
      </w:r>
      <w:r w:rsidR="00B3506D" w:rsidRPr="00DC021E">
        <w:rPr>
          <w:rFonts w:eastAsia="Times New Roman"/>
          <w:szCs w:val="24"/>
          <w:lang w:eastAsia="en-GB"/>
        </w:rPr>
        <w:t xml:space="preserve">, </w:t>
      </w:r>
      <w:r w:rsidR="00D36917" w:rsidRPr="00DC021E">
        <w:rPr>
          <w:rFonts w:eastAsia="Times New Roman"/>
          <w:szCs w:val="24"/>
          <w:lang w:eastAsia="en-GB"/>
        </w:rPr>
        <w:t>as</w:t>
      </w:r>
      <w:r w:rsidR="00FB32A1" w:rsidRPr="00DC021E">
        <w:rPr>
          <w:rFonts w:eastAsia="Times New Roman"/>
          <w:szCs w:val="24"/>
          <w:lang w:eastAsia="en-GB"/>
        </w:rPr>
        <w:t xml:space="preserve"> </w:t>
      </w:r>
      <w:r w:rsidRPr="00DC021E">
        <w:rPr>
          <w:rFonts w:eastAsia="Times New Roman"/>
          <w:szCs w:val="24"/>
          <w:lang w:eastAsia="en-GB"/>
        </w:rPr>
        <w:t xml:space="preserve">accounted in accordance with </w:t>
      </w:r>
      <w:r w:rsidR="002C224E" w:rsidRPr="00DC021E">
        <w:rPr>
          <w:rFonts w:eastAsia="Times New Roman"/>
          <w:szCs w:val="24"/>
          <w:lang w:eastAsia="en-GB"/>
        </w:rPr>
        <w:t>this Regulation</w:t>
      </w:r>
      <w:r w:rsidRPr="00DC021E">
        <w:rPr>
          <w:rFonts w:eastAsia="Times New Roman"/>
          <w:szCs w:val="24"/>
          <w:lang w:eastAsia="en-GB"/>
        </w:rPr>
        <w:t>.</w:t>
      </w:r>
    </w:p>
    <w:p w:rsidR="004E45D7" w:rsidRPr="00DC021E" w:rsidRDefault="00785766"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Article 5</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General accounting rules</w:t>
      </w:r>
    </w:p>
    <w:p w:rsidR="00647145" w:rsidRPr="00DC021E" w:rsidRDefault="00CF3FFA" w:rsidP="004E45D7">
      <w:pPr>
        <w:spacing w:before="100" w:beforeAutospacing="1" w:after="100" w:afterAutospacing="1"/>
        <w:rPr>
          <w:rFonts w:eastAsia="Times New Roman"/>
          <w:szCs w:val="24"/>
          <w:lang w:eastAsia="en-GB"/>
        </w:rPr>
      </w:pPr>
      <w:r w:rsidRPr="00DC021E">
        <w:rPr>
          <w:rFonts w:eastAsia="Times New Roman"/>
          <w:szCs w:val="24"/>
          <w:lang w:eastAsia="en-GB"/>
        </w:rPr>
        <w:t>1</w:t>
      </w:r>
      <w:r w:rsidR="00647145" w:rsidRPr="00DC021E">
        <w:rPr>
          <w:rFonts w:eastAsia="Times New Roman"/>
          <w:szCs w:val="24"/>
          <w:lang w:eastAsia="en-GB"/>
        </w:rPr>
        <w:t xml:space="preserve">. </w:t>
      </w:r>
      <w:r w:rsidR="009840E7" w:rsidRPr="00DC021E">
        <w:rPr>
          <w:rFonts w:eastAsia="Times New Roman"/>
          <w:szCs w:val="24"/>
          <w:lang w:eastAsia="en-GB"/>
        </w:rPr>
        <w:t>Each Member State shall prepare and maintain accounts that accurately reflect the emissions and removals resulting from the land accounting categories referred to in Article 2. Member States shall ensure the accuracy, completeness, consistency, comparability and transparency of their accounts</w:t>
      </w:r>
      <w:r w:rsidR="003927CD" w:rsidRPr="00DC021E">
        <w:rPr>
          <w:rFonts w:eastAsia="Times New Roman"/>
          <w:szCs w:val="24"/>
          <w:lang w:eastAsia="en-GB"/>
        </w:rPr>
        <w:t xml:space="preserve"> and of other </w:t>
      </w:r>
      <w:r w:rsidR="00997C69" w:rsidRPr="00DC021E">
        <w:rPr>
          <w:rFonts w:eastAsia="Times New Roman"/>
          <w:szCs w:val="24"/>
          <w:lang w:eastAsia="en-GB"/>
        </w:rPr>
        <w:t>data</w:t>
      </w:r>
      <w:r w:rsidR="003927CD" w:rsidRPr="00DC021E">
        <w:rPr>
          <w:rFonts w:eastAsia="Times New Roman"/>
          <w:szCs w:val="24"/>
          <w:lang w:eastAsia="en-GB"/>
        </w:rPr>
        <w:t xml:space="preserve"> provided under this Regulation</w:t>
      </w:r>
      <w:r w:rsidR="009840E7" w:rsidRPr="00DC021E">
        <w:rPr>
          <w:rFonts w:eastAsia="Times New Roman"/>
          <w:szCs w:val="24"/>
          <w:lang w:eastAsia="en-GB"/>
        </w:rPr>
        <w:t>.</w:t>
      </w:r>
      <w:r w:rsidR="00D36917" w:rsidRPr="00DC021E">
        <w:rPr>
          <w:rFonts w:eastAsia="Times New Roman"/>
          <w:szCs w:val="24"/>
          <w:lang w:eastAsia="en-GB"/>
        </w:rPr>
        <w:t xml:space="preserve"> Member States shall denote emissions by a positive sign (+) and removals by a negative sign (-). </w:t>
      </w:r>
      <w:r w:rsidR="00ED58B2" w:rsidRPr="00DC021E">
        <w:rPr>
          <w:rFonts w:eastAsia="Times New Roman"/>
          <w:szCs w:val="24"/>
          <w:lang w:eastAsia="en-GB"/>
        </w:rPr>
        <w:t xml:space="preserve"> </w:t>
      </w:r>
    </w:p>
    <w:p w:rsidR="004E45D7" w:rsidRPr="00DC021E" w:rsidRDefault="00CF3FFA" w:rsidP="004E45D7">
      <w:pPr>
        <w:spacing w:before="100" w:beforeAutospacing="1" w:after="100" w:afterAutospacing="1"/>
        <w:rPr>
          <w:rFonts w:eastAsia="Times New Roman"/>
          <w:szCs w:val="24"/>
          <w:lang w:eastAsia="en-GB"/>
        </w:rPr>
      </w:pPr>
      <w:r w:rsidRPr="00DC021E">
        <w:rPr>
          <w:rFonts w:eastAsia="Times New Roman"/>
          <w:szCs w:val="24"/>
          <w:lang w:eastAsia="en-GB"/>
        </w:rPr>
        <w:t>2</w:t>
      </w:r>
      <w:r w:rsidR="004E45D7" w:rsidRPr="00DC021E">
        <w:rPr>
          <w:rFonts w:eastAsia="Times New Roman"/>
          <w:szCs w:val="24"/>
          <w:lang w:eastAsia="en-GB"/>
        </w:rPr>
        <w:t>.   </w:t>
      </w:r>
      <w:r w:rsidR="00742EFC" w:rsidRPr="00DC021E">
        <w:rPr>
          <w:rFonts w:eastAsia="Times New Roman"/>
          <w:szCs w:val="24"/>
          <w:lang w:eastAsia="en-GB"/>
        </w:rPr>
        <w:t xml:space="preserve">Member States shall </w:t>
      </w:r>
      <w:r w:rsidR="00ED58B2" w:rsidRPr="00DC021E">
        <w:rPr>
          <w:rFonts w:eastAsia="Times New Roman"/>
          <w:szCs w:val="24"/>
          <w:lang w:eastAsia="en-GB"/>
        </w:rPr>
        <w:t xml:space="preserve">prevent </w:t>
      </w:r>
      <w:r w:rsidR="00742EFC" w:rsidRPr="00DC021E">
        <w:rPr>
          <w:rFonts w:eastAsia="Times New Roman"/>
          <w:szCs w:val="24"/>
          <w:lang w:eastAsia="en-GB"/>
        </w:rPr>
        <w:t xml:space="preserve">any double counting of emissions </w:t>
      </w:r>
      <w:r w:rsidR="00ED58B2" w:rsidRPr="00DC021E">
        <w:rPr>
          <w:rFonts w:eastAsia="Times New Roman"/>
          <w:szCs w:val="24"/>
          <w:lang w:eastAsia="en-GB"/>
        </w:rPr>
        <w:t xml:space="preserve">or </w:t>
      </w:r>
      <w:r w:rsidR="00742EFC" w:rsidRPr="00DC021E">
        <w:rPr>
          <w:rFonts w:eastAsia="Times New Roman"/>
          <w:szCs w:val="24"/>
          <w:lang w:eastAsia="en-GB"/>
        </w:rPr>
        <w:t>removals</w:t>
      </w:r>
      <w:r w:rsidR="00D77690" w:rsidRPr="00DC021E">
        <w:rPr>
          <w:rFonts w:eastAsia="Times New Roman"/>
          <w:szCs w:val="24"/>
          <w:lang w:eastAsia="en-GB"/>
        </w:rPr>
        <w:t xml:space="preserve">, in particular by accounting for emissions or removals resulting from more than one </w:t>
      </w:r>
      <w:r w:rsidR="00B63825" w:rsidRPr="00DC021E">
        <w:rPr>
          <w:rFonts w:eastAsia="Times New Roman"/>
          <w:szCs w:val="24"/>
          <w:lang w:eastAsia="en-GB"/>
        </w:rPr>
        <w:t xml:space="preserve">land accounting </w:t>
      </w:r>
      <w:r w:rsidR="00D77690" w:rsidRPr="00DC021E">
        <w:rPr>
          <w:rFonts w:eastAsia="Times New Roman"/>
          <w:szCs w:val="24"/>
          <w:lang w:eastAsia="en-GB"/>
        </w:rPr>
        <w:t xml:space="preserve">category </w:t>
      </w:r>
      <w:r w:rsidR="004B0DA6" w:rsidRPr="00DC021E">
        <w:rPr>
          <w:rFonts w:eastAsia="Times New Roman"/>
          <w:szCs w:val="24"/>
          <w:lang w:eastAsia="en-GB"/>
        </w:rPr>
        <w:t>under one</w:t>
      </w:r>
      <w:r w:rsidR="00D77690" w:rsidRPr="00DC021E">
        <w:rPr>
          <w:rFonts w:eastAsia="Times New Roman"/>
          <w:szCs w:val="24"/>
          <w:lang w:eastAsia="en-GB"/>
        </w:rPr>
        <w:t xml:space="preserve"> category</w:t>
      </w:r>
      <w:r w:rsidR="009840E7" w:rsidRPr="00DC021E">
        <w:rPr>
          <w:rFonts w:eastAsia="Times New Roman"/>
          <w:szCs w:val="24"/>
          <w:lang w:eastAsia="en-GB"/>
        </w:rPr>
        <w:t xml:space="preserve"> only</w:t>
      </w:r>
      <w:r w:rsidR="00ED58B2" w:rsidRPr="00DC021E">
        <w:rPr>
          <w:rFonts w:eastAsia="Times New Roman"/>
          <w:szCs w:val="24"/>
          <w:lang w:eastAsia="en-GB"/>
        </w:rPr>
        <w:t>.</w:t>
      </w:r>
      <w:r w:rsidR="00742EFC" w:rsidRPr="00DC021E">
        <w:rPr>
          <w:rFonts w:eastAsia="Times New Roman"/>
          <w:szCs w:val="24"/>
          <w:lang w:eastAsia="en-GB"/>
        </w:rPr>
        <w:t xml:space="preserve"> </w:t>
      </w:r>
    </w:p>
    <w:p w:rsidR="004E45D7" w:rsidRPr="00DC021E" w:rsidRDefault="00CF3FFA" w:rsidP="004E45D7">
      <w:pPr>
        <w:spacing w:before="100" w:beforeAutospacing="1" w:after="100" w:afterAutospacing="1"/>
        <w:rPr>
          <w:rFonts w:eastAsia="Times New Roman"/>
          <w:szCs w:val="24"/>
          <w:lang w:eastAsia="en-GB"/>
        </w:rPr>
      </w:pPr>
      <w:r w:rsidRPr="00DC021E">
        <w:rPr>
          <w:rFonts w:eastAsia="Times New Roman"/>
          <w:szCs w:val="24"/>
          <w:lang w:eastAsia="en-GB"/>
        </w:rPr>
        <w:t>3</w:t>
      </w:r>
      <w:r w:rsidR="004E45D7" w:rsidRPr="00DC021E">
        <w:rPr>
          <w:rFonts w:eastAsia="Times New Roman"/>
          <w:szCs w:val="24"/>
          <w:lang w:eastAsia="en-GB"/>
        </w:rPr>
        <w:t xml:space="preserve">. </w:t>
      </w:r>
      <w:r w:rsidR="000A5BB1" w:rsidRPr="00DC021E">
        <w:rPr>
          <w:rFonts w:eastAsia="Times New Roman"/>
          <w:szCs w:val="24"/>
          <w:lang w:eastAsia="en-GB"/>
        </w:rPr>
        <w:t xml:space="preserve"> </w:t>
      </w:r>
      <w:r w:rsidR="004E45D7" w:rsidRPr="00DC021E">
        <w:rPr>
          <w:rFonts w:eastAsia="Times New Roman"/>
          <w:szCs w:val="24"/>
          <w:lang w:eastAsia="en-GB"/>
        </w:rPr>
        <w:t xml:space="preserve">Member States shall </w:t>
      </w:r>
      <w:r w:rsidR="00036766" w:rsidRPr="00DC021E">
        <w:rPr>
          <w:rFonts w:eastAsia="Times New Roman"/>
          <w:szCs w:val="24"/>
          <w:lang w:eastAsia="en-GB"/>
        </w:rPr>
        <w:t>transition</w:t>
      </w:r>
      <w:r w:rsidR="004E45D7" w:rsidRPr="00DC021E">
        <w:rPr>
          <w:rFonts w:eastAsia="Times New Roman"/>
          <w:szCs w:val="24"/>
          <w:lang w:eastAsia="en-GB"/>
        </w:rPr>
        <w:t xml:space="preserve"> </w:t>
      </w:r>
      <w:r w:rsidR="003A25DA" w:rsidRPr="00DC021E">
        <w:rPr>
          <w:rFonts w:eastAsia="Times New Roman"/>
          <w:szCs w:val="24"/>
          <w:lang w:eastAsia="en-GB"/>
        </w:rPr>
        <w:t xml:space="preserve">forest land, cropland, grassland, wetland, settlements and other land from the category of such land converted to another type of land to the category of such land remaining the same type of land after 20 </w:t>
      </w:r>
      <w:r w:rsidR="003A25DA" w:rsidRPr="00DC021E">
        <w:t>years from the date of conversion.</w:t>
      </w:r>
      <w:r w:rsidR="004E45D7" w:rsidRPr="00DC021E">
        <w:rPr>
          <w:rFonts w:eastAsia="Times New Roman"/>
          <w:szCs w:val="24"/>
          <w:lang w:eastAsia="en-GB"/>
        </w:rPr>
        <w:t xml:space="preserve"> </w:t>
      </w:r>
    </w:p>
    <w:p w:rsidR="004E45D7" w:rsidRPr="00DC021E" w:rsidRDefault="00CF3FFA" w:rsidP="004E45D7">
      <w:pPr>
        <w:spacing w:before="100" w:beforeAutospacing="1" w:after="100" w:afterAutospacing="1"/>
        <w:rPr>
          <w:rFonts w:eastAsia="Times New Roman"/>
          <w:szCs w:val="24"/>
          <w:lang w:eastAsia="en-GB"/>
        </w:rPr>
      </w:pPr>
      <w:r w:rsidRPr="00DC021E">
        <w:rPr>
          <w:rFonts w:eastAsia="Times New Roman"/>
          <w:szCs w:val="24"/>
          <w:lang w:eastAsia="en-GB"/>
        </w:rPr>
        <w:t>4.</w:t>
      </w:r>
      <w:r w:rsidR="004E45D7" w:rsidRPr="00DC021E">
        <w:rPr>
          <w:rFonts w:eastAsia="Times New Roman"/>
          <w:szCs w:val="24"/>
          <w:lang w:eastAsia="en-GB"/>
        </w:rPr>
        <w:t xml:space="preserve">   Member States shall include in their accounts </w:t>
      </w:r>
      <w:r w:rsidR="00156D9B" w:rsidRPr="00DC021E">
        <w:rPr>
          <w:rFonts w:eastAsia="Times New Roman"/>
          <w:szCs w:val="24"/>
          <w:lang w:eastAsia="en-GB"/>
        </w:rPr>
        <w:t xml:space="preserve">for each land </w:t>
      </w:r>
      <w:r w:rsidR="00BE0DCE" w:rsidRPr="00DC021E">
        <w:rPr>
          <w:rFonts w:eastAsia="Times New Roman"/>
          <w:szCs w:val="24"/>
          <w:lang w:eastAsia="en-GB"/>
        </w:rPr>
        <w:t>accounting</w:t>
      </w:r>
      <w:r w:rsidR="00156D9B" w:rsidRPr="00DC021E">
        <w:rPr>
          <w:rFonts w:eastAsia="Times New Roman"/>
          <w:szCs w:val="24"/>
          <w:lang w:eastAsia="en-GB"/>
        </w:rPr>
        <w:t xml:space="preserve"> category </w:t>
      </w:r>
      <w:r w:rsidR="004E45D7" w:rsidRPr="00DC021E">
        <w:rPr>
          <w:rFonts w:eastAsia="Times New Roman"/>
          <w:szCs w:val="24"/>
          <w:lang w:eastAsia="en-GB"/>
        </w:rPr>
        <w:t xml:space="preserve">any change in the carbon stock of the carbon pools listed in </w:t>
      </w:r>
      <w:r w:rsidR="00BD0CC7" w:rsidRPr="00DC021E">
        <w:rPr>
          <w:rFonts w:eastAsia="Times New Roman"/>
          <w:szCs w:val="24"/>
          <w:lang w:eastAsia="en-GB"/>
        </w:rPr>
        <w:t>Annex I</w:t>
      </w:r>
      <w:r w:rsidR="00BF73B7" w:rsidRPr="00DC021E">
        <w:rPr>
          <w:rFonts w:eastAsia="Times New Roman"/>
          <w:szCs w:val="24"/>
          <w:lang w:eastAsia="en-GB"/>
        </w:rPr>
        <w:t>, section B</w:t>
      </w:r>
      <w:r w:rsidR="004E45D7" w:rsidRPr="00DC021E">
        <w:rPr>
          <w:rFonts w:eastAsia="Times New Roman"/>
          <w:szCs w:val="24"/>
          <w:lang w:eastAsia="en-GB"/>
        </w:rPr>
        <w:t>. Member State</w:t>
      </w:r>
      <w:r w:rsidR="001225AE" w:rsidRPr="00DC021E">
        <w:rPr>
          <w:rFonts w:eastAsia="Times New Roman"/>
          <w:szCs w:val="24"/>
          <w:lang w:eastAsia="en-GB"/>
        </w:rPr>
        <w:t>s</w:t>
      </w:r>
      <w:r w:rsidR="004E45D7" w:rsidRPr="00DC021E">
        <w:rPr>
          <w:rFonts w:eastAsia="Times New Roman"/>
          <w:szCs w:val="24"/>
          <w:lang w:eastAsia="en-GB"/>
        </w:rPr>
        <w:t xml:space="preserve"> may choose not to include in their accounts changes in carbon stocks for carbon pools where the carbon pool is not a source, except for above-ground biomass and harvested wood products on </w:t>
      </w:r>
      <w:r w:rsidR="001942E7" w:rsidRPr="00DC021E">
        <w:rPr>
          <w:rFonts w:eastAsia="Times New Roman"/>
          <w:szCs w:val="24"/>
          <w:lang w:eastAsia="en-GB"/>
        </w:rPr>
        <w:t>managed forest land</w:t>
      </w:r>
      <w:r w:rsidR="004E45D7" w:rsidRPr="00DC021E">
        <w:rPr>
          <w:rFonts w:eastAsia="Times New Roman"/>
          <w:szCs w:val="24"/>
          <w:lang w:eastAsia="en-GB"/>
        </w:rPr>
        <w:t>.</w:t>
      </w:r>
    </w:p>
    <w:p w:rsidR="004E45D7" w:rsidRPr="00DC021E" w:rsidRDefault="00CF3FFA" w:rsidP="004E45D7">
      <w:pPr>
        <w:spacing w:before="100" w:beforeAutospacing="1" w:after="100" w:afterAutospacing="1"/>
        <w:rPr>
          <w:rFonts w:eastAsia="Times New Roman"/>
          <w:szCs w:val="24"/>
          <w:lang w:eastAsia="en-GB"/>
        </w:rPr>
      </w:pPr>
      <w:r w:rsidRPr="00DC021E">
        <w:rPr>
          <w:rFonts w:eastAsia="Times New Roman"/>
          <w:szCs w:val="24"/>
          <w:lang w:eastAsia="en-GB"/>
        </w:rPr>
        <w:t>5</w:t>
      </w:r>
      <w:r w:rsidR="004E45D7" w:rsidRPr="00DC021E">
        <w:rPr>
          <w:rFonts w:eastAsia="Times New Roman"/>
          <w:szCs w:val="24"/>
          <w:lang w:eastAsia="en-GB"/>
        </w:rPr>
        <w:t xml:space="preserve">. Member States shall maintain a complete and accurate record of all data used in </w:t>
      </w:r>
      <w:r w:rsidR="00BF73B7" w:rsidRPr="00DC021E">
        <w:rPr>
          <w:rFonts w:eastAsia="Times New Roman"/>
          <w:szCs w:val="24"/>
          <w:lang w:eastAsia="en-GB"/>
        </w:rPr>
        <w:t>preparing their accounts</w:t>
      </w:r>
      <w:r w:rsidR="004E45D7" w:rsidRPr="00DC021E">
        <w:rPr>
          <w:rFonts w:eastAsia="Times New Roman"/>
          <w:szCs w:val="24"/>
          <w:lang w:eastAsia="en-GB"/>
        </w:rPr>
        <w:t>.</w:t>
      </w:r>
    </w:p>
    <w:p w:rsidR="004E45D7" w:rsidRPr="00DC021E" w:rsidRDefault="00CF3FFA" w:rsidP="004E45D7">
      <w:pPr>
        <w:spacing w:before="100" w:beforeAutospacing="1" w:after="100" w:afterAutospacing="1"/>
        <w:rPr>
          <w:rFonts w:eastAsia="Times New Roman"/>
          <w:szCs w:val="24"/>
          <w:lang w:eastAsia="en-GB"/>
        </w:rPr>
      </w:pPr>
      <w:r w:rsidRPr="00DC021E">
        <w:rPr>
          <w:rFonts w:eastAsia="Times New Roman"/>
          <w:szCs w:val="24"/>
          <w:lang w:eastAsia="en-GB"/>
        </w:rPr>
        <w:t>6</w:t>
      </w:r>
      <w:r w:rsidR="004E45D7" w:rsidRPr="00DC021E">
        <w:rPr>
          <w:rFonts w:eastAsia="Times New Roman"/>
          <w:szCs w:val="24"/>
          <w:lang w:eastAsia="en-GB"/>
        </w:rPr>
        <w:t>. The Commission shall be empowered to adopt delegated acts in accordance with Article 1</w:t>
      </w:r>
      <w:r w:rsidR="00E12A25" w:rsidRPr="00DC021E">
        <w:rPr>
          <w:rFonts w:eastAsia="Times New Roman"/>
          <w:szCs w:val="24"/>
          <w:lang w:eastAsia="en-GB"/>
        </w:rPr>
        <w:t>4</w:t>
      </w:r>
      <w:r w:rsidR="004E45D7" w:rsidRPr="00DC021E">
        <w:rPr>
          <w:rFonts w:eastAsia="Times New Roman"/>
          <w:szCs w:val="24"/>
          <w:lang w:eastAsia="en-GB"/>
        </w:rPr>
        <w:t xml:space="preserve"> to </w:t>
      </w:r>
      <w:r w:rsidR="00D24F33" w:rsidRPr="00DC021E">
        <w:rPr>
          <w:rFonts w:eastAsia="Times New Roman"/>
          <w:szCs w:val="24"/>
          <w:lang w:eastAsia="en-GB"/>
        </w:rPr>
        <w:t xml:space="preserve">amend </w:t>
      </w:r>
      <w:r w:rsidR="00BD0CC7" w:rsidRPr="00DC021E">
        <w:rPr>
          <w:rFonts w:eastAsia="Times New Roman"/>
          <w:szCs w:val="24"/>
          <w:lang w:eastAsia="en-GB"/>
        </w:rPr>
        <w:t>Annex I</w:t>
      </w:r>
      <w:r w:rsidR="00D24F33" w:rsidRPr="00DC021E">
        <w:rPr>
          <w:rFonts w:eastAsia="Times New Roman"/>
          <w:szCs w:val="24"/>
          <w:lang w:eastAsia="en-GB"/>
        </w:rPr>
        <w:t xml:space="preserve"> in</w:t>
      </w:r>
      <w:r w:rsidR="004E45D7" w:rsidRPr="00DC021E">
        <w:rPr>
          <w:rFonts w:eastAsia="Times New Roman"/>
          <w:szCs w:val="24"/>
          <w:lang w:eastAsia="en-GB"/>
        </w:rPr>
        <w:t xml:space="preserve"> order to reflect changes </w:t>
      </w:r>
      <w:r w:rsidR="00D700A2" w:rsidRPr="00DC021E">
        <w:rPr>
          <w:rFonts w:eastAsia="Times New Roman"/>
          <w:szCs w:val="24"/>
          <w:lang w:eastAsia="en-GB"/>
        </w:rPr>
        <w:t>in the IPCC Guidelines</w:t>
      </w:r>
      <w:r w:rsidR="00BE3237" w:rsidRPr="00DC021E">
        <w:rPr>
          <w:rFonts w:eastAsia="Times New Roman"/>
          <w:szCs w:val="24"/>
          <w:lang w:eastAsia="en-GB"/>
        </w:rPr>
        <w:t>.</w:t>
      </w:r>
      <w:r w:rsidR="004E45D7" w:rsidRPr="00DC021E">
        <w:rPr>
          <w:rFonts w:eastAsia="Times New Roman"/>
          <w:szCs w:val="24"/>
          <w:lang w:eastAsia="en-GB"/>
        </w:rPr>
        <w:t xml:space="preserve"> </w:t>
      </w:r>
    </w:p>
    <w:p w:rsidR="004E45D7" w:rsidRPr="00DC021E" w:rsidRDefault="004E45D7"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 xml:space="preserve">Article </w:t>
      </w:r>
      <w:r w:rsidR="00785766" w:rsidRPr="00DC021E">
        <w:rPr>
          <w:rFonts w:eastAsia="Times New Roman"/>
          <w:i/>
          <w:szCs w:val="24"/>
          <w:lang w:eastAsia="en-GB"/>
        </w:rPr>
        <w:t>6</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 xml:space="preserve">Accounting for afforested land and deforested land </w:t>
      </w:r>
    </w:p>
    <w:p w:rsidR="004E45D7" w:rsidRPr="00DC021E" w:rsidRDefault="004E45D7" w:rsidP="004E45D7">
      <w:pPr>
        <w:spacing w:before="100" w:beforeAutospacing="1" w:after="100" w:afterAutospacing="1"/>
        <w:rPr>
          <w:rFonts w:eastAsia="Times New Roman"/>
          <w:szCs w:val="24"/>
          <w:lang w:eastAsia="en-GB"/>
        </w:rPr>
      </w:pPr>
      <w:r w:rsidRPr="00DC021E">
        <w:rPr>
          <w:rFonts w:eastAsia="Times New Roman"/>
          <w:szCs w:val="24"/>
          <w:lang w:eastAsia="en-GB"/>
        </w:rPr>
        <w:t xml:space="preserve">1.   Member States shall </w:t>
      </w:r>
      <w:r w:rsidR="00A843AD" w:rsidRPr="00DC021E">
        <w:rPr>
          <w:rFonts w:eastAsia="Times New Roman"/>
          <w:szCs w:val="24"/>
          <w:lang w:eastAsia="en-GB"/>
        </w:rPr>
        <w:t xml:space="preserve">account for </w:t>
      </w:r>
      <w:r w:rsidRPr="00DC021E">
        <w:rPr>
          <w:rFonts w:eastAsia="Times New Roman"/>
          <w:szCs w:val="24"/>
          <w:lang w:eastAsia="en-GB"/>
        </w:rPr>
        <w:t xml:space="preserve">emissions and removals resulting from afforested land and deforested land, as the total emissions and removals for each of the years in </w:t>
      </w:r>
      <w:r w:rsidR="00A843AD" w:rsidRPr="00DC021E">
        <w:rPr>
          <w:szCs w:val="24"/>
        </w:rPr>
        <w:t>the period</w:t>
      </w:r>
      <w:r w:rsidR="00BF73B7" w:rsidRPr="00DC021E">
        <w:rPr>
          <w:szCs w:val="24"/>
        </w:rPr>
        <w:t>s</w:t>
      </w:r>
      <w:r w:rsidR="00A843AD" w:rsidRPr="00DC021E">
        <w:rPr>
          <w:szCs w:val="24"/>
        </w:rPr>
        <w:t xml:space="preserve"> from 2021 to 2025 and from 2026 to 2030</w:t>
      </w:r>
      <w:r w:rsidRPr="00DC021E">
        <w:rPr>
          <w:rFonts w:eastAsia="Times New Roman"/>
          <w:szCs w:val="24"/>
          <w:lang w:eastAsia="en-GB"/>
        </w:rPr>
        <w:t xml:space="preserve">. </w:t>
      </w:r>
    </w:p>
    <w:p w:rsidR="004E45D7" w:rsidRPr="00DC021E" w:rsidRDefault="004E45D7" w:rsidP="004E45D7">
      <w:pPr>
        <w:spacing w:before="100" w:beforeAutospacing="1" w:after="100" w:afterAutospacing="1"/>
        <w:rPr>
          <w:rFonts w:eastAsia="Times New Roman"/>
          <w:szCs w:val="24"/>
          <w:lang w:eastAsia="en-GB"/>
        </w:rPr>
      </w:pPr>
      <w:r w:rsidRPr="00DC021E">
        <w:rPr>
          <w:rFonts w:eastAsia="Times New Roman"/>
          <w:szCs w:val="24"/>
          <w:lang w:eastAsia="en-GB"/>
        </w:rPr>
        <w:t xml:space="preserve">2. By derogation </w:t>
      </w:r>
      <w:r w:rsidR="00121DE6" w:rsidRPr="00DC021E">
        <w:rPr>
          <w:rFonts w:eastAsia="Times New Roman"/>
          <w:szCs w:val="24"/>
          <w:lang w:eastAsia="en-GB"/>
        </w:rPr>
        <w:t xml:space="preserve">from the requirement to apply </w:t>
      </w:r>
      <w:r w:rsidRPr="00DC021E">
        <w:rPr>
          <w:rFonts w:eastAsia="Times New Roman"/>
          <w:szCs w:val="24"/>
          <w:lang w:eastAsia="en-GB"/>
        </w:rPr>
        <w:t xml:space="preserve">the default value </w:t>
      </w:r>
      <w:r w:rsidR="00BF73B7" w:rsidRPr="00DC021E">
        <w:rPr>
          <w:rFonts w:eastAsia="Times New Roman"/>
          <w:szCs w:val="24"/>
          <w:lang w:eastAsia="en-GB"/>
        </w:rPr>
        <w:t xml:space="preserve">established </w:t>
      </w:r>
      <w:r w:rsidRPr="00DC021E">
        <w:rPr>
          <w:rFonts w:eastAsia="Times New Roman"/>
          <w:szCs w:val="24"/>
          <w:lang w:eastAsia="en-GB"/>
        </w:rPr>
        <w:t xml:space="preserve">in Article </w:t>
      </w:r>
      <w:r w:rsidR="00462B50" w:rsidRPr="00DC021E">
        <w:rPr>
          <w:rFonts w:eastAsia="Times New Roman"/>
          <w:szCs w:val="24"/>
          <w:lang w:eastAsia="en-GB"/>
        </w:rPr>
        <w:t>5</w:t>
      </w:r>
      <w:r w:rsidRPr="00DC021E">
        <w:rPr>
          <w:rFonts w:eastAsia="Times New Roman"/>
          <w:szCs w:val="24"/>
          <w:lang w:eastAsia="en-GB"/>
        </w:rPr>
        <w:t>(</w:t>
      </w:r>
      <w:r w:rsidR="00036766" w:rsidRPr="00DC021E">
        <w:rPr>
          <w:rFonts w:eastAsia="Times New Roman"/>
          <w:szCs w:val="24"/>
          <w:lang w:eastAsia="en-GB"/>
        </w:rPr>
        <w:t>3</w:t>
      </w:r>
      <w:r w:rsidRPr="00DC021E">
        <w:rPr>
          <w:rFonts w:eastAsia="Times New Roman"/>
          <w:szCs w:val="24"/>
          <w:lang w:eastAsia="en-GB"/>
        </w:rPr>
        <w:t xml:space="preserve">), </w:t>
      </w:r>
      <w:r w:rsidR="00462B50" w:rsidRPr="00DC021E">
        <w:rPr>
          <w:rFonts w:eastAsia="Times New Roman"/>
          <w:szCs w:val="24"/>
          <w:lang w:eastAsia="en-GB"/>
        </w:rPr>
        <w:t xml:space="preserve">a </w:t>
      </w:r>
      <w:r w:rsidRPr="00DC021E">
        <w:rPr>
          <w:rFonts w:eastAsia="Times New Roman"/>
          <w:szCs w:val="24"/>
          <w:lang w:eastAsia="en-GB"/>
        </w:rPr>
        <w:t xml:space="preserve">Member State may </w:t>
      </w:r>
      <w:r w:rsidR="00036766" w:rsidRPr="00DC021E">
        <w:rPr>
          <w:rFonts w:eastAsia="Times New Roman"/>
          <w:szCs w:val="24"/>
          <w:lang w:eastAsia="en-GB"/>
        </w:rPr>
        <w:t>transition</w:t>
      </w:r>
      <w:r w:rsidR="00462B50" w:rsidRPr="00DC021E">
        <w:rPr>
          <w:rFonts w:eastAsia="Times New Roman"/>
          <w:szCs w:val="24"/>
          <w:lang w:eastAsia="en-GB"/>
        </w:rPr>
        <w:t xml:space="preserve"> cropland, grassland, wetland, settlements and other land from the category of such land converted </w:t>
      </w:r>
      <w:r w:rsidR="00BF73B7" w:rsidRPr="00DC021E">
        <w:rPr>
          <w:rFonts w:eastAsia="Times New Roman"/>
          <w:szCs w:val="24"/>
          <w:lang w:eastAsia="en-GB"/>
        </w:rPr>
        <w:t xml:space="preserve">to </w:t>
      </w:r>
      <w:r w:rsidR="00462B50" w:rsidRPr="00DC021E">
        <w:rPr>
          <w:rFonts w:eastAsia="Times New Roman"/>
          <w:szCs w:val="24"/>
          <w:lang w:eastAsia="en-GB"/>
        </w:rPr>
        <w:t xml:space="preserve">forest land to the category of forest land remaining forest land after 30 </w:t>
      </w:r>
      <w:r w:rsidR="00462B50" w:rsidRPr="00DC021E">
        <w:t xml:space="preserve">years from the date of conversion. </w:t>
      </w:r>
    </w:p>
    <w:p w:rsidR="004E45D7" w:rsidRPr="00DC021E" w:rsidRDefault="004E45D7" w:rsidP="004E45D7">
      <w:pPr>
        <w:spacing w:before="100" w:beforeAutospacing="1" w:after="100" w:afterAutospacing="1"/>
        <w:rPr>
          <w:rFonts w:eastAsia="Times New Roman"/>
          <w:szCs w:val="24"/>
          <w:lang w:eastAsia="en-GB"/>
        </w:rPr>
      </w:pPr>
      <w:r w:rsidRPr="00DC021E">
        <w:rPr>
          <w:rFonts w:eastAsia="Times New Roman"/>
          <w:szCs w:val="24"/>
          <w:lang w:eastAsia="en-GB"/>
        </w:rPr>
        <w:t>3.   </w:t>
      </w:r>
      <w:r w:rsidR="00960DAA" w:rsidRPr="00DC021E">
        <w:rPr>
          <w:rFonts w:eastAsia="Times New Roman"/>
          <w:szCs w:val="24"/>
          <w:lang w:eastAsia="en-GB"/>
        </w:rPr>
        <w:t>In calculations for emissions and removals on afforested land and deforested land, e</w:t>
      </w:r>
      <w:r w:rsidRPr="00DC021E">
        <w:rPr>
          <w:rFonts w:eastAsia="Times New Roman"/>
          <w:szCs w:val="24"/>
          <w:lang w:eastAsia="en-GB"/>
        </w:rPr>
        <w:t xml:space="preserve">ach Member State shall determine the forest area using the same spatial assessment </w:t>
      </w:r>
      <w:r w:rsidR="004B0DA6" w:rsidRPr="00DC021E">
        <w:rPr>
          <w:rFonts w:eastAsia="Times New Roman"/>
          <w:szCs w:val="24"/>
          <w:lang w:eastAsia="en-GB"/>
        </w:rPr>
        <w:t>unit specified</w:t>
      </w:r>
      <w:r w:rsidRPr="00DC021E">
        <w:rPr>
          <w:rFonts w:eastAsia="Times New Roman"/>
          <w:szCs w:val="24"/>
          <w:lang w:eastAsia="en-GB"/>
        </w:rPr>
        <w:t xml:space="preserve"> in </w:t>
      </w:r>
      <w:r w:rsidR="00BD0CC7" w:rsidRPr="00DC021E">
        <w:rPr>
          <w:rFonts w:eastAsia="Times New Roman"/>
          <w:szCs w:val="24"/>
          <w:lang w:eastAsia="en-GB"/>
        </w:rPr>
        <w:t>Annex II</w:t>
      </w:r>
      <w:r w:rsidR="00926413" w:rsidRPr="00DC021E">
        <w:rPr>
          <w:rFonts w:eastAsia="Times New Roman"/>
          <w:szCs w:val="24"/>
          <w:lang w:eastAsia="en-GB"/>
        </w:rPr>
        <w:t>.</w:t>
      </w:r>
    </w:p>
    <w:p w:rsidR="004E45D7" w:rsidRPr="00DC021E" w:rsidRDefault="004E45D7"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 xml:space="preserve">Article </w:t>
      </w:r>
      <w:r w:rsidR="00785766" w:rsidRPr="00DC021E">
        <w:rPr>
          <w:rFonts w:eastAsia="Times New Roman"/>
          <w:i/>
          <w:szCs w:val="24"/>
          <w:lang w:eastAsia="en-GB"/>
        </w:rPr>
        <w:t>7</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 xml:space="preserve">Accounting for </w:t>
      </w:r>
      <w:r w:rsidR="00284E57" w:rsidRPr="00DC021E">
        <w:rPr>
          <w:rFonts w:eastAsia="Times New Roman"/>
          <w:b/>
          <w:szCs w:val="24"/>
          <w:lang w:eastAsia="en-GB"/>
        </w:rPr>
        <w:t xml:space="preserve">managed </w:t>
      </w:r>
      <w:r w:rsidRPr="00DC021E">
        <w:rPr>
          <w:rFonts w:eastAsia="Times New Roman"/>
          <w:b/>
          <w:szCs w:val="24"/>
          <w:lang w:eastAsia="en-GB"/>
        </w:rPr>
        <w:t xml:space="preserve">cropland, </w:t>
      </w:r>
      <w:r w:rsidR="00284E57" w:rsidRPr="00DC021E">
        <w:rPr>
          <w:rFonts w:eastAsia="Times New Roman"/>
          <w:b/>
          <w:szCs w:val="24"/>
          <w:lang w:eastAsia="en-GB"/>
        </w:rPr>
        <w:t xml:space="preserve">managed </w:t>
      </w:r>
      <w:r w:rsidRPr="00DC021E">
        <w:rPr>
          <w:rFonts w:eastAsia="Times New Roman"/>
          <w:b/>
          <w:szCs w:val="24"/>
          <w:lang w:eastAsia="en-GB"/>
        </w:rPr>
        <w:t xml:space="preserve">grassland and </w:t>
      </w:r>
      <w:r w:rsidR="00284E57" w:rsidRPr="00DC021E">
        <w:rPr>
          <w:rFonts w:eastAsia="Times New Roman"/>
          <w:b/>
          <w:szCs w:val="24"/>
          <w:lang w:eastAsia="en-GB"/>
        </w:rPr>
        <w:t xml:space="preserve">managed </w:t>
      </w:r>
      <w:r w:rsidRPr="00DC021E">
        <w:rPr>
          <w:rFonts w:eastAsia="Times New Roman"/>
          <w:b/>
          <w:szCs w:val="24"/>
          <w:lang w:eastAsia="en-GB"/>
        </w:rPr>
        <w:t xml:space="preserve">wetland </w:t>
      </w:r>
    </w:p>
    <w:p w:rsidR="004E45D7" w:rsidRPr="00DC021E" w:rsidRDefault="004E45D7" w:rsidP="004E45D7">
      <w:pPr>
        <w:spacing w:before="100" w:beforeAutospacing="1" w:after="100" w:afterAutospacing="1"/>
        <w:rPr>
          <w:rFonts w:eastAsia="Times New Roman"/>
          <w:szCs w:val="24"/>
          <w:lang w:eastAsia="en-GB"/>
        </w:rPr>
      </w:pPr>
      <w:r w:rsidRPr="00DC021E">
        <w:rPr>
          <w:rFonts w:eastAsia="Times New Roman"/>
          <w:szCs w:val="24"/>
          <w:lang w:eastAsia="en-GB"/>
        </w:rPr>
        <w:t xml:space="preserve">1. Member States shall account for emissions and removals resulting from </w:t>
      </w:r>
      <w:r w:rsidR="00284E57" w:rsidRPr="00DC021E">
        <w:rPr>
          <w:rFonts w:eastAsia="Times New Roman"/>
          <w:szCs w:val="24"/>
          <w:lang w:eastAsia="en-GB"/>
        </w:rPr>
        <w:t xml:space="preserve">managed </w:t>
      </w:r>
      <w:r w:rsidR="006C002F" w:rsidRPr="00DC021E">
        <w:rPr>
          <w:rFonts w:eastAsia="Times New Roman"/>
          <w:szCs w:val="24"/>
          <w:lang w:eastAsia="en-GB"/>
        </w:rPr>
        <w:t>cropland calculated</w:t>
      </w:r>
      <w:r w:rsidRPr="00DC021E">
        <w:rPr>
          <w:rFonts w:eastAsia="Times New Roman"/>
          <w:szCs w:val="24"/>
          <w:lang w:eastAsia="en-GB"/>
        </w:rPr>
        <w:t xml:space="preserve"> as emissions and removals </w:t>
      </w:r>
      <w:r w:rsidR="004A6272" w:rsidRPr="00DC021E">
        <w:rPr>
          <w:rFonts w:eastAsia="Times New Roman"/>
          <w:szCs w:val="24"/>
          <w:lang w:eastAsia="en-GB"/>
        </w:rPr>
        <w:t>in the period</w:t>
      </w:r>
      <w:r w:rsidR="00BF73B7" w:rsidRPr="00DC021E">
        <w:rPr>
          <w:rFonts w:eastAsia="Times New Roman"/>
          <w:szCs w:val="24"/>
          <w:lang w:eastAsia="en-GB"/>
        </w:rPr>
        <w:t>s</w:t>
      </w:r>
      <w:r w:rsidR="004A6272" w:rsidRPr="00DC021E">
        <w:rPr>
          <w:rFonts w:eastAsia="Times New Roman"/>
          <w:szCs w:val="24"/>
          <w:lang w:eastAsia="en-GB"/>
        </w:rPr>
        <w:t xml:space="preserve"> from 2021 to 2025 and from 2026 to 2030</w:t>
      </w:r>
      <w:r w:rsidRPr="00DC021E">
        <w:rPr>
          <w:rFonts w:eastAsia="Times New Roman"/>
          <w:szCs w:val="24"/>
          <w:lang w:eastAsia="en-GB"/>
        </w:rPr>
        <w:t xml:space="preserve"> minus the value obtained by multiplying by five the Member State’s average annual emissions and removals resulting from </w:t>
      </w:r>
      <w:r w:rsidR="00CB76D9" w:rsidRPr="00DC021E">
        <w:rPr>
          <w:rFonts w:eastAsia="Times New Roman"/>
          <w:szCs w:val="24"/>
          <w:lang w:eastAsia="en-GB"/>
        </w:rPr>
        <w:t xml:space="preserve">managed </w:t>
      </w:r>
      <w:r w:rsidRPr="00DC021E">
        <w:rPr>
          <w:rFonts w:eastAsia="Times New Roman"/>
          <w:szCs w:val="24"/>
          <w:lang w:eastAsia="en-GB"/>
        </w:rPr>
        <w:t xml:space="preserve">cropland in its base period 2005-2007. </w:t>
      </w:r>
    </w:p>
    <w:p w:rsidR="00E04AB5" w:rsidRPr="00DC021E" w:rsidRDefault="00664A36" w:rsidP="004E45D7">
      <w:pPr>
        <w:spacing w:before="100" w:beforeAutospacing="1" w:after="100" w:afterAutospacing="1"/>
        <w:rPr>
          <w:rFonts w:eastAsia="Times New Roman"/>
          <w:szCs w:val="24"/>
          <w:lang w:eastAsia="en-GB"/>
        </w:rPr>
      </w:pPr>
      <w:r w:rsidRPr="00DC021E">
        <w:rPr>
          <w:rFonts w:eastAsia="Times New Roman"/>
          <w:szCs w:val="24"/>
          <w:lang w:eastAsia="en-GB"/>
        </w:rPr>
        <w:t xml:space="preserve">2. Member States shall account for emissions and removals resulting from </w:t>
      </w:r>
      <w:r w:rsidR="001942E7" w:rsidRPr="00DC021E">
        <w:rPr>
          <w:rFonts w:eastAsia="Times New Roman"/>
          <w:szCs w:val="24"/>
          <w:lang w:eastAsia="en-GB"/>
        </w:rPr>
        <w:t xml:space="preserve">managed </w:t>
      </w:r>
      <w:r w:rsidRPr="00DC021E">
        <w:rPr>
          <w:rFonts w:eastAsia="Times New Roman"/>
          <w:szCs w:val="24"/>
          <w:lang w:eastAsia="en-GB"/>
        </w:rPr>
        <w:t>grassland calculated as emissions and removals in the period</w:t>
      </w:r>
      <w:r w:rsidR="007815A4" w:rsidRPr="00DC021E">
        <w:rPr>
          <w:rFonts w:eastAsia="Times New Roman"/>
          <w:szCs w:val="24"/>
          <w:lang w:eastAsia="en-GB"/>
        </w:rPr>
        <w:t>s</w:t>
      </w:r>
      <w:r w:rsidRPr="00DC021E">
        <w:rPr>
          <w:rFonts w:eastAsia="Times New Roman"/>
          <w:szCs w:val="24"/>
          <w:lang w:eastAsia="en-GB"/>
        </w:rPr>
        <w:t xml:space="preserve"> from 2021 to 2025 and from 2026 to 2030 minus the value obtained by multiplying by five the Member State’s average annual emissions and removals resulting from </w:t>
      </w:r>
      <w:r w:rsidR="00CB76D9" w:rsidRPr="00DC021E">
        <w:rPr>
          <w:rFonts w:eastAsia="Times New Roman"/>
          <w:szCs w:val="24"/>
          <w:lang w:eastAsia="en-GB"/>
        </w:rPr>
        <w:t xml:space="preserve">managed </w:t>
      </w:r>
      <w:r w:rsidRPr="00DC021E">
        <w:rPr>
          <w:rFonts w:eastAsia="Times New Roman"/>
          <w:szCs w:val="24"/>
          <w:lang w:eastAsia="en-GB"/>
        </w:rPr>
        <w:t>grassland in its base period 2005-2007.</w:t>
      </w:r>
    </w:p>
    <w:p w:rsidR="0049614C" w:rsidRPr="00DC021E" w:rsidRDefault="00664A36" w:rsidP="004E45D7">
      <w:pPr>
        <w:spacing w:before="100" w:beforeAutospacing="1" w:after="100" w:afterAutospacing="1"/>
        <w:rPr>
          <w:rFonts w:eastAsia="Times New Roman"/>
          <w:szCs w:val="24"/>
          <w:lang w:eastAsia="en-GB"/>
        </w:rPr>
      </w:pPr>
      <w:r w:rsidRPr="00DC021E">
        <w:rPr>
          <w:rFonts w:eastAsia="Times New Roman"/>
          <w:szCs w:val="24"/>
          <w:lang w:eastAsia="en-GB"/>
        </w:rPr>
        <w:t>3</w:t>
      </w:r>
      <w:r w:rsidR="004E45D7" w:rsidRPr="00DC021E">
        <w:rPr>
          <w:rFonts w:eastAsia="Times New Roman"/>
          <w:szCs w:val="24"/>
          <w:lang w:eastAsia="en-GB"/>
        </w:rPr>
        <w:t xml:space="preserve">. </w:t>
      </w:r>
      <w:r w:rsidR="002C0CCA" w:rsidRPr="00DC021E">
        <w:rPr>
          <w:rFonts w:eastAsia="Times New Roman"/>
          <w:szCs w:val="24"/>
          <w:lang w:eastAsia="en-GB"/>
        </w:rPr>
        <w:t xml:space="preserve">Where a Member State chooses to include managed wetland in the scope of its commitment in accordance with Article 2, it shall notify that choice </w:t>
      </w:r>
      <w:r w:rsidR="004B0DA6" w:rsidRPr="00DC021E">
        <w:rPr>
          <w:rFonts w:eastAsia="Times New Roman"/>
          <w:szCs w:val="24"/>
          <w:lang w:eastAsia="en-GB"/>
        </w:rPr>
        <w:t>to the</w:t>
      </w:r>
      <w:r w:rsidR="0049614C" w:rsidRPr="00DC021E">
        <w:rPr>
          <w:rFonts w:eastAsia="Times New Roman"/>
          <w:szCs w:val="24"/>
          <w:lang w:eastAsia="en-GB"/>
        </w:rPr>
        <w:t xml:space="preserve"> Commission by 31 December 2020 for the period 2021-2025 and by 31 December 2025 for the period 2026-2030. </w:t>
      </w:r>
    </w:p>
    <w:p w:rsidR="004E45D7" w:rsidRPr="00DC021E" w:rsidRDefault="00B56D6F" w:rsidP="004E45D7">
      <w:pPr>
        <w:spacing w:before="100" w:beforeAutospacing="1" w:after="100" w:afterAutospacing="1"/>
        <w:rPr>
          <w:rFonts w:eastAsia="Times New Roman"/>
          <w:szCs w:val="24"/>
          <w:lang w:eastAsia="en-GB"/>
        </w:rPr>
      </w:pPr>
      <w:r w:rsidRPr="00DC021E">
        <w:rPr>
          <w:rFonts w:eastAsia="Times New Roman"/>
          <w:szCs w:val="24"/>
          <w:lang w:eastAsia="en-GB"/>
        </w:rPr>
        <w:t>4.</w:t>
      </w:r>
      <w:r w:rsidR="00F758B7" w:rsidRPr="00DC021E">
        <w:rPr>
          <w:rFonts w:eastAsia="Times New Roman"/>
          <w:szCs w:val="24"/>
          <w:lang w:eastAsia="en-GB"/>
        </w:rPr>
        <w:t xml:space="preserve"> Member States that have chosen to include managed wetland in the scope of their commitments in accordance with Article 2 shall </w:t>
      </w:r>
      <w:r w:rsidR="004E45D7" w:rsidRPr="00DC021E">
        <w:rPr>
          <w:rFonts w:eastAsia="Times New Roman"/>
          <w:szCs w:val="24"/>
          <w:lang w:eastAsia="en-GB"/>
        </w:rPr>
        <w:t xml:space="preserve">account for emissions and removals resulting from </w:t>
      </w:r>
      <w:r w:rsidR="001942E7" w:rsidRPr="00DC021E">
        <w:rPr>
          <w:rFonts w:eastAsia="Times New Roman"/>
          <w:szCs w:val="24"/>
          <w:lang w:eastAsia="en-GB"/>
        </w:rPr>
        <w:t xml:space="preserve">managed </w:t>
      </w:r>
      <w:r w:rsidR="004E45D7" w:rsidRPr="00DC021E">
        <w:rPr>
          <w:rFonts w:eastAsia="Times New Roman"/>
          <w:szCs w:val="24"/>
          <w:lang w:eastAsia="en-GB"/>
        </w:rPr>
        <w:t xml:space="preserve">wetland, calculated as emissions and removals </w:t>
      </w:r>
      <w:r w:rsidR="004A6272" w:rsidRPr="00DC021E">
        <w:rPr>
          <w:rFonts w:eastAsia="Times New Roman"/>
          <w:szCs w:val="24"/>
          <w:lang w:eastAsia="en-GB"/>
        </w:rPr>
        <w:t>in the period</w:t>
      </w:r>
      <w:r w:rsidR="00BF73B7" w:rsidRPr="00DC021E">
        <w:rPr>
          <w:rFonts w:eastAsia="Times New Roman"/>
          <w:szCs w:val="24"/>
          <w:lang w:eastAsia="en-GB"/>
        </w:rPr>
        <w:t>s</w:t>
      </w:r>
      <w:r w:rsidR="004A6272" w:rsidRPr="00DC021E">
        <w:rPr>
          <w:rFonts w:eastAsia="Times New Roman"/>
          <w:szCs w:val="24"/>
          <w:lang w:eastAsia="en-GB"/>
        </w:rPr>
        <w:t xml:space="preserve"> from 2021 to 2025 and</w:t>
      </w:r>
      <w:r w:rsidR="00F758B7" w:rsidRPr="00DC021E">
        <w:rPr>
          <w:rFonts w:eastAsia="Times New Roman"/>
          <w:szCs w:val="24"/>
          <w:lang w:eastAsia="en-GB"/>
        </w:rPr>
        <w:t>/or</w:t>
      </w:r>
      <w:r w:rsidR="004A6272" w:rsidRPr="00DC021E">
        <w:rPr>
          <w:rFonts w:eastAsia="Times New Roman"/>
          <w:szCs w:val="24"/>
          <w:lang w:eastAsia="en-GB"/>
        </w:rPr>
        <w:t xml:space="preserve"> from 2026 to 2030</w:t>
      </w:r>
      <w:r w:rsidR="004E45D7" w:rsidRPr="00DC021E">
        <w:rPr>
          <w:rFonts w:eastAsia="Times New Roman"/>
          <w:szCs w:val="24"/>
          <w:lang w:eastAsia="en-GB"/>
        </w:rPr>
        <w:t xml:space="preserve"> minus the value obtained by multiplying by five the Member State’s average annual emissions and removals resulting from </w:t>
      </w:r>
      <w:r w:rsidR="00CB76D9" w:rsidRPr="00DC021E">
        <w:rPr>
          <w:rFonts w:eastAsia="Times New Roman"/>
          <w:szCs w:val="24"/>
          <w:lang w:eastAsia="en-GB"/>
        </w:rPr>
        <w:t xml:space="preserve">managed </w:t>
      </w:r>
      <w:r w:rsidR="004E45D7" w:rsidRPr="00DC021E">
        <w:rPr>
          <w:rFonts w:eastAsia="Times New Roman"/>
          <w:szCs w:val="24"/>
          <w:lang w:eastAsia="en-GB"/>
        </w:rPr>
        <w:t>wetland in its base period 2005-2007.</w:t>
      </w:r>
    </w:p>
    <w:p w:rsidR="004E45D7" w:rsidRPr="00DC021E" w:rsidRDefault="004E45D7"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 xml:space="preserve">Article </w:t>
      </w:r>
      <w:r w:rsidR="00785766" w:rsidRPr="00DC021E">
        <w:rPr>
          <w:rFonts w:eastAsia="Times New Roman"/>
          <w:i/>
          <w:szCs w:val="24"/>
          <w:lang w:eastAsia="en-GB"/>
        </w:rPr>
        <w:t>8</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 xml:space="preserve">Accounting for </w:t>
      </w:r>
      <w:r w:rsidR="001942E7" w:rsidRPr="00DC021E">
        <w:rPr>
          <w:rFonts w:eastAsia="Times New Roman"/>
          <w:b/>
          <w:szCs w:val="24"/>
          <w:lang w:eastAsia="en-GB"/>
        </w:rPr>
        <w:t>managed forest land</w:t>
      </w:r>
    </w:p>
    <w:p w:rsidR="004E45D7" w:rsidRPr="00DC021E" w:rsidRDefault="004E45D7" w:rsidP="004E45D7">
      <w:pPr>
        <w:spacing w:before="100" w:beforeAutospacing="1" w:after="100" w:afterAutospacing="1"/>
        <w:rPr>
          <w:rFonts w:eastAsia="Times New Roman"/>
          <w:szCs w:val="24"/>
          <w:lang w:eastAsia="en-GB"/>
        </w:rPr>
      </w:pPr>
      <w:r w:rsidRPr="00DC021E">
        <w:rPr>
          <w:rFonts w:eastAsia="Times New Roman"/>
          <w:szCs w:val="24"/>
          <w:lang w:eastAsia="en-GB"/>
        </w:rPr>
        <w:t xml:space="preserve">1.   Member States shall account for emissions and removals resulting from </w:t>
      </w:r>
      <w:r w:rsidR="001942E7" w:rsidRPr="00DC021E">
        <w:rPr>
          <w:rFonts w:eastAsia="Times New Roman"/>
          <w:szCs w:val="24"/>
          <w:lang w:eastAsia="en-GB"/>
        </w:rPr>
        <w:t>managed forest land</w:t>
      </w:r>
      <w:r w:rsidRPr="00DC021E">
        <w:rPr>
          <w:rFonts w:eastAsia="Times New Roman"/>
          <w:szCs w:val="24"/>
          <w:lang w:eastAsia="en-GB"/>
        </w:rPr>
        <w:t xml:space="preserve">, calculated as emissions and removals </w:t>
      </w:r>
      <w:r w:rsidR="004A6272" w:rsidRPr="00DC021E">
        <w:rPr>
          <w:rFonts w:eastAsia="Times New Roman"/>
          <w:szCs w:val="24"/>
          <w:lang w:eastAsia="en-GB"/>
        </w:rPr>
        <w:t>in the period</w:t>
      </w:r>
      <w:r w:rsidR="00BF73B7" w:rsidRPr="00DC021E">
        <w:rPr>
          <w:rFonts w:eastAsia="Times New Roman"/>
          <w:szCs w:val="24"/>
          <w:lang w:eastAsia="en-GB"/>
        </w:rPr>
        <w:t>s</w:t>
      </w:r>
      <w:r w:rsidR="004A6272" w:rsidRPr="00DC021E">
        <w:rPr>
          <w:rFonts w:eastAsia="Times New Roman"/>
          <w:szCs w:val="24"/>
          <w:lang w:eastAsia="en-GB"/>
        </w:rPr>
        <w:t xml:space="preserve"> from 2021 to 2025 and from 2026 to 2030</w:t>
      </w:r>
      <w:r w:rsidRPr="00DC021E">
        <w:rPr>
          <w:rFonts w:eastAsia="Times New Roman"/>
          <w:szCs w:val="24"/>
          <w:lang w:eastAsia="en-GB"/>
        </w:rPr>
        <w:t xml:space="preserve"> minus the value obtained by multiplying by five </w:t>
      </w:r>
      <w:r w:rsidR="004A6272" w:rsidRPr="00DC021E">
        <w:rPr>
          <w:rFonts w:eastAsia="Times New Roman"/>
          <w:szCs w:val="24"/>
          <w:lang w:eastAsia="en-GB"/>
        </w:rPr>
        <w:t xml:space="preserve">its </w:t>
      </w:r>
      <w:r w:rsidR="008907D6" w:rsidRPr="00DC021E">
        <w:rPr>
          <w:rFonts w:eastAsia="Times New Roman"/>
          <w:szCs w:val="24"/>
          <w:lang w:eastAsia="en-GB"/>
        </w:rPr>
        <w:t xml:space="preserve">forest reference level. A forest </w:t>
      </w:r>
      <w:r w:rsidR="002A4617" w:rsidRPr="00DC021E">
        <w:rPr>
          <w:rFonts w:eastAsia="Times New Roman"/>
          <w:szCs w:val="24"/>
          <w:lang w:eastAsia="en-GB"/>
        </w:rPr>
        <w:t xml:space="preserve">reference </w:t>
      </w:r>
      <w:r w:rsidR="008907D6" w:rsidRPr="00DC021E">
        <w:rPr>
          <w:rFonts w:eastAsia="Times New Roman"/>
          <w:szCs w:val="24"/>
          <w:lang w:eastAsia="en-GB"/>
        </w:rPr>
        <w:t xml:space="preserve">level is an </w:t>
      </w:r>
      <w:r w:rsidR="004A6272" w:rsidRPr="00DC021E">
        <w:rPr>
          <w:rFonts w:eastAsia="Times New Roman"/>
          <w:szCs w:val="24"/>
          <w:lang w:eastAsia="en-GB"/>
        </w:rPr>
        <w:t xml:space="preserve">estimate of the average annual net emissions or removals </w:t>
      </w:r>
      <w:r w:rsidR="004D1F4C" w:rsidRPr="00DC021E">
        <w:rPr>
          <w:rFonts w:eastAsia="Times New Roman"/>
          <w:szCs w:val="24"/>
          <w:lang w:eastAsia="en-GB"/>
        </w:rPr>
        <w:t xml:space="preserve">resulting from </w:t>
      </w:r>
      <w:r w:rsidR="001942E7" w:rsidRPr="00DC021E">
        <w:rPr>
          <w:rFonts w:eastAsia="Times New Roman"/>
          <w:szCs w:val="24"/>
          <w:lang w:eastAsia="en-GB"/>
        </w:rPr>
        <w:t>managed forest land</w:t>
      </w:r>
      <w:r w:rsidR="004A6272" w:rsidRPr="00DC021E">
        <w:rPr>
          <w:rFonts w:eastAsia="Times New Roman"/>
          <w:szCs w:val="24"/>
          <w:lang w:eastAsia="en-GB"/>
        </w:rPr>
        <w:t xml:space="preserve"> within the territory of the Member State in the period</w:t>
      </w:r>
      <w:r w:rsidR="00BF73B7" w:rsidRPr="00DC021E">
        <w:rPr>
          <w:rFonts w:eastAsia="Times New Roman"/>
          <w:szCs w:val="24"/>
          <w:lang w:eastAsia="en-GB"/>
        </w:rPr>
        <w:t>s</w:t>
      </w:r>
      <w:r w:rsidR="004A6272" w:rsidRPr="00DC021E">
        <w:rPr>
          <w:rFonts w:eastAsia="Times New Roman"/>
          <w:szCs w:val="24"/>
          <w:lang w:eastAsia="en-GB"/>
        </w:rPr>
        <w:t xml:space="preserve"> from 2021 to 2025 and from 2026 to 2030</w:t>
      </w:r>
      <w:r w:rsidRPr="00DC021E">
        <w:rPr>
          <w:rFonts w:eastAsia="Times New Roman"/>
          <w:szCs w:val="24"/>
          <w:lang w:eastAsia="en-GB"/>
        </w:rPr>
        <w:t xml:space="preserve">. </w:t>
      </w:r>
    </w:p>
    <w:p w:rsidR="004E45D7" w:rsidRPr="00DC021E" w:rsidRDefault="004E45D7" w:rsidP="004E45D7">
      <w:pPr>
        <w:spacing w:before="100" w:beforeAutospacing="1" w:after="100" w:afterAutospacing="1"/>
        <w:rPr>
          <w:rFonts w:eastAsia="Times New Roman"/>
          <w:szCs w:val="24"/>
          <w:lang w:eastAsia="en-GB"/>
        </w:rPr>
      </w:pPr>
      <w:r w:rsidRPr="00DC021E">
        <w:rPr>
          <w:rFonts w:eastAsia="Times New Roman"/>
          <w:szCs w:val="24"/>
          <w:lang w:eastAsia="en-GB"/>
        </w:rPr>
        <w:t xml:space="preserve">2.   Where the result of the calculation referred to in paragraph 1 is negative in relation to its forest reference level, a Member State shall include in its </w:t>
      </w:r>
      <w:r w:rsidR="001942E7" w:rsidRPr="00DC021E">
        <w:rPr>
          <w:rFonts w:eastAsia="Times New Roman"/>
          <w:szCs w:val="24"/>
          <w:lang w:eastAsia="en-GB"/>
        </w:rPr>
        <w:t>managed forest land</w:t>
      </w:r>
      <w:r w:rsidRPr="00DC021E">
        <w:rPr>
          <w:rFonts w:eastAsia="Times New Roman"/>
          <w:szCs w:val="24"/>
          <w:lang w:eastAsia="en-GB"/>
        </w:rPr>
        <w:t xml:space="preserve"> accounts total net removals of no more than the equivalent of 3,5 per cent of the Member State’s emissions in its base year or period as specified in </w:t>
      </w:r>
      <w:r w:rsidR="00BD0CC7" w:rsidRPr="00DC021E">
        <w:rPr>
          <w:rFonts w:eastAsia="Times New Roman"/>
          <w:szCs w:val="24"/>
          <w:lang w:eastAsia="en-GB"/>
        </w:rPr>
        <w:t>Annex III</w:t>
      </w:r>
      <w:r w:rsidRPr="00DC021E">
        <w:rPr>
          <w:rFonts w:eastAsia="Times New Roman"/>
          <w:szCs w:val="24"/>
          <w:lang w:eastAsia="en-GB"/>
        </w:rPr>
        <w:t xml:space="preserve">, multiplied by five. </w:t>
      </w:r>
    </w:p>
    <w:p w:rsidR="001F0F22" w:rsidRPr="00DC021E" w:rsidRDefault="004E45D7" w:rsidP="001F0F22">
      <w:pPr>
        <w:spacing w:before="100" w:beforeAutospacing="1" w:after="100" w:afterAutospacing="1"/>
        <w:rPr>
          <w:rFonts w:eastAsia="Times New Roman"/>
          <w:szCs w:val="24"/>
          <w:lang w:eastAsia="en-GB"/>
        </w:rPr>
      </w:pPr>
      <w:r w:rsidRPr="00DC021E">
        <w:rPr>
          <w:rFonts w:eastAsia="Times New Roman"/>
          <w:szCs w:val="24"/>
          <w:lang w:eastAsia="en-GB"/>
        </w:rPr>
        <w:t>3.   </w:t>
      </w:r>
      <w:r w:rsidR="002A342F" w:rsidRPr="00DC021E">
        <w:rPr>
          <w:rFonts w:eastAsia="Times New Roman"/>
          <w:szCs w:val="24"/>
          <w:lang w:eastAsia="en-GB"/>
        </w:rPr>
        <w:t xml:space="preserve">Member States shall determine the new forest reference level based on the criteria set out in Annex IV, section A. They </w:t>
      </w:r>
      <w:r w:rsidR="004B0DA6" w:rsidRPr="00DC021E">
        <w:rPr>
          <w:rFonts w:eastAsia="Times New Roman"/>
          <w:szCs w:val="24"/>
          <w:lang w:eastAsia="en-GB"/>
        </w:rPr>
        <w:t>shall submit</w:t>
      </w:r>
      <w:r w:rsidR="001F0F22" w:rsidRPr="00DC021E">
        <w:rPr>
          <w:rFonts w:eastAsia="Times New Roman"/>
          <w:szCs w:val="24"/>
          <w:lang w:eastAsia="en-GB"/>
        </w:rPr>
        <w:t xml:space="preserve"> to the Commission a </w:t>
      </w:r>
      <w:r w:rsidR="00A27BD3" w:rsidRPr="00DC021E">
        <w:t>national forestry accounting plan</w:t>
      </w:r>
      <w:r w:rsidR="00A27BD3" w:rsidRPr="00DC021E">
        <w:rPr>
          <w:rFonts w:eastAsia="Times New Roman"/>
          <w:szCs w:val="24"/>
          <w:lang w:eastAsia="en-GB"/>
        </w:rPr>
        <w:t xml:space="preserve"> </w:t>
      </w:r>
      <w:r w:rsidR="001F0F22" w:rsidRPr="00DC021E">
        <w:rPr>
          <w:rFonts w:eastAsia="Times New Roman"/>
          <w:szCs w:val="24"/>
          <w:lang w:eastAsia="en-GB"/>
        </w:rPr>
        <w:t xml:space="preserve">including a new </w:t>
      </w:r>
      <w:r w:rsidR="002A4617" w:rsidRPr="00DC021E">
        <w:rPr>
          <w:rFonts w:eastAsia="Times New Roman"/>
          <w:szCs w:val="24"/>
          <w:lang w:eastAsia="en-GB"/>
        </w:rPr>
        <w:t xml:space="preserve">forest </w:t>
      </w:r>
      <w:r w:rsidR="001F0F22" w:rsidRPr="00DC021E">
        <w:rPr>
          <w:rFonts w:eastAsia="Times New Roman"/>
          <w:szCs w:val="24"/>
          <w:lang w:eastAsia="en-GB"/>
        </w:rPr>
        <w:t xml:space="preserve">reference level, </w:t>
      </w:r>
      <w:r w:rsidR="000576E6" w:rsidRPr="00DC021E">
        <w:rPr>
          <w:rFonts w:eastAsia="Times New Roman"/>
          <w:szCs w:val="24"/>
          <w:lang w:eastAsia="en-GB"/>
        </w:rPr>
        <w:t xml:space="preserve">by 31 December 2018 </w:t>
      </w:r>
      <w:r w:rsidR="001F0F22" w:rsidRPr="00DC021E">
        <w:rPr>
          <w:rFonts w:eastAsia="Times New Roman"/>
          <w:szCs w:val="24"/>
          <w:lang w:eastAsia="en-GB"/>
        </w:rPr>
        <w:t>for the period from 2021 to 2025 and by 30 June 2023 for the period 2026-2030</w:t>
      </w:r>
      <w:r w:rsidR="000576E6" w:rsidRPr="00DC021E">
        <w:rPr>
          <w:rFonts w:eastAsia="Times New Roman"/>
          <w:szCs w:val="24"/>
          <w:lang w:eastAsia="en-GB"/>
        </w:rPr>
        <w:t>.</w:t>
      </w:r>
      <w:r w:rsidR="001F0F22" w:rsidRPr="00DC021E">
        <w:rPr>
          <w:rFonts w:eastAsia="Times New Roman"/>
          <w:szCs w:val="24"/>
          <w:lang w:eastAsia="en-GB"/>
        </w:rPr>
        <w:t xml:space="preserve"> </w:t>
      </w:r>
    </w:p>
    <w:p w:rsidR="001F0F22" w:rsidRPr="00DC021E" w:rsidRDefault="001F0F22" w:rsidP="004B0DA6">
      <w:pPr>
        <w:spacing w:before="100" w:beforeAutospacing="1" w:after="100" w:afterAutospacing="1"/>
        <w:rPr>
          <w:rFonts w:eastAsia="Times New Roman"/>
          <w:szCs w:val="24"/>
          <w:lang w:eastAsia="en-GB"/>
        </w:rPr>
      </w:pPr>
      <w:r w:rsidRPr="00DC021E">
        <w:rPr>
          <w:szCs w:val="24"/>
        </w:rPr>
        <w:t xml:space="preserve">The </w:t>
      </w:r>
      <w:r w:rsidR="005A2E8E" w:rsidRPr="00DC021E">
        <w:rPr>
          <w:szCs w:val="24"/>
        </w:rPr>
        <w:t>national forestry accounting plan</w:t>
      </w:r>
      <w:r w:rsidRPr="00DC021E">
        <w:rPr>
          <w:szCs w:val="24"/>
        </w:rPr>
        <w:t xml:space="preserve"> shall contain all the elements listed in Annex </w:t>
      </w:r>
      <w:r w:rsidR="007815A4" w:rsidRPr="00DC021E">
        <w:rPr>
          <w:szCs w:val="24"/>
        </w:rPr>
        <w:t>IV</w:t>
      </w:r>
      <w:r w:rsidRPr="00DC021E">
        <w:rPr>
          <w:szCs w:val="24"/>
        </w:rPr>
        <w:t xml:space="preserve">, section B and </w:t>
      </w:r>
      <w:r w:rsidR="007F28FB" w:rsidRPr="00DC021E">
        <w:rPr>
          <w:szCs w:val="24"/>
        </w:rPr>
        <w:t xml:space="preserve">include a </w:t>
      </w:r>
      <w:r w:rsidR="002A4617" w:rsidRPr="00DC021E">
        <w:rPr>
          <w:szCs w:val="24"/>
        </w:rPr>
        <w:t>propose</w:t>
      </w:r>
      <w:r w:rsidR="007F28FB" w:rsidRPr="00DC021E">
        <w:rPr>
          <w:szCs w:val="24"/>
        </w:rPr>
        <w:t>d new</w:t>
      </w:r>
      <w:r w:rsidRPr="00DC021E">
        <w:rPr>
          <w:szCs w:val="24"/>
        </w:rPr>
        <w:t xml:space="preserve"> </w:t>
      </w:r>
      <w:r w:rsidR="002A4617" w:rsidRPr="00DC021E">
        <w:rPr>
          <w:szCs w:val="24"/>
        </w:rPr>
        <w:t>forest</w:t>
      </w:r>
      <w:r w:rsidR="00F61BD2" w:rsidRPr="00DC021E">
        <w:rPr>
          <w:rFonts w:eastAsia="Times New Roman"/>
          <w:szCs w:val="24"/>
          <w:lang w:eastAsia="en-GB"/>
        </w:rPr>
        <w:t xml:space="preserve"> reference level based on the continuation of current forest management practice and intensity, as documented between </w:t>
      </w:r>
      <w:r w:rsidR="00EA164A" w:rsidRPr="00DC021E">
        <w:rPr>
          <w:rFonts w:eastAsia="Times New Roman"/>
          <w:szCs w:val="24"/>
          <w:lang w:eastAsia="en-GB"/>
        </w:rPr>
        <w:t>1990-2009</w:t>
      </w:r>
      <w:r w:rsidR="00F61BD2" w:rsidRPr="00DC021E">
        <w:rPr>
          <w:rFonts w:eastAsia="Times New Roman"/>
          <w:szCs w:val="24"/>
          <w:lang w:eastAsia="en-GB"/>
        </w:rPr>
        <w:t xml:space="preserve"> per forest type and per age class in national forests, expressed in </w:t>
      </w:r>
      <w:r w:rsidR="00F36FA3" w:rsidRPr="00DC021E">
        <w:rPr>
          <w:rFonts w:eastAsia="Times New Roman"/>
          <w:szCs w:val="24"/>
          <w:lang w:eastAsia="en-GB"/>
        </w:rPr>
        <w:t xml:space="preserve">tonnes of </w:t>
      </w:r>
      <w:r w:rsidR="00F61BD2" w:rsidRPr="00DC021E">
        <w:rPr>
          <w:rFonts w:eastAsia="Times New Roman"/>
          <w:szCs w:val="24"/>
          <w:lang w:eastAsia="en-GB"/>
        </w:rPr>
        <w:t>CO</w:t>
      </w:r>
      <w:r w:rsidR="00F61BD2" w:rsidRPr="00DC021E">
        <w:rPr>
          <w:rFonts w:eastAsia="Times New Roman"/>
          <w:szCs w:val="24"/>
          <w:vertAlign w:val="subscript"/>
          <w:lang w:eastAsia="en-GB"/>
        </w:rPr>
        <w:t>2</w:t>
      </w:r>
      <w:r w:rsidR="00F36FA3" w:rsidRPr="00DC021E">
        <w:rPr>
          <w:rFonts w:eastAsia="Times New Roman"/>
          <w:szCs w:val="24"/>
          <w:vertAlign w:val="subscript"/>
          <w:lang w:eastAsia="en-GB"/>
        </w:rPr>
        <w:t xml:space="preserve"> </w:t>
      </w:r>
      <w:r w:rsidR="002A4F1A" w:rsidRPr="00DC021E">
        <w:rPr>
          <w:rFonts w:eastAsia="Times New Roman"/>
          <w:szCs w:val="24"/>
          <w:lang w:eastAsia="en-GB"/>
        </w:rPr>
        <w:t>eq</w:t>
      </w:r>
      <w:r w:rsidR="00F36FA3" w:rsidRPr="00DC021E">
        <w:rPr>
          <w:rFonts w:eastAsia="Times New Roman"/>
          <w:szCs w:val="24"/>
          <w:lang w:eastAsia="en-GB"/>
        </w:rPr>
        <w:t>uivalent</w:t>
      </w:r>
      <w:r w:rsidR="00F61BD2" w:rsidRPr="00DC021E">
        <w:rPr>
          <w:rFonts w:eastAsia="Times New Roman"/>
          <w:szCs w:val="24"/>
          <w:lang w:eastAsia="en-GB"/>
        </w:rPr>
        <w:t xml:space="preserve"> per year. </w:t>
      </w:r>
    </w:p>
    <w:p w:rsidR="0082511F" w:rsidRPr="00DC021E" w:rsidRDefault="007F28FB" w:rsidP="0082511F">
      <w:pPr>
        <w:spacing w:before="100" w:beforeAutospacing="1" w:after="100" w:afterAutospacing="1"/>
        <w:rPr>
          <w:rFonts w:eastAsia="Times New Roman"/>
          <w:szCs w:val="24"/>
          <w:lang w:eastAsia="en-GB"/>
        </w:rPr>
      </w:pPr>
      <w:r w:rsidRPr="00DC021E">
        <w:rPr>
          <w:rFonts w:eastAsia="Times New Roman"/>
          <w:szCs w:val="24"/>
          <w:lang w:eastAsia="en-GB"/>
        </w:rPr>
        <w:t xml:space="preserve">The </w:t>
      </w:r>
      <w:r w:rsidR="005A2E8E" w:rsidRPr="00DC021E">
        <w:rPr>
          <w:rFonts w:eastAsia="Times New Roman"/>
          <w:szCs w:val="24"/>
          <w:lang w:eastAsia="en-GB"/>
        </w:rPr>
        <w:t>national forestry accounting plan</w:t>
      </w:r>
      <w:r w:rsidRPr="00DC021E">
        <w:rPr>
          <w:rFonts w:eastAsia="Times New Roman"/>
          <w:szCs w:val="24"/>
          <w:lang w:eastAsia="en-GB"/>
        </w:rPr>
        <w:t xml:space="preserve"> shall </w:t>
      </w:r>
      <w:r w:rsidR="002664E9" w:rsidRPr="00DC021E">
        <w:rPr>
          <w:rFonts w:eastAsia="Times New Roman"/>
          <w:szCs w:val="24"/>
          <w:lang w:eastAsia="en-GB"/>
        </w:rPr>
        <w:t xml:space="preserve">be made public and shall </w:t>
      </w:r>
      <w:r w:rsidRPr="00DC021E">
        <w:rPr>
          <w:rFonts w:eastAsia="Times New Roman"/>
          <w:szCs w:val="24"/>
          <w:lang w:eastAsia="en-GB"/>
        </w:rPr>
        <w:t xml:space="preserve">be subject to public consultation. </w:t>
      </w:r>
    </w:p>
    <w:p w:rsidR="00AA6149" w:rsidRPr="00DC021E" w:rsidRDefault="003368BD" w:rsidP="00AA6149">
      <w:pPr>
        <w:spacing w:before="100" w:beforeAutospacing="1" w:after="100" w:afterAutospacing="1"/>
        <w:rPr>
          <w:rFonts w:eastAsia="Times New Roman"/>
          <w:szCs w:val="24"/>
          <w:lang w:eastAsia="en-GB"/>
        </w:rPr>
      </w:pPr>
      <w:r w:rsidRPr="00DC021E">
        <w:rPr>
          <w:rFonts w:eastAsia="Times New Roman"/>
          <w:szCs w:val="24"/>
          <w:lang w:eastAsia="en-GB"/>
        </w:rPr>
        <w:t xml:space="preserve">4. </w:t>
      </w:r>
      <w:r w:rsidR="00C06DC6" w:rsidRPr="00DC021E">
        <w:rPr>
          <w:rFonts w:eastAsia="Times New Roman"/>
          <w:szCs w:val="24"/>
          <w:lang w:eastAsia="en-GB"/>
        </w:rPr>
        <w:t xml:space="preserve">Member States shall demonstrate consistency between the methods and data used to establish the forest reference level in the </w:t>
      </w:r>
      <w:r w:rsidR="005A2E8E" w:rsidRPr="00DC021E">
        <w:rPr>
          <w:rFonts w:eastAsia="Times New Roman"/>
          <w:szCs w:val="24"/>
          <w:lang w:eastAsia="en-GB"/>
        </w:rPr>
        <w:t>national forestry accounting plan</w:t>
      </w:r>
      <w:r w:rsidR="00C06DC6" w:rsidRPr="00DC021E">
        <w:rPr>
          <w:rFonts w:eastAsia="Times New Roman"/>
          <w:szCs w:val="24"/>
          <w:lang w:eastAsia="en-GB"/>
        </w:rPr>
        <w:t xml:space="preserve"> and those used in the reporting for managed forest land. A</w:t>
      </w:r>
      <w:r w:rsidR="00C73748" w:rsidRPr="00DC021E">
        <w:rPr>
          <w:rFonts w:eastAsia="Times New Roman"/>
          <w:szCs w:val="24"/>
          <w:lang w:eastAsia="en-GB"/>
        </w:rPr>
        <w:t xml:space="preserve">t the latest </w:t>
      </w:r>
      <w:r w:rsidR="008907D6" w:rsidRPr="00DC021E">
        <w:rPr>
          <w:rFonts w:eastAsia="Times New Roman"/>
          <w:szCs w:val="24"/>
          <w:lang w:eastAsia="en-GB"/>
        </w:rPr>
        <w:t>at the end of the period from 2021 to 2025 or from 2026 to 2030</w:t>
      </w:r>
      <w:r w:rsidR="00E62B08" w:rsidRPr="00DC021E">
        <w:rPr>
          <w:rFonts w:eastAsia="Times New Roman"/>
          <w:szCs w:val="24"/>
          <w:lang w:eastAsia="en-GB"/>
        </w:rPr>
        <w:t>,</w:t>
      </w:r>
      <w:r w:rsidR="008907D6" w:rsidRPr="00DC021E">
        <w:rPr>
          <w:rFonts w:eastAsia="Times New Roman"/>
          <w:szCs w:val="24"/>
          <w:lang w:eastAsia="en-GB"/>
        </w:rPr>
        <w:t xml:space="preserve"> a</w:t>
      </w:r>
      <w:r w:rsidR="00AA6149" w:rsidRPr="00DC021E">
        <w:rPr>
          <w:rFonts w:eastAsia="Times New Roman"/>
          <w:szCs w:val="24"/>
          <w:lang w:eastAsia="en-GB"/>
        </w:rPr>
        <w:t xml:space="preserve"> Member State shall submit to the Commission a technical co</w:t>
      </w:r>
      <w:r w:rsidR="004B0DA6" w:rsidRPr="00DC021E">
        <w:rPr>
          <w:rFonts w:eastAsia="Times New Roman"/>
          <w:szCs w:val="24"/>
          <w:lang w:eastAsia="en-GB"/>
        </w:rPr>
        <w:t>rrection of its reference level</w:t>
      </w:r>
      <w:r w:rsidR="00C06DC6" w:rsidRPr="00DC021E">
        <w:rPr>
          <w:rFonts w:eastAsia="Times New Roman"/>
          <w:szCs w:val="24"/>
          <w:lang w:eastAsia="en-GB"/>
        </w:rPr>
        <w:t xml:space="preserve"> if necessary to ensure consistency</w:t>
      </w:r>
      <w:r w:rsidR="00AA6149" w:rsidRPr="00DC021E">
        <w:rPr>
          <w:rFonts w:eastAsia="Times New Roman"/>
          <w:szCs w:val="24"/>
          <w:lang w:eastAsia="en-GB"/>
        </w:rPr>
        <w:t>.</w:t>
      </w:r>
    </w:p>
    <w:p w:rsidR="0049697B" w:rsidRPr="00DC021E" w:rsidRDefault="00AA6149" w:rsidP="00AA6149">
      <w:pPr>
        <w:spacing w:before="100" w:beforeAutospacing="1" w:after="100" w:afterAutospacing="1"/>
        <w:rPr>
          <w:rFonts w:eastAsia="Times New Roman"/>
          <w:szCs w:val="24"/>
          <w:lang w:eastAsia="en-GB"/>
        </w:rPr>
      </w:pPr>
      <w:r w:rsidRPr="00DC021E">
        <w:rPr>
          <w:rFonts w:eastAsia="Times New Roman"/>
          <w:szCs w:val="24"/>
          <w:lang w:eastAsia="en-GB"/>
        </w:rPr>
        <w:t>5. The C</w:t>
      </w:r>
      <w:r w:rsidR="0049697B" w:rsidRPr="00DC021E">
        <w:rPr>
          <w:rFonts w:eastAsia="Times New Roman"/>
          <w:szCs w:val="24"/>
          <w:lang w:eastAsia="en-GB"/>
        </w:rPr>
        <w:t>ommission</w:t>
      </w:r>
      <w:r w:rsidRPr="00DC021E">
        <w:rPr>
          <w:rFonts w:eastAsia="Times New Roman"/>
          <w:szCs w:val="24"/>
          <w:lang w:eastAsia="en-GB"/>
        </w:rPr>
        <w:t xml:space="preserve"> </w:t>
      </w:r>
      <w:r w:rsidR="007C41F2" w:rsidRPr="00DC021E">
        <w:rPr>
          <w:rFonts w:eastAsia="Times New Roman"/>
          <w:szCs w:val="24"/>
          <w:lang w:eastAsia="en-GB"/>
        </w:rPr>
        <w:t xml:space="preserve">shall </w:t>
      </w:r>
      <w:r w:rsidRPr="00DC021E">
        <w:rPr>
          <w:rFonts w:eastAsia="Times New Roman"/>
          <w:szCs w:val="24"/>
          <w:lang w:eastAsia="en-GB"/>
        </w:rPr>
        <w:t>review</w:t>
      </w:r>
      <w:r w:rsidR="0049697B" w:rsidRPr="00DC021E">
        <w:rPr>
          <w:rFonts w:eastAsia="Times New Roman"/>
          <w:szCs w:val="24"/>
          <w:lang w:eastAsia="en-GB"/>
        </w:rPr>
        <w:t xml:space="preserve"> the</w:t>
      </w:r>
      <w:r w:rsidR="00CF70C6" w:rsidRPr="00DC021E">
        <w:rPr>
          <w:rFonts w:eastAsia="Times New Roman"/>
          <w:szCs w:val="24"/>
          <w:lang w:eastAsia="en-GB"/>
        </w:rPr>
        <w:t xml:space="preserve"> </w:t>
      </w:r>
      <w:r w:rsidR="005A2E8E" w:rsidRPr="00DC021E">
        <w:rPr>
          <w:rFonts w:eastAsia="Times New Roman"/>
          <w:szCs w:val="24"/>
          <w:lang w:eastAsia="en-GB"/>
        </w:rPr>
        <w:t>national forestry accounting plan</w:t>
      </w:r>
      <w:r w:rsidR="00CF70C6" w:rsidRPr="00DC021E">
        <w:rPr>
          <w:rFonts w:eastAsia="Times New Roman"/>
          <w:szCs w:val="24"/>
          <w:lang w:eastAsia="en-GB"/>
        </w:rPr>
        <w:t>s</w:t>
      </w:r>
      <w:r w:rsidR="0049697B" w:rsidRPr="00DC021E">
        <w:rPr>
          <w:rFonts w:eastAsia="Times New Roman"/>
          <w:szCs w:val="24"/>
          <w:lang w:eastAsia="en-GB"/>
        </w:rPr>
        <w:t xml:space="preserve"> </w:t>
      </w:r>
      <w:r w:rsidR="005850B3" w:rsidRPr="00DC021E">
        <w:rPr>
          <w:rFonts w:eastAsia="Times New Roman"/>
          <w:szCs w:val="24"/>
          <w:lang w:eastAsia="en-GB"/>
        </w:rPr>
        <w:t xml:space="preserve">and </w:t>
      </w:r>
      <w:r w:rsidR="0049697B" w:rsidRPr="00DC021E">
        <w:rPr>
          <w:rFonts w:eastAsia="Times New Roman"/>
          <w:szCs w:val="24"/>
          <w:lang w:eastAsia="en-GB"/>
        </w:rPr>
        <w:t xml:space="preserve">technical corrections </w:t>
      </w:r>
      <w:r w:rsidR="00CF70C6" w:rsidRPr="00DC021E">
        <w:rPr>
          <w:rFonts w:eastAsia="Times New Roman"/>
          <w:szCs w:val="24"/>
          <w:lang w:eastAsia="en-GB"/>
        </w:rPr>
        <w:t>and assess the extent to which the proposed new or corrected forest reference levels have be</w:t>
      </w:r>
      <w:r w:rsidR="00616D37" w:rsidRPr="00DC021E">
        <w:rPr>
          <w:rFonts w:eastAsia="Times New Roman"/>
          <w:szCs w:val="24"/>
          <w:lang w:eastAsia="en-GB"/>
        </w:rPr>
        <w:t>e</w:t>
      </w:r>
      <w:r w:rsidR="00CF70C6" w:rsidRPr="00DC021E">
        <w:rPr>
          <w:rFonts w:eastAsia="Times New Roman"/>
          <w:szCs w:val="24"/>
          <w:lang w:eastAsia="en-GB"/>
        </w:rPr>
        <w:t>n determined in accordance with the principles and requirements set out in paragraph</w:t>
      </w:r>
      <w:r w:rsidR="007464E6" w:rsidRPr="00DC021E">
        <w:rPr>
          <w:rFonts w:eastAsia="Times New Roman"/>
          <w:szCs w:val="24"/>
          <w:lang w:eastAsia="en-GB"/>
        </w:rPr>
        <w:t>s</w:t>
      </w:r>
      <w:r w:rsidR="00CF70C6" w:rsidRPr="00DC021E">
        <w:rPr>
          <w:rFonts w:eastAsia="Times New Roman"/>
          <w:szCs w:val="24"/>
          <w:lang w:eastAsia="en-GB"/>
        </w:rPr>
        <w:t xml:space="preserve"> (3) and (4)</w:t>
      </w:r>
      <w:r w:rsidR="005067FA" w:rsidRPr="00DC021E">
        <w:rPr>
          <w:rFonts w:eastAsia="Times New Roman"/>
          <w:szCs w:val="24"/>
          <w:lang w:eastAsia="en-GB"/>
        </w:rPr>
        <w:t xml:space="preserve"> as well as </w:t>
      </w:r>
      <w:r w:rsidR="00CF70C6" w:rsidRPr="00DC021E">
        <w:rPr>
          <w:rFonts w:eastAsia="Times New Roman"/>
          <w:szCs w:val="24"/>
          <w:lang w:eastAsia="en-GB"/>
        </w:rPr>
        <w:t>Article 5(1)</w:t>
      </w:r>
      <w:r w:rsidR="007C41F2" w:rsidRPr="00DC021E">
        <w:rPr>
          <w:rFonts w:eastAsia="Times New Roman"/>
          <w:szCs w:val="24"/>
          <w:lang w:eastAsia="en-GB"/>
        </w:rPr>
        <w:t xml:space="preserve">. </w:t>
      </w:r>
      <w:r w:rsidR="00EA36AE" w:rsidRPr="00DC021E">
        <w:rPr>
          <w:rFonts w:eastAsia="Times New Roman"/>
          <w:szCs w:val="24"/>
          <w:lang w:eastAsia="en-GB"/>
        </w:rPr>
        <w:t>To the extent that this is required in order to ensure compliance with the principles and requirements set out in paragraph</w:t>
      </w:r>
      <w:r w:rsidR="007464E6" w:rsidRPr="00DC021E">
        <w:rPr>
          <w:rFonts w:eastAsia="Times New Roman"/>
          <w:szCs w:val="24"/>
          <w:lang w:eastAsia="en-GB"/>
        </w:rPr>
        <w:t>s</w:t>
      </w:r>
      <w:r w:rsidR="00EA36AE" w:rsidRPr="00DC021E">
        <w:rPr>
          <w:rFonts w:eastAsia="Times New Roman"/>
          <w:szCs w:val="24"/>
          <w:lang w:eastAsia="en-GB"/>
        </w:rPr>
        <w:t xml:space="preserve"> (3) and (4) as well as Article 5(1), the </w:t>
      </w:r>
      <w:r w:rsidR="005850B3" w:rsidRPr="00DC021E">
        <w:rPr>
          <w:rFonts w:eastAsia="Times New Roman"/>
          <w:szCs w:val="24"/>
          <w:lang w:eastAsia="en-GB"/>
        </w:rPr>
        <w:t>Commission</w:t>
      </w:r>
      <w:r w:rsidR="00EA36AE" w:rsidRPr="00DC021E">
        <w:rPr>
          <w:rFonts w:eastAsia="Times New Roman"/>
          <w:szCs w:val="24"/>
          <w:lang w:eastAsia="en-GB"/>
        </w:rPr>
        <w:t xml:space="preserve"> may recalculate the proposed new or corrected forest reference levels. </w:t>
      </w:r>
    </w:p>
    <w:p w:rsidR="004E45D7" w:rsidRPr="00DC021E" w:rsidRDefault="0049697B" w:rsidP="004E45D7">
      <w:pPr>
        <w:spacing w:before="100" w:beforeAutospacing="1" w:after="100" w:afterAutospacing="1"/>
        <w:rPr>
          <w:rFonts w:eastAsia="Times New Roman"/>
          <w:szCs w:val="24"/>
          <w:lang w:eastAsia="en-GB"/>
        </w:rPr>
      </w:pPr>
      <w:r w:rsidRPr="00DC021E">
        <w:rPr>
          <w:rFonts w:eastAsia="Times New Roman"/>
          <w:szCs w:val="24"/>
          <w:lang w:eastAsia="en-GB"/>
        </w:rPr>
        <w:t xml:space="preserve">6. The Commission shall adopt delegated acts in accordance with Article 14 to amend Annex II </w:t>
      </w:r>
      <w:r w:rsidR="00241012" w:rsidRPr="00DC021E">
        <w:rPr>
          <w:rFonts w:eastAsia="Times New Roman"/>
          <w:szCs w:val="24"/>
          <w:lang w:eastAsia="en-GB"/>
        </w:rPr>
        <w:t xml:space="preserve">in the light of the review carried </w:t>
      </w:r>
      <w:r w:rsidR="00E62B08" w:rsidRPr="00DC021E">
        <w:rPr>
          <w:rFonts w:eastAsia="Times New Roman"/>
          <w:szCs w:val="24"/>
          <w:lang w:eastAsia="en-GB"/>
        </w:rPr>
        <w:t>o</w:t>
      </w:r>
      <w:r w:rsidR="00241012" w:rsidRPr="00DC021E">
        <w:rPr>
          <w:rFonts w:eastAsia="Times New Roman"/>
          <w:szCs w:val="24"/>
          <w:lang w:eastAsia="en-GB"/>
        </w:rPr>
        <w:t xml:space="preserve">ut pursuant to paragraph (5) </w:t>
      </w:r>
      <w:r w:rsidRPr="00DC021E">
        <w:rPr>
          <w:rFonts w:eastAsia="Times New Roman"/>
          <w:szCs w:val="24"/>
          <w:lang w:eastAsia="en-GB"/>
        </w:rPr>
        <w:t xml:space="preserve">to update Member State forest reference levels based </w:t>
      </w:r>
      <w:r w:rsidR="001A0E4E" w:rsidRPr="00DC021E">
        <w:rPr>
          <w:rFonts w:eastAsia="Times New Roman"/>
          <w:szCs w:val="24"/>
          <w:lang w:eastAsia="en-GB"/>
        </w:rPr>
        <w:t xml:space="preserve">on </w:t>
      </w:r>
      <w:r w:rsidRPr="00DC021E">
        <w:rPr>
          <w:rFonts w:eastAsia="Times New Roman"/>
          <w:szCs w:val="24"/>
          <w:lang w:eastAsia="en-GB"/>
        </w:rPr>
        <w:t xml:space="preserve">the </w:t>
      </w:r>
      <w:r w:rsidR="005A2E8E" w:rsidRPr="00DC021E">
        <w:rPr>
          <w:rFonts w:eastAsia="Times New Roman"/>
          <w:szCs w:val="24"/>
          <w:lang w:eastAsia="en-GB"/>
        </w:rPr>
        <w:t>national forestry accounting plan</w:t>
      </w:r>
      <w:r w:rsidRPr="00DC021E">
        <w:rPr>
          <w:rFonts w:eastAsia="Times New Roman"/>
          <w:szCs w:val="24"/>
          <w:lang w:eastAsia="en-GB"/>
        </w:rPr>
        <w:t>s</w:t>
      </w:r>
      <w:r w:rsidR="001A0E4E" w:rsidRPr="00DC021E">
        <w:rPr>
          <w:rFonts w:eastAsia="Times New Roman"/>
          <w:szCs w:val="24"/>
          <w:lang w:eastAsia="en-GB"/>
        </w:rPr>
        <w:t xml:space="preserve"> or the technical corrections submitted</w:t>
      </w:r>
      <w:r w:rsidR="007815A4" w:rsidRPr="00DC021E">
        <w:rPr>
          <w:rFonts w:eastAsia="Times New Roman"/>
          <w:szCs w:val="24"/>
          <w:lang w:eastAsia="en-GB"/>
        </w:rPr>
        <w:t>,</w:t>
      </w:r>
      <w:r w:rsidR="001A0E4E" w:rsidRPr="00DC021E">
        <w:rPr>
          <w:rFonts w:eastAsia="Times New Roman"/>
          <w:szCs w:val="24"/>
          <w:lang w:eastAsia="en-GB"/>
        </w:rPr>
        <w:t xml:space="preserve"> and any</w:t>
      </w:r>
      <w:r w:rsidR="00CB6088" w:rsidRPr="00DC021E">
        <w:rPr>
          <w:rFonts w:eastAsia="Times New Roman"/>
          <w:szCs w:val="24"/>
          <w:lang w:eastAsia="en-GB"/>
        </w:rPr>
        <w:t xml:space="preserve"> recalculations</w:t>
      </w:r>
      <w:r w:rsidR="001A0E4E" w:rsidRPr="00DC021E">
        <w:rPr>
          <w:rFonts w:eastAsia="Times New Roman"/>
          <w:szCs w:val="24"/>
          <w:lang w:eastAsia="en-GB"/>
        </w:rPr>
        <w:t xml:space="preserve"> made in the context of the review. </w:t>
      </w:r>
      <w:r w:rsidR="002A4617" w:rsidRPr="00DC021E">
        <w:rPr>
          <w:rFonts w:eastAsia="Times New Roman"/>
          <w:szCs w:val="24"/>
          <w:lang w:eastAsia="en-GB"/>
        </w:rPr>
        <w:t>Until the entry into force of the delegated act, Member State forest reference levels as specified in Annex II shall continue to apply</w:t>
      </w:r>
      <w:r w:rsidR="00FC3932" w:rsidRPr="00DC021E">
        <w:rPr>
          <w:rFonts w:eastAsia="Times New Roman"/>
          <w:szCs w:val="24"/>
          <w:lang w:eastAsia="en-GB"/>
        </w:rPr>
        <w:t xml:space="preserve"> for the period 2021-2025 and/or 2026-2030</w:t>
      </w:r>
      <w:r w:rsidR="002A4617" w:rsidRPr="00DC021E">
        <w:rPr>
          <w:rFonts w:eastAsia="Times New Roman"/>
          <w:szCs w:val="24"/>
          <w:lang w:eastAsia="en-GB"/>
        </w:rPr>
        <w:t>.</w:t>
      </w:r>
    </w:p>
    <w:p w:rsidR="004E45D7" w:rsidRPr="00DC021E" w:rsidRDefault="004E45D7"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 xml:space="preserve">Article </w:t>
      </w:r>
      <w:r w:rsidR="00785766" w:rsidRPr="00DC021E">
        <w:rPr>
          <w:rFonts w:eastAsia="Times New Roman"/>
          <w:i/>
          <w:szCs w:val="24"/>
          <w:lang w:eastAsia="en-GB"/>
        </w:rPr>
        <w:t>9</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 xml:space="preserve">Accounting for harvested wood products </w:t>
      </w:r>
    </w:p>
    <w:p w:rsidR="00783037" w:rsidRPr="00DC021E" w:rsidRDefault="00783037" w:rsidP="00783037">
      <w:pPr>
        <w:rPr>
          <w:rFonts w:eastAsia="Times New Roman"/>
          <w:szCs w:val="24"/>
          <w:lang w:eastAsia="en-GB"/>
        </w:rPr>
      </w:pPr>
      <w:r w:rsidRPr="00DC021E">
        <w:rPr>
          <w:rFonts w:eastAsia="Times New Roman"/>
          <w:szCs w:val="24"/>
          <w:lang w:eastAsia="en-GB"/>
        </w:rPr>
        <w:t>In accounts pursuant to Article 6(1) and 8(1) relating to harvested wood products, Member States shall reflect emissions and removals resulting from changes in the pool of harvested wood products falling within the following categories using the first order decay function</w:t>
      </w:r>
      <w:r w:rsidR="00F35C36" w:rsidRPr="00DC021E">
        <w:rPr>
          <w:rFonts w:eastAsia="Times New Roman"/>
          <w:szCs w:val="24"/>
          <w:lang w:eastAsia="en-GB"/>
        </w:rPr>
        <w:t>, the methodologies</w:t>
      </w:r>
      <w:r w:rsidRPr="00DC021E">
        <w:rPr>
          <w:rFonts w:eastAsia="Times New Roman"/>
          <w:szCs w:val="24"/>
          <w:lang w:eastAsia="en-GB"/>
        </w:rPr>
        <w:t xml:space="preserve"> and the default half-life values specified in Annex V:</w:t>
      </w:r>
    </w:p>
    <w:p w:rsidR="00783037" w:rsidRPr="00DC021E" w:rsidRDefault="00783037" w:rsidP="00783037">
      <w:pPr>
        <w:ind w:left="720"/>
        <w:rPr>
          <w:rFonts w:eastAsia="Times New Roman"/>
          <w:szCs w:val="24"/>
          <w:lang w:eastAsia="en-GB"/>
        </w:rPr>
      </w:pPr>
      <w:r w:rsidRPr="00DC021E">
        <w:rPr>
          <w:rFonts w:eastAsia="Times New Roman"/>
          <w:szCs w:val="24"/>
          <w:lang w:eastAsia="en-GB"/>
        </w:rPr>
        <w:t>(a)</w:t>
      </w:r>
      <w:r w:rsidRPr="00DC021E">
        <w:rPr>
          <w:rFonts w:eastAsia="Times New Roman"/>
          <w:szCs w:val="24"/>
          <w:lang w:eastAsia="en-GB"/>
        </w:rPr>
        <w:tab/>
        <w:t>paper;</w:t>
      </w:r>
    </w:p>
    <w:p w:rsidR="00783037" w:rsidRPr="00DC021E" w:rsidRDefault="00783037" w:rsidP="00783037">
      <w:pPr>
        <w:ind w:left="720"/>
        <w:rPr>
          <w:rFonts w:eastAsia="Times New Roman"/>
          <w:szCs w:val="24"/>
          <w:lang w:eastAsia="en-GB"/>
        </w:rPr>
      </w:pPr>
      <w:r w:rsidRPr="00DC021E">
        <w:rPr>
          <w:rFonts w:eastAsia="Times New Roman"/>
          <w:szCs w:val="24"/>
          <w:lang w:eastAsia="en-GB"/>
        </w:rPr>
        <w:t>(b)</w:t>
      </w:r>
      <w:r w:rsidRPr="00DC021E">
        <w:rPr>
          <w:rFonts w:eastAsia="Times New Roman"/>
          <w:szCs w:val="24"/>
          <w:lang w:eastAsia="en-GB"/>
        </w:rPr>
        <w:tab/>
        <w:t>wood panels;</w:t>
      </w:r>
    </w:p>
    <w:p w:rsidR="00783037" w:rsidRPr="00DC021E" w:rsidRDefault="00783037" w:rsidP="00783037">
      <w:pPr>
        <w:ind w:left="720"/>
        <w:rPr>
          <w:rFonts w:eastAsia="Times New Roman"/>
          <w:szCs w:val="24"/>
          <w:lang w:eastAsia="en-GB"/>
        </w:rPr>
      </w:pPr>
      <w:r w:rsidRPr="00DC021E">
        <w:rPr>
          <w:rFonts w:eastAsia="Times New Roman"/>
          <w:szCs w:val="24"/>
          <w:lang w:eastAsia="en-GB"/>
        </w:rPr>
        <w:t>(c)</w:t>
      </w:r>
      <w:r w:rsidRPr="00DC021E">
        <w:rPr>
          <w:rFonts w:eastAsia="Times New Roman"/>
          <w:szCs w:val="24"/>
          <w:lang w:eastAsia="en-GB"/>
        </w:rPr>
        <w:tab/>
        <w:t>sawn wood.</w:t>
      </w:r>
    </w:p>
    <w:p w:rsidR="004E45D7" w:rsidRPr="00DC021E" w:rsidRDefault="004E45D7"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 xml:space="preserve">Article </w:t>
      </w:r>
      <w:r w:rsidR="00785766" w:rsidRPr="00DC021E">
        <w:rPr>
          <w:rFonts w:eastAsia="Times New Roman"/>
          <w:i/>
          <w:szCs w:val="24"/>
          <w:lang w:eastAsia="en-GB"/>
        </w:rPr>
        <w:t>10</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Accounting for natural disturbances</w:t>
      </w:r>
    </w:p>
    <w:p w:rsidR="00516170" w:rsidRPr="00DC021E" w:rsidRDefault="004E45D7" w:rsidP="00516170">
      <w:pPr>
        <w:spacing w:before="100" w:beforeAutospacing="1" w:after="100" w:afterAutospacing="1"/>
        <w:rPr>
          <w:rFonts w:eastAsia="Times New Roman"/>
          <w:szCs w:val="24"/>
          <w:lang w:eastAsia="en-GB"/>
        </w:rPr>
      </w:pPr>
      <w:r w:rsidRPr="00DC021E">
        <w:rPr>
          <w:rFonts w:eastAsia="Times New Roman"/>
          <w:szCs w:val="24"/>
          <w:lang w:eastAsia="en-GB"/>
        </w:rPr>
        <w:t>1.   </w:t>
      </w:r>
      <w:r w:rsidR="00516170" w:rsidRPr="00DC021E">
        <w:rPr>
          <w:rFonts w:eastAsia="Times New Roman"/>
          <w:szCs w:val="24"/>
          <w:lang w:eastAsia="en-GB"/>
        </w:rPr>
        <w:t xml:space="preserve">At the end of the periods from 2021 to 2025 and from 2026 to 2030, Member States may exclude from their accounts for afforested land and managed forest land greenhouse gas emissions resulting from natural disturbances exceeding the average emissions caused by natural disturbances in the period </w:t>
      </w:r>
      <w:r w:rsidR="00516170" w:rsidRPr="00DC021E">
        <w:t>2001-2020,</w:t>
      </w:r>
      <w:r w:rsidR="00516170" w:rsidRPr="00DC021E">
        <w:rPr>
          <w:rFonts w:eastAsia="Times New Roman"/>
          <w:szCs w:val="24"/>
          <w:lang w:eastAsia="en-GB"/>
        </w:rPr>
        <w:t xml:space="preserve"> excluding statistical outliers ('background level') calculated in accordance with this Article and Annex V</w:t>
      </w:r>
      <w:r w:rsidR="00232330" w:rsidRPr="00DC021E">
        <w:rPr>
          <w:rFonts w:eastAsia="Times New Roman"/>
          <w:szCs w:val="24"/>
          <w:lang w:eastAsia="en-GB"/>
        </w:rPr>
        <w:t>I</w:t>
      </w:r>
      <w:r w:rsidR="00516170" w:rsidRPr="00DC021E">
        <w:rPr>
          <w:rFonts w:eastAsia="Times New Roman"/>
          <w:szCs w:val="24"/>
          <w:lang w:eastAsia="en-GB"/>
        </w:rPr>
        <w:t xml:space="preserve">. </w:t>
      </w:r>
    </w:p>
    <w:p w:rsidR="004E45D7" w:rsidRPr="00DC021E" w:rsidRDefault="004E45D7" w:rsidP="004E45D7">
      <w:pPr>
        <w:spacing w:before="100" w:beforeAutospacing="1" w:after="100" w:afterAutospacing="1"/>
        <w:rPr>
          <w:rFonts w:eastAsia="Times New Roman"/>
          <w:szCs w:val="24"/>
          <w:lang w:eastAsia="en-GB"/>
        </w:rPr>
      </w:pPr>
      <w:r w:rsidRPr="00DC021E">
        <w:rPr>
          <w:rFonts w:eastAsia="Times New Roman"/>
          <w:szCs w:val="24"/>
          <w:lang w:eastAsia="en-GB"/>
        </w:rPr>
        <w:t xml:space="preserve"> </w:t>
      </w:r>
      <w:r w:rsidR="00827BDE" w:rsidRPr="00DC021E">
        <w:rPr>
          <w:rFonts w:eastAsia="Times New Roman"/>
          <w:szCs w:val="24"/>
          <w:lang w:eastAsia="en-GB"/>
        </w:rPr>
        <w:t>2</w:t>
      </w:r>
      <w:r w:rsidRPr="00DC021E">
        <w:rPr>
          <w:rFonts w:eastAsia="Times New Roman"/>
          <w:szCs w:val="24"/>
          <w:lang w:eastAsia="en-GB"/>
        </w:rPr>
        <w:t>.  Where a Member State applies paragraph 1, it shall submit to the Commission information on the background level for each land</w:t>
      </w:r>
      <w:r w:rsidR="00EE57D7" w:rsidRPr="00DC021E">
        <w:rPr>
          <w:rFonts w:eastAsia="Times New Roman"/>
          <w:szCs w:val="24"/>
          <w:lang w:eastAsia="en-GB"/>
        </w:rPr>
        <w:t xml:space="preserve"> </w:t>
      </w:r>
      <w:r w:rsidR="00BE0DCE" w:rsidRPr="00DC021E">
        <w:rPr>
          <w:rFonts w:eastAsia="Times New Roman"/>
          <w:szCs w:val="24"/>
          <w:lang w:eastAsia="en-GB"/>
        </w:rPr>
        <w:t>accounting</w:t>
      </w:r>
      <w:r w:rsidRPr="00DC021E">
        <w:rPr>
          <w:rFonts w:eastAsia="Times New Roman"/>
          <w:szCs w:val="24"/>
          <w:lang w:eastAsia="en-GB"/>
        </w:rPr>
        <w:t xml:space="preserve"> category determined in paragraph 1 and on the data and methodologies used</w:t>
      </w:r>
      <w:r w:rsidR="00EE57D7" w:rsidRPr="00DC021E">
        <w:rPr>
          <w:rFonts w:eastAsia="Times New Roman"/>
          <w:szCs w:val="24"/>
          <w:lang w:eastAsia="en-GB"/>
        </w:rPr>
        <w:t xml:space="preserve"> in accordance </w:t>
      </w:r>
      <w:r w:rsidR="00FE2AF6" w:rsidRPr="00DC021E">
        <w:rPr>
          <w:rFonts w:eastAsia="Times New Roman"/>
          <w:szCs w:val="24"/>
          <w:lang w:eastAsia="en-GB"/>
        </w:rPr>
        <w:t xml:space="preserve">with </w:t>
      </w:r>
      <w:r w:rsidR="00BD0CC7" w:rsidRPr="00DC021E">
        <w:rPr>
          <w:rFonts w:eastAsia="Times New Roman"/>
          <w:szCs w:val="24"/>
          <w:lang w:eastAsia="en-GB"/>
        </w:rPr>
        <w:t>Annex V</w:t>
      </w:r>
      <w:r w:rsidR="00232330" w:rsidRPr="00DC021E">
        <w:rPr>
          <w:rFonts w:eastAsia="Times New Roman"/>
          <w:szCs w:val="24"/>
          <w:lang w:eastAsia="en-GB"/>
        </w:rPr>
        <w:t>I</w:t>
      </w:r>
      <w:r w:rsidRPr="00DC021E">
        <w:rPr>
          <w:rFonts w:eastAsia="Times New Roman"/>
          <w:szCs w:val="24"/>
          <w:lang w:eastAsia="en-GB"/>
        </w:rPr>
        <w:t xml:space="preserve">. </w:t>
      </w:r>
    </w:p>
    <w:p w:rsidR="004E45D7" w:rsidRPr="00DC021E" w:rsidRDefault="00827BDE" w:rsidP="004E45D7">
      <w:pPr>
        <w:spacing w:before="100" w:beforeAutospacing="1" w:after="100" w:afterAutospacing="1"/>
        <w:rPr>
          <w:rFonts w:eastAsia="Times New Roman"/>
          <w:szCs w:val="24"/>
          <w:lang w:eastAsia="en-GB"/>
        </w:rPr>
      </w:pPr>
      <w:r w:rsidRPr="00DC021E">
        <w:rPr>
          <w:rFonts w:eastAsia="Times New Roman"/>
          <w:szCs w:val="24"/>
          <w:lang w:eastAsia="en-GB"/>
        </w:rPr>
        <w:t>3</w:t>
      </w:r>
      <w:r w:rsidR="004E45D7" w:rsidRPr="00DC021E">
        <w:rPr>
          <w:rFonts w:eastAsia="Times New Roman"/>
          <w:szCs w:val="24"/>
          <w:lang w:eastAsia="en-GB"/>
        </w:rPr>
        <w:t xml:space="preserve">. Where a Member State applies paragraph 1, it shall exclude from accounting </w:t>
      </w:r>
      <w:r w:rsidR="00EE57D7" w:rsidRPr="00DC021E">
        <w:rPr>
          <w:rFonts w:eastAsia="Times New Roman"/>
          <w:szCs w:val="24"/>
          <w:lang w:eastAsia="en-GB"/>
        </w:rPr>
        <w:t>until 2030</w:t>
      </w:r>
      <w:r w:rsidR="004E45D7" w:rsidRPr="00DC021E">
        <w:rPr>
          <w:rFonts w:eastAsia="Times New Roman"/>
          <w:szCs w:val="24"/>
          <w:lang w:eastAsia="en-GB"/>
        </w:rPr>
        <w:t xml:space="preserve"> all subsequent removals on the land affected by natural disturbances.</w:t>
      </w:r>
    </w:p>
    <w:p w:rsidR="004E45D7" w:rsidRPr="00DC021E" w:rsidRDefault="00827BDE" w:rsidP="004E45D7">
      <w:pPr>
        <w:spacing w:before="100" w:beforeAutospacing="1" w:after="100" w:afterAutospacing="1"/>
        <w:rPr>
          <w:rFonts w:eastAsia="Times New Roman"/>
          <w:b/>
          <w:szCs w:val="24"/>
          <w:lang w:eastAsia="en-GB"/>
        </w:rPr>
      </w:pPr>
      <w:r w:rsidRPr="00DC021E">
        <w:rPr>
          <w:rFonts w:eastAsia="Times New Roman"/>
          <w:szCs w:val="24"/>
          <w:lang w:eastAsia="en-GB"/>
        </w:rPr>
        <w:t>4</w:t>
      </w:r>
      <w:r w:rsidR="004E45D7" w:rsidRPr="00DC021E">
        <w:rPr>
          <w:rFonts w:eastAsia="Times New Roman"/>
          <w:szCs w:val="24"/>
          <w:lang w:eastAsia="en-GB"/>
        </w:rPr>
        <w:t xml:space="preserve">. </w:t>
      </w:r>
      <w:r w:rsidR="00EE57D7" w:rsidRPr="00DC021E">
        <w:rPr>
          <w:rFonts w:eastAsia="Times New Roman"/>
          <w:szCs w:val="24"/>
          <w:lang w:eastAsia="en-GB"/>
        </w:rPr>
        <w:t>The Commission shall be empowered to adopt delegated acts in accordance with Article 1</w:t>
      </w:r>
      <w:r w:rsidR="003E1E21" w:rsidRPr="00DC021E">
        <w:rPr>
          <w:rFonts w:eastAsia="Times New Roman"/>
          <w:szCs w:val="24"/>
          <w:lang w:eastAsia="en-GB"/>
        </w:rPr>
        <w:t>4</w:t>
      </w:r>
      <w:r w:rsidR="00EE57D7" w:rsidRPr="00DC021E">
        <w:rPr>
          <w:rFonts w:eastAsia="Times New Roman"/>
          <w:szCs w:val="24"/>
          <w:lang w:eastAsia="en-GB"/>
        </w:rPr>
        <w:t xml:space="preserve"> to revise the methodology and information requirements in </w:t>
      </w:r>
      <w:r w:rsidR="00BD0CC7" w:rsidRPr="00DC021E">
        <w:rPr>
          <w:rFonts w:eastAsia="Times New Roman"/>
          <w:szCs w:val="24"/>
          <w:lang w:eastAsia="en-GB"/>
        </w:rPr>
        <w:t>Annex V</w:t>
      </w:r>
      <w:r w:rsidR="00232330" w:rsidRPr="00DC021E">
        <w:rPr>
          <w:rFonts w:eastAsia="Times New Roman"/>
          <w:szCs w:val="24"/>
          <w:lang w:eastAsia="en-GB"/>
        </w:rPr>
        <w:t>I</w:t>
      </w:r>
      <w:r w:rsidR="00EE57D7" w:rsidRPr="00DC021E">
        <w:rPr>
          <w:rFonts w:eastAsia="Times New Roman"/>
          <w:szCs w:val="24"/>
          <w:lang w:eastAsia="en-GB"/>
        </w:rPr>
        <w:t xml:space="preserve"> in order to reflect changes in the IPCC Guidelines. </w:t>
      </w:r>
      <w:r w:rsidR="004E45D7" w:rsidRPr="00DC021E">
        <w:rPr>
          <w:rFonts w:eastAsia="Times New Roman"/>
          <w:szCs w:val="24"/>
          <w:lang w:eastAsia="en-GB"/>
        </w:rPr>
        <w:t xml:space="preserve"> </w:t>
      </w:r>
    </w:p>
    <w:p w:rsidR="004E45D7" w:rsidRPr="00DC021E" w:rsidRDefault="00785766"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Article 11</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Flexibilities</w:t>
      </w:r>
    </w:p>
    <w:p w:rsidR="004C04D0" w:rsidRPr="00DC021E" w:rsidRDefault="004C04D0" w:rsidP="004C04D0">
      <w:pPr>
        <w:spacing w:before="100" w:beforeAutospacing="1" w:after="100" w:afterAutospacing="1"/>
        <w:rPr>
          <w:rFonts w:eastAsia="Times New Roman"/>
          <w:szCs w:val="24"/>
          <w:lang w:eastAsia="en-GB"/>
        </w:rPr>
      </w:pPr>
      <w:r w:rsidRPr="00DC021E">
        <w:rPr>
          <w:szCs w:val="24"/>
        </w:rPr>
        <w:t xml:space="preserve">1. </w:t>
      </w:r>
      <w:r w:rsidR="00E57C08" w:rsidRPr="00DC021E">
        <w:rPr>
          <w:szCs w:val="24"/>
        </w:rPr>
        <w:t xml:space="preserve">Where total emissions exceed removals in a Member State and that Member State has deleted </w:t>
      </w:r>
      <w:r w:rsidRPr="00DC021E">
        <w:rPr>
          <w:szCs w:val="24"/>
        </w:rPr>
        <w:t>annual emission allocations under Regulation [            ] on binding annual greenhouse gas emission reductions by Member States from 2021 to 2030  this quantity shall be taken into account for the Member State's compliance with its commitment pursuant to Article 4.</w:t>
      </w:r>
    </w:p>
    <w:p w:rsidR="004C04D0" w:rsidRPr="00DC021E" w:rsidRDefault="004C04D0" w:rsidP="004C04D0">
      <w:pPr>
        <w:spacing w:before="100" w:beforeAutospacing="1" w:after="100" w:afterAutospacing="1"/>
        <w:rPr>
          <w:szCs w:val="24"/>
        </w:rPr>
      </w:pPr>
      <w:r w:rsidRPr="00DC021E">
        <w:rPr>
          <w:szCs w:val="24"/>
        </w:rPr>
        <w:t xml:space="preserve">2. </w:t>
      </w:r>
      <w:r w:rsidR="004A76AD" w:rsidRPr="00DC021E">
        <w:rPr>
          <w:szCs w:val="24"/>
        </w:rPr>
        <w:t xml:space="preserve">To the extent that total removals exceed emissions in a Member State and after subtraction of any quantity taken into account under Article 7 of </w:t>
      </w:r>
      <w:r w:rsidR="006374DB" w:rsidRPr="00DC021E">
        <w:rPr>
          <w:szCs w:val="24"/>
        </w:rPr>
        <w:t>Regulation [            ] on binding annual greenhouse gas emission reductions by Member States from 2021 to 2030</w:t>
      </w:r>
      <w:r w:rsidR="004A76AD" w:rsidRPr="00DC021E">
        <w:rPr>
          <w:szCs w:val="24"/>
        </w:rPr>
        <w:t xml:space="preserve">, that Member State may transfer the remaining quantity to another Member State. The transferred quantity </w:t>
      </w:r>
      <w:r w:rsidRPr="00DC021E">
        <w:rPr>
          <w:szCs w:val="24"/>
        </w:rPr>
        <w:t>shall be taken into account when assessing the receiving Member State's compliance with its commitment pursuant to Article 4.</w:t>
      </w:r>
    </w:p>
    <w:p w:rsidR="004C04D0" w:rsidRPr="00DC021E" w:rsidRDefault="004C04D0" w:rsidP="004C04D0">
      <w:pPr>
        <w:spacing w:before="100" w:beforeAutospacing="1" w:after="100" w:afterAutospacing="1"/>
        <w:rPr>
          <w:szCs w:val="24"/>
        </w:rPr>
      </w:pPr>
      <w:r w:rsidRPr="00DC021E">
        <w:rPr>
          <w:szCs w:val="24"/>
        </w:rPr>
        <w:t xml:space="preserve">3. </w:t>
      </w:r>
      <w:r w:rsidR="000C3985" w:rsidRPr="00DC021E">
        <w:rPr>
          <w:szCs w:val="24"/>
        </w:rPr>
        <w:t xml:space="preserve">To the extent that total removals exceed emissions in a Member State in the period from 2021 to 2025, and after subtraction of any quantity taken into account under Article 7 of </w:t>
      </w:r>
      <w:r w:rsidR="006374DB" w:rsidRPr="00DC021E">
        <w:rPr>
          <w:szCs w:val="24"/>
        </w:rPr>
        <w:t xml:space="preserve">Regulation [            ] on binding annual greenhouse gas emission reductions by Member States from 2021 to 2030 </w:t>
      </w:r>
      <w:r w:rsidR="000C3985" w:rsidRPr="00DC021E">
        <w:rPr>
          <w:szCs w:val="24"/>
        </w:rPr>
        <w:t xml:space="preserve">or transferred to another Member State pursuant to paragraph 2, that Member State may bank the remaining quantity </w:t>
      </w:r>
      <w:r w:rsidRPr="00DC021E">
        <w:rPr>
          <w:szCs w:val="24"/>
        </w:rPr>
        <w:t xml:space="preserve">to the period 2026-2030. </w:t>
      </w:r>
    </w:p>
    <w:p w:rsidR="004E45D7" w:rsidRPr="00DC021E" w:rsidRDefault="004C04D0" w:rsidP="004E45D7">
      <w:pPr>
        <w:spacing w:before="100" w:beforeAutospacing="1" w:after="100" w:afterAutospacing="1"/>
        <w:rPr>
          <w:szCs w:val="24"/>
        </w:rPr>
      </w:pPr>
      <w:r w:rsidRPr="00DC021E">
        <w:rPr>
          <w:rFonts w:eastAsia="Times New Roman"/>
          <w:szCs w:val="24"/>
          <w:lang w:eastAsia="en-GB"/>
        </w:rPr>
        <w:t xml:space="preserve">4. </w:t>
      </w:r>
      <w:r w:rsidR="001D47D9" w:rsidRPr="00DC021E">
        <w:rPr>
          <w:rFonts w:eastAsia="Times New Roman"/>
          <w:szCs w:val="24"/>
          <w:lang w:eastAsia="en-GB"/>
        </w:rPr>
        <w:t xml:space="preserve">In order to avoid double counting, the quantity of net removals taken into account under Article 7 of </w:t>
      </w:r>
      <w:r w:rsidR="006374DB" w:rsidRPr="00DC021E">
        <w:rPr>
          <w:szCs w:val="24"/>
        </w:rPr>
        <w:t xml:space="preserve">Regulation [            ] on binding annual greenhouse gas emission reductions by Member States from 2021 to 2030 </w:t>
      </w:r>
      <w:r w:rsidR="001D47D9" w:rsidRPr="00DC021E">
        <w:rPr>
          <w:rFonts w:eastAsia="Times New Roman"/>
          <w:szCs w:val="24"/>
          <w:lang w:eastAsia="en-GB"/>
        </w:rPr>
        <w:t>shall be subtracted from that Member State'</w:t>
      </w:r>
      <w:r w:rsidR="00C76513" w:rsidRPr="00DC021E">
        <w:rPr>
          <w:rFonts w:eastAsia="Times New Roman"/>
          <w:szCs w:val="24"/>
          <w:lang w:eastAsia="en-GB"/>
        </w:rPr>
        <w:t>s</w:t>
      </w:r>
      <w:r w:rsidR="001D47D9" w:rsidRPr="00DC021E">
        <w:rPr>
          <w:rFonts w:eastAsia="Times New Roman"/>
          <w:szCs w:val="24"/>
          <w:lang w:eastAsia="en-GB"/>
        </w:rPr>
        <w:t xml:space="preserve"> quantity available for transfer to another Member State or banking</w:t>
      </w:r>
      <w:r w:rsidR="007E4121" w:rsidRPr="00DC021E">
        <w:rPr>
          <w:rFonts w:eastAsia="Times New Roman"/>
          <w:szCs w:val="24"/>
          <w:lang w:eastAsia="en-GB"/>
        </w:rPr>
        <w:t xml:space="preserve"> pursuant to paragraph</w:t>
      </w:r>
      <w:r w:rsidR="009104E1" w:rsidRPr="00DC021E">
        <w:rPr>
          <w:rFonts w:eastAsia="Times New Roman"/>
          <w:szCs w:val="24"/>
          <w:lang w:eastAsia="en-GB"/>
        </w:rPr>
        <w:t>s</w:t>
      </w:r>
      <w:r w:rsidR="007E4121" w:rsidRPr="00DC021E">
        <w:rPr>
          <w:rFonts w:eastAsia="Times New Roman"/>
          <w:szCs w:val="24"/>
          <w:lang w:eastAsia="en-GB"/>
        </w:rPr>
        <w:t xml:space="preserve"> 2-3</w:t>
      </w:r>
      <w:r w:rsidR="001D47D9" w:rsidRPr="00DC021E">
        <w:rPr>
          <w:rFonts w:eastAsia="Times New Roman"/>
          <w:szCs w:val="24"/>
          <w:lang w:eastAsia="en-GB"/>
        </w:rPr>
        <w:t>.</w:t>
      </w:r>
      <w:r w:rsidR="00D8587F" w:rsidRPr="00DC021E">
        <w:rPr>
          <w:szCs w:val="24"/>
        </w:rPr>
        <w:t xml:space="preserve"> </w:t>
      </w:r>
      <w:r w:rsidR="001D188D" w:rsidRPr="00DC021E">
        <w:rPr>
          <w:szCs w:val="24"/>
        </w:rPr>
        <w:t xml:space="preserve">  </w:t>
      </w:r>
    </w:p>
    <w:p w:rsidR="004E45D7" w:rsidRPr="00DC021E" w:rsidRDefault="00847046" w:rsidP="00D41926">
      <w:pPr>
        <w:spacing w:before="100" w:beforeAutospacing="1" w:after="100" w:afterAutospacing="1"/>
        <w:rPr>
          <w:rFonts w:eastAsia="Times New Roman"/>
          <w:i/>
          <w:szCs w:val="24"/>
          <w:lang w:eastAsia="en-GB"/>
        </w:rPr>
      </w:pPr>
      <w:r w:rsidRPr="00DC021E">
        <w:rPr>
          <w:rFonts w:eastAsia="Times New Roman"/>
          <w:szCs w:val="24"/>
          <w:lang w:eastAsia="en-GB"/>
        </w:rPr>
        <w:t>5</w:t>
      </w:r>
      <w:r w:rsidR="004E45D7" w:rsidRPr="00DC021E">
        <w:rPr>
          <w:rFonts w:eastAsia="Times New Roman"/>
          <w:szCs w:val="24"/>
          <w:lang w:eastAsia="en-GB"/>
        </w:rPr>
        <w:t xml:space="preserve">. </w:t>
      </w:r>
      <w:r w:rsidR="00637213" w:rsidRPr="00DC021E">
        <w:rPr>
          <w:rFonts w:eastAsia="Times New Roman"/>
          <w:szCs w:val="24"/>
          <w:lang w:eastAsia="en-GB"/>
        </w:rPr>
        <w:t xml:space="preserve">If a Member State is not in compliance with the monitoring requirements laid down in Article 7(1) da) of </w:t>
      </w:r>
      <w:r w:rsidR="00637213" w:rsidRPr="00DC021E">
        <w:t>Regulation (EU) No 525/2013</w:t>
      </w:r>
      <w:r w:rsidR="00637213" w:rsidRPr="00DC021E">
        <w:rPr>
          <w:rFonts w:eastAsia="Times New Roman"/>
          <w:szCs w:val="24"/>
          <w:lang w:eastAsia="en-GB"/>
        </w:rPr>
        <w:t>, the Central Administrator designated under Article 20 of Directive 2003/87/EC shall temporarily prohibit that Member State from transferring o</w:t>
      </w:r>
      <w:r w:rsidR="007E4121" w:rsidRPr="00DC021E">
        <w:rPr>
          <w:rFonts w:eastAsia="Times New Roman"/>
          <w:szCs w:val="24"/>
          <w:lang w:eastAsia="en-GB"/>
        </w:rPr>
        <w:t>r</w:t>
      </w:r>
      <w:r w:rsidR="00637213" w:rsidRPr="00DC021E">
        <w:rPr>
          <w:rFonts w:eastAsia="Times New Roman"/>
          <w:szCs w:val="24"/>
          <w:lang w:eastAsia="en-GB"/>
        </w:rPr>
        <w:t xml:space="preserve"> banking pursuant to paragrap</w:t>
      </w:r>
      <w:r w:rsidR="009104E1" w:rsidRPr="00DC021E">
        <w:rPr>
          <w:rFonts w:eastAsia="Times New Roman"/>
          <w:szCs w:val="24"/>
          <w:lang w:eastAsia="en-GB"/>
        </w:rPr>
        <w:t>hs</w:t>
      </w:r>
      <w:r w:rsidR="00637213" w:rsidRPr="00DC021E">
        <w:rPr>
          <w:rFonts w:eastAsia="Times New Roman"/>
          <w:szCs w:val="24"/>
          <w:lang w:eastAsia="en-GB"/>
        </w:rPr>
        <w:t xml:space="preserve"> 2-3. </w:t>
      </w:r>
    </w:p>
    <w:p w:rsidR="004E45D7" w:rsidRPr="00DC021E" w:rsidRDefault="004E45D7"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Article 1</w:t>
      </w:r>
      <w:r w:rsidR="00785766" w:rsidRPr="00DC021E">
        <w:rPr>
          <w:rFonts w:eastAsia="Times New Roman"/>
          <w:i/>
          <w:szCs w:val="24"/>
          <w:lang w:eastAsia="en-GB"/>
        </w:rPr>
        <w:t>2</w:t>
      </w:r>
    </w:p>
    <w:p w:rsidR="004E45D7" w:rsidRPr="00DC021E" w:rsidRDefault="00D47E80" w:rsidP="00D47E80">
      <w:pPr>
        <w:spacing w:before="100" w:beforeAutospacing="1" w:after="100" w:afterAutospacing="1"/>
        <w:jc w:val="center"/>
        <w:rPr>
          <w:rFonts w:eastAsia="Times New Roman"/>
          <w:szCs w:val="24"/>
          <w:lang w:eastAsia="en-GB"/>
        </w:rPr>
      </w:pPr>
      <w:r w:rsidRPr="00DC021E">
        <w:rPr>
          <w:rFonts w:eastAsia="Times New Roman"/>
          <w:b/>
          <w:szCs w:val="24"/>
          <w:lang w:eastAsia="en-GB"/>
        </w:rPr>
        <w:t>C</w:t>
      </w:r>
      <w:r w:rsidR="004E45D7" w:rsidRPr="00DC021E">
        <w:rPr>
          <w:rFonts w:eastAsia="Times New Roman"/>
          <w:b/>
          <w:szCs w:val="24"/>
          <w:lang w:eastAsia="en-GB"/>
        </w:rPr>
        <w:t>ompliance check</w:t>
      </w:r>
    </w:p>
    <w:p w:rsidR="004E45D7" w:rsidRPr="00DC021E" w:rsidRDefault="008C719C" w:rsidP="008C719C">
      <w:pPr>
        <w:pStyle w:val="ManualNumPar1"/>
        <w:ind w:left="0" w:firstLine="0"/>
        <w:rPr>
          <w:bCs/>
        </w:rPr>
      </w:pPr>
      <w:r w:rsidRPr="00DC021E">
        <w:rPr>
          <w:bCs/>
        </w:rPr>
        <w:t>1.</w:t>
      </w:r>
      <w:r w:rsidR="004E45D7" w:rsidRPr="00DC021E">
        <w:rPr>
          <w:bCs/>
        </w:rPr>
        <w:t xml:space="preserve"> </w:t>
      </w:r>
      <w:r w:rsidRPr="00DC021E">
        <w:rPr>
          <w:szCs w:val="24"/>
        </w:rPr>
        <w:t xml:space="preserve">In 2027 and 2032, </w:t>
      </w:r>
      <w:r w:rsidRPr="00DC021E">
        <w:rPr>
          <w:bCs/>
          <w:szCs w:val="24"/>
        </w:rPr>
        <w:t xml:space="preserve">Member States shall submit to the Commission a compliance report containing the balance of total greenhouse gas emissions and removals respectively for </w:t>
      </w:r>
      <w:r w:rsidRPr="00DC021E">
        <w:rPr>
          <w:szCs w:val="24"/>
        </w:rPr>
        <w:t xml:space="preserve">the period 2021-2025 or 2026-2030 </w:t>
      </w:r>
      <w:r w:rsidRPr="00DC021E">
        <w:rPr>
          <w:bCs/>
          <w:szCs w:val="24"/>
        </w:rPr>
        <w:t xml:space="preserve">on each of the land accounting categories specified in Article 2, using the accounting rules laid down in this Regulation. </w:t>
      </w:r>
    </w:p>
    <w:p w:rsidR="004E45D7" w:rsidRPr="00DC021E" w:rsidRDefault="008C719C" w:rsidP="004E45D7">
      <w:pPr>
        <w:pStyle w:val="ManualNumPar2"/>
        <w:ind w:left="0" w:firstLine="0"/>
      </w:pPr>
      <w:r w:rsidRPr="00DC021E">
        <w:rPr>
          <w:bCs/>
          <w:szCs w:val="24"/>
        </w:rPr>
        <w:t>2</w:t>
      </w:r>
      <w:r w:rsidR="004E45D7" w:rsidRPr="00DC021E">
        <w:rPr>
          <w:bCs/>
          <w:szCs w:val="24"/>
        </w:rPr>
        <w:t xml:space="preserve">. The Commission shall carry out a comprehensive review of the </w:t>
      </w:r>
      <w:r w:rsidR="001D3124" w:rsidRPr="00DC021E">
        <w:rPr>
          <w:bCs/>
          <w:szCs w:val="24"/>
        </w:rPr>
        <w:t xml:space="preserve">compliance </w:t>
      </w:r>
      <w:r w:rsidR="00B54EFE" w:rsidRPr="00DC021E">
        <w:rPr>
          <w:bCs/>
          <w:szCs w:val="24"/>
        </w:rPr>
        <w:t>reports for</w:t>
      </w:r>
      <w:r w:rsidR="008E6B29" w:rsidRPr="00DC021E">
        <w:rPr>
          <w:bCs/>
          <w:szCs w:val="24"/>
        </w:rPr>
        <w:t xml:space="preserve"> the purpose of assessing compliance with Article </w:t>
      </w:r>
      <w:r w:rsidR="001D3124" w:rsidRPr="00DC021E">
        <w:rPr>
          <w:bCs/>
          <w:szCs w:val="24"/>
        </w:rPr>
        <w:t>4</w:t>
      </w:r>
      <w:r w:rsidR="004E45D7" w:rsidRPr="00DC021E">
        <w:t>.</w:t>
      </w:r>
    </w:p>
    <w:p w:rsidR="004E45D7" w:rsidRPr="00DC021E" w:rsidRDefault="008C719C" w:rsidP="002E0D75">
      <w:pPr>
        <w:pStyle w:val="ManualNumPar2"/>
        <w:ind w:left="0" w:firstLine="0"/>
        <w:rPr>
          <w:rFonts w:eastAsia="Times New Roman"/>
          <w:szCs w:val="24"/>
          <w:lang w:eastAsia="en-GB"/>
        </w:rPr>
      </w:pPr>
      <w:r w:rsidRPr="00DC021E">
        <w:rPr>
          <w:noProof/>
          <w:szCs w:val="24"/>
          <w:lang w:eastAsia="en-GB"/>
        </w:rPr>
        <w:t>3.</w:t>
      </w:r>
      <w:r w:rsidR="004E45D7" w:rsidRPr="00DC021E">
        <w:rPr>
          <w:noProof/>
          <w:szCs w:val="24"/>
          <w:lang w:eastAsia="en-GB"/>
        </w:rPr>
        <w:t xml:space="preserve"> </w:t>
      </w:r>
      <w:r w:rsidR="004E45D7" w:rsidRPr="00DC021E">
        <w:rPr>
          <w:noProof/>
          <w:szCs w:val="24"/>
        </w:rPr>
        <w:t xml:space="preserve">The European Environment Agency shall assist the Commission in </w:t>
      </w:r>
      <w:r w:rsidR="007E0513" w:rsidRPr="00DC021E">
        <w:rPr>
          <w:noProof/>
          <w:szCs w:val="24"/>
        </w:rPr>
        <w:t>the implementation of the monitoring and compliance framework under this Article, in accordance with its annual work programme.</w:t>
      </w:r>
      <w:r w:rsidR="004E45D7" w:rsidRPr="00DC021E">
        <w:rPr>
          <w:rFonts w:eastAsia="Times New Roman"/>
          <w:szCs w:val="24"/>
          <w:lang w:eastAsia="en-GB"/>
        </w:rPr>
        <w:t xml:space="preserve"> </w:t>
      </w:r>
    </w:p>
    <w:p w:rsidR="004E45D7" w:rsidRPr="00DC021E" w:rsidRDefault="004E45D7"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Article 1</w:t>
      </w:r>
      <w:r w:rsidR="00785766" w:rsidRPr="00DC021E">
        <w:rPr>
          <w:rFonts w:eastAsia="Times New Roman"/>
          <w:i/>
          <w:szCs w:val="24"/>
          <w:lang w:eastAsia="en-GB"/>
        </w:rPr>
        <w:t>3</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Registr</w:t>
      </w:r>
      <w:r w:rsidR="00635DE8" w:rsidRPr="00DC021E">
        <w:rPr>
          <w:rFonts w:eastAsia="Times New Roman"/>
          <w:b/>
          <w:szCs w:val="24"/>
          <w:lang w:eastAsia="en-GB"/>
        </w:rPr>
        <w:t>y</w:t>
      </w:r>
      <w:r w:rsidRPr="00DC021E">
        <w:rPr>
          <w:rFonts w:eastAsia="Times New Roman"/>
          <w:b/>
          <w:szCs w:val="24"/>
          <w:lang w:eastAsia="en-GB"/>
        </w:rPr>
        <w:t xml:space="preserve"> </w:t>
      </w:r>
    </w:p>
    <w:p w:rsidR="0068739F" w:rsidRPr="00DC021E" w:rsidRDefault="007063CE" w:rsidP="0068739F">
      <w:pPr>
        <w:spacing w:before="100" w:beforeAutospacing="1" w:after="100" w:afterAutospacing="1"/>
        <w:rPr>
          <w:rFonts w:eastAsia="Times New Roman"/>
          <w:szCs w:val="24"/>
          <w:lang w:eastAsia="en-GB"/>
        </w:rPr>
      </w:pPr>
      <w:r w:rsidRPr="00DC021E">
        <w:rPr>
          <w:rFonts w:eastAsia="Times New Roman"/>
          <w:szCs w:val="24"/>
          <w:lang w:eastAsia="en-GB"/>
        </w:rPr>
        <w:t xml:space="preserve">1. </w:t>
      </w:r>
      <w:r w:rsidR="007248F1" w:rsidRPr="00DC021E">
        <w:rPr>
          <w:rFonts w:eastAsia="Times New Roman"/>
          <w:szCs w:val="24"/>
          <w:lang w:eastAsia="en-GB"/>
        </w:rPr>
        <w:t>The Commission shall record the quantity of emissions and removals for each land accounting category in each Member State and ensure the accurate accounting in the exercise of the flexibilities pursuant to Article 11 in the Union Registry</w:t>
      </w:r>
      <w:r w:rsidR="009F1EF0" w:rsidRPr="00DC021E">
        <w:t xml:space="preserve"> established pursuant to Article </w:t>
      </w:r>
      <w:r w:rsidR="009F1EF0" w:rsidRPr="00DC021E">
        <w:rPr>
          <w:bCs/>
        </w:rPr>
        <w:t xml:space="preserve">10 of </w:t>
      </w:r>
      <w:r w:rsidR="009F1EF0" w:rsidRPr="00DC021E">
        <w:t>Regulation (EU) No 525/2013.  The Central Administrator shall conduct an automated check on each transaction under this Regulation and, where necessary, block transactions to ensure there are no irregularities. This information shall be accessible to the public.</w:t>
      </w:r>
    </w:p>
    <w:p w:rsidR="00130FBD" w:rsidRPr="00DC021E" w:rsidRDefault="0068739F" w:rsidP="00130FBD">
      <w:pPr>
        <w:spacing w:before="100" w:beforeAutospacing="1" w:after="100" w:afterAutospacing="1"/>
        <w:rPr>
          <w:rFonts w:eastAsia="Times New Roman"/>
          <w:szCs w:val="24"/>
          <w:lang w:eastAsia="en-GB"/>
        </w:rPr>
      </w:pPr>
      <w:r w:rsidRPr="00DC021E">
        <w:rPr>
          <w:rFonts w:eastAsia="Times New Roman"/>
          <w:szCs w:val="24"/>
          <w:lang w:eastAsia="en-GB"/>
        </w:rPr>
        <w:t>2</w:t>
      </w:r>
      <w:r w:rsidR="007063CE" w:rsidRPr="00DC021E">
        <w:rPr>
          <w:rFonts w:eastAsia="Times New Roman"/>
          <w:szCs w:val="24"/>
          <w:lang w:eastAsia="en-GB"/>
        </w:rPr>
        <w:t xml:space="preserve">. </w:t>
      </w:r>
      <w:r w:rsidR="00A6409B" w:rsidRPr="00DC021E">
        <w:rPr>
          <w:noProof/>
        </w:rPr>
        <w:t xml:space="preserve">The Commission shall be </w:t>
      </w:r>
      <w:r w:rsidR="00A6409B" w:rsidRPr="00DC021E">
        <w:rPr>
          <w:szCs w:val="24"/>
        </w:rPr>
        <w:t xml:space="preserve">empowered to </w:t>
      </w:r>
      <w:r w:rsidR="00A6409B" w:rsidRPr="00DC021E">
        <w:rPr>
          <w:noProof/>
        </w:rPr>
        <w:t>adopt a delegated act to implement paragraph 1 in accordance with Article 14</w:t>
      </w:r>
      <w:r w:rsidR="00A6409B" w:rsidRPr="00DC021E">
        <w:t xml:space="preserve"> </w:t>
      </w:r>
      <w:r w:rsidR="00A6409B" w:rsidRPr="00DC021E">
        <w:rPr>
          <w:noProof/>
        </w:rPr>
        <w:t xml:space="preserve">of this Regulation.  </w:t>
      </w:r>
    </w:p>
    <w:p w:rsidR="004E45D7" w:rsidRPr="00DC021E" w:rsidRDefault="004E45D7" w:rsidP="00130FBD">
      <w:pPr>
        <w:spacing w:before="100" w:beforeAutospacing="1" w:after="100" w:afterAutospacing="1"/>
        <w:jc w:val="center"/>
        <w:rPr>
          <w:rFonts w:eastAsia="Times New Roman"/>
          <w:i/>
          <w:szCs w:val="24"/>
          <w:lang w:eastAsia="en-GB"/>
        </w:rPr>
      </w:pPr>
      <w:r w:rsidRPr="00DC021E">
        <w:rPr>
          <w:rFonts w:eastAsia="Times New Roman"/>
          <w:i/>
          <w:szCs w:val="24"/>
          <w:lang w:eastAsia="en-GB"/>
        </w:rPr>
        <w:t>Article 1</w:t>
      </w:r>
      <w:r w:rsidR="00785766" w:rsidRPr="00DC021E">
        <w:rPr>
          <w:rFonts w:eastAsia="Times New Roman"/>
          <w:i/>
          <w:szCs w:val="24"/>
          <w:lang w:eastAsia="en-GB"/>
        </w:rPr>
        <w:t>4</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Exercise of delegation</w:t>
      </w:r>
    </w:p>
    <w:p w:rsidR="004E45D7" w:rsidRPr="00DC021E" w:rsidRDefault="004E45D7" w:rsidP="004E45D7">
      <w:pPr>
        <w:spacing w:before="100" w:beforeAutospacing="1" w:after="100" w:afterAutospacing="1"/>
        <w:rPr>
          <w:rFonts w:eastAsia="Times New Roman"/>
          <w:szCs w:val="24"/>
          <w:lang w:eastAsia="en-GB"/>
        </w:rPr>
      </w:pPr>
      <w:r w:rsidRPr="00DC021E">
        <w:rPr>
          <w:rFonts w:eastAsia="Times New Roman"/>
          <w:szCs w:val="24"/>
          <w:lang w:eastAsia="en-GB"/>
        </w:rPr>
        <w:t xml:space="preserve">1. The power to adopt delegated acts is conferred on the Commission subject to the conditions laid down in this Article. </w:t>
      </w:r>
    </w:p>
    <w:p w:rsidR="004E45D7" w:rsidRPr="00DC021E" w:rsidRDefault="004E45D7" w:rsidP="004E45D7">
      <w:pPr>
        <w:pStyle w:val="ManualNumPar1"/>
        <w:spacing w:before="100" w:beforeAutospacing="1" w:after="100" w:afterAutospacing="1"/>
        <w:ind w:left="0" w:firstLine="0"/>
        <w:rPr>
          <w:noProof/>
          <w:szCs w:val="24"/>
          <w:lang w:eastAsia="en-GB"/>
        </w:rPr>
      </w:pPr>
      <w:r w:rsidRPr="00DC021E">
        <w:rPr>
          <w:noProof/>
          <w:szCs w:val="24"/>
          <w:lang w:eastAsia="en-GB"/>
        </w:rPr>
        <w:t>2. The power to adopt delegated acts referred to in Article</w:t>
      </w:r>
      <w:r w:rsidR="000F4FA9" w:rsidRPr="00DC021E">
        <w:rPr>
          <w:noProof/>
          <w:szCs w:val="24"/>
          <w:lang w:eastAsia="en-GB"/>
        </w:rPr>
        <w:t xml:space="preserve"> 3, 5, 8</w:t>
      </w:r>
      <w:r w:rsidR="00804E01" w:rsidRPr="00DC021E">
        <w:rPr>
          <w:noProof/>
          <w:szCs w:val="24"/>
          <w:lang w:eastAsia="en-GB"/>
        </w:rPr>
        <w:t>,</w:t>
      </w:r>
      <w:r w:rsidR="000F4FA9" w:rsidRPr="00DC021E">
        <w:rPr>
          <w:noProof/>
          <w:szCs w:val="24"/>
          <w:lang w:eastAsia="en-GB"/>
        </w:rPr>
        <w:t xml:space="preserve"> 10 and 13</w:t>
      </w:r>
      <w:r w:rsidRPr="00DC021E">
        <w:rPr>
          <w:noProof/>
          <w:szCs w:val="24"/>
          <w:lang w:eastAsia="en-GB"/>
        </w:rPr>
        <w:t xml:space="preserve"> shall be conferred on the Commission for an indeterminate period of time from the [date of entry into force].</w:t>
      </w:r>
    </w:p>
    <w:p w:rsidR="004E45D7" w:rsidRPr="00DC021E" w:rsidRDefault="00EE7662" w:rsidP="00130FBD">
      <w:pPr>
        <w:rPr>
          <w:noProof/>
          <w:szCs w:val="24"/>
          <w:lang w:eastAsia="en-GB"/>
        </w:rPr>
      </w:pPr>
      <w:r w:rsidRPr="00DC021E">
        <w:rPr>
          <w:noProof/>
          <w:szCs w:val="24"/>
          <w:lang w:eastAsia="en-GB"/>
        </w:rPr>
        <w:t>3</w:t>
      </w:r>
      <w:r w:rsidR="004E45D7" w:rsidRPr="00DC021E">
        <w:rPr>
          <w:noProof/>
          <w:szCs w:val="24"/>
          <w:lang w:eastAsia="en-GB"/>
        </w:rPr>
        <w:t xml:space="preserve">. The delegation of powers referred to in paragraph 2 may be revoked at any time by the European Parliament or by the Council. A decision </w:t>
      </w:r>
      <w:r w:rsidR="004E45D7" w:rsidRPr="00DC021E">
        <w:rPr>
          <w:szCs w:val="24"/>
          <w:lang w:eastAsia="en-GB"/>
        </w:rPr>
        <w:t xml:space="preserve">of revocation </w:t>
      </w:r>
      <w:r w:rsidR="004E45D7" w:rsidRPr="00DC021E">
        <w:rPr>
          <w:noProof/>
          <w:szCs w:val="24"/>
          <w:lang w:eastAsia="en-GB"/>
        </w:rPr>
        <w:t xml:space="preserve">shall put an end to the delegation of the power specified in that decision. It shall take effect the day following the publication of the decision in the </w:t>
      </w:r>
      <w:r w:rsidR="004E45D7" w:rsidRPr="00DC021E">
        <w:rPr>
          <w:i/>
          <w:noProof/>
          <w:szCs w:val="24"/>
          <w:lang w:eastAsia="en-GB"/>
        </w:rPr>
        <w:t>Official Journal of the European Union</w:t>
      </w:r>
      <w:r w:rsidR="004E45D7" w:rsidRPr="00DC021E">
        <w:rPr>
          <w:noProof/>
          <w:szCs w:val="24"/>
          <w:lang w:eastAsia="en-GB"/>
        </w:rPr>
        <w:t xml:space="preserve"> or at a later date specified therein. It shall not affect the validity of any delegated acts already in force.</w:t>
      </w:r>
    </w:p>
    <w:p w:rsidR="00EE7662" w:rsidRPr="00DC021E" w:rsidRDefault="00EE7662" w:rsidP="00EE7662">
      <w:pPr>
        <w:rPr>
          <w:lang w:eastAsia="en-GB"/>
        </w:rPr>
      </w:pPr>
      <w:r w:rsidRPr="00DC021E">
        <w:rPr>
          <w:rFonts w:eastAsia="Times New Roman"/>
          <w:szCs w:val="24"/>
          <w:lang w:eastAsia="en-GB"/>
        </w:rPr>
        <w:t>4. Before the adoption of a delegated act, the Commission shall consult experts designated by each Member State in accordance with the principles laid down in the Inter-institutional Agreement on Better Law-Making of 13 April 2016.</w:t>
      </w:r>
    </w:p>
    <w:p w:rsidR="004E45D7" w:rsidRPr="00DC021E" w:rsidRDefault="004E45D7" w:rsidP="004E45D7">
      <w:pPr>
        <w:pStyle w:val="ManualNumPar1"/>
        <w:spacing w:before="100" w:beforeAutospacing="1" w:after="100" w:afterAutospacing="1"/>
        <w:ind w:left="0" w:firstLine="0"/>
        <w:rPr>
          <w:noProof/>
          <w:szCs w:val="24"/>
          <w:lang w:eastAsia="en-GB"/>
        </w:rPr>
      </w:pPr>
      <w:r w:rsidRPr="00DC021E">
        <w:rPr>
          <w:noProof/>
          <w:szCs w:val="24"/>
          <w:lang w:eastAsia="en-GB"/>
        </w:rPr>
        <w:t>5. As soon as it adopts a delegated act, the Commission shall notify it simultaneously to the European Parliament and to the Council.</w:t>
      </w:r>
    </w:p>
    <w:p w:rsidR="004E45D7" w:rsidRPr="00DC021E" w:rsidRDefault="004E45D7" w:rsidP="004E45D7">
      <w:pPr>
        <w:pStyle w:val="ManualNumPar1"/>
        <w:spacing w:before="100" w:beforeAutospacing="1" w:after="100" w:afterAutospacing="1"/>
        <w:ind w:left="0" w:firstLine="0"/>
        <w:rPr>
          <w:szCs w:val="24"/>
        </w:rPr>
      </w:pPr>
      <w:r w:rsidRPr="00DC021E">
        <w:rPr>
          <w:noProof/>
          <w:szCs w:val="24"/>
          <w:lang w:eastAsia="en-GB"/>
        </w:rPr>
        <w:t>6. A delegated act adopted pursuant to the preceding paragraphs shall enter into force only</w:t>
      </w:r>
      <w:r w:rsidRPr="00DC021E">
        <w:rPr>
          <w:noProof/>
          <w:szCs w:val="24"/>
        </w:rPr>
        <w:t xml:space="preserve">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4E45D7" w:rsidRPr="00DC021E" w:rsidRDefault="004E45D7" w:rsidP="004E45D7">
      <w:pPr>
        <w:spacing w:before="100" w:beforeAutospacing="1" w:after="100" w:afterAutospacing="1"/>
        <w:jc w:val="center"/>
        <w:rPr>
          <w:rFonts w:eastAsia="Times New Roman"/>
          <w:i/>
          <w:szCs w:val="24"/>
          <w:lang w:eastAsia="en-GB"/>
        </w:rPr>
      </w:pPr>
      <w:r w:rsidRPr="00DC021E">
        <w:rPr>
          <w:rFonts w:eastAsia="Times New Roman"/>
          <w:i/>
          <w:szCs w:val="24"/>
          <w:lang w:eastAsia="en-GB"/>
        </w:rPr>
        <w:t>Article 1</w:t>
      </w:r>
      <w:r w:rsidR="00785766" w:rsidRPr="00DC021E">
        <w:rPr>
          <w:rFonts w:eastAsia="Times New Roman"/>
          <w:i/>
          <w:szCs w:val="24"/>
          <w:lang w:eastAsia="en-GB"/>
        </w:rPr>
        <w:t>5</w:t>
      </w:r>
    </w:p>
    <w:p w:rsidR="004E45D7" w:rsidRPr="00DC021E" w:rsidRDefault="004E45D7" w:rsidP="004E45D7">
      <w:pPr>
        <w:spacing w:before="100" w:beforeAutospacing="1" w:after="100" w:afterAutospacing="1"/>
        <w:jc w:val="center"/>
        <w:rPr>
          <w:rFonts w:eastAsia="Times New Roman"/>
          <w:b/>
          <w:szCs w:val="24"/>
          <w:lang w:eastAsia="en-GB"/>
        </w:rPr>
      </w:pPr>
      <w:r w:rsidRPr="00DC021E">
        <w:rPr>
          <w:rFonts w:eastAsia="Times New Roman"/>
          <w:b/>
          <w:szCs w:val="24"/>
          <w:lang w:eastAsia="en-GB"/>
        </w:rPr>
        <w:t xml:space="preserve">Review </w:t>
      </w:r>
    </w:p>
    <w:p w:rsidR="00B20A52" w:rsidRPr="00DC021E" w:rsidRDefault="004E45D7" w:rsidP="00B20A52">
      <w:pPr>
        <w:pStyle w:val="Titrearticle"/>
        <w:tabs>
          <w:tab w:val="left" w:pos="720"/>
          <w:tab w:val="left" w:pos="1440"/>
          <w:tab w:val="left" w:pos="2160"/>
          <w:tab w:val="left" w:pos="2880"/>
          <w:tab w:val="left" w:pos="3600"/>
          <w:tab w:val="left" w:pos="4320"/>
          <w:tab w:val="center" w:pos="4535"/>
          <w:tab w:val="left" w:pos="5040"/>
          <w:tab w:val="left" w:pos="5760"/>
          <w:tab w:val="left" w:pos="6480"/>
          <w:tab w:val="left" w:pos="7200"/>
        </w:tabs>
        <w:jc w:val="both"/>
      </w:pPr>
      <w:r w:rsidRPr="00DC021E">
        <w:rPr>
          <w:i w:val="0"/>
          <w:noProof/>
        </w:rPr>
        <w:t xml:space="preserve">The Commission shall report to the European Parliament and to the Council by </w:t>
      </w:r>
      <w:r w:rsidR="00156218" w:rsidRPr="00DC021E">
        <w:rPr>
          <w:i w:val="0"/>
          <w:noProof/>
        </w:rPr>
        <w:t>2</w:t>
      </w:r>
      <w:r w:rsidR="00F83FB6" w:rsidRPr="00DC021E">
        <w:rPr>
          <w:i w:val="0"/>
          <w:noProof/>
        </w:rPr>
        <w:t>8</w:t>
      </w:r>
      <w:r w:rsidR="00156218" w:rsidRPr="00DC021E">
        <w:rPr>
          <w:i w:val="0"/>
          <w:noProof/>
        </w:rPr>
        <w:t xml:space="preserve"> February</w:t>
      </w:r>
      <w:r w:rsidRPr="00DC021E">
        <w:rPr>
          <w:i w:val="0"/>
          <w:noProof/>
        </w:rPr>
        <w:t xml:space="preserve"> 2024 </w:t>
      </w:r>
      <w:r w:rsidR="00F83FB6" w:rsidRPr="00DC021E">
        <w:rPr>
          <w:i w:val="0"/>
          <w:noProof/>
        </w:rPr>
        <w:t>and every five years thereafter on the operation of this Regulation</w:t>
      </w:r>
      <w:r w:rsidR="00B20A52" w:rsidRPr="00DC021E">
        <w:rPr>
          <w:i w:val="0"/>
          <w:noProof/>
        </w:rPr>
        <w:t>,</w:t>
      </w:r>
      <w:r w:rsidR="00303D62" w:rsidRPr="00DC021E">
        <w:rPr>
          <w:i w:val="0"/>
          <w:noProof/>
        </w:rPr>
        <w:t>its contribution to the EU's overall 2030 greenhouse gas emission reduction target and its contribution to the goals of the Paris Agreement</w:t>
      </w:r>
      <w:r w:rsidRPr="00DC021E">
        <w:rPr>
          <w:i w:val="0"/>
          <w:noProof/>
          <w:lang w:eastAsia="en-GB"/>
        </w:rPr>
        <w:t>, and may make p</w:t>
      </w:r>
      <w:r w:rsidRPr="00DC021E">
        <w:rPr>
          <w:i w:val="0"/>
          <w:noProof/>
        </w:rPr>
        <w:t>roposals if appropriate.</w:t>
      </w:r>
    </w:p>
    <w:p w:rsidR="00CA206A" w:rsidRPr="00DC021E" w:rsidRDefault="00CA206A" w:rsidP="00886695">
      <w:pPr>
        <w:pStyle w:val="Titrearticle"/>
      </w:pPr>
      <w:r w:rsidRPr="00DC021E">
        <w:t xml:space="preserve">Article 16  </w:t>
      </w:r>
    </w:p>
    <w:p w:rsidR="00CA206A" w:rsidRPr="00DC021E" w:rsidRDefault="007464E6" w:rsidP="00886695">
      <w:pPr>
        <w:pStyle w:val="Titrearticle"/>
        <w:rPr>
          <w:b/>
          <w:i w:val="0"/>
        </w:rPr>
      </w:pPr>
      <w:r w:rsidRPr="00DC021E">
        <w:rPr>
          <w:b/>
          <w:i w:val="0"/>
        </w:rPr>
        <w:t>A</w:t>
      </w:r>
      <w:r w:rsidR="00CA206A" w:rsidRPr="00DC021E">
        <w:rPr>
          <w:b/>
          <w:i w:val="0"/>
        </w:rPr>
        <w:t xml:space="preserve">mendments to Regulation No. 525/2013/EU </w:t>
      </w:r>
    </w:p>
    <w:p w:rsidR="001F3AAF" w:rsidRPr="00DC021E" w:rsidRDefault="001F3AAF" w:rsidP="0041191B">
      <w:r w:rsidRPr="00DC021E">
        <w:t>Regulation No. 525/2013/EU is hereby amended as follows:</w:t>
      </w:r>
    </w:p>
    <w:p w:rsidR="00540059" w:rsidRPr="00DC021E" w:rsidRDefault="00540059" w:rsidP="00540059">
      <w:pPr>
        <w:pStyle w:val="ManualNumPar1"/>
      </w:pPr>
      <w:r w:rsidRPr="00DC021E">
        <w:t>1. Article 7(1) is amended as follows:</w:t>
      </w:r>
    </w:p>
    <w:p w:rsidR="00540059" w:rsidRPr="00DC021E" w:rsidRDefault="00540059" w:rsidP="00540059">
      <w:pPr>
        <w:pStyle w:val="Text1"/>
        <w:ind w:left="0"/>
        <w:rPr>
          <w:bCs/>
          <w:szCs w:val="24"/>
        </w:rPr>
      </w:pPr>
      <w:r w:rsidRPr="00DC021E">
        <w:t xml:space="preserve">(a) </w:t>
      </w:r>
      <w:r w:rsidRPr="00DC021E">
        <w:rPr>
          <w:szCs w:val="24"/>
        </w:rPr>
        <w:t xml:space="preserve">the following </w:t>
      </w:r>
      <w:r w:rsidRPr="00DC021E">
        <w:t>point (da) is inserted</w:t>
      </w:r>
      <w:r w:rsidRPr="00DC021E">
        <w:rPr>
          <w:bCs/>
          <w:szCs w:val="24"/>
        </w:rPr>
        <w:t>:</w:t>
      </w:r>
    </w:p>
    <w:p w:rsidR="00CA206A" w:rsidRPr="00DC021E" w:rsidRDefault="00540059" w:rsidP="00D47E80">
      <w:pPr>
        <w:rPr>
          <w:bCs/>
          <w:szCs w:val="24"/>
        </w:rPr>
      </w:pPr>
      <w:r w:rsidRPr="00DC021E">
        <w:rPr>
          <w:bCs/>
          <w:szCs w:val="24"/>
        </w:rPr>
        <w:t>"(da) From 2023, their emissions and removals covered by Article 2 of Regulation [] [on the inclusion of greenhouse gas emissions and removals from land use, land use change and forestry into the 2030 climate and energy framework</w:t>
      </w:r>
      <w:r w:rsidRPr="00DC021E">
        <w:rPr>
          <w:bCs/>
        </w:rPr>
        <w:t>]</w:t>
      </w:r>
      <w:r w:rsidRPr="00DC021E">
        <w:rPr>
          <w:bCs/>
          <w:szCs w:val="24"/>
        </w:rPr>
        <w:t xml:space="preserve"> in accordance with the methodologies specified in Annex </w:t>
      </w:r>
      <w:proofErr w:type="spellStart"/>
      <w:r w:rsidRPr="00DC021E">
        <w:rPr>
          <w:bCs/>
          <w:szCs w:val="24"/>
        </w:rPr>
        <w:t>IIIa</w:t>
      </w:r>
      <w:proofErr w:type="spellEnd"/>
      <w:r w:rsidRPr="00DC021E">
        <w:rPr>
          <w:bCs/>
          <w:szCs w:val="24"/>
        </w:rPr>
        <w:t xml:space="preserve"> to this Regulation;</w:t>
      </w:r>
    </w:p>
    <w:p w:rsidR="00540059" w:rsidRPr="00DC021E" w:rsidRDefault="00540059" w:rsidP="00D47E80">
      <w:pPr>
        <w:pStyle w:val="Text1"/>
        <w:ind w:left="0"/>
        <w:rPr>
          <w:bCs/>
          <w:szCs w:val="24"/>
        </w:rPr>
      </w:pPr>
      <w:r w:rsidRPr="00DC021E">
        <w:rPr>
          <w:bCs/>
          <w:szCs w:val="24"/>
        </w:rPr>
        <w:t>(b)</w:t>
      </w:r>
      <w:r w:rsidRPr="00DC021E">
        <w:rPr>
          <w:bCs/>
          <w:szCs w:val="24"/>
        </w:rPr>
        <w:tab/>
        <w:t>the following subparagraph is added:</w:t>
      </w:r>
    </w:p>
    <w:p w:rsidR="00540059" w:rsidRPr="00DC021E" w:rsidRDefault="00540059" w:rsidP="00D47E80">
      <w:pPr>
        <w:rPr>
          <w:bCs/>
          <w:szCs w:val="24"/>
        </w:rPr>
      </w:pPr>
      <w:r w:rsidRPr="00DC021E">
        <w:rPr>
          <w:bCs/>
          <w:szCs w:val="24"/>
        </w:rPr>
        <w:t>"</w:t>
      </w:r>
      <w:r w:rsidR="00AF2E6F" w:rsidRPr="00DC021E">
        <w:rPr>
          <w:bCs/>
          <w:szCs w:val="24"/>
        </w:rPr>
        <w:t xml:space="preserve"> A Member State may request derogation from point (da) to apply a different methodology than specified in Annex </w:t>
      </w:r>
      <w:proofErr w:type="spellStart"/>
      <w:r w:rsidR="00AF2E6F" w:rsidRPr="00DC021E">
        <w:rPr>
          <w:bCs/>
          <w:szCs w:val="24"/>
        </w:rPr>
        <w:t>IIIa</w:t>
      </w:r>
      <w:proofErr w:type="spellEnd"/>
      <w:r w:rsidR="00AF2E6F" w:rsidRPr="00DC021E">
        <w:rPr>
          <w:bCs/>
          <w:szCs w:val="24"/>
        </w:rPr>
        <w:t xml:space="preserve"> if the methodology improvement required could not be achieved in time for the improvement to be taken into account in the greenhouse gas inventories of the period from 2021 to 2030, or the cost of the methodology improvement would be disproportionately high compared to the benefits of applying such methodology to improve accounting for emissions and removals due to the low significance of the emissions and removals from the carbon pools concerned. </w:t>
      </w:r>
      <w:r w:rsidR="00AF2E6F" w:rsidRPr="00DC021E">
        <w:t xml:space="preserve">Member States wishing to benefit from the derogation shall submit a reasoned request to the Commission by 31 December 2020, indicating the timeline by when the methodology improvement could be implemented and/or the alternative methodology proposed, and an assessment of the potential impacts on the accuracy of accounting. </w:t>
      </w:r>
      <w:r w:rsidR="00AF2E6F" w:rsidRPr="00DC021E">
        <w:rPr>
          <w:bCs/>
          <w:szCs w:val="24"/>
        </w:rPr>
        <w:t>The Commission may request additional information to be submitted within a reasonable time period specified. Where the Commission considers that the request is justified, it shall grant the derogation. If the request is rejected, the Commission shall give reasons for its decision."</w:t>
      </w:r>
    </w:p>
    <w:p w:rsidR="003A1AC4" w:rsidRPr="00DC021E" w:rsidRDefault="003A1AC4" w:rsidP="003A1AC4">
      <w:pPr>
        <w:pStyle w:val="Text1"/>
        <w:ind w:left="0"/>
        <w:rPr>
          <w:szCs w:val="24"/>
        </w:rPr>
      </w:pPr>
      <w:r w:rsidRPr="00DC021E">
        <w:rPr>
          <w:szCs w:val="24"/>
        </w:rPr>
        <w:t>2.</w:t>
      </w:r>
      <w:r w:rsidRPr="00DC021E">
        <w:rPr>
          <w:szCs w:val="24"/>
        </w:rPr>
        <w:tab/>
      </w:r>
      <w:r w:rsidRPr="00DC021E">
        <w:t xml:space="preserve"> In Article 13(1)(c), the following point (ix) is added</w:t>
      </w:r>
      <w:r w:rsidRPr="00DC021E">
        <w:rPr>
          <w:bCs/>
          <w:szCs w:val="24"/>
        </w:rPr>
        <w:t>:</w:t>
      </w:r>
    </w:p>
    <w:p w:rsidR="003A1AC4" w:rsidRPr="00DC021E" w:rsidRDefault="003A1AC4" w:rsidP="00D47E80">
      <w:r w:rsidRPr="00DC021E">
        <w:rPr>
          <w:bCs/>
          <w:szCs w:val="24"/>
        </w:rPr>
        <w:t>"(ix)</w:t>
      </w:r>
      <w:r w:rsidRPr="00DC021E">
        <w:rPr>
          <w:bCs/>
          <w:szCs w:val="24"/>
        </w:rPr>
        <w:tab/>
        <w:t xml:space="preserve"> as from 2023, information on national policies and measures implemented towards meeting their obligations under </w:t>
      </w:r>
      <w:r w:rsidRPr="00DC021E">
        <w:rPr>
          <w:szCs w:val="24"/>
        </w:rPr>
        <w:t>Regulation [] on the inclusion of greenhouse gas emissions and removals from land use, land use change and forestry into the 2030 climate and energy framework</w:t>
      </w:r>
      <w:r w:rsidRPr="00DC021E">
        <w:rPr>
          <w:bCs/>
          <w:szCs w:val="24"/>
        </w:rPr>
        <w:t xml:space="preserve">, and information on planned additional national policies and measures envisaged with a view to limiting greenhouse gas emissions or enhancing sinks beyond their commitments under that </w:t>
      </w:r>
      <w:r w:rsidRPr="00DC021E">
        <w:rPr>
          <w:szCs w:val="24"/>
        </w:rPr>
        <w:t>Regulation</w:t>
      </w:r>
      <w:r w:rsidRPr="00DC021E">
        <w:t>;</w:t>
      </w:r>
      <w:r w:rsidR="008D5084" w:rsidRPr="00DC021E">
        <w:t>"</w:t>
      </w:r>
    </w:p>
    <w:p w:rsidR="008D5084" w:rsidRPr="00DC021E" w:rsidRDefault="008D5084" w:rsidP="008D5084">
      <w:r w:rsidRPr="00DC021E">
        <w:t>3. In Article 14(1), the following point (bb) is inserted:</w:t>
      </w:r>
    </w:p>
    <w:p w:rsidR="008D5084" w:rsidRPr="00DC021E" w:rsidRDefault="008D5084" w:rsidP="00D47E80">
      <w:r w:rsidRPr="00DC021E">
        <w:t>"(bb)</w:t>
      </w:r>
      <w:r w:rsidRPr="00DC021E">
        <w:tab/>
        <w:t>from 2023, total greenhouse gas projections and separate estimates for the projected greenhouse gas emissions and removals covered by Regulation [] on the inclusion of greenhouse gas emissions and removals from land use, land use change and forestry into the 2030 climate and energy framework."</w:t>
      </w:r>
    </w:p>
    <w:p w:rsidR="008D5084" w:rsidRPr="00DC021E" w:rsidRDefault="008D5084" w:rsidP="008D5084">
      <w:pPr>
        <w:pStyle w:val="Text1"/>
        <w:ind w:left="0"/>
        <w:rPr>
          <w:szCs w:val="24"/>
        </w:rPr>
      </w:pPr>
      <w:r w:rsidRPr="00DC021E">
        <w:rPr>
          <w:szCs w:val="24"/>
        </w:rPr>
        <w:t xml:space="preserve">4. The following Annex </w:t>
      </w:r>
      <w:proofErr w:type="spellStart"/>
      <w:r w:rsidRPr="00DC021E">
        <w:rPr>
          <w:szCs w:val="24"/>
        </w:rPr>
        <w:t>IIIa</w:t>
      </w:r>
      <w:proofErr w:type="spellEnd"/>
      <w:r w:rsidRPr="00DC021E">
        <w:rPr>
          <w:szCs w:val="24"/>
        </w:rPr>
        <w:t xml:space="preserve"> is inserted:</w:t>
      </w:r>
    </w:p>
    <w:p w:rsidR="008D5084" w:rsidRPr="00DC021E" w:rsidRDefault="008D5084" w:rsidP="008D5084">
      <w:pPr>
        <w:pStyle w:val="Text1"/>
        <w:ind w:left="0"/>
        <w:jc w:val="center"/>
        <w:rPr>
          <w:b/>
          <w:szCs w:val="24"/>
        </w:rPr>
      </w:pPr>
    </w:p>
    <w:p w:rsidR="008D5084" w:rsidRPr="00DC021E" w:rsidRDefault="008D5084" w:rsidP="008D5084">
      <w:pPr>
        <w:pStyle w:val="Text1"/>
        <w:ind w:left="0"/>
        <w:jc w:val="center"/>
        <w:rPr>
          <w:b/>
          <w:szCs w:val="24"/>
        </w:rPr>
      </w:pPr>
      <w:r w:rsidRPr="00DC021E">
        <w:rPr>
          <w:szCs w:val="24"/>
        </w:rPr>
        <w:t>"</w:t>
      </w:r>
      <w:r w:rsidRPr="00DC021E">
        <w:rPr>
          <w:b/>
          <w:szCs w:val="24"/>
        </w:rPr>
        <w:t xml:space="preserve">Annex </w:t>
      </w:r>
      <w:proofErr w:type="spellStart"/>
      <w:r w:rsidRPr="00DC021E">
        <w:rPr>
          <w:b/>
          <w:szCs w:val="24"/>
        </w:rPr>
        <w:t>IIIa</w:t>
      </w:r>
      <w:proofErr w:type="spellEnd"/>
    </w:p>
    <w:p w:rsidR="008D5084" w:rsidRPr="00DC021E" w:rsidRDefault="008D5084" w:rsidP="008D5084">
      <w:pPr>
        <w:pStyle w:val="Text1"/>
        <w:ind w:left="0"/>
        <w:jc w:val="center"/>
        <w:rPr>
          <w:b/>
          <w:szCs w:val="24"/>
        </w:rPr>
      </w:pPr>
      <w:r w:rsidRPr="00DC021E">
        <w:rPr>
          <w:b/>
          <w:szCs w:val="24"/>
        </w:rPr>
        <w:t>Methodologies for monitoring and reporting referred to in Article 7 (1) (da)</w:t>
      </w:r>
    </w:p>
    <w:p w:rsidR="008D5084" w:rsidRPr="00DC021E" w:rsidRDefault="008D5084" w:rsidP="00683E3D">
      <w:pPr>
        <w:pStyle w:val="Text1"/>
        <w:rPr>
          <w:szCs w:val="24"/>
        </w:rPr>
      </w:pPr>
      <w:r w:rsidRPr="00DC021E">
        <w:rPr>
          <w:szCs w:val="24"/>
        </w:rPr>
        <w:t xml:space="preserve">Spatially-explicit land-use conversion data for the identification and tracking of land-use categories and conversions between land-use categories. </w:t>
      </w:r>
    </w:p>
    <w:p w:rsidR="008D5084" w:rsidRPr="00DC021E" w:rsidRDefault="008D5084" w:rsidP="00683E3D">
      <w:pPr>
        <w:pStyle w:val="Text1"/>
        <w:rPr>
          <w:szCs w:val="24"/>
        </w:rPr>
      </w:pPr>
    </w:p>
    <w:p w:rsidR="008D5084" w:rsidRPr="00DC021E" w:rsidRDefault="008D5084" w:rsidP="00683E3D">
      <w:pPr>
        <w:pStyle w:val="Text1"/>
        <w:rPr>
          <w:szCs w:val="24"/>
        </w:rPr>
      </w:pPr>
      <w:r w:rsidRPr="00DC021E">
        <w:rPr>
          <w:szCs w:val="24"/>
        </w:rPr>
        <w:t xml:space="preserve">Tier 1 methodology using globally calibrated standard emission factors and parameter values in accordance with the 2006 IPCC guidelines for National Greenhouse Gas Inventories. </w:t>
      </w:r>
    </w:p>
    <w:p w:rsidR="008D5084" w:rsidRPr="00DC021E" w:rsidRDefault="008D5084" w:rsidP="00683E3D">
      <w:pPr>
        <w:pStyle w:val="Text1"/>
        <w:rPr>
          <w:szCs w:val="24"/>
        </w:rPr>
      </w:pPr>
      <w:r w:rsidRPr="00DC021E">
        <w:rPr>
          <w:szCs w:val="24"/>
        </w:rPr>
        <w:t xml:space="preserve">For emissions and removals for a carbon pool that accounts for at least 25-30% of emissions or removals in a source or sink category which is prioritised within a Member State's national inventory system because its estimate has a significant influence on a country’s total inventory of greenhouse gases in terms of the absolute level of emissions and removals, the trend in emissions and removals, or the uncertainty in emissions and removals in the land-use categories, at least Tier 2 methodology using nationally determined emission factors and parameter values calibrated to national circumstances in accordance with the 2006 IPCC guidelines for National Greenhouse Gas Inventories. </w:t>
      </w:r>
    </w:p>
    <w:p w:rsidR="00CA206A" w:rsidRPr="00DC021E" w:rsidRDefault="008D5084" w:rsidP="00D47E80">
      <w:r w:rsidRPr="00DC021E">
        <w:rPr>
          <w:szCs w:val="24"/>
        </w:rPr>
        <w:t>Member States are encouraged to apply Tier 3 methodology using non-parametric modelling calibrated to national circumstances, describing the physical interaction of the bio-physical system, in accordance with the 2006 IPCC guidelines for National Greenhouse Gas Inventories. "</w:t>
      </w:r>
    </w:p>
    <w:p w:rsidR="004E45D7" w:rsidRPr="00DC021E" w:rsidRDefault="004E45D7" w:rsidP="00886695">
      <w:pPr>
        <w:pStyle w:val="Titrearticle"/>
      </w:pPr>
      <w:r w:rsidRPr="00DC021E">
        <w:t>Article 1</w:t>
      </w:r>
      <w:r w:rsidR="003E7740" w:rsidRPr="00DC021E">
        <w:t>7</w:t>
      </w:r>
    </w:p>
    <w:p w:rsidR="00046B80" w:rsidRPr="00DC021E" w:rsidRDefault="00046B80" w:rsidP="00046B80">
      <w:pPr>
        <w:jc w:val="center"/>
        <w:rPr>
          <w:b/>
        </w:rPr>
      </w:pPr>
      <w:r w:rsidRPr="00DC021E">
        <w:rPr>
          <w:b/>
        </w:rPr>
        <w:t>Entry into force</w:t>
      </w:r>
    </w:p>
    <w:p w:rsidR="00046B80" w:rsidRPr="00DC021E" w:rsidRDefault="00046B80" w:rsidP="00046B80"/>
    <w:p w:rsidR="004E45D7" w:rsidRPr="00DC021E" w:rsidRDefault="004E45D7" w:rsidP="00886695">
      <w:r w:rsidRPr="00DC021E">
        <w:t xml:space="preserve">This Regulation shall enter into force on the twentieth day following that of its publication in the </w:t>
      </w:r>
      <w:r w:rsidRPr="00DC021E">
        <w:rPr>
          <w:i/>
        </w:rPr>
        <w:t>Official Journal of the European Union</w:t>
      </w:r>
      <w:r w:rsidRPr="00DC021E">
        <w:t>.</w:t>
      </w:r>
    </w:p>
    <w:p w:rsidR="004E45D7" w:rsidRPr="00DC021E" w:rsidRDefault="004E45D7" w:rsidP="00886695">
      <w:pPr>
        <w:pStyle w:val="Applicationdirecte"/>
      </w:pPr>
      <w:r w:rsidRPr="00DC021E">
        <w:t>This Regulation shall be binding in its entirety and directly applicable in all Member States.</w:t>
      </w:r>
    </w:p>
    <w:p w:rsidR="004E45D7" w:rsidRPr="00DC021E" w:rsidRDefault="006A2759" w:rsidP="006A2759">
      <w:pPr>
        <w:pStyle w:val="Fait"/>
      </w:pPr>
      <w:r w:rsidRPr="006A2759">
        <w:t>Done at Brussels,</w:t>
      </w:r>
    </w:p>
    <w:p w:rsidR="004E45D7" w:rsidRPr="00DC021E" w:rsidRDefault="004E45D7" w:rsidP="004E45D7">
      <w:pPr>
        <w:pStyle w:val="Institutionquisigne"/>
      </w:pPr>
      <w:r w:rsidRPr="00DC021E">
        <w:t>For the European Parliament</w:t>
      </w:r>
      <w:r w:rsidRPr="00DC021E">
        <w:tab/>
        <w:t>For the Council</w:t>
      </w:r>
    </w:p>
    <w:p w:rsidR="00DC64CF" w:rsidRPr="00DC021E" w:rsidRDefault="004E45D7" w:rsidP="004D5964">
      <w:pPr>
        <w:pStyle w:val="Personnequisigne"/>
      </w:pPr>
      <w:r w:rsidRPr="00DC021E">
        <w:t>The President</w:t>
      </w:r>
      <w:r w:rsidRPr="00DC021E">
        <w:tab/>
        <w:t>The President</w:t>
      </w:r>
    </w:p>
    <w:p w:rsidR="00DC64CF" w:rsidRPr="00DC021E" w:rsidRDefault="00DC64CF" w:rsidP="00DC64CF">
      <w:pPr>
        <w:sectPr w:rsidR="00DC64CF" w:rsidRPr="00DC021E" w:rsidSect="006A2759">
          <w:pgSz w:w="11907" w:h="16839"/>
          <w:pgMar w:top="1134" w:right="1417" w:bottom="1134" w:left="1417" w:header="709" w:footer="709" w:gutter="0"/>
          <w:cols w:space="708"/>
          <w:docGrid w:linePitch="360"/>
        </w:sectPr>
      </w:pPr>
    </w:p>
    <w:p w:rsidR="00DC64CF" w:rsidRPr="00DC021E" w:rsidRDefault="00DC64CF" w:rsidP="00977CF9">
      <w:pPr>
        <w:pStyle w:val="Fichefinanciretitre"/>
        <w:rPr>
          <w:noProof/>
        </w:rPr>
      </w:pPr>
      <w:r w:rsidRPr="00DC021E">
        <w:rPr>
          <w:noProof/>
        </w:rPr>
        <w:t>LEGISLATIVE FINANCIAL STATEMENT</w:t>
      </w:r>
    </w:p>
    <w:p w:rsidR="00DC64CF" w:rsidRPr="00DC021E" w:rsidRDefault="00DC64CF" w:rsidP="00977CF9">
      <w:pPr>
        <w:pStyle w:val="ManualHeading1"/>
        <w:rPr>
          <w:noProof/>
        </w:rPr>
      </w:pPr>
      <w:r w:rsidRPr="00DC021E">
        <w:rPr>
          <w:noProof/>
        </w:rPr>
        <w:t>1.</w:t>
      </w:r>
      <w:r w:rsidRPr="00DC021E">
        <w:rPr>
          <w:noProof/>
        </w:rPr>
        <w:tab/>
        <w:t xml:space="preserve">FRAMEWORK OF THE PROPOSAL/INITIATIVE </w:t>
      </w:r>
    </w:p>
    <w:p w:rsidR="00DC64CF" w:rsidRPr="00DC021E" w:rsidRDefault="00DC64CF" w:rsidP="00977CF9">
      <w:pPr>
        <w:pStyle w:val="ManualHeading2"/>
        <w:rPr>
          <w:b w:val="0"/>
          <w:noProof/>
        </w:rPr>
      </w:pPr>
      <w:r w:rsidRPr="00DC021E">
        <w:rPr>
          <w:noProof/>
        </w:rPr>
        <w:tab/>
      </w:r>
      <w:r w:rsidRPr="00DC021E">
        <w:rPr>
          <w:b w:val="0"/>
          <w:noProof/>
        </w:rPr>
        <w:t>1.1.</w:t>
      </w:r>
      <w:r w:rsidRPr="00DC021E">
        <w:rPr>
          <w:b w:val="0"/>
          <w:noProof/>
        </w:rPr>
        <w:tab/>
        <w:t xml:space="preserve">Title of the proposal/initiative </w:t>
      </w:r>
    </w:p>
    <w:p w:rsidR="00DC64CF" w:rsidRPr="00DC021E" w:rsidRDefault="00DC64CF" w:rsidP="00977CF9">
      <w:pPr>
        <w:pStyle w:val="ManualHeading2"/>
        <w:rPr>
          <w:b w:val="0"/>
          <w:noProof/>
        </w:rPr>
      </w:pPr>
      <w:r w:rsidRPr="00DC021E">
        <w:rPr>
          <w:b w:val="0"/>
          <w:noProof/>
        </w:rPr>
        <w:tab/>
        <w:t>1.2.</w:t>
      </w:r>
      <w:r w:rsidRPr="00DC021E">
        <w:rPr>
          <w:b w:val="0"/>
          <w:noProof/>
        </w:rPr>
        <w:tab/>
        <w:t>Policy area(s) concerned in the ABM/ABB structure</w:t>
      </w:r>
    </w:p>
    <w:p w:rsidR="00DC64CF" w:rsidRPr="00DC021E" w:rsidRDefault="00DC64CF" w:rsidP="00977CF9">
      <w:pPr>
        <w:pStyle w:val="ManualHeading2"/>
        <w:rPr>
          <w:b w:val="0"/>
          <w:noProof/>
        </w:rPr>
      </w:pPr>
      <w:r w:rsidRPr="00DC021E">
        <w:rPr>
          <w:b w:val="0"/>
          <w:noProof/>
        </w:rPr>
        <w:tab/>
        <w:t>1.3.</w:t>
      </w:r>
      <w:r w:rsidRPr="00DC021E">
        <w:rPr>
          <w:b w:val="0"/>
          <w:noProof/>
        </w:rPr>
        <w:tab/>
        <w:t xml:space="preserve">Nature of the proposal/initiative </w:t>
      </w:r>
    </w:p>
    <w:p w:rsidR="00DC64CF" w:rsidRPr="00DC021E" w:rsidRDefault="00DC64CF" w:rsidP="00977CF9">
      <w:pPr>
        <w:pStyle w:val="ManualHeading2"/>
        <w:rPr>
          <w:b w:val="0"/>
          <w:noProof/>
        </w:rPr>
      </w:pPr>
      <w:r w:rsidRPr="00DC021E">
        <w:rPr>
          <w:b w:val="0"/>
          <w:noProof/>
        </w:rPr>
        <w:tab/>
        <w:t>1.4.</w:t>
      </w:r>
      <w:r w:rsidRPr="00DC021E">
        <w:rPr>
          <w:b w:val="0"/>
          <w:noProof/>
        </w:rPr>
        <w:tab/>
        <w:t xml:space="preserve">Objective(s) </w:t>
      </w:r>
    </w:p>
    <w:p w:rsidR="00DC64CF" w:rsidRPr="00DC021E" w:rsidRDefault="00DC64CF" w:rsidP="00977CF9">
      <w:pPr>
        <w:pStyle w:val="ManualHeading2"/>
        <w:rPr>
          <w:b w:val="0"/>
          <w:noProof/>
        </w:rPr>
      </w:pPr>
      <w:r w:rsidRPr="00DC021E">
        <w:rPr>
          <w:b w:val="0"/>
          <w:noProof/>
        </w:rPr>
        <w:tab/>
        <w:t>1.5.</w:t>
      </w:r>
      <w:r w:rsidRPr="00DC021E">
        <w:rPr>
          <w:b w:val="0"/>
          <w:noProof/>
        </w:rPr>
        <w:tab/>
        <w:t xml:space="preserve">Grounds for the proposal/initiative </w:t>
      </w:r>
    </w:p>
    <w:p w:rsidR="00DC64CF" w:rsidRPr="00DC021E" w:rsidRDefault="00DC64CF" w:rsidP="00977CF9">
      <w:pPr>
        <w:pStyle w:val="ManualHeading2"/>
        <w:rPr>
          <w:b w:val="0"/>
          <w:noProof/>
        </w:rPr>
      </w:pPr>
      <w:r w:rsidRPr="00DC021E">
        <w:rPr>
          <w:b w:val="0"/>
          <w:noProof/>
        </w:rPr>
        <w:tab/>
        <w:t>1.6.</w:t>
      </w:r>
      <w:r w:rsidRPr="00DC021E">
        <w:rPr>
          <w:b w:val="0"/>
          <w:noProof/>
        </w:rPr>
        <w:tab/>
        <w:t xml:space="preserve">Duration and financial impact </w:t>
      </w:r>
    </w:p>
    <w:p w:rsidR="00DC64CF" w:rsidRPr="00DC021E" w:rsidRDefault="00DC64CF" w:rsidP="00977CF9">
      <w:pPr>
        <w:pStyle w:val="ManualHeading2"/>
        <w:rPr>
          <w:b w:val="0"/>
          <w:noProof/>
        </w:rPr>
      </w:pPr>
      <w:r w:rsidRPr="00DC021E">
        <w:rPr>
          <w:b w:val="0"/>
          <w:noProof/>
        </w:rPr>
        <w:tab/>
        <w:t>1.7.</w:t>
      </w:r>
      <w:r w:rsidRPr="00DC021E">
        <w:rPr>
          <w:b w:val="0"/>
          <w:noProof/>
        </w:rPr>
        <w:tab/>
        <w:t xml:space="preserve">Management mode(s) planned </w:t>
      </w:r>
    </w:p>
    <w:p w:rsidR="00DC64CF" w:rsidRPr="00DC021E" w:rsidRDefault="00DC64CF" w:rsidP="00977CF9">
      <w:pPr>
        <w:pStyle w:val="ManualHeading1"/>
        <w:rPr>
          <w:noProof/>
        </w:rPr>
      </w:pPr>
      <w:r w:rsidRPr="00DC021E">
        <w:rPr>
          <w:noProof/>
        </w:rPr>
        <w:t>2.</w:t>
      </w:r>
      <w:r w:rsidRPr="00DC021E">
        <w:rPr>
          <w:noProof/>
        </w:rPr>
        <w:tab/>
        <w:t xml:space="preserve">MANAGEMENT MEASURES </w:t>
      </w:r>
    </w:p>
    <w:p w:rsidR="00DC64CF" w:rsidRPr="00DC021E" w:rsidRDefault="00DC64CF" w:rsidP="00977CF9">
      <w:pPr>
        <w:pStyle w:val="ManualHeading2"/>
        <w:rPr>
          <w:b w:val="0"/>
          <w:noProof/>
        </w:rPr>
      </w:pPr>
      <w:r w:rsidRPr="00DC021E">
        <w:rPr>
          <w:b w:val="0"/>
          <w:noProof/>
        </w:rPr>
        <w:tab/>
        <w:t>2.1.</w:t>
      </w:r>
      <w:r w:rsidRPr="00DC021E">
        <w:rPr>
          <w:b w:val="0"/>
          <w:noProof/>
        </w:rPr>
        <w:tab/>
        <w:t xml:space="preserve">Monitoring and reporting rules </w:t>
      </w:r>
    </w:p>
    <w:p w:rsidR="00DC64CF" w:rsidRPr="00DC021E" w:rsidRDefault="00DC64CF" w:rsidP="00977CF9">
      <w:pPr>
        <w:pStyle w:val="ManualHeading2"/>
        <w:rPr>
          <w:b w:val="0"/>
          <w:noProof/>
        </w:rPr>
      </w:pPr>
      <w:r w:rsidRPr="00DC021E">
        <w:rPr>
          <w:b w:val="0"/>
          <w:noProof/>
        </w:rPr>
        <w:tab/>
        <w:t>2.2.</w:t>
      </w:r>
      <w:r w:rsidRPr="00DC021E">
        <w:rPr>
          <w:b w:val="0"/>
          <w:noProof/>
        </w:rPr>
        <w:tab/>
        <w:t xml:space="preserve">Management and control system </w:t>
      </w:r>
    </w:p>
    <w:p w:rsidR="00DC64CF" w:rsidRPr="00DC021E" w:rsidRDefault="00DC64CF" w:rsidP="00977CF9">
      <w:pPr>
        <w:pStyle w:val="ManualHeading2"/>
        <w:rPr>
          <w:b w:val="0"/>
          <w:noProof/>
        </w:rPr>
      </w:pPr>
      <w:r w:rsidRPr="00DC021E">
        <w:rPr>
          <w:b w:val="0"/>
          <w:noProof/>
        </w:rPr>
        <w:tab/>
        <w:t>2.3.</w:t>
      </w:r>
      <w:r w:rsidRPr="00DC021E">
        <w:rPr>
          <w:b w:val="0"/>
          <w:noProof/>
        </w:rPr>
        <w:tab/>
        <w:t xml:space="preserve">Measures to prevent fraud and irregularities </w:t>
      </w:r>
    </w:p>
    <w:p w:rsidR="00DC64CF" w:rsidRPr="00DC021E" w:rsidRDefault="00DC64CF" w:rsidP="00977CF9">
      <w:pPr>
        <w:pStyle w:val="ManualHeading1"/>
        <w:rPr>
          <w:noProof/>
        </w:rPr>
      </w:pPr>
      <w:r w:rsidRPr="00DC021E">
        <w:rPr>
          <w:noProof/>
        </w:rPr>
        <w:t>3.</w:t>
      </w:r>
      <w:r w:rsidRPr="00DC021E">
        <w:rPr>
          <w:noProof/>
        </w:rPr>
        <w:tab/>
        <w:t xml:space="preserve">ESTIMATED FINANCIAL IMPACT OF THE PROPOSAL/INITIATIVE </w:t>
      </w:r>
    </w:p>
    <w:p w:rsidR="00DC64CF" w:rsidRPr="00DC021E" w:rsidRDefault="00DC64CF" w:rsidP="00977CF9">
      <w:pPr>
        <w:pStyle w:val="ManualHeading2"/>
        <w:rPr>
          <w:b w:val="0"/>
          <w:noProof/>
        </w:rPr>
      </w:pPr>
      <w:r w:rsidRPr="00DC021E">
        <w:rPr>
          <w:b w:val="0"/>
          <w:noProof/>
        </w:rPr>
        <w:tab/>
        <w:t>3.1.</w:t>
      </w:r>
      <w:r w:rsidRPr="00DC021E">
        <w:rPr>
          <w:b w:val="0"/>
          <w:noProof/>
        </w:rPr>
        <w:tab/>
        <w:t xml:space="preserve">Heading(s) of the multiannual financial framework and expenditure budget line(s) affected </w:t>
      </w:r>
    </w:p>
    <w:p w:rsidR="00DC64CF" w:rsidRPr="00DC021E" w:rsidRDefault="00DC64CF" w:rsidP="00977CF9">
      <w:pPr>
        <w:pStyle w:val="ManualHeading2"/>
        <w:rPr>
          <w:noProof/>
        </w:rPr>
      </w:pPr>
      <w:r w:rsidRPr="00DC021E">
        <w:rPr>
          <w:b w:val="0"/>
          <w:noProof/>
        </w:rPr>
        <w:tab/>
        <w:t>3.2.</w:t>
      </w:r>
      <w:r w:rsidRPr="00DC021E">
        <w:rPr>
          <w:b w:val="0"/>
          <w:noProof/>
        </w:rPr>
        <w:tab/>
        <w:t>Estimated impact on expenditure</w:t>
      </w:r>
      <w:r w:rsidRPr="00DC021E">
        <w:rPr>
          <w:noProof/>
        </w:rPr>
        <w:t xml:space="preserve"> </w:t>
      </w:r>
    </w:p>
    <w:p w:rsidR="00DC64CF" w:rsidRPr="00DC021E" w:rsidRDefault="00DC64CF" w:rsidP="00977CF9">
      <w:pPr>
        <w:pStyle w:val="ManualHeading3"/>
        <w:rPr>
          <w:noProof/>
        </w:rPr>
      </w:pPr>
      <w:r w:rsidRPr="00DC021E">
        <w:rPr>
          <w:noProof/>
        </w:rPr>
        <w:tab/>
        <w:t>3.2.1.</w:t>
      </w:r>
      <w:r w:rsidRPr="00DC021E">
        <w:rPr>
          <w:noProof/>
        </w:rPr>
        <w:tab/>
        <w:t xml:space="preserve">Summary of estimated impact on expenditure </w:t>
      </w:r>
    </w:p>
    <w:p w:rsidR="00DC64CF" w:rsidRPr="00DC021E" w:rsidRDefault="00DC64CF" w:rsidP="00977CF9">
      <w:pPr>
        <w:pStyle w:val="ManualHeading3"/>
        <w:rPr>
          <w:noProof/>
        </w:rPr>
      </w:pPr>
      <w:r w:rsidRPr="00DC021E">
        <w:rPr>
          <w:noProof/>
        </w:rPr>
        <w:tab/>
        <w:t>3.2.2.</w:t>
      </w:r>
      <w:r w:rsidRPr="00DC021E">
        <w:rPr>
          <w:noProof/>
        </w:rPr>
        <w:tab/>
        <w:t xml:space="preserve">Estimated impact on operational appropriations </w:t>
      </w:r>
    </w:p>
    <w:p w:rsidR="00DC64CF" w:rsidRPr="00DC021E" w:rsidRDefault="00DC64CF" w:rsidP="00977CF9">
      <w:pPr>
        <w:pStyle w:val="ManualHeading3"/>
        <w:rPr>
          <w:noProof/>
        </w:rPr>
      </w:pPr>
      <w:r w:rsidRPr="00DC021E">
        <w:rPr>
          <w:noProof/>
        </w:rPr>
        <w:tab/>
        <w:t>3.2.3.</w:t>
      </w:r>
      <w:r w:rsidRPr="00DC021E">
        <w:rPr>
          <w:noProof/>
        </w:rPr>
        <w:tab/>
        <w:t>Estimated impact on appropriations of an administrative nature</w:t>
      </w:r>
    </w:p>
    <w:p w:rsidR="00DC64CF" w:rsidRPr="00DC021E" w:rsidRDefault="00DC64CF" w:rsidP="00977CF9">
      <w:pPr>
        <w:pStyle w:val="ManualHeading3"/>
        <w:rPr>
          <w:noProof/>
        </w:rPr>
      </w:pPr>
      <w:r w:rsidRPr="00DC021E">
        <w:rPr>
          <w:noProof/>
        </w:rPr>
        <w:tab/>
        <w:t>3.2.4.</w:t>
      </w:r>
      <w:r w:rsidRPr="00DC021E">
        <w:rPr>
          <w:noProof/>
        </w:rPr>
        <w:tab/>
        <w:t>Compatibility with the current multiannual financial framework</w:t>
      </w:r>
    </w:p>
    <w:p w:rsidR="00DC64CF" w:rsidRPr="00DC021E" w:rsidRDefault="00DC64CF" w:rsidP="00977CF9">
      <w:pPr>
        <w:pStyle w:val="ManualHeading3"/>
        <w:rPr>
          <w:noProof/>
        </w:rPr>
      </w:pPr>
      <w:r w:rsidRPr="00DC021E">
        <w:rPr>
          <w:noProof/>
        </w:rPr>
        <w:tab/>
        <w:t>3.2.5.</w:t>
      </w:r>
      <w:r w:rsidRPr="00DC021E">
        <w:rPr>
          <w:noProof/>
        </w:rPr>
        <w:tab/>
        <w:t xml:space="preserve">Third-party contributions </w:t>
      </w:r>
    </w:p>
    <w:p w:rsidR="00DC64CF" w:rsidRPr="00DC021E" w:rsidRDefault="00DC64CF" w:rsidP="00977CF9">
      <w:pPr>
        <w:pStyle w:val="ManualHeading2"/>
        <w:jc w:val="left"/>
        <w:rPr>
          <w:b w:val="0"/>
          <w:noProof/>
        </w:rPr>
        <w:sectPr w:rsidR="00DC64CF" w:rsidRPr="00DC021E" w:rsidSect="006A2759">
          <w:pgSz w:w="11907" w:h="16840" w:code="9"/>
          <w:pgMar w:top="1134" w:right="1418" w:bottom="1134" w:left="1418" w:header="709" w:footer="709" w:gutter="0"/>
          <w:cols w:space="708"/>
          <w:docGrid w:linePitch="360"/>
        </w:sectPr>
      </w:pPr>
      <w:r w:rsidRPr="00DC021E">
        <w:rPr>
          <w:b w:val="0"/>
          <w:noProof/>
        </w:rPr>
        <w:tab/>
        <w:t>3.3.</w:t>
      </w:r>
      <w:r w:rsidRPr="00DC021E">
        <w:rPr>
          <w:b w:val="0"/>
          <w:noProof/>
        </w:rPr>
        <w:tab/>
        <w:t>Estimated impact on revenue</w:t>
      </w:r>
    </w:p>
    <w:p w:rsidR="00DC64CF" w:rsidRPr="00DC021E" w:rsidRDefault="00DC64CF" w:rsidP="00977CF9">
      <w:pPr>
        <w:jc w:val="center"/>
      </w:pPr>
      <w:r w:rsidRPr="00DC021E">
        <w:rPr>
          <w:b/>
          <w:noProof/>
          <w:u w:val="single"/>
        </w:rPr>
        <w:t>LEGISLATIVE FINANCIAL STATEMENT</w:t>
      </w:r>
    </w:p>
    <w:p w:rsidR="00DC64CF" w:rsidRPr="00DC021E" w:rsidRDefault="00DC64CF" w:rsidP="00447309">
      <w:pPr>
        <w:pStyle w:val="Heading1"/>
        <w:numPr>
          <w:ilvl w:val="0"/>
          <w:numId w:val="14"/>
        </w:numPr>
        <w:rPr>
          <w:noProof/>
        </w:rPr>
      </w:pPr>
      <w:r w:rsidRPr="00DC021E">
        <w:rPr>
          <w:noProof/>
        </w:rPr>
        <w:t xml:space="preserve">FRAMEWORK OF THE PROPOSAL/INITIATIVE </w:t>
      </w:r>
    </w:p>
    <w:p w:rsidR="00DC64CF" w:rsidRPr="00DC021E" w:rsidRDefault="00DC64CF" w:rsidP="00977CF9">
      <w:pPr>
        <w:pStyle w:val="Heading2"/>
        <w:rPr>
          <w:noProof/>
        </w:rPr>
      </w:pPr>
      <w:r w:rsidRPr="00DC021E">
        <w:rPr>
          <w:noProof/>
        </w:rPr>
        <w:t xml:space="preserve">Title of the proposal/initiative </w:t>
      </w:r>
    </w:p>
    <w:p w:rsidR="00DC64CF" w:rsidRPr="00DC021E" w:rsidRDefault="00784A76" w:rsidP="00977CF9">
      <w:pPr>
        <w:pStyle w:val="Text1"/>
        <w:pBdr>
          <w:top w:val="single" w:sz="4" w:space="1" w:color="auto"/>
          <w:left w:val="single" w:sz="4" w:space="4" w:color="auto"/>
          <w:bottom w:val="single" w:sz="4" w:space="1" w:color="auto"/>
          <w:right w:val="single" w:sz="4" w:space="4" w:color="auto"/>
        </w:pBdr>
        <w:rPr>
          <w:noProof/>
        </w:rPr>
      </w:pPr>
      <w:proofErr w:type="gramStart"/>
      <w:r w:rsidRPr="00E56AA3">
        <w:t>Regulation of the European Parliament and of the Council on the inclusion of greenhouse gas emissions and removals from land use, land use change and forestry into the 2030 climate and energy framework.</w:t>
      </w:r>
      <w:proofErr w:type="gramEnd"/>
    </w:p>
    <w:p w:rsidR="00DC64CF" w:rsidRPr="00DC021E" w:rsidRDefault="00DC64CF" w:rsidP="00977CF9">
      <w:pPr>
        <w:pStyle w:val="Heading2"/>
        <w:rPr>
          <w:noProof/>
          <w:szCs w:val="24"/>
        </w:rPr>
      </w:pPr>
      <w:r w:rsidRPr="00DC021E">
        <w:rPr>
          <w:noProof/>
        </w:rPr>
        <w:t>Policy area(s) concerned in the ABM/ABB structure</w:t>
      </w:r>
      <w:r w:rsidRPr="00DC021E">
        <w:rPr>
          <w:rStyle w:val="FootnoteReference"/>
          <w:bCs w:val="0"/>
          <w:noProof/>
        </w:rPr>
        <w:footnoteReference w:id="12"/>
      </w:r>
      <w:r w:rsidRPr="00DC021E">
        <w:rPr>
          <w:i/>
          <w:noProof/>
        </w:rPr>
        <w:t xml:space="preserve"> </w:t>
      </w:r>
    </w:p>
    <w:p w:rsidR="00784A76" w:rsidRPr="00E56AA3" w:rsidRDefault="00784A76" w:rsidP="00784A76">
      <w:pPr>
        <w:pStyle w:val="Text1"/>
        <w:pBdr>
          <w:top w:val="single" w:sz="4" w:space="1" w:color="auto"/>
          <w:left w:val="single" w:sz="4" w:space="4" w:color="auto"/>
          <w:bottom w:val="single" w:sz="4" w:space="1" w:color="auto"/>
          <w:right w:val="single" w:sz="4" w:space="4" w:color="auto"/>
        </w:pBdr>
      </w:pPr>
      <w:r w:rsidRPr="00E56AA3">
        <w:t>Policy area: Climate Action</w:t>
      </w:r>
    </w:p>
    <w:p w:rsidR="00DC64CF" w:rsidRPr="00DC021E" w:rsidRDefault="00784A76" w:rsidP="00784A76">
      <w:pPr>
        <w:pStyle w:val="Text1"/>
        <w:pBdr>
          <w:top w:val="single" w:sz="4" w:space="1" w:color="auto"/>
          <w:left w:val="single" w:sz="4" w:space="4" w:color="auto"/>
          <w:bottom w:val="single" w:sz="4" w:space="1" w:color="auto"/>
          <w:right w:val="single" w:sz="4" w:space="4" w:color="auto"/>
        </w:pBdr>
        <w:rPr>
          <w:noProof/>
        </w:rPr>
      </w:pPr>
      <w:r w:rsidRPr="00E56AA3">
        <w:t>ABB activity: Climate action at Union and international level (ABB code 34 02 01)</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rPr>
      </w:pPr>
    </w:p>
    <w:p w:rsidR="00DC64CF" w:rsidRPr="00DC021E" w:rsidRDefault="00DC64CF" w:rsidP="00977CF9">
      <w:pPr>
        <w:pStyle w:val="Heading2"/>
        <w:rPr>
          <w:bCs w:val="0"/>
          <w:noProof/>
          <w:szCs w:val="24"/>
        </w:rPr>
      </w:pPr>
      <w:r w:rsidRPr="00DC021E">
        <w:rPr>
          <w:noProof/>
        </w:rPr>
        <w:t xml:space="preserve">Nature of the proposal/initiative </w:t>
      </w:r>
    </w:p>
    <w:p w:rsidR="00DC64CF" w:rsidRPr="00DC021E" w:rsidRDefault="00DC64CF" w:rsidP="00977CF9">
      <w:pPr>
        <w:pStyle w:val="Text1"/>
        <w:rPr>
          <w:b/>
          <w:noProof/>
          <w:sz w:val="22"/>
        </w:rPr>
      </w:pPr>
      <w:r w:rsidRPr="00DC021E">
        <w:rPr>
          <w:noProof/>
          <w:sz w:val="22"/>
        </w:rPr>
        <w:sym w:font="Wingdings" w:char="F0A8"/>
      </w:r>
      <w:r w:rsidRPr="00DC021E">
        <w:rPr>
          <w:b/>
          <w:i/>
          <w:noProof/>
          <w:sz w:val="22"/>
        </w:rPr>
        <w:t xml:space="preserve"> </w:t>
      </w:r>
      <w:r w:rsidRPr="00DC021E">
        <w:rPr>
          <w:noProof/>
        </w:rPr>
        <w:t xml:space="preserve">The proposal/initiative relates to </w:t>
      </w:r>
      <w:r w:rsidRPr="00DC021E">
        <w:rPr>
          <w:b/>
          <w:noProof/>
        </w:rPr>
        <w:t>a new action</w:t>
      </w:r>
      <w:r w:rsidRPr="00DC021E">
        <w:rPr>
          <w:b/>
          <w:noProof/>
          <w:sz w:val="22"/>
        </w:rPr>
        <w:t xml:space="preserve"> </w:t>
      </w:r>
    </w:p>
    <w:p w:rsidR="00DC64CF" w:rsidRPr="00DC021E" w:rsidRDefault="00DC64CF" w:rsidP="00977CF9">
      <w:pPr>
        <w:pStyle w:val="Text1"/>
        <w:rPr>
          <w:noProof/>
          <w:sz w:val="22"/>
        </w:rPr>
      </w:pPr>
      <w:r w:rsidRPr="00DC021E">
        <w:rPr>
          <w:noProof/>
          <w:sz w:val="22"/>
        </w:rPr>
        <w:sym w:font="Wingdings" w:char="F0A8"/>
      </w:r>
      <w:r w:rsidRPr="00DC021E">
        <w:rPr>
          <w:i/>
          <w:noProof/>
          <w:sz w:val="22"/>
        </w:rPr>
        <w:t xml:space="preserve"> </w:t>
      </w:r>
      <w:r w:rsidRPr="00DC021E">
        <w:rPr>
          <w:noProof/>
        </w:rPr>
        <w:t xml:space="preserve">The proposal/initiative relates to </w:t>
      </w:r>
      <w:r w:rsidRPr="00DC021E">
        <w:rPr>
          <w:b/>
          <w:noProof/>
        </w:rPr>
        <w:t>a new action following a pilot project/preparatory action</w:t>
      </w:r>
      <w:r w:rsidRPr="00DC021E">
        <w:rPr>
          <w:rStyle w:val="FootnoteReference"/>
          <w:b/>
          <w:noProof/>
        </w:rPr>
        <w:footnoteReference w:id="13"/>
      </w:r>
      <w:r w:rsidRPr="00DC021E">
        <w:rPr>
          <w:noProof/>
          <w:sz w:val="22"/>
        </w:rPr>
        <w:t xml:space="preserve"> </w:t>
      </w:r>
    </w:p>
    <w:p w:rsidR="00DC64CF" w:rsidRPr="00DC021E" w:rsidRDefault="00DC64CF" w:rsidP="00977CF9">
      <w:pPr>
        <w:pStyle w:val="Text1"/>
        <w:rPr>
          <w:noProof/>
          <w:sz w:val="22"/>
        </w:rPr>
      </w:pPr>
      <w:r w:rsidRPr="00DC021E">
        <w:rPr>
          <w:strike/>
          <w:noProof/>
          <w:sz w:val="22"/>
        </w:rPr>
        <w:sym w:font="Wingdings" w:char="F0A8"/>
      </w:r>
      <w:r w:rsidRPr="00DC021E">
        <w:rPr>
          <w:i/>
          <w:noProof/>
          <w:sz w:val="22"/>
        </w:rPr>
        <w:t xml:space="preserve"> </w:t>
      </w:r>
      <w:r w:rsidRPr="00DC021E">
        <w:rPr>
          <w:noProof/>
        </w:rPr>
        <w:t xml:space="preserve">The proposal/initiative relates to </w:t>
      </w:r>
      <w:r w:rsidRPr="00DC021E">
        <w:rPr>
          <w:b/>
          <w:noProof/>
        </w:rPr>
        <w:t>the extension of an existing action</w:t>
      </w:r>
      <w:r w:rsidRPr="00DC021E">
        <w:rPr>
          <w:noProof/>
          <w:sz w:val="22"/>
        </w:rPr>
        <w:t xml:space="preserve"> </w:t>
      </w:r>
    </w:p>
    <w:p w:rsidR="00DC64CF" w:rsidRPr="00DC021E" w:rsidRDefault="00DC64CF" w:rsidP="00977CF9">
      <w:pPr>
        <w:pStyle w:val="Text1"/>
        <w:rPr>
          <w:noProof/>
        </w:rPr>
      </w:pPr>
      <w:r w:rsidRPr="00DC021E">
        <w:rPr>
          <w:noProof/>
          <w:sz w:val="22"/>
        </w:rPr>
        <w:sym w:font="Wingdings" w:char="F0A8"/>
      </w:r>
      <w:r w:rsidRPr="00DC021E">
        <w:rPr>
          <w:i/>
          <w:noProof/>
          <w:sz w:val="22"/>
        </w:rPr>
        <w:t xml:space="preserve"> </w:t>
      </w:r>
      <w:r w:rsidRPr="00DC021E">
        <w:rPr>
          <w:noProof/>
        </w:rPr>
        <w:t xml:space="preserve">The proposal/initiative relates to </w:t>
      </w:r>
      <w:r w:rsidRPr="00DC021E">
        <w:rPr>
          <w:b/>
          <w:noProof/>
        </w:rPr>
        <w:t>an action redirected towards a new action</w:t>
      </w:r>
      <w:r w:rsidRPr="00DC021E">
        <w:rPr>
          <w:noProof/>
        </w:rPr>
        <w:t xml:space="preserve"> </w:t>
      </w:r>
    </w:p>
    <w:p w:rsidR="00DC64CF" w:rsidRPr="00DC021E" w:rsidRDefault="00DC64CF" w:rsidP="00977CF9">
      <w:pPr>
        <w:pStyle w:val="Heading2"/>
        <w:rPr>
          <w:bCs w:val="0"/>
          <w:noProof/>
          <w:szCs w:val="24"/>
        </w:rPr>
      </w:pPr>
      <w:r w:rsidRPr="00DC021E">
        <w:rPr>
          <w:noProof/>
        </w:rPr>
        <w:t>Objective(s)</w:t>
      </w:r>
    </w:p>
    <w:p w:rsidR="00DC64CF" w:rsidRPr="00DC021E" w:rsidRDefault="00DC64CF" w:rsidP="00977CF9">
      <w:pPr>
        <w:pStyle w:val="Heading3"/>
        <w:rPr>
          <w:noProof/>
        </w:rPr>
      </w:pPr>
      <w:r w:rsidRPr="00DC021E">
        <w:rPr>
          <w:noProof/>
        </w:rPr>
        <w:t xml:space="preserve">The Commission's multiannual strategic objective(s) targeted by the proposal/initiative </w:t>
      </w:r>
    </w:p>
    <w:p w:rsidR="00784A76" w:rsidRPr="00E56AA3" w:rsidRDefault="00784A76" w:rsidP="00784A76">
      <w:pPr>
        <w:pStyle w:val="Text1"/>
        <w:pBdr>
          <w:top w:val="single" w:sz="4" w:space="1" w:color="auto"/>
          <w:left w:val="single" w:sz="4" w:space="4" w:color="auto"/>
          <w:bottom w:val="single" w:sz="4" w:space="1" w:color="auto"/>
          <w:right w:val="single" w:sz="4" w:space="4" w:color="auto"/>
        </w:pBdr>
      </w:pPr>
      <w:r w:rsidRPr="00E56AA3">
        <w:t>The proposal is part of legislation implementing the 2030 Climate and Energy package agreed by the European Council in October 2014, to achieve the EU 2030 greenhouse gas emission reduction target of at least -40% compared to 1990 domestically in a cost effective manner and contribute to limiting global warming.</w:t>
      </w:r>
    </w:p>
    <w:p w:rsidR="00DC64CF" w:rsidRPr="00DC021E" w:rsidRDefault="00784A76" w:rsidP="00784A76">
      <w:pPr>
        <w:pStyle w:val="Text1"/>
        <w:pBdr>
          <w:top w:val="single" w:sz="4" w:space="1" w:color="auto"/>
          <w:left w:val="single" w:sz="4" w:space="4" w:color="auto"/>
          <w:bottom w:val="single" w:sz="4" w:space="1" w:color="auto"/>
          <w:right w:val="single" w:sz="4" w:space="4" w:color="auto"/>
        </w:pBdr>
        <w:rPr>
          <w:noProof/>
        </w:rPr>
      </w:pPr>
      <w:r w:rsidRPr="00E56AA3">
        <w:t xml:space="preserve">The proposal is part of the Commission's ten political </w:t>
      </w:r>
      <w:proofErr w:type="gramStart"/>
      <w:r w:rsidRPr="00E56AA3">
        <w:t>priorities,</w:t>
      </w:r>
      <w:proofErr w:type="gramEnd"/>
      <w:r w:rsidRPr="00E56AA3">
        <w:t xml:space="preserve"> and an important element of the Strategic Framework for the Energy Union.</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rPr>
      </w:pPr>
    </w:p>
    <w:p w:rsidR="00DC64CF" w:rsidRPr="00DC021E" w:rsidRDefault="00DC64CF" w:rsidP="00977CF9">
      <w:pPr>
        <w:pStyle w:val="Heading3"/>
        <w:rPr>
          <w:bCs w:val="0"/>
          <w:noProof/>
          <w:szCs w:val="24"/>
        </w:rPr>
      </w:pPr>
      <w:r w:rsidRPr="00DC021E">
        <w:rPr>
          <w:noProof/>
        </w:rPr>
        <w:t xml:space="preserve">Specific objective(s) and ABM/ABB activity(ies) concerned </w:t>
      </w:r>
    </w:p>
    <w:p w:rsidR="00784A76" w:rsidRPr="00DC021E" w:rsidRDefault="00784A76" w:rsidP="00784A76">
      <w:pPr>
        <w:pStyle w:val="Text1"/>
        <w:pBdr>
          <w:top w:val="single" w:sz="4" w:space="1" w:color="auto"/>
          <w:left w:val="single" w:sz="4" w:space="4" w:color="auto"/>
          <w:bottom w:val="single" w:sz="4" w:space="1" w:color="auto"/>
          <w:right w:val="single" w:sz="4" w:space="4" w:color="auto"/>
        </w:pBdr>
      </w:pPr>
      <w:r w:rsidRPr="00E56AA3">
        <w:t>Determine how LULUCF will contribute to supporting the emission reduction objectives laid down by the European Council in October 2014 for the 2030 climate and energy framework, for the non-ETS sectors</w:t>
      </w:r>
      <w:r w:rsidRPr="00DC021E">
        <w:t>.</w:t>
      </w:r>
    </w:p>
    <w:p w:rsidR="00784A76" w:rsidRPr="00DC021E" w:rsidRDefault="00784A76" w:rsidP="00784A76">
      <w:pPr>
        <w:pStyle w:val="Text1"/>
        <w:pBdr>
          <w:top w:val="single" w:sz="4" w:space="1" w:color="auto"/>
          <w:left w:val="single" w:sz="4" w:space="4" w:color="auto"/>
          <w:bottom w:val="single" w:sz="4" w:space="1" w:color="auto"/>
          <w:right w:val="single" w:sz="4" w:space="4" w:color="auto"/>
        </w:pBdr>
        <w:rPr>
          <w:noProof/>
          <w:u w:val="single"/>
        </w:rPr>
      </w:pPr>
      <w:r w:rsidRPr="00DC021E">
        <w:rPr>
          <w:noProof/>
          <w:u w:val="single"/>
        </w:rPr>
        <w:t>ABM/ABB activity(ies) concerned</w:t>
      </w:r>
    </w:p>
    <w:p w:rsidR="00DC64CF" w:rsidRPr="00DC021E" w:rsidRDefault="00784A76" w:rsidP="00977CF9">
      <w:pPr>
        <w:pStyle w:val="Text1"/>
        <w:pBdr>
          <w:top w:val="single" w:sz="4" w:space="1" w:color="auto"/>
          <w:left w:val="single" w:sz="4" w:space="4" w:color="auto"/>
          <w:bottom w:val="single" w:sz="4" w:space="1" w:color="auto"/>
          <w:right w:val="single" w:sz="4" w:space="4" w:color="auto"/>
        </w:pBdr>
        <w:rPr>
          <w:noProof/>
        </w:rPr>
      </w:pPr>
      <w:r w:rsidRPr="00DC021E">
        <w:rPr>
          <w:noProof/>
        </w:rPr>
        <w:t>Climate action</w:t>
      </w:r>
    </w:p>
    <w:p w:rsidR="00DC64CF" w:rsidRPr="00DC021E" w:rsidRDefault="00DC64CF" w:rsidP="00977CF9">
      <w:pPr>
        <w:pStyle w:val="Heading3"/>
        <w:rPr>
          <w:bCs w:val="0"/>
          <w:noProof/>
          <w:szCs w:val="24"/>
        </w:rPr>
      </w:pPr>
      <w:r w:rsidRPr="00DC021E">
        <w:rPr>
          <w:noProof/>
        </w:rPr>
        <w:br w:type="page"/>
        <w:t>Expected result(s) and impact</w:t>
      </w:r>
    </w:p>
    <w:p w:rsidR="00DC64CF" w:rsidRPr="00DC021E" w:rsidRDefault="00DC64CF" w:rsidP="00977CF9">
      <w:pPr>
        <w:pStyle w:val="Text1"/>
        <w:rPr>
          <w:i/>
          <w:noProof/>
          <w:sz w:val="20"/>
        </w:rPr>
      </w:pPr>
      <w:r w:rsidRPr="00DC021E">
        <w:rPr>
          <w:i/>
          <w:noProof/>
          <w:sz w:val="20"/>
        </w:rPr>
        <w:t>Specify the effects which the proposal/initiative should have on the beneficiaries/groups targeted.</w:t>
      </w:r>
    </w:p>
    <w:p w:rsidR="00A06AA7" w:rsidRPr="00E56AA3" w:rsidRDefault="00A06AA7" w:rsidP="00A06AA7">
      <w:pPr>
        <w:pStyle w:val="Text1"/>
        <w:pBdr>
          <w:top w:val="single" w:sz="4" w:space="1" w:color="auto"/>
          <w:left w:val="single" w:sz="4" w:space="4" w:color="auto"/>
          <w:bottom w:val="single" w:sz="4" w:space="1" w:color="auto"/>
          <w:right w:val="single" w:sz="4" w:space="4" w:color="auto"/>
        </w:pBdr>
      </w:pPr>
      <w:r w:rsidRPr="00E56AA3">
        <w:t>The proposal will define how the LULUCF sector will contribute to an EU-wide 30% reduction in greenhouse gas emissions in non-ETS sectors by 2030 compared to 2005.</w:t>
      </w:r>
    </w:p>
    <w:p w:rsidR="00A06AA7" w:rsidRPr="00E56AA3" w:rsidRDefault="00A06AA7" w:rsidP="00A06AA7">
      <w:pPr>
        <w:pStyle w:val="Text1"/>
        <w:pBdr>
          <w:top w:val="single" w:sz="4" w:space="1" w:color="auto"/>
          <w:left w:val="single" w:sz="4" w:space="4" w:color="auto"/>
          <w:bottom w:val="single" w:sz="4" w:space="1" w:color="auto"/>
          <w:right w:val="single" w:sz="4" w:space="4" w:color="auto"/>
        </w:pBdr>
      </w:pPr>
      <w:r w:rsidRPr="00E56AA3">
        <w:t>The proposal sets out the Member States' commitments on land use, land use change and forestry ('LULUCF') that ensure meeting the greenhouse gas emission reduction commitment of the Union for the period from 2021 to 2030. It furthermore defines the rules for the accounting of emissions and removals from LULUCF and checking the compliance of Member States with these commitments.</w:t>
      </w:r>
    </w:p>
    <w:p w:rsidR="00A06AA7" w:rsidRPr="00E56AA3" w:rsidRDefault="00A06AA7" w:rsidP="00A06AA7">
      <w:pPr>
        <w:pStyle w:val="Text1"/>
        <w:pBdr>
          <w:top w:val="single" w:sz="4" w:space="1" w:color="auto"/>
          <w:left w:val="single" w:sz="4" w:space="4" w:color="auto"/>
          <w:bottom w:val="single" w:sz="4" w:space="1" w:color="auto"/>
          <w:right w:val="single" w:sz="4" w:space="4" w:color="auto"/>
        </w:pBdr>
      </w:pPr>
      <w:r w:rsidRPr="00E56AA3">
        <w:t xml:space="preserve">Less frequent compliance checks are recommended, i.e. every five years instead of annually, that will reduce the administrative burden for both Member States and the European Commission. There are no direct reporting obligations or other administrative consequences for businesses, SMEs or micro-enterprises. </w:t>
      </w:r>
    </w:p>
    <w:p w:rsidR="00A06AA7" w:rsidRPr="00E56AA3" w:rsidRDefault="00A06AA7" w:rsidP="00A06AA7">
      <w:pPr>
        <w:pStyle w:val="Text1"/>
        <w:pBdr>
          <w:top w:val="single" w:sz="4" w:space="1" w:color="auto"/>
          <w:left w:val="single" w:sz="4" w:space="4" w:color="auto"/>
          <w:bottom w:val="single" w:sz="4" w:space="1" w:color="auto"/>
          <w:right w:val="single" w:sz="4" w:space="4" w:color="auto"/>
        </w:pBdr>
      </w:pPr>
      <w:r w:rsidRPr="00E56AA3">
        <w:t>The proposal is addressed at Member States as institutional actors. The proposed policy is to be implemented at national level and thus mostly affects their national administrations. Depending on the nature and scope of national measures implemented by Member States, these will affect various stakeholders in the sectors concerned.</w:t>
      </w:r>
    </w:p>
    <w:p w:rsidR="00DC64CF" w:rsidRPr="00DC021E" w:rsidRDefault="00A06AA7" w:rsidP="00977CF9">
      <w:pPr>
        <w:pStyle w:val="Text1"/>
        <w:pBdr>
          <w:top w:val="single" w:sz="4" w:space="1" w:color="auto"/>
          <w:left w:val="single" w:sz="4" w:space="4" w:color="auto"/>
          <w:bottom w:val="single" w:sz="4" w:space="1" w:color="auto"/>
          <w:right w:val="single" w:sz="4" w:space="4" w:color="auto"/>
        </w:pBdr>
        <w:rPr>
          <w:noProof/>
        </w:rPr>
      </w:pPr>
      <w:r w:rsidRPr="00E56AA3">
        <w:t>Further impacts will depend on the national policies and measures chosen in each specific country</w:t>
      </w:r>
    </w:p>
    <w:p w:rsidR="00DC64CF" w:rsidRPr="00DC021E" w:rsidRDefault="00DC64CF" w:rsidP="00977CF9">
      <w:pPr>
        <w:pStyle w:val="Heading3"/>
        <w:rPr>
          <w:bCs w:val="0"/>
          <w:noProof/>
          <w:szCs w:val="24"/>
        </w:rPr>
      </w:pPr>
      <w:r w:rsidRPr="00DC021E">
        <w:rPr>
          <w:noProof/>
        </w:rPr>
        <w:t xml:space="preserve">Indicators of results and impact </w:t>
      </w:r>
    </w:p>
    <w:p w:rsidR="00DC64CF" w:rsidRPr="00DC021E" w:rsidRDefault="00DC64CF" w:rsidP="00977CF9">
      <w:pPr>
        <w:pStyle w:val="Text1"/>
        <w:rPr>
          <w:i/>
          <w:noProof/>
          <w:sz w:val="20"/>
        </w:rPr>
      </w:pPr>
      <w:r w:rsidRPr="00DC021E">
        <w:rPr>
          <w:i/>
          <w:noProof/>
          <w:sz w:val="20"/>
        </w:rPr>
        <w:t>Specify the indicators for monitoring implementation of the proposal/initiative.</w:t>
      </w:r>
    </w:p>
    <w:p w:rsidR="00A06AA7" w:rsidRPr="00E56AA3" w:rsidRDefault="00A06AA7" w:rsidP="00A06AA7">
      <w:pPr>
        <w:pStyle w:val="Text1"/>
        <w:pBdr>
          <w:top w:val="single" w:sz="4" w:space="1" w:color="auto"/>
          <w:left w:val="single" w:sz="4" w:space="4" w:color="auto"/>
          <w:bottom w:val="single" w:sz="4" w:space="1" w:color="auto"/>
          <w:right w:val="single" w:sz="4" w:space="4" w:color="auto"/>
        </w:pBdr>
      </w:pPr>
      <w:r w:rsidRPr="00E56AA3">
        <w:t>Indicator nr 1:  The level of net emssions and removals in the LULUCF sector in each Member State.</w:t>
      </w:r>
    </w:p>
    <w:p w:rsidR="00DC64CF" w:rsidRPr="00E56AA3" w:rsidRDefault="00A06AA7" w:rsidP="00A06AA7">
      <w:pPr>
        <w:pStyle w:val="Text1"/>
        <w:pBdr>
          <w:top w:val="single" w:sz="4" w:space="1" w:color="auto"/>
          <w:left w:val="single" w:sz="4" w:space="4" w:color="auto"/>
          <w:bottom w:val="single" w:sz="4" w:space="1" w:color="auto"/>
          <w:right w:val="single" w:sz="4" w:space="4" w:color="auto"/>
        </w:pBdr>
      </w:pPr>
      <w:r w:rsidRPr="00E56AA3">
        <w:t>Indicator nr 2:  The utilisation of flexibility delivered by LULUCF in the Member States</w:t>
      </w:r>
    </w:p>
    <w:p w:rsidR="0021172B" w:rsidRPr="00DC021E" w:rsidRDefault="0021172B" w:rsidP="00A06AA7">
      <w:pPr>
        <w:pStyle w:val="Text1"/>
        <w:pBdr>
          <w:top w:val="single" w:sz="4" w:space="1" w:color="auto"/>
          <w:left w:val="single" w:sz="4" w:space="4" w:color="auto"/>
          <w:bottom w:val="single" w:sz="4" w:space="1" w:color="auto"/>
          <w:right w:val="single" w:sz="4" w:space="4" w:color="auto"/>
        </w:pBdr>
        <w:rPr>
          <w:noProof/>
        </w:rPr>
      </w:pPr>
      <w:r w:rsidRPr="00E56AA3">
        <w:t xml:space="preserve">Indicator nr 3: The establishment of Member State forest reference levels for the periods 2021-25 and 2026-30. </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rPr>
      </w:pPr>
    </w:p>
    <w:p w:rsidR="00DC64CF" w:rsidRPr="00DC021E" w:rsidRDefault="00DC64CF" w:rsidP="00977CF9">
      <w:pPr>
        <w:pStyle w:val="Heading2"/>
        <w:rPr>
          <w:bCs w:val="0"/>
          <w:noProof/>
          <w:szCs w:val="24"/>
        </w:rPr>
      </w:pPr>
      <w:r w:rsidRPr="00DC021E">
        <w:rPr>
          <w:noProof/>
        </w:rPr>
        <w:t xml:space="preserve">Grounds for the proposal/initiative </w:t>
      </w:r>
    </w:p>
    <w:p w:rsidR="00DC64CF" w:rsidRPr="00DC021E" w:rsidRDefault="00DC64CF" w:rsidP="00977CF9">
      <w:pPr>
        <w:pStyle w:val="Heading3"/>
        <w:rPr>
          <w:noProof/>
        </w:rPr>
      </w:pPr>
      <w:r w:rsidRPr="00DC021E">
        <w:rPr>
          <w:noProof/>
        </w:rPr>
        <w:t xml:space="preserve">Requirement(s) to be met in the short or long term </w:t>
      </w:r>
    </w:p>
    <w:p w:rsidR="00DC64CF" w:rsidRPr="00DC021E" w:rsidRDefault="004461A6" w:rsidP="00977CF9">
      <w:pPr>
        <w:pStyle w:val="Text1"/>
        <w:pBdr>
          <w:top w:val="single" w:sz="4" w:space="1" w:color="auto"/>
          <w:left w:val="single" w:sz="4" w:space="4" w:color="auto"/>
          <w:bottom w:val="single" w:sz="4" w:space="1" w:color="auto"/>
          <w:right w:val="single" w:sz="4" w:space="4" w:color="auto"/>
        </w:pBdr>
        <w:rPr>
          <w:noProof/>
        </w:rPr>
      </w:pPr>
      <w:r w:rsidRPr="00E56AA3">
        <w:t>Member States shall meet their national emission reduction targets in 2030. They are to implement policies and measures and legal and administrative provisions necessary on natioanl level to comply with the proposal. The Commission is to develop the relevant implementing measures for the period after 2020.</w:t>
      </w:r>
      <w:r w:rsidR="0021172B" w:rsidRPr="00E56AA3">
        <w:t xml:space="preserve"> These include the determiation of forest reference levels for each Member State.</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rPr>
      </w:pPr>
    </w:p>
    <w:p w:rsidR="00DC64CF" w:rsidRPr="00DC021E" w:rsidRDefault="00DC64CF" w:rsidP="00977CF9">
      <w:pPr>
        <w:pStyle w:val="Heading3"/>
        <w:rPr>
          <w:bCs w:val="0"/>
          <w:noProof/>
          <w:szCs w:val="24"/>
        </w:rPr>
      </w:pPr>
      <w:r w:rsidRPr="00DC021E">
        <w:rPr>
          <w:noProof/>
        </w:rPr>
        <w:t>Added value of EU involvement</w:t>
      </w:r>
    </w:p>
    <w:p w:rsidR="00DC64CF" w:rsidRPr="00DC021E" w:rsidRDefault="004461A6" w:rsidP="00977CF9">
      <w:pPr>
        <w:pStyle w:val="Text1"/>
        <w:pBdr>
          <w:top w:val="single" w:sz="4" w:space="1" w:color="auto"/>
          <w:left w:val="single" w:sz="4" w:space="4" w:color="auto"/>
          <w:bottom w:val="single" w:sz="4" w:space="1" w:color="auto"/>
          <w:right w:val="single" w:sz="4" w:space="4" w:color="auto"/>
        </w:pBdr>
        <w:rPr>
          <w:noProof/>
        </w:rPr>
      </w:pPr>
      <w:r w:rsidRPr="00E56AA3">
        <w:t>Climate change is a trans-boundary problem. Since the objective of the proposed action cannot be sufficiently achieved by the Member States acting individually, coordination of climate action at European level and, where possible, at global level is necessary and EU action is justified on grounds of subsidiarity. The EU and its Member States participate jointly in the implementation of the Paris Agreement. Joint action allows the EU to address issues of both equity and efficiency, while reaching an ambitious environmental goal. Articles 191 to 193 of the TFEU confirm EU competencies in the area of climate change.</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rPr>
      </w:pPr>
    </w:p>
    <w:p w:rsidR="00DC64CF" w:rsidRPr="00DC021E" w:rsidRDefault="00DC64CF" w:rsidP="00977CF9">
      <w:pPr>
        <w:pStyle w:val="Heading3"/>
        <w:rPr>
          <w:bCs w:val="0"/>
          <w:noProof/>
          <w:szCs w:val="24"/>
        </w:rPr>
      </w:pPr>
      <w:r w:rsidRPr="00DC021E">
        <w:rPr>
          <w:noProof/>
        </w:rPr>
        <w:t>Lessons learned from similar experiences in the past</w:t>
      </w:r>
    </w:p>
    <w:p w:rsidR="00DC64CF" w:rsidRPr="00DC021E" w:rsidRDefault="004461A6" w:rsidP="00977CF9">
      <w:pPr>
        <w:pStyle w:val="Text1"/>
        <w:pBdr>
          <w:top w:val="single" w:sz="4" w:space="1" w:color="auto"/>
          <w:left w:val="single" w:sz="4" w:space="4" w:color="auto"/>
          <w:bottom w:val="single" w:sz="4" w:space="1" w:color="auto"/>
          <w:right w:val="single" w:sz="4" w:space="4" w:color="auto"/>
        </w:pBdr>
        <w:rPr>
          <w:noProof/>
        </w:rPr>
      </w:pPr>
      <w:r w:rsidRPr="00E56AA3">
        <w:t>Emissions and removals of greenhouse gases in LULUCF are currently covered by international obligations under the Kyoto Protocol only, up to 2020. Up to this date, the Kyoto Protocol places constraints on the EU and each of its Member States needs to ensure that the LULUCF sector does not yield extra emissions. However, the Kyoto Protocol will expire at the end of 2020. Consequently, governance for the LULUCF sector needs to be further developed within the EU; at present this is provided by the LULUCF Decision (529/2013/EU). The implementation of the current LULUCF Decision (529/2013/EU) is under way and will deliver improved accounting systems by 2020. Without a legal framework consolidating this implementation and defining the applicable rules for the period post-2020, the way in which LULUCF would be included in the overall framework could be heterogeneous across the EU. Differences in reporting and accounting rules from one Member State to the other would negatively affect the optimal functioning of the single market.</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rPr>
      </w:pPr>
    </w:p>
    <w:p w:rsidR="00DC64CF" w:rsidRPr="00DC021E" w:rsidRDefault="00DC64CF" w:rsidP="00977CF9">
      <w:pPr>
        <w:pStyle w:val="Heading3"/>
        <w:rPr>
          <w:bCs w:val="0"/>
          <w:noProof/>
          <w:szCs w:val="24"/>
        </w:rPr>
      </w:pPr>
      <w:r w:rsidRPr="00DC021E">
        <w:rPr>
          <w:noProof/>
        </w:rPr>
        <w:t>Compatibility and possible synergy with other appropriate instruments</w:t>
      </w:r>
    </w:p>
    <w:p w:rsidR="004461A6" w:rsidRPr="00E56AA3" w:rsidRDefault="004461A6" w:rsidP="004461A6">
      <w:pPr>
        <w:pStyle w:val="Text1"/>
        <w:pBdr>
          <w:top w:val="single" w:sz="4" w:space="1" w:color="auto"/>
          <w:left w:val="single" w:sz="4" w:space="4" w:color="auto"/>
          <w:bottom w:val="single" w:sz="4" w:space="1" w:color="auto"/>
          <w:right w:val="single" w:sz="4" w:space="4" w:color="auto"/>
        </w:pBdr>
      </w:pPr>
      <w:r w:rsidRPr="00E56AA3">
        <w:t xml:space="preserve">The proposal continues the current EU effort sharing mechanism for non-ETS sectors until 2030 and is an integral part of the 2030 Climate and Energy Framework as well as the Commission framework strategy for a resilient Energy Union with a forward looking climate change policy. In particular, it contributes to delivering the Energy Union's fourth dimension to decarbonise the economy. </w:t>
      </w:r>
    </w:p>
    <w:p w:rsidR="00DC64CF" w:rsidRPr="00DC021E" w:rsidRDefault="004461A6" w:rsidP="004461A6">
      <w:pPr>
        <w:pStyle w:val="Text1"/>
        <w:pBdr>
          <w:top w:val="single" w:sz="4" w:space="1" w:color="auto"/>
          <w:left w:val="single" w:sz="4" w:space="4" w:color="auto"/>
          <w:bottom w:val="single" w:sz="4" w:space="1" w:color="auto"/>
          <w:right w:val="single" w:sz="4" w:space="4" w:color="auto"/>
        </w:pBdr>
        <w:rPr>
          <w:noProof/>
        </w:rPr>
      </w:pPr>
      <w:r w:rsidRPr="00E56AA3">
        <w:t>Member States are responsible for implementing policies and measures to meet their obligations, some of which also are expected to help achieving the EU’s commitments for renewable energy and energy efficiency.</w:t>
      </w:r>
      <w:r w:rsidR="00825123" w:rsidRPr="00E56AA3">
        <w:t xml:space="preserve"> Guidance, facilitaion and overview of the process for establishing this, in particular forest reference levels, will be assured by the Commission.</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rPr>
      </w:pPr>
    </w:p>
    <w:p w:rsidR="00DC64CF" w:rsidRPr="00DC021E" w:rsidRDefault="00DC64CF" w:rsidP="00977CF9">
      <w:pPr>
        <w:pStyle w:val="Heading2"/>
        <w:rPr>
          <w:bCs w:val="0"/>
          <w:noProof/>
          <w:szCs w:val="24"/>
        </w:rPr>
      </w:pPr>
      <w:r w:rsidRPr="00DC021E">
        <w:rPr>
          <w:noProof/>
        </w:rPr>
        <w:br w:type="page"/>
        <w:t xml:space="preserve">Duration and financial impact </w:t>
      </w:r>
    </w:p>
    <w:p w:rsidR="00DC64CF" w:rsidRPr="00DC021E" w:rsidRDefault="00DC64CF" w:rsidP="00977CF9">
      <w:pPr>
        <w:pStyle w:val="Text1"/>
        <w:rPr>
          <w:noProof/>
        </w:rPr>
      </w:pPr>
      <w:r w:rsidRPr="00DC021E">
        <w:rPr>
          <w:strike/>
          <w:noProof/>
        </w:rPr>
        <w:sym w:font="Wingdings" w:char="F0A8"/>
      </w:r>
      <w:r w:rsidRPr="00DC021E">
        <w:rPr>
          <w:b/>
          <w:i/>
          <w:strike/>
          <w:noProof/>
        </w:rPr>
        <w:t xml:space="preserve"> </w:t>
      </w:r>
      <w:r w:rsidRPr="00DC021E">
        <w:rPr>
          <w:noProof/>
        </w:rPr>
        <w:t xml:space="preserve">Proposal/initiative of </w:t>
      </w:r>
      <w:r w:rsidRPr="00DC021E">
        <w:rPr>
          <w:b/>
          <w:noProof/>
        </w:rPr>
        <w:t xml:space="preserve">limited duration </w:t>
      </w:r>
    </w:p>
    <w:p w:rsidR="00DC64CF" w:rsidRPr="00DC021E" w:rsidRDefault="00DC64CF" w:rsidP="00977CF9">
      <w:pPr>
        <w:pStyle w:val="ListDash2"/>
        <w:rPr>
          <w:noProof/>
        </w:rPr>
      </w:pPr>
      <w:r w:rsidRPr="00DC021E">
        <w:rPr>
          <w:noProof/>
        </w:rPr>
        <w:sym w:font="Wingdings" w:char="F0A8"/>
      </w:r>
      <w:r w:rsidRPr="00DC021E">
        <w:rPr>
          <w:noProof/>
        </w:rPr>
        <w:tab/>
        <w:t xml:space="preserve">Proposal/initiative in effect from [DD/MM]YYYY to [DD/MM]YYYY </w:t>
      </w:r>
    </w:p>
    <w:p w:rsidR="00DC64CF" w:rsidRPr="00DC021E" w:rsidRDefault="00DC64CF" w:rsidP="00977CF9">
      <w:pPr>
        <w:pStyle w:val="ListDash2"/>
        <w:rPr>
          <w:noProof/>
        </w:rPr>
      </w:pPr>
      <w:r w:rsidRPr="00DC021E">
        <w:rPr>
          <w:noProof/>
        </w:rPr>
        <w:sym w:font="Wingdings" w:char="F0A8"/>
      </w:r>
      <w:r w:rsidRPr="00DC021E">
        <w:rPr>
          <w:noProof/>
        </w:rPr>
        <w:tab/>
        <w:t xml:space="preserve">Financial impact from YYYY to YYYY </w:t>
      </w:r>
    </w:p>
    <w:p w:rsidR="00DC64CF" w:rsidRPr="00DC021E" w:rsidRDefault="00DC64CF" w:rsidP="00977CF9">
      <w:pPr>
        <w:pStyle w:val="Text1"/>
        <w:rPr>
          <w:noProof/>
        </w:rPr>
      </w:pPr>
      <w:r w:rsidRPr="00DC021E">
        <w:rPr>
          <w:noProof/>
        </w:rPr>
        <w:sym w:font="Wingdings" w:char="F0A8"/>
      </w:r>
      <w:r w:rsidRPr="00DC021E">
        <w:rPr>
          <w:b/>
          <w:i/>
          <w:noProof/>
        </w:rPr>
        <w:t xml:space="preserve"> </w:t>
      </w:r>
      <w:r w:rsidRPr="00DC021E">
        <w:rPr>
          <w:noProof/>
        </w:rPr>
        <w:t xml:space="preserve">Proposal/initiative of </w:t>
      </w:r>
      <w:r w:rsidRPr="00DC021E">
        <w:rPr>
          <w:b/>
          <w:noProof/>
        </w:rPr>
        <w:t>unlimited duration</w:t>
      </w:r>
    </w:p>
    <w:p w:rsidR="00DC64CF" w:rsidRPr="00DC021E" w:rsidRDefault="00DC64CF" w:rsidP="00977CF9">
      <w:pPr>
        <w:pStyle w:val="ListDash1"/>
        <w:rPr>
          <w:noProof/>
        </w:rPr>
      </w:pPr>
      <w:r w:rsidRPr="00DC021E">
        <w:rPr>
          <w:noProof/>
        </w:rPr>
        <w:t>Implementation with a start-up period from YYYY to YYYY,</w:t>
      </w:r>
    </w:p>
    <w:p w:rsidR="00DC64CF" w:rsidRPr="00DC021E" w:rsidRDefault="00DC64CF" w:rsidP="00977CF9">
      <w:pPr>
        <w:pStyle w:val="ListDash1"/>
        <w:rPr>
          <w:noProof/>
        </w:rPr>
      </w:pPr>
      <w:r w:rsidRPr="00DC021E">
        <w:rPr>
          <w:noProof/>
        </w:rPr>
        <w:t>followed by full-scale operation.</w:t>
      </w:r>
    </w:p>
    <w:p w:rsidR="00DC64CF" w:rsidRPr="00DC021E" w:rsidRDefault="00DC64CF" w:rsidP="00977CF9">
      <w:pPr>
        <w:pStyle w:val="Heading2"/>
        <w:rPr>
          <w:bCs w:val="0"/>
          <w:noProof/>
          <w:szCs w:val="24"/>
        </w:rPr>
      </w:pPr>
      <w:r w:rsidRPr="00DC021E">
        <w:rPr>
          <w:noProof/>
        </w:rPr>
        <w:t>Management mode(s) planned</w:t>
      </w:r>
      <w:r w:rsidRPr="00DC021E">
        <w:rPr>
          <w:rStyle w:val="FootnoteReference"/>
          <w:bCs w:val="0"/>
          <w:noProof/>
        </w:rPr>
        <w:footnoteReference w:id="14"/>
      </w:r>
      <w:r w:rsidRPr="00DC021E">
        <w:rPr>
          <w:rStyle w:val="FootnoteReference"/>
          <w:noProof/>
        </w:rPr>
        <w:t xml:space="preserve"> </w:t>
      </w:r>
    </w:p>
    <w:p w:rsidR="00DC64CF" w:rsidRPr="00DC021E" w:rsidRDefault="00DC64CF" w:rsidP="00977CF9">
      <w:pPr>
        <w:pStyle w:val="Text1"/>
        <w:rPr>
          <w:noProof/>
        </w:rPr>
      </w:pPr>
      <w:r w:rsidRPr="00DC021E">
        <w:rPr>
          <w:strike/>
          <w:noProof/>
        </w:rPr>
        <w:sym w:font="Wingdings" w:char="F0A8"/>
      </w:r>
      <w:r w:rsidRPr="00DC021E">
        <w:rPr>
          <w:i/>
          <w:strike/>
          <w:noProof/>
        </w:rPr>
        <w:t xml:space="preserve"> </w:t>
      </w:r>
      <w:r w:rsidRPr="00DC021E">
        <w:rPr>
          <w:b/>
          <w:noProof/>
        </w:rPr>
        <w:t>Direct management</w:t>
      </w:r>
      <w:r w:rsidRPr="00DC021E">
        <w:rPr>
          <w:noProof/>
        </w:rPr>
        <w:t xml:space="preserve"> by the Commission</w:t>
      </w:r>
    </w:p>
    <w:p w:rsidR="00DC64CF" w:rsidRPr="00DC021E" w:rsidRDefault="00DC64CF" w:rsidP="00977CF9">
      <w:pPr>
        <w:pStyle w:val="ListDash2"/>
        <w:rPr>
          <w:rFonts w:cs="EUAlbertina"/>
          <w:noProof/>
        </w:rPr>
      </w:pPr>
      <w:r w:rsidRPr="00DC021E">
        <w:rPr>
          <w:noProof/>
        </w:rPr>
        <w:sym w:font="Wingdings" w:char="F0A8"/>
      </w:r>
      <w:r w:rsidRPr="00DC021E">
        <w:rPr>
          <w:noProof/>
        </w:rPr>
        <w:t xml:space="preserve"> by its departments, including by its staff in the Union delegations; </w:t>
      </w:r>
    </w:p>
    <w:p w:rsidR="00DC64CF" w:rsidRPr="00DC021E" w:rsidRDefault="00DC64CF" w:rsidP="00977CF9">
      <w:pPr>
        <w:pStyle w:val="ListDash2"/>
        <w:rPr>
          <w:noProof/>
        </w:rPr>
      </w:pPr>
      <w:r w:rsidRPr="00DC021E">
        <w:rPr>
          <w:noProof/>
        </w:rPr>
        <w:sym w:font="Wingdings" w:char="F0A8"/>
      </w:r>
      <w:r w:rsidRPr="00DC021E">
        <w:rPr>
          <w:noProof/>
        </w:rPr>
        <w:tab/>
        <w:t xml:space="preserve">by the executive agencies </w:t>
      </w:r>
    </w:p>
    <w:p w:rsidR="00DC64CF" w:rsidRPr="00DC021E" w:rsidRDefault="00DC64CF" w:rsidP="00977CF9">
      <w:pPr>
        <w:pStyle w:val="Text1"/>
        <w:rPr>
          <w:noProof/>
        </w:rPr>
      </w:pPr>
      <w:r w:rsidRPr="00DC021E">
        <w:rPr>
          <w:noProof/>
        </w:rPr>
        <w:sym w:font="Wingdings" w:char="F0A8"/>
      </w:r>
      <w:r w:rsidRPr="00DC021E">
        <w:rPr>
          <w:b/>
          <w:i/>
          <w:noProof/>
        </w:rPr>
        <w:t xml:space="preserve"> </w:t>
      </w:r>
      <w:r w:rsidRPr="00DC021E">
        <w:rPr>
          <w:b/>
          <w:noProof/>
        </w:rPr>
        <w:t>Shared management</w:t>
      </w:r>
      <w:r w:rsidRPr="00DC021E">
        <w:rPr>
          <w:noProof/>
        </w:rPr>
        <w:t xml:space="preserve"> with the Member States </w:t>
      </w:r>
    </w:p>
    <w:p w:rsidR="00DC64CF" w:rsidRPr="00DC021E" w:rsidRDefault="00DC64CF" w:rsidP="00977CF9">
      <w:pPr>
        <w:pStyle w:val="Text1"/>
        <w:rPr>
          <w:noProof/>
        </w:rPr>
      </w:pPr>
      <w:r w:rsidRPr="00DC021E">
        <w:rPr>
          <w:noProof/>
        </w:rPr>
        <w:sym w:font="Wingdings" w:char="F0A8"/>
      </w:r>
      <w:r w:rsidRPr="00DC021E">
        <w:rPr>
          <w:i/>
          <w:noProof/>
        </w:rPr>
        <w:t xml:space="preserve"> </w:t>
      </w:r>
      <w:r w:rsidRPr="00DC021E">
        <w:rPr>
          <w:b/>
          <w:noProof/>
        </w:rPr>
        <w:t>Indirect management</w:t>
      </w:r>
      <w:r w:rsidRPr="00DC021E">
        <w:rPr>
          <w:noProof/>
        </w:rPr>
        <w:t xml:space="preserve"> by entrusting budget implementation tasks to:</w:t>
      </w:r>
    </w:p>
    <w:p w:rsidR="00DC64CF" w:rsidRPr="00DC021E" w:rsidRDefault="00DC64CF" w:rsidP="00977CF9">
      <w:pPr>
        <w:pStyle w:val="ListDash2"/>
        <w:rPr>
          <w:noProof/>
        </w:rPr>
      </w:pPr>
      <w:r w:rsidRPr="00DC021E">
        <w:rPr>
          <w:noProof/>
        </w:rPr>
        <w:sym w:font="Wingdings" w:char="F0A8"/>
      </w:r>
      <w:r w:rsidRPr="00DC021E">
        <w:rPr>
          <w:noProof/>
        </w:rPr>
        <w:t xml:space="preserve"> third countries or the bodies they have designated;</w:t>
      </w:r>
    </w:p>
    <w:p w:rsidR="00DC64CF" w:rsidRPr="00DC021E" w:rsidRDefault="00DC64CF" w:rsidP="00977CF9">
      <w:pPr>
        <w:pStyle w:val="ListDash2"/>
        <w:rPr>
          <w:noProof/>
        </w:rPr>
      </w:pPr>
      <w:r w:rsidRPr="00DC021E">
        <w:rPr>
          <w:noProof/>
        </w:rPr>
        <w:sym w:font="Wingdings" w:char="F0A8"/>
      </w:r>
      <w:r w:rsidRPr="00DC021E">
        <w:rPr>
          <w:noProof/>
        </w:rPr>
        <w:t xml:space="preserve"> international organisations and their agencies (to be specified);</w:t>
      </w:r>
    </w:p>
    <w:p w:rsidR="00DC64CF" w:rsidRPr="00DC021E" w:rsidRDefault="00DC64CF" w:rsidP="00977CF9">
      <w:pPr>
        <w:pStyle w:val="ListDash2"/>
        <w:rPr>
          <w:noProof/>
        </w:rPr>
      </w:pPr>
      <w:r w:rsidRPr="00DC021E">
        <w:rPr>
          <w:noProof/>
        </w:rPr>
        <w:sym w:font="Wingdings" w:char="F0A8"/>
      </w:r>
      <w:r w:rsidRPr="00DC021E">
        <w:rPr>
          <w:noProof/>
        </w:rPr>
        <w:t>the EIB and the European Investment Fund;</w:t>
      </w:r>
    </w:p>
    <w:p w:rsidR="00DC64CF" w:rsidRPr="00DC021E" w:rsidRDefault="00DC64CF" w:rsidP="00977CF9">
      <w:pPr>
        <w:pStyle w:val="ListDash2"/>
        <w:rPr>
          <w:noProof/>
        </w:rPr>
      </w:pPr>
      <w:r w:rsidRPr="00DC021E">
        <w:rPr>
          <w:noProof/>
        </w:rPr>
        <w:sym w:font="Wingdings" w:char="F0A8"/>
      </w:r>
      <w:r w:rsidRPr="00DC021E">
        <w:rPr>
          <w:noProof/>
        </w:rPr>
        <w:t xml:space="preserve"> bodies referred to in Articles 208 and 209 of the Financial Regulation;</w:t>
      </w:r>
    </w:p>
    <w:p w:rsidR="00DC64CF" w:rsidRPr="00DC021E" w:rsidRDefault="00DC64CF" w:rsidP="00977CF9">
      <w:pPr>
        <w:pStyle w:val="ListDash2"/>
        <w:rPr>
          <w:noProof/>
        </w:rPr>
      </w:pPr>
      <w:r w:rsidRPr="00DC021E">
        <w:rPr>
          <w:noProof/>
        </w:rPr>
        <w:sym w:font="Wingdings" w:char="F0A8"/>
      </w:r>
      <w:r w:rsidRPr="00DC021E">
        <w:rPr>
          <w:noProof/>
        </w:rPr>
        <w:t xml:space="preserve"> public law bodies;</w:t>
      </w:r>
    </w:p>
    <w:p w:rsidR="00DC64CF" w:rsidRPr="00DC021E" w:rsidRDefault="00DC64CF" w:rsidP="00977CF9">
      <w:pPr>
        <w:pStyle w:val="ListDash2"/>
        <w:rPr>
          <w:noProof/>
        </w:rPr>
      </w:pPr>
      <w:r w:rsidRPr="00DC021E">
        <w:rPr>
          <w:noProof/>
        </w:rPr>
        <w:sym w:font="Wingdings" w:char="F0A8"/>
      </w:r>
      <w:r w:rsidRPr="00DC021E">
        <w:rPr>
          <w:noProof/>
        </w:rPr>
        <w:t xml:space="preserve"> bodies governed by private law with a public service mission to the extent that they provide adequate financial guarantees;</w:t>
      </w:r>
    </w:p>
    <w:p w:rsidR="00DC64CF" w:rsidRPr="00DC021E" w:rsidRDefault="00DC64CF" w:rsidP="00977CF9">
      <w:pPr>
        <w:pStyle w:val="ListDash2"/>
        <w:rPr>
          <w:noProof/>
        </w:rPr>
      </w:pPr>
      <w:r w:rsidRPr="00DC021E">
        <w:rPr>
          <w:noProof/>
        </w:rPr>
        <w:sym w:font="Wingdings" w:char="F0A8"/>
      </w:r>
      <w:r w:rsidRPr="00DC021E">
        <w:rPr>
          <w:noProof/>
        </w:rPr>
        <w:t xml:space="preserve"> bodies governed by the private law of a </w:t>
      </w:r>
      <w:smartTag w:uri="urn:schemas-microsoft-com:office:smarttags" w:element="place">
        <w:smartTag w:uri="urn:schemas-microsoft-com:office:smarttags" w:element="PlaceName">
          <w:r w:rsidRPr="00DC021E">
            <w:rPr>
              <w:noProof/>
            </w:rPr>
            <w:t>Member</w:t>
          </w:r>
        </w:smartTag>
        <w:r w:rsidRPr="00DC021E">
          <w:rPr>
            <w:noProof/>
          </w:rPr>
          <w:t xml:space="preserve"> </w:t>
        </w:r>
        <w:smartTag w:uri="urn:schemas-microsoft-com:office:smarttags" w:element="PlaceType">
          <w:r w:rsidRPr="00DC021E">
            <w:rPr>
              <w:noProof/>
            </w:rPr>
            <w:t>State</w:t>
          </w:r>
        </w:smartTag>
      </w:smartTag>
      <w:r w:rsidRPr="00DC021E">
        <w:rPr>
          <w:noProof/>
        </w:rPr>
        <w:t xml:space="preserve"> that are entrusted with the implementation of a public-private partnership and that provide adequate financial guarantees;</w:t>
      </w:r>
    </w:p>
    <w:p w:rsidR="00DC64CF" w:rsidRPr="00DC021E" w:rsidRDefault="00DC64CF" w:rsidP="00977CF9">
      <w:pPr>
        <w:pStyle w:val="ListDash2"/>
        <w:rPr>
          <w:noProof/>
        </w:rPr>
      </w:pPr>
      <w:r w:rsidRPr="00DC021E">
        <w:rPr>
          <w:noProof/>
        </w:rPr>
        <w:sym w:font="Wingdings" w:char="F0A8"/>
      </w:r>
      <w:r w:rsidRPr="00DC021E">
        <w:rPr>
          <w:noProof/>
        </w:rPr>
        <w:t xml:space="preserve"> persons entrusted with the implementation of specific actions in the CFSP pursuant to Title V of the TEU, and identified in the relevant basic act.</w:t>
      </w:r>
    </w:p>
    <w:p w:rsidR="00DC64CF" w:rsidRPr="00DC021E" w:rsidRDefault="00DC64CF" w:rsidP="00977CF9">
      <w:pPr>
        <w:pStyle w:val="ListDash2"/>
        <w:rPr>
          <w:i/>
          <w:noProof/>
          <w:sz w:val="18"/>
          <w:u w:val="single"/>
        </w:rPr>
      </w:pPr>
      <w:r w:rsidRPr="00DC021E">
        <w:rPr>
          <w:i/>
          <w:noProof/>
          <w:sz w:val="18"/>
        </w:rPr>
        <w:t>If more than one management mode is indicated, please provide details in the ‘Comments’ section.</w:t>
      </w:r>
    </w:p>
    <w:p w:rsidR="00DC64CF" w:rsidRPr="00DC021E" w:rsidRDefault="00DC64CF" w:rsidP="00977CF9">
      <w:pPr>
        <w:rPr>
          <w:noProof/>
        </w:rPr>
      </w:pPr>
      <w:r w:rsidRPr="00DC021E">
        <w:rPr>
          <w:noProof/>
        </w:rPr>
        <w:t xml:space="preserve">Comments </w:t>
      </w:r>
    </w:p>
    <w:p w:rsidR="00DC64CF" w:rsidRPr="00DC021E" w:rsidRDefault="005D3394" w:rsidP="00977CF9">
      <w:pPr>
        <w:pBdr>
          <w:top w:val="single" w:sz="4" w:space="1" w:color="auto"/>
          <w:left w:val="single" w:sz="4" w:space="4" w:color="auto"/>
          <w:bottom w:val="single" w:sz="4" w:space="1" w:color="auto"/>
          <w:right w:val="single" w:sz="4" w:space="4" w:color="auto"/>
        </w:pBdr>
        <w:rPr>
          <w:noProof/>
        </w:rPr>
      </w:pPr>
      <w:r w:rsidRPr="00E56AA3">
        <w:t>The proposal supercedes the current Decision No 529/2013/EU (LULUCF Decision) with the upgraded monitoring and reporting obligations for Member States and management tasks for the Commission. The Commission will continue to be supported by the European Environment Agency in monitoring Member States’ progress in meeting their obligations under the proposal.</w:t>
      </w:r>
    </w:p>
    <w:p w:rsidR="00DC64CF" w:rsidRPr="00DC021E" w:rsidRDefault="00DC64CF" w:rsidP="00977CF9">
      <w:pPr>
        <w:rPr>
          <w:noProof/>
        </w:rPr>
        <w:sectPr w:rsidR="00DC64CF" w:rsidRPr="00DC021E" w:rsidSect="006A2759">
          <w:pgSz w:w="11907" w:h="16840" w:code="9"/>
          <w:pgMar w:top="1134" w:right="1418" w:bottom="1134" w:left="1418" w:header="709" w:footer="709" w:gutter="0"/>
          <w:cols w:space="708"/>
          <w:docGrid w:linePitch="360"/>
        </w:sectPr>
      </w:pPr>
    </w:p>
    <w:p w:rsidR="00DC64CF" w:rsidRPr="00DC021E" w:rsidRDefault="00DC64CF" w:rsidP="00977CF9">
      <w:pPr>
        <w:pStyle w:val="Heading1"/>
        <w:rPr>
          <w:bCs w:val="0"/>
          <w:noProof/>
          <w:szCs w:val="24"/>
        </w:rPr>
      </w:pPr>
      <w:r w:rsidRPr="00DC021E">
        <w:rPr>
          <w:noProof/>
        </w:rPr>
        <w:t xml:space="preserve">MANAGEMENT MEASURES </w:t>
      </w:r>
    </w:p>
    <w:p w:rsidR="00DC64CF" w:rsidRPr="00DC021E" w:rsidRDefault="00DC64CF" w:rsidP="00977CF9">
      <w:pPr>
        <w:pStyle w:val="Heading2"/>
        <w:rPr>
          <w:noProof/>
        </w:rPr>
      </w:pPr>
      <w:r w:rsidRPr="00DC021E">
        <w:rPr>
          <w:noProof/>
        </w:rPr>
        <w:t xml:space="preserve">Monitoring and reporting rules </w:t>
      </w:r>
    </w:p>
    <w:p w:rsidR="00DC64CF" w:rsidRPr="00DC021E" w:rsidRDefault="00DC64CF" w:rsidP="00977CF9">
      <w:pPr>
        <w:pStyle w:val="Text1"/>
        <w:rPr>
          <w:i/>
          <w:noProof/>
          <w:sz w:val="20"/>
          <w:u w:val="single"/>
        </w:rPr>
      </w:pPr>
      <w:r w:rsidRPr="00DC021E">
        <w:rPr>
          <w:i/>
          <w:noProof/>
          <w:sz w:val="20"/>
        </w:rPr>
        <w:t>Specify frequency and conditions.</w:t>
      </w:r>
    </w:p>
    <w:p w:rsidR="00D1761B" w:rsidRPr="00E56AA3" w:rsidRDefault="00D1761B" w:rsidP="00D1761B">
      <w:pPr>
        <w:pStyle w:val="Text1"/>
        <w:pBdr>
          <w:top w:val="single" w:sz="4" w:space="1" w:color="auto"/>
          <w:left w:val="single" w:sz="4" w:space="4" w:color="auto"/>
          <w:bottom w:val="single" w:sz="4" w:space="1" w:color="auto"/>
          <w:right w:val="single" w:sz="4" w:space="4" w:color="auto"/>
        </w:pBdr>
      </w:pPr>
      <w:r w:rsidRPr="00E56AA3">
        <w:t>Monitoring of progress and compliance assessment will rely on an existing comprehensive framework of monitoring, reporting and verification laid down partially in the proposal, and partially in the Monitoring Mechanism Regulation (MMR) and its implementing provisions. The robust reporting and compliance cycle as defined under the ESD will be maintained under the proposal. Member States’ maintain an obligation to comply with annual emission limits and a linear trajectory in the period 2021-2030 though the actual compliance check will be organised every 5 years.</w:t>
      </w:r>
    </w:p>
    <w:p w:rsidR="00D1761B" w:rsidRPr="00E56AA3" w:rsidRDefault="00D1761B" w:rsidP="00D1761B">
      <w:pPr>
        <w:pStyle w:val="Text1"/>
        <w:pBdr>
          <w:top w:val="single" w:sz="4" w:space="1" w:color="auto"/>
          <w:left w:val="single" w:sz="4" w:space="4" w:color="auto"/>
          <w:bottom w:val="single" w:sz="4" w:space="1" w:color="auto"/>
          <w:right w:val="single" w:sz="4" w:space="4" w:color="auto"/>
        </w:pBdr>
      </w:pPr>
      <w:r w:rsidRPr="00E56AA3">
        <w:t xml:space="preserve">To ensure that the compliance assessment relies on accurate data, the greenhouse gas (GHG) emissions inventories submitted by Member States will continue to be reviewed by the Commission. The European Environment Agency will continue to co-ordinate the control of the transparency, accuracy, consistency, comparability and completeness of the information submitted.  </w:t>
      </w:r>
    </w:p>
    <w:p w:rsidR="00DC64CF" w:rsidRPr="00DC021E" w:rsidRDefault="00D1761B" w:rsidP="00D1761B">
      <w:pPr>
        <w:pStyle w:val="Text1"/>
        <w:pBdr>
          <w:top w:val="single" w:sz="4" w:space="1" w:color="auto"/>
          <w:left w:val="single" w:sz="4" w:space="4" w:color="auto"/>
          <w:bottom w:val="single" w:sz="4" w:space="1" w:color="auto"/>
          <w:right w:val="single" w:sz="4" w:space="4" w:color="auto"/>
        </w:pBdr>
        <w:rPr>
          <w:noProof/>
        </w:rPr>
      </w:pPr>
      <w:r w:rsidRPr="00E56AA3">
        <w:t>Existing requirements will continue for Member States to report every second year on the policies and measures implemented in order to achieve their commitments under this proposal as well as on their emission projections.</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rPr>
      </w:pPr>
    </w:p>
    <w:p w:rsidR="00DC64CF" w:rsidRPr="00DC021E" w:rsidRDefault="00DC64CF" w:rsidP="00977CF9">
      <w:pPr>
        <w:pStyle w:val="Heading2"/>
        <w:rPr>
          <w:bCs w:val="0"/>
          <w:noProof/>
          <w:szCs w:val="24"/>
        </w:rPr>
      </w:pPr>
      <w:r w:rsidRPr="00DC021E">
        <w:rPr>
          <w:noProof/>
        </w:rPr>
        <w:t xml:space="preserve">Management and control system </w:t>
      </w:r>
    </w:p>
    <w:p w:rsidR="00DC64CF" w:rsidRPr="00DC021E" w:rsidRDefault="00DC64CF" w:rsidP="00977CF9">
      <w:pPr>
        <w:pStyle w:val="Heading3"/>
        <w:rPr>
          <w:noProof/>
        </w:rPr>
      </w:pPr>
      <w:r w:rsidRPr="00DC021E">
        <w:rPr>
          <w:noProof/>
        </w:rPr>
        <w:t xml:space="preserve">Risk(s) identified </w:t>
      </w:r>
    </w:p>
    <w:p w:rsidR="00DC64CF" w:rsidRPr="00E56AA3" w:rsidRDefault="00D1761B" w:rsidP="00977CF9">
      <w:pPr>
        <w:pStyle w:val="Text1"/>
        <w:pBdr>
          <w:top w:val="single" w:sz="4" w:space="1" w:color="auto"/>
          <w:left w:val="single" w:sz="4" w:space="4" w:color="auto"/>
          <w:bottom w:val="single" w:sz="4" w:space="1" w:color="auto"/>
          <w:right w:val="single" w:sz="4" w:space="4" w:color="auto"/>
        </w:pBdr>
      </w:pPr>
      <w:r w:rsidRPr="00E56AA3">
        <w:t>Member States not reporting or not reporting on time their annual greenhouse gas emissions.</w:t>
      </w:r>
    </w:p>
    <w:p w:rsidR="0021172B" w:rsidRPr="00DC021E" w:rsidRDefault="0021172B" w:rsidP="00977CF9">
      <w:pPr>
        <w:pStyle w:val="Text1"/>
        <w:pBdr>
          <w:top w:val="single" w:sz="4" w:space="1" w:color="auto"/>
          <w:left w:val="single" w:sz="4" w:space="4" w:color="auto"/>
          <w:bottom w:val="single" w:sz="4" w:space="1" w:color="auto"/>
          <w:right w:val="single" w:sz="4" w:space="4" w:color="auto"/>
        </w:pBdr>
        <w:rPr>
          <w:noProof/>
        </w:rPr>
      </w:pPr>
      <w:r w:rsidRPr="00E56AA3">
        <w:t>Member States implementing different approaches for determining forest reference levels.</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rPr>
      </w:pPr>
    </w:p>
    <w:p w:rsidR="00DC64CF" w:rsidRPr="00DC021E" w:rsidRDefault="00DC64CF" w:rsidP="00977CF9">
      <w:pPr>
        <w:pStyle w:val="Heading3"/>
        <w:rPr>
          <w:bCs w:val="0"/>
          <w:noProof/>
          <w:szCs w:val="24"/>
        </w:rPr>
      </w:pPr>
      <w:r w:rsidRPr="00DC021E">
        <w:rPr>
          <w:noProof/>
        </w:rPr>
        <w:t>Information concerning the internal control system set up</w:t>
      </w:r>
    </w:p>
    <w:p w:rsidR="00DC64CF" w:rsidRPr="00DC021E" w:rsidRDefault="00D1761B" w:rsidP="00977CF9">
      <w:pPr>
        <w:pStyle w:val="Text1"/>
        <w:pBdr>
          <w:top w:val="single" w:sz="4" w:space="1" w:color="auto"/>
          <w:left w:val="single" w:sz="4" w:space="4" w:color="auto"/>
          <w:bottom w:val="single" w:sz="4" w:space="1" w:color="auto"/>
          <w:right w:val="single" w:sz="4" w:space="4" w:color="auto"/>
        </w:pBdr>
        <w:rPr>
          <w:noProof/>
        </w:rPr>
      </w:pPr>
      <w:r w:rsidRPr="00E56AA3">
        <w:t>Thanks to the already exisiting and well-established annual reporting system for Member States’ greenhouse gas emissions laid down in the Monitoring Mechanism Regulation there are procedures in place for ensuring that emission reports arrive on time and that any Member State not fulfilling its reporting obligations can be assisted.</w:t>
      </w:r>
    </w:p>
    <w:p w:rsidR="00DC64CF" w:rsidRPr="00DC021E" w:rsidRDefault="00DC64CF" w:rsidP="00977CF9">
      <w:pPr>
        <w:pStyle w:val="Heading3"/>
        <w:rPr>
          <w:noProof/>
        </w:rPr>
      </w:pPr>
      <w:r w:rsidRPr="00DC021E">
        <w:rPr>
          <w:noProof/>
        </w:rPr>
        <w:t xml:space="preserve">Estimate of the costs and benefits of the controls and assessment of the expected level of risk of error </w:t>
      </w:r>
    </w:p>
    <w:p w:rsidR="00DC64CF" w:rsidRPr="00DC021E" w:rsidRDefault="00D1761B" w:rsidP="00977CF9">
      <w:pPr>
        <w:pStyle w:val="Text1"/>
        <w:pBdr>
          <w:top w:val="single" w:sz="4" w:space="1" w:color="auto"/>
          <w:left w:val="single" w:sz="4" w:space="4" w:color="auto"/>
          <w:bottom w:val="single" w:sz="4" w:space="1" w:color="auto"/>
          <w:right w:val="single" w:sz="4" w:space="4" w:color="auto"/>
        </w:pBdr>
        <w:rPr>
          <w:noProof/>
        </w:rPr>
      </w:pPr>
      <w:r w:rsidRPr="00E56AA3">
        <w:t>The risk of error is not applicable.</w:t>
      </w:r>
    </w:p>
    <w:p w:rsidR="00DC64CF" w:rsidRPr="00DC021E" w:rsidRDefault="00DC64CF" w:rsidP="00977CF9">
      <w:pPr>
        <w:pStyle w:val="Heading2"/>
        <w:rPr>
          <w:bCs w:val="0"/>
          <w:noProof/>
          <w:szCs w:val="24"/>
        </w:rPr>
      </w:pPr>
      <w:r w:rsidRPr="00DC021E">
        <w:rPr>
          <w:noProof/>
        </w:rPr>
        <w:t xml:space="preserve">Measures to prevent fraud and irregularities </w:t>
      </w:r>
    </w:p>
    <w:p w:rsidR="00DC64CF" w:rsidRPr="00DC021E" w:rsidRDefault="00DC64CF" w:rsidP="00977CF9">
      <w:pPr>
        <w:pStyle w:val="Text1"/>
        <w:rPr>
          <w:i/>
          <w:noProof/>
          <w:sz w:val="20"/>
        </w:rPr>
      </w:pPr>
      <w:r w:rsidRPr="00DC021E">
        <w:rPr>
          <w:i/>
          <w:noProof/>
          <w:sz w:val="20"/>
        </w:rPr>
        <w:t>Specify existing or envisaged prevention and protection measures.</w:t>
      </w:r>
    </w:p>
    <w:p w:rsidR="00DC64CF" w:rsidRPr="00DC021E" w:rsidRDefault="00D1761B" w:rsidP="00977CF9">
      <w:pPr>
        <w:pStyle w:val="Text1"/>
        <w:pBdr>
          <w:top w:val="single" w:sz="4" w:space="1" w:color="auto"/>
          <w:left w:val="single" w:sz="4" w:space="4" w:color="auto"/>
          <w:bottom w:val="single" w:sz="4" w:space="1" w:color="auto"/>
          <w:right w:val="single" w:sz="4" w:space="4" w:color="auto"/>
        </w:pBdr>
        <w:rPr>
          <w:noProof/>
        </w:rPr>
      </w:pPr>
      <w:r w:rsidRPr="00E56AA3">
        <w:t>The monitoring of Member States’ progress toward their commitments under this proposal relies on a well-established existing system for quality control and verification of their annual reports of greenhouse gas emissions. This ensures that any gaps or irregularities with respect to the reported emissions data are addressed and corrected in time for the compliance check.</w:t>
      </w:r>
    </w:p>
    <w:p w:rsidR="00DC64CF" w:rsidRPr="00DC021E" w:rsidRDefault="00DC64CF" w:rsidP="00977CF9">
      <w:pPr>
        <w:rPr>
          <w:noProof/>
        </w:rPr>
        <w:sectPr w:rsidR="00DC64CF" w:rsidRPr="00DC021E" w:rsidSect="006A2759">
          <w:pgSz w:w="11907" w:h="16840" w:code="9"/>
          <w:pgMar w:top="1134" w:right="1418" w:bottom="1134" w:left="1418" w:header="709" w:footer="709" w:gutter="0"/>
          <w:cols w:space="708"/>
          <w:docGrid w:linePitch="360"/>
        </w:sectPr>
      </w:pPr>
    </w:p>
    <w:p w:rsidR="00DC64CF" w:rsidRPr="00DC021E" w:rsidRDefault="00DC64CF" w:rsidP="00977CF9">
      <w:pPr>
        <w:pStyle w:val="Heading1"/>
        <w:rPr>
          <w:bCs w:val="0"/>
          <w:noProof/>
          <w:szCs w:val="24"/>
        </w:rPr>
      </w:pPr>
      <w:r w:rsidRPr="00DC021E">
        <w:rPr>
          <w:noProof/>
        </w:rPr>
        <w:t xml:space="preserve">ESTIMATED FINANCIAL IMPACT OF THE PROPOSAL/INITIATIVE </w:t>
      </w:r>
    </w:p>
    <w:p w:rsidR="00DC64CF" w:rsidRPr="00DC021E" w:rsidRDefault="00DC64CF" w:rsidP="00977CF9">
      <w:pPr>
        <w:pStyle w:val="Heading2"/>
        <w:rPr>
          <w:noProof/>
        </w:rPr>
      </w:pPr>
      <w:r w:rsidRPr="00DC021E">
        <w:rPr>
          <w:noProof/>
        </w:rPr>
        <w:t xml:space="preserve">Heading(s) of the multiannual financial framework and expenditure budget line(s) affected </w:t>
      </w:r>
    </w:p>
    <w:p w:rsidR="00DC64CF" w:rsidRPr="00DC021E" w:rsidRDefault="00DC64CF" w:rsidP="00977CF9">
      <w:pPr>
        <w:pStyle w:val="ListBullet1"/>
        <w:rPr>
          <w:noProof/>
        </w:rPr>
      </w:pPr>
      <w:r w:rsidRPr="00DC021E">
        <w:rPr>
          <w:noProof/>
        </w:rPr>
        <w:t xml:space="preserve">Existing budget lines </w:t>
      </w:r>
    </w:p>
    <w:p w:rsidR="00DC64CF" w:rsidRPr="00DC021E" w:rsidRDefault="00DC64CF" w:rsidP="00977CF9">
      <w:pPr>
        <w:pStyle w:val="Text1"/>
        <w:rPr>
          <w:noProof/>
        </w:rPr>
      </w:pPr>
      <w:r w:rsidRPr="00DC021E">
        <w:rPr>
          <w:noProof/>
          <w:u w:val="single"/>
        </w:rPr>
        <w:t>In order</w:t>
      </w:r>
      <w:r w:rsidRPr="00DC021E">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DC021E" w:rsidRPr="00DC021E" w:rsidTr="00977CF9">
        <w:tc>
          <w:tcPr>
            <w:tcW w:w="1080" w:type="dxa"/>
            <w:vMerge w:val="restart"/>
            <w:vAlign w:val="center"/>
          </w:tcPr>
          <w:p w:rsidR="00DC64CF" w:rsidRPr="00DC021E" w:rsidRDefault="00DC64CF" w:rsidP="00977CF9">
            <w:pPr>
              <w:spacing w:before="60" w:after="60"/>
              <w:jc w:val="center"/>
              <w:rPr>
                <w:noProof/>
                <w:sz w:val="22"/>
              </w:rPr>
            </w:pPr>
            <w:r w:rsidRPr="00DC021E">
              <w:rPr>
                <w:noProof/>
                <w:sz w:val="18"/>
              </w:rPr>
              <w:t>Heading of multiannual financial framework</w:t>
            </w:r>
          </w:p>
        </w:tc>
        <w:tc>
          <w:tcPr>
            <w:tcW w:w="3960" w:type="dxa"/>
            <w:vAlign w:val="center"/>
          </w:tcPr>
          <w:p w:rsidR="00DC64CF" w:rsidRPr="00DC021E" w:rsidRDefault="00DC64CF" w:rsidP="00977CF9">
            <w:pPr>
              <w:spacing w:before="60" w:after="60"/>
              <w:jc w:val="center"/>
              <w:rPr>
                <w:noProof/>
                <w:sz w:val="22"/>
              </w:rPr>
            </w:pPr>
            <w:r w:rsidRPr="00DC021E">
              <w:rPr>
                <w:noProof/>
                <w:sz w:val="20"/>
              </w:rPr>
              <w:t>Budget line</w:t>
            </w:r>
          </w:p>
        </w:tc>
        <w:tc>
          <w:tcPr>
            <w:tcW w:w="1080" w:type="dxa"/>
            <w:vAlign w:val="center"/>
          </w:tcPr>
          <w:p w:rsidR="00DC64CF" w:rsidRPr="00DC021E" w:rsidRDefault="00DC64CF" w:rsidP="00977CF9">
            <w:pPr>
              <w:spacing w:before="60" w:after="60"/>
              <w:jc w:val="center"/>
              <w:rPr>
                <w:noProof/>
                <w:sz w:val="22"/>
              </w:rPr>
            </w:pPr>
            <w:r w:rsidRPr="00DC021E">
              <w:rPr>
                <w:noProof/>
                <w:sz w:val="18"/>
              </w:rPr>
              <w:t xml:space="preserve">Type of </w:t>
            </w:r>
            <w:r w:rsidRPr="00DC021E">
              <w:rPr>
                <w:noProof/>
                <w:sz w:val="22"/>
              </w:rPr>
              <w:br/>
            </w:r>
            <w:r w:rsidRPr="00DC021E">
              <w:rPr>
                <w:noProof/>
                <w:sz w:val="18"/>
              </w:rPr>
              <w:t>expenditure</w:t>
            </w:r>
          </w:p>
        </w:tc>
        <w:tc>
          <w:tcPr>
            <w:tcW w:w="4440" w:type="dxa"/>
            <w:gridSpan w:val="4"/>
            <w:vAlign w:val="center"/>
          </w:tcPr>
          <w:p w:rsidR="00DC64CF" w:rsidRPr="00DC021E" w:rsidRDefault="00DC64CF" w:rsidP="00977CF9">
            <w:pPr>
              <w:spacing w:before="60" w:after="60"/>
              <w:jc w:val="center"/>
              <w:rPr>
                <w:noProof/>
                <w:sz w:val="22"/>
              </w:rPr>
            </w:pPr>
            <w:r w:rsidRPr="00DC021E">
              <w:rPr>
                <w:noProof/>
                <w:sz w:val="20"/>
              </w:rPr>
              <w:t xml:space="preserve">Contribution </w:t>
            </w:r>
          </w:p>
        </w:tc>
      </w:tr>
      <w:tr w:rsidR="00DC021E" w:rsidRPr="00DC021E" w:rsidTr="00977CF9">
        <w:tc>
          <w:tcPr>
            <w:tcW w:w="1080" w:type="dxa"/>
            <w:vMerge/>
            <w:vAlign w:val="center"/>
          </w:tcPr>
          <w:p w:rsidR="00DC64CF" w:rsidRPr="00DC021E" w:rsidRDefault="00DC64CF" w:rsidP="00977CF9">
            <w:pPr>
              <w:jc w:val="center"/>
              <w:rPr>
                <w:noProof/>
                <w:sz w:val="22"/>
              </w:rPr>
            </w:pPr>
          </w:p>
        </w:tc>
        <w:tc>
          <w:tcPr>
            <w:tcW w:w="3960" w:type="dxa"/>
            <w:vAlign w:val="center"/>
          </w:tcPr>
          <w:p w:rsidR="00DC64CF" w:rsidRPr="00DC021E" w:rsidRDefault="00DC64CF" w:rsidP="007A5237">
            <w:pPr>
              <w:rPr>
                <w:noProof/>
                <w:sz w:val="22"/>
              </w:rPr>
            </w:pPr>
            <w:r w:rsidRPr="00DC021E">
              <w:rPr>
                <w:noProof/>
                <w:sz w:val="20"/>
              </w:rPr>
              <w:t xml:space="preserve"> </w:t>
            </w:r>
            <w:r w:rsidRPr="00DC021E">
              <w:rPr>
                <w:noProof/>
                <w:sz w:val="22"/>
              </w:rPr>
              <w:br/>
            </w:r>
          </w:p>
        </w:tc>
        <w:tc>
          <w:tcPr>
            <w:tcW w:w="1080" w:type="dxa"/>
            <w:vAlign w:val="center"/>
          </w:tcPr>
          <w:p w:rsidR="00DC64CF" w:rsidRPr="00DC021E" w:rsidRDefault="00DC64CF" w:rsidP="00977CF9">
            <w:pPr>
              <w:jc w:val="center"/>
              <w:rPr>
                <w:noProof/>
                <w:sz w:val="22"/>
              </w:rPr>
            </w:pPr>
            <w:r w:rsidRPr="00DC021E">
              <w:rPr>
                <w:noProof/>
                <w:sz w:val="18"/>
              </w:rPr>
              <w:t>Diff./Non-diff.</w:t>
            </w:r>
            <w:r w:rsidRPr="00DC021E">
              <w:rPr>
                <w:rStyle w:val="FootnoteReference"/>
                <w:noProof/>
                <w:sz w:val="18"/>
              </w:rPr>
              <w:footnoteReference w:id="15"/>
            </w:r>
          </w:p>
        </w:tc>
        <w:tc>
          <w:tcPr>
            <w:tcW w:w="956" w:type="dxa"/>
            <w:vAlign w:val="center"/>
          </w:tcPr>
          <w:p w:rsidR="00DC64CF" w:rsidRPr="00DC021E" w:rsidRDefault="00DC64CF" w:rsidP="00977CF9">
            <w:pPr>
              <w:jc w:val="center"/>
              <w:rPr>
                <w:noProof/>
                <w:sz w:val="22"/>
              </w:rPr>
            </w:pPr>
            <w:r w:rsidRPr="00DC021E">
              <w:rPr>
                <w:noProof/>
                <w:sz w:val="18"/>
              </w:rPr>
              <w:t>from EFTA countries</w:t>
            </w:r>
            <w:r w:rsidRPr="00DC021E">
              <w:rPr>
                <w:rStyle w:val="FootnoteReference"/>
                <w:noProof/>
                <w:sz w:val="18"/>
              </w:rPr>
              <w:footnoteReference w:id="16"/>
            </w:r>
          </w:p>
          <w:p w:rsidR="00DC64CF" w:rsidRPr="00DC021E" w:rsidRDefault="00DC64CF" w:rsidP="00977CF9">
            <w:pPr>
              <w:spacing w:before="0" w:after="0"/>
              <w:jc w:val="center"/>
              <w:rPr>
                <w:b/>
                <w:noProof/>
                <w:sz w:val="18"/>
              </w:rPr>
            </w:pPr>
          </w:p>
        </w:tc>
        <w:tc>
          <w:tcPr>
            <w:tcW w:w="1080" w:type="dxa"/>
            <w:vAlign w:val="center"/>
          </w:tcPr>
          <w:p w:rsidR="00DC64CF" w:rsidRPr="00DC021E" w:rsidRDefault="00DC64CF" w:rsidP="00977CF9">
            <w:pPr>
              <w:jc w:val="center"/>
              <w:rPr>
                <w:noProof/>
                <w:sz w:val="22"/>
              </w:rPr>
            </w:pPr>
            <w:r w:rsidRPr="00DC021E">
              <w:rPr>
                <w:noProof/>
                <w:sz w:val="18"/>
              </w:rPr>
              <w:t>from candidate countries</w:t>
            </w:r>
            <w:r w:rsidRPr="00DC021E">
              <w:rPr>
                <w:rStyle w:val="FootnoteReference"/>
                <w:noProof/>
                <w:sz w:val="18"/>
              </w:rPr>
              <w:footnoteReference w:id="17"/>
            </w:r>
          </w:p>
          <w:p w:rsidR="00DC64CF" w:rsidRPr="00DC021E" w:rsidRDefault="00DC64CF" w:rsidP="00977CF9">
            <w:pPr>
              <w:spacing w:before="0" w:after="0"/>
              <w:jc w:val="center"/>
              <w:rPr>
                <w:noProof/>
                <w:sz w:val="18"/>
              </w:rPr>
            </w:pPr>
          </w:p>
        </w:tc>
        <w:tc>
          <w:tcPr>
            <w:tcW w:w="956" w:type="dxa"/>
            <w:vAlign w:val="center"/>
          </w:tcPr>
          <w:p w:rsidR="00DC64CF" w:rsidRPr="00DC021E" w:rsidRDefault="00DC64CF" w:rsidP="00977CF9">
            <w:pPr>
              <w:jc w:val="center"/>
              <w:rPr>
                <w:noProof/>
                <w:sz w:val="18"/>
              </w:rPr>
            </w:pPr>
            <w:r w:rsidRPr="00DC021E">
              <w:rPr>
                <w:noProof/>
                <w:sz w:val="18"/>
              </w:rPr>
              <w:t>from third countries</w:t>
            </w:r>
          </w:p>
        </w:tc>
        <w:tc>
          <w:tcPr>
            <w:tcW w:w="1448" w:type="dxa"/>
            <w:vAlign w:val="center"/>
          </w:tcPr>
          <w:p w:rsidR="00DC64CF" w:rsidRPr="00DC021E" w:rsidRDefault="00DC64CF" w:rsidP="00977CF9">
            <w:pPr>
              <w:jc w:val="center"/>
              <w:rPr>
                <w:noProof/>
                <w:sz w:val="22"/>
              </w:rPr>
            </w:pPr>
            <w:r w:rsidRPr="00DC021E">
              <w:rPr>
                <w:noProof/>
                <w:sz w:val="16"/>
              </w:rPr>
              <w:t xml:space="preserve">within the meaning of Article 21(2)(b) of the Financial Regulation </w:t>
            </w:r>
          </w:p>
        </w:tc>
      </w:tr>
      <w:tr w:rsidR="00DC021E" w:rsidRPr="00DC021E" w:rsidTr="00977CF9">
        <w:tc>
          <w:tcPr>
            <w:tcW w:w="1080" w:type="dxa"/>
            <w:vAlign w:val="center"/>
          </w:tcPr>
          <w:p w:rsidR="001637FE" w:rsidRPr="00DC021E" w:rsidRDefault="001637FE" w:rsidP="00977CF9">
            <w:pPr>
              <w:jc w:val="center"/>
              <w:rPr>
                <w:noProof/>
                <w:sz w:val="22"/>
              </w:rPr>
            </w:pPr>
            <w:r w:rsidRPr="00DC021E">
              <w:rPr>
                <w:noProof/>
                <w:sz w:val="22"/>
              </w:rPr>
              <w:t>2</w:t>
            </w:r>
          </w:p>
        </w:tc>
        <w:tc>
          <w:tcPr>
            <w:tcW w:w="3960" w:type="dxa"/>
            <w:vAlign w:val="center"/>
          </w:tcPr>
          <w:p w:rsidR="001637FE" w:rsidRPr="00DC021E" w:rsidRDefault="001637FE" w:rsidP="00977CF9">
            <w:pPr>
              <w:spacing w:before="60"/>
              <w:rPr>
                <w:noProof/>
                <w:sz w:val="22"/>
              </w:rPr>
            </w:pPr>
            <w:r w:rsidRPr="00DC021E">
              <w:rPr>
                <w:noProof/>
                <w:sz w:val="22"/>
              </w:rPr>
              <w:t>34.02.01</w:t>
            </w:r>
          </w:p>
        </w:tc>
        <w:tc>
          <w:tcPr>
            <w:tcW w:w="1080" w:type="dxa"/>
            <w:vAlign w:val="center"/>
          </w:tcPr>
          <w:p w:rsidR="001637FE" w:rsidRPr="00DC021E" w:rsidRDefault="001637FE" w:rsidP="00977CF9">
            <w:pPr>
              <w:jc w:val="center"/>
              <w:rPr>
                <w:noProof/>
                <w:sz w:val="22"/>
              </w:rPr>
            </w:pPr>
            <w:r w:rsidRPr="00DC021E">
              <w:rPr>
                <w:noProof/>
                <w:sz w:val="22"/>
              </w:rPr>
              <w:t>Diff.</w:t>
            </w:r>
          </w:p>
        </w:tc>
        <w:tc>
          <w:tcPr>
            <w:tcW w:w="956" w:type="dxa"/>
            <w:vAlign w:val="center"/>
          </w:tcPr>
          <w:p w:rsidR="001637FE" w:rsidRPr="00DC021E" w:rsidRDefault="001637FE" w:rsidP="00977CF9">
            <w:pPr>
              <w:jc w:val="center"/>
              <w:rPr>
                <w:noProof/>
                <w:sz w:val="22"/>
              </w:rPr>
            </w:pPr>
            <w:r w:rsidRPr="00DC021E">
              <w:rPr>
                <w:noProof/>
                <w:sz w:val="22"/>
              </w:rPr>
              <w:t>NO</w:t>
            </w:r>
          </w:p>
        </w:tc>
        <w:tc>
          <w:tcPr>
            <w:tcW w:w="1080" w:type="dxa"/>
            <w:vAlign w:val="center"/>
          </w:tcPr>
          <w:p w:rsidR="001637FE" w:rsidRPr="00DC021E" w:rsidRDefault="001637FE" w:rsidP="00977CF9">
            <w:pPr>
              <w:jc w:val="center"/>
              <w:rPr>
                <w:noProof/>
                <w:sz w:val="22"/>
              </w:rPr>
            </w:pPr>
            <w:r w:rsidRPr="00DC021E">
              <w:rPr>
                <w:noProof/>
                <w:sz w:val="22"/>
              </w:rPr>
              <w:t>NO</w:t>
            </w:r>
          </w:p>
        </w:tc>
        <w:tc>
          <w:tcPr>
            <w:tcW w:w="956" w:type="dxa"/>
            <w:vAlign w:val="center"/>
          </w:tcPr>
          <w:p w:rsidR="001637FE" w:rsidRPr="00DC021E" w:rsidRDefault="001637FE" w:rsidP="00977CF9">
            <w:pPr>
              <w:jc w:val="center"/>
              <w:rPr>
                <w:noProof/>
                <w:sz w:val="22"/>
              </w:rPr>
            </w:pPr>
            <w:r w:rsidRPr="00DC021E">
              <w:rPr>
                <w:noProof/>
                <w:sz w:val="22"/>
              </w:rPr>
              <w:t>NO</w:t>
            </w:r>
          </w:p>
        </w:tc>
        <w:tc>
          <w:tcPr>
            <w:tcW w:w="1448" w:type="dxa"/>
            <w:vAlign w:val="center"/>
          </w:tcPr>
          <w:p w:rsidR="001637FE" w:rsidRPr="00DC021E" w:rsidRDefault="001637FE" w:rsidP="00977CF9">
            <w:pPr>
              <w:jc w:val="center"/>
              <w:rPr>
                <w:noProof/>
                <w:sz w:val="22"/>
              </w:rPr>
            </w:pPr>
            <w:r w:rsidRPr="00DC021E">
              <w:rPr>
                <w:noProof/>
                <w:sz w:val="22"/>
              </w:rPr>
              <w:t>NO</w:t>
            </w:r>
          </w:p>
        </w:tc>
      </w:tr>
      <w:tr w:rsidR="00DC021E" w:rsidRPr="00DC021E" w:rsidTr="00977CF9">
        <w:tc>
          <w:tcPr>
            <w:tcW w:w="1080" w:type="dxa"/>
            <w:vAlign w:val="center"/>
          </w:tcPr>
          <w:p w:rsidR="001637FE" w:rsidRPr="00DC021E" w:rsidRDefault="001637FE" w:rsidP="00977CF9">
            <w:pPr>
              <w:jc w:val="center"/>
              <w:rPr>
                <w:noProof/>
                <w:sz w:val="22"/>
              </w:rPr>
            </w:pPr>
            <w:r w:rsidRPr="00DC021E">
              <w:rPr>
                <w:noProof/>
                <w:sz w:val="22"/>
              </w:rPr>
              <w:t>5</w:t>
            </w:r>
          </w:p>
        </w:tc>
        <w:tc>
          <w:tcPr>
            <w:tcW w:w="3960" w:type="dxa"/>
            <w:vAlign w:val="center"/>
          </w:tcPr>
          <w:p w:rsidR="001637FE" w:rsidRPr="00DC021E" w:rsidRDefault="00D57D07" w:rsidP="00977CF9">
            <w:pPr>
              <w:spacing w:before="60"/>
              <w:rPr>
                <w:noProof/>
                <w:sz w:val="22"/>
              </w:rPr>
            </w:pPr>
            <w:r w:rsidRPr="00DC021E">
              <w:rPr>
                <w:noProof/>
                <w:sz w:val="22"/>
              </w:rPr>
              <w:t xml:space="preserve">34.01 </w:t>
            </w:r>
          </w:p>
        </w:tc>
        <w:tc>
          <w:tcPr>
            <w:tcW w:w="1080" w:type="dxa"/>
            <w:vAlign w:val="center"/>
          </w:tcPr>
          <w:p w:rsidR="001637FE" w:rsidRPr="00DC021E" w:rsidRDefault="001637FE" w:rsidP="00977CF9">
            <w:pPr>
              <w:jc w:val="center"/>
              <w:rPr>
                <w:noProof/>
                <w:sz w:val="22"/>
              </w:rPr>
            </w:pPr>
            <w:r w:rsidRPr="00DC021E">
              <w:rPr>
                <w:noProof/>
                <w:sz w:val="22"/>
              </w:rPr>
              <w:t>Non diff.</w:t>
            </w:r>
          </w:p>
        </w:tc>
        <w:tc>
          <w:tcPr>
            <w:tcW w:w="956" w:type="dxa"/>
            <w:vAlign w:val="center"/>
          </w:tcPr>
          <w:p w:rsidR="001637FE" w:rsidRPr="00DC021E" w:rsidRDefault="001637FE" w:rsidP="00977CF9">
            <w:pPr>
              <w:jc w:val="center"/>
              <w:rPr>
                <w:noProof/>
                <w:sz w:val="22"/>
              </w:rPr>
            </w:pPr>
            <w:r w:rsidRPr="00DC021E">
              <w:rPr>
                <w:noProof/>
                <w:sz w:val="22"/>
              </w:rPr>
              <w:t>NO</w:t>
            </w:r>
          </w:p>
        </w:tc>
        <w:tc>
          <w:tcPr>
            <w:tcW w:w="1080" w:type="dxa"/>
            <w:vAlign w:val="center"/>
          </w:tcPr>
          <w:p w:rsidR="001637FE" w:rsidRPr="00DC021E" w:rsidRDefault="001637FE" w:rsidP="00977CF9">
            <w:pPr>
              <w:jc w:val="center"/>
              <w:rPr>
                <w:noProof/>
                <w:sz w:val="22"/>
              </w:rPr>
            </w:pPr>
            <w:r w:rsidRPr="00DC021E">
              <w:rPr>
                <w:noProof/>
                <w:sz w:val="22"/>
              </w:rPr>
              <w:t>NO</w:t>
            </w:r>
          </w:p>
        </w:tc>
        <w:tc>
          <w:tcPr>
            <w:tcW w:w="956" w:type="dxa"/>
            <w:vAlign w:val="center"/>
          </w:tcPr>
          <w:p w:rsidR="001637FE" w:rsidRPr="00DC021E" w:rsidRDefault="001637FE" w:rsidP="00977CF9">
            <w:pPr>
              <w:jc w:val="center"/>
              <w:rPr>
                <w:noProof/>
                <w:sz w:val="22"/>
              </w:rPr>
            </w:pPr>
            <w:r w:rsidRPr="00DC021E">
              <w:rPr>
                <w:noProof/>
                <w:sz w:val="22"/>
              </w:rPr>
              <w:t>NO</w:t>
            </w:r>
          </w:p>
        </w:tc>
        <w:tc>
          <w:tcPr>
            <w:tcW w:w="1448" w:type="dxa"/>
            <w:vAlign w:val="center"/>
          </w:tcPr>
          <w:p w:rsidR="001637FE" w:rsidRPr="00DC021E" w:rsidRDefault="001637FE" w:rsidP="00977CF9">
            <w:pPr>
              <w:jc w:val="center"/>
              <w:rPr>
                <w:noProof/>
                <w:sz w:val="22"/>
              </w:rPr>
            </w:pPr>
            <w:r w:rsidRPr="00DC021E">
              <w:rPr>
                <w:noProof/>
                <w:sz w:val="22"/>
              </w:rPr>
              <w:t>NO</w:t>
            </w:r>
          </w:p>
        </w:tc>
      </w:tr>
    </w:tbl>
    <w:p w:rsidR="00DC64CF" w:rsidRPr="00DC021E" w:rsidRDefault="00DC64CF" w:rsidP="00977CF9">
      <w:pPr>
        <w:pStyle w:val="ListBullet1"/>
        <w:rPr>
          <w:noProof/>
        </w:rPr>
      </w:pPr>
      <w:r w:rsidRPr="00DC021E">
        <w:rPr>
          <w:noProof/>
        </w:rPr>
        <w:t>New budget lines requested</w:t>
      </w:r>
      <w:r w:rsidR="001214EA" w:rsidRPr="00DC021E">
        <w:rPr>
          <w:noProof/>
        </w:rPr>
        <w:t>: Not applicable</w:t>
      </w:r>
      <w:r w:rsidRPr="00DC021E">
        <w:rPr>
          <w:noProof/>
        </w:rPr>
        <w:t xml:space="preserve"> </w:t>
      </w:r>
    </w:p>
    <w:p w:rsidR="00DC64CF" w:rsidRPr="00DC021E" w:rsidRDefault="00DC64CF" w:rsidP="00977CF9">
      <w:pPr>
        <w:pStyle w:val="Text1"/>
        <w:rPr>
          <w:i/>
          <w:noProof/>
          <w:sz w:val="20"/>
        </w:rPr>
      </w:pPr>
      <w:r w:rsidRPr="00DC021E">
        <w:rPr>
          <w:i/>
          <w:noProof/>
          <w:u w:val="single"/>
        </w:rPr>
        <w:t>In order</w:t>
      </w:r>
      <w:r w:rsidRPr="00DC021E">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DC021E" w:rsidRPr="00DC021E" w:rsidTr="00977CF9">
        <w:tc>
          <w:tcPr>
            <w:tcW w:w="1080" w:type="dxa"/>
            <w:vMerge w:val="restart"/>
            <w:vAlign w:val="center"/>
          </w:tcPr>
          <w:p w:rsidR="00DC64CF" w:rsidRPr="00DC021E" w:rsidRDefault="00DC64CF" w:rsidP="00977CF9">
            <w:pPr>
              <w:spacing w:before="60" w:after="60"/>
              <w:jc w:val="center"/>
              <w:rPr>
                <w:noProof/>
                <w:sz w:val="18"/>
                <w:szCs w:val="18"/>
              </w:rPr>
            </w:pPr>
            <w:r w:rsidRPr="00DC021E">
              <w:rPr>
                <w:noProof/>
                <w:sz w:val="18"/>
              </w:rPr>
              <w:t>Heading of multiannual financial framework</w:t>
            </w:r>
          </w:p>
        </w:tc>
        <w:tc>
          <w:tcPr>
            <w:tcW w:w="3960" w:type="dxa"/>
            <w:vAlign w:val="center"/>
          </w:tcPr>
          <w:p w:rsidR="00DC64CF" w:rsidRPr="00DC021E" w:rsidRDefault="00DC64CF" w:rsidP="00977CF9">
            <w:pPr>
              <w:spacing w:before="60" w:after="60"/>
              <w:jc w:val="center"/>
              <w:rPr>
                <w:noProof/>
                <w:sz w:val="22"/>
              </w:rPr>
            </w:pPr>
            <w:r w:rsidRPr="00DC021E">
              <w:rPr>
                <w:noProof/>
                <w:sz w:val="20"/>
              </w:rPr>
              <w:t>Budget line</w:t>
            </w:r>
          </w:p>
        </w:tc>
        <w:tc>
          <w:tcPr>
            <w:tcW w:w="1080" w:type="dxa"/>
            <w:vAlign w:val="center"/>
          </w:tcPr>
          <w:p w:rsidR="00DC64CF" w:rsidRPr="00DC021E" w:rsidRDefault="00DC64CF" w:rsidP="00977CF9">
            <w:pPr>
              <w:spacing w:before="60" w:after="60"/>
              <w:jc w:val="center"/>
              <w:rPr>
                <w:noProof/>
                <w:sz w:val="22"/>
              </w:rPr>
            </w:pPr>
            <w:r w:rsidRPr="00DC021E">
              <w:rPr>
                <w:noProof/>
                <w:sz w:val="18"/>
              </w:rPr>
              <w:t>Type of</w:t>
            </w:r>
            <w:r w:rsidRPr="00DC021E">
              <w:rPr>
                <w:noProof/>
                <w:sz w:val="22"/>
              </w:rPr>
              <w:br/>
            </w:r>
            <w:r w:rsidRPr="00DC021E">
              <w:rPr>
                <w:noProof/>
                <w:sz w:val="18"/>
              </w:rPr>
              <w:t>expenditure</w:t>
            </w:r>
          </w:p>
        </w:tc>
        <w:tc>
          <w:tcPr>
            <w:tcW w:w="4440" w:type="dxa"/>
            <w:gridSpan w:val="4"/>
            <w:vAlign w:val="center"/>
          </w:tcPr>
          <w:p w:rsidR="00DC64CF" w:rsidRPr="00DC021E" w:rsidRDefault="00DC64CF" w:rsidP="00977CF9">
            <w:pPr>
              <w:spacing w:before="60" w:after="60"/>
              <w:jc w:val="center"/>
              <w:rPr>
                <w:noProof/>
                <w:sz w:val="22"/>
              </w:rPr>
            </w:pPr>
            <w:r w:rsidRPr="00DC021E">
              <w:rPr>
                <w:noProof/>
                <w:sz w:val="20"/>
              </w:rPr>
              <w:t xml:space="preserve">Contribution </w:t>
            </w:r>
          </w:p>
        </w:tc>
      </w:tr>
      <w:tr w:rsidR="00DC021E" w:rsidRPr="00DC021E" w:rsidTr="00977CF9">
        <w:tc>
          <w:tcPr>
            <w:tcW w:w="1080" w:type="dxa"/>
            <w:vMerge/>
            <w:vAlign w:val="center"/>
          </w:tcPr>
          <w:p w:rsidR="00DC64CF" w:rsidRPr="00DC021E" w:rsidRDefault="00DC64CF" w:rsidP="00977CF9">
            <w:pPr>
              <w:jc w:val="center"/>
              <w:rPr>
                <w:noProof/>
                <w:sz w:val="22"/>
              </w:rPr>
            </w:pPr>
          </w:p>
        </w:tc>
        <w:tc>
          <w:tcPr>
            <w:tcW w:w="3960" w:type="dxa"/>
            <w:vAlign w:val="center"/>
          </w:tcPr>
          <w:p w:rsidR="00DC64CF" w:rsidRPr="00DC021E" w:rsidRDefault="00DC64CF" w:rsidP="00977CF9">
            <w:pPr>
              <w:rPr>
                <w:noProof/>
                <w:sz w:val="22"/>
              </w:rPr>
            </w:pPr>
            <w:r w:rsidRPr="00DC021E">
              <w:rPr>
                <w:noProof/>
                <w:sz w:val="20"/>
              </w:rPr>
              <w:t xml:space="preserve">Number </w:t>
            </w:r>
            <w:r w:rsidRPr="00DC021E">
              <w:rPr>
                <w:noProof/>
                <w:sz w:val="22"/>
              </w:rPr>
              <w:br/>
            </w:r>
            <w:r w:rsidRPr="00E56AA3">
              <w:t>[…</w:t>
            </w:r>
            <w:proofErr w:type="gramStart"/>
            <w:r w:rsidRPr="00E56AA3">
              <w:t>]</w:t>
            </w:r>
            <w:r w:rsidRPr="00DC021E">
              <w:rPr>
                <w:noProof/>
                <w:sz w:val="20"/>
              </w:rPr>
              <w:t>[</w:t>
            </w:r>
            <w:proofErr w:type="gramEnd"/>
            <w:r w:rsidRPr="00DC021E">
              <w:rPr>
                <w:noProof/>
                <w:sz w:val="20"/>
              </w:rPr>
              <w:t>Heading………………………………………]</w:t>
            </w:r>
          </w:p>
        </w:tc>
        <w:tc>
          <w:tcPr>
            <w:tcW w:w="1080" w:type="dxa"/>
            <w:vAlign w:val="center"/>
          </w:tcPr>
          <w:p w:rsidR="00DC64CF" w:rsidRPr="00DC021E" w:rsidRDefault="00DC64CF" w:rsidP="00977CF9">
            <w:pPr>
              <w:jc w:val="center"/>
              <w:rPr>
                <w:noProof/>
                <w:sz w:val="22"/>
              </w:rPr>
            </w:pPr>
            <w:r w:rsidRPr="00DC021E">
              <w:rPr>
                <w:noProof/>
                <w:sz w:val="18"/>
              </w:rPr>
              <w:t>Diff./Non-diff.</w:t>
            </w:r>
          </w:p>
        </w:tc>
        <w:tc>
          <w:tcPr>
            <w:tcW w:w="956" w:type="dxa"/>
            <w:vAlign w:val="center"/>
          </w:tcPr>
          <w:p w:rsidR="00DC64CF" w:rsidRPr="00DC021E" w:rsidRDefault="00DC64CF" w:rsidP="00977CF9">
            <w:pPr>
              <w:jc w:val="center"/>
              <w:rPr>
                <w:noProof/>
                <w:sz w:val="18"/>
              </w:rPr>
            </w:pPr>
            <w:r w:rsidRPr="00DC021E">
              <w:rPr>
                <w:noProof/>
                <w:sz w:val="18"/>
              </w:rPr>
              <w:t>from EFTA countries</w:t>
            </w:r>
          </w:p>
        </w:tc>
        <w:tc>
          <w:tcPr>
            <w:tcW w:w="1080" w:type="dxa"/>
            <w:vAlign w:val="center"/>
          </w:tcPr>
          <w:p w:rsidR="00DC64CF" w:rsidRPr="00DC021E" w:rsidRDefault="00DC64CF" w:rsidP="00977CF9">
            <w:pPr>
              <w:jc w:val="center"/>
              <w:rPr>
                <w:noProof/>
                <w:sz w:val="18"/>
              </w:rPr>
            </w:pPr>
            <w:r w:rsidRPr="00DC021E">
              <w:rPr>
                <w:noProof/>
                <w:sz w:val="18"/>
              </w:rPr>
              <w:t>from candidate countries</w:t>
            </w:r>
          </w:p>
        </w:tc>
        <w:tc>
          <w:tcPr>
            <w:tcW w:w="956" w:type="dxa"/>
            <w:vAlign w:val="center"/>
          </w:tcPr>
          <w:p w:rsidR="00DC64CF" w:rsidRPr="00DC021E" w:rsidRDefault="00DC64CF" w:rsidP="00977CF9">
            <w:pPr>
              <w:jc w:val="center"/>
              <w:rPr>
                <w:noProof/>
                <w:sz w:val="18"/>
              </w:rPr>
            </w:pPr>
            <w:r w:rsidRPr="00DC021E">
              <w:rPr>
                <w:noProof/>
                <w:sz w:val="18"/>
              </w:rPr>
              <w:t>from third countries</w:t>
            </w:r>
          </w:p>
        </w:tc>
        <w:tc>
          <w:tcPr>
            <w:tcW w:w="1448" w:type="dxa"/>
            <w:vAlign w:val="center"/>
          </w:tcPr>
          <w:p w:rsidR="00DC64CF" w:rsidRPr="00DC021E" w:rsidRDefault="00DC64CF" w:rsidP="00977CF9">
            <w:pPr>
              <w:jc w:val="center"/>
              <w:rPr>
                <w:noProof/>
                <w:sz w:val="22"/>
              </w:rPr>
            </w:pPr>
            <w:r w:rsidRPr="00DC021E">
              <w:rPr>
                <w:noProof/>
                <w:sz w:val="16"/>
              </w:rPr>
              <w:t xml:space="preserve">within the meaning of Article 21(2)(b) of the Financial Regulation </w:t>
            </w:r>
          </w:p>
        </w:tc>
      </w:tr>
      <w:tr w:rsidR="00DC021E" w:rsidRPr="00DC021E" w:rsidTr="00977CF9">
        <w:tc>
          <w:tcPr>
            <w:tcW w:w="1080" w:type="dxa"/>
            <w:vAlign w:val="center"/>
          </w:tcPr>
          <w:p w:rsidR="00DC64CF" w:rsidRPr="00DC021E" w:rsidRDefault="00DC64CF" w:rsidP="00977CF9">
            <w:pPr>
              <w:jc w:val="center"/>
              <w:rPr>
                <w:noProof/>
                <w:sz w:val="22"/>
              </w:rPr>
            </w:pPr>
          </w:p>
        </w:tc>
        <w:tc>
          <w:tcPr>
            <w:tcW w:w="3960" w:type="dxa"/>
            <w:vAlign w:val="center"/>
          </w:tcPr>
          <w:p w:rsidR="00DC64CF" w:rsidRPr="00DC021E" w:rsidRDefault="00DC64CF" w:rsidP="00977CF9">
            <w:pPr>
              <w:spacing w:before="60"/>
              <w:rPr>
                <w:noProof/>
                <w:sz w:val="22"/>
              </w:rPr>
            </w:pPr>
            <w:r w:rsidRPr="00E56AA3">
              <w:t>[…]</w:t>
            </w:r>
            <w:r w:rsidRPr="00DC021E">
              <w:rPr>
                <w:noProof/>
                <w:sz w:val="22"/>
              </w:rPr>
              <w:t>[XX.YY.YY.YY]</w:t>
            </w:r>
          </w:p>
          <w:p w:rsidR="00DC64CF" w:rsidRPr="00DC021E" w:rsidRDefault="00DC64CF" w:rsidP="00977CF9">
            <w:pPr>
              <w:spacing w:after="60"/>
              <w:rPr>
                <w:noProof/>
                <w:sz w:val="22"/>
              </w:rPr>
            </w:pPr>
          </w:p>
        </w:tc>
        <w:tc>
          <w:tcPr>
            <w:tcW w:w="1080" w:type="dxa"/>
            <w:vAlign w:val="center"/>
          </w:tcPr>
          <w:p w:rsidR="00DC64CF" w:rsidRPr="00DC021E" w:rsidRDefault="00DC64CF" w:rsidP="00977CF9">
            <w:pPr>
              <w:jc w:val="center"/>
              <w:rPr>
                <w:noProof/>
                <w:sz w:val="22"/>
              </w:rPr>
            </w:pPr>
          </w:p>
        </w:tc>
        <w:tc>
          <w:tcPr>
            <w:tcW w:w="956" w:type="dxa"/>
            <w:vAlign w:val="center"/>
          </w:tcPr>
          <w:p w:rsidR="00DC64CF" w:rsidRPr="00DC021E" w:rsidRDefault="00DC64CF" w:rsidP="00977CF9">
            <w:pPr>
              <w:jc w:val="center"/>
              <w:rPr>
                <w:noProof/>
                <w:sz w:val="22"/>
              </w:rPr>
            </w:pPr>
            <w:r w:rsidRPr="00DC021E">
              <w:rPr>
                <w:noProof/>
                <w:sz w:val="22"/>
              </w:rPr>
              <w:t>YES/NO</w:t>
            </w:r>
          </w:p>
        </w:tc>
        <w:tc>
          <w:tcPr>
            <w:tcW w:w="1080" w:type="dxa"/>
            <w:vAlign w:val="center"/>
          </w:tcPr>
          <w:p w:rsidR="00DC64CF" w:rsidRPr="00DC021E" w:rsidRDefault="00DC64CF" w:rsidP="00977CF9">
            <w:pPr>
              <w:jc w:val="center"/>
              <w:rPr>
                <w:noProof/>
                <w:sz w:val="18"/>
              </w:rPr>
            </w:pPr>
            <w:r w:rsidRPr="00DC021E">
              <w:rPr>
                <w:noProof/>
                <w:sz w:val="22"/>
              </w:rPr>
              <w:t>YES/NO</w:t>
            </w:r>
          </w:p>
        </w:tc>
        <w:tc>
          <w:tcPr>
            <w:tcW w:w="956" w:type="dxa"/>
            <w:vAlign w:val="center"/>
          </w:tcPr>
          <w:p w:rsidR="00DC64CF" w:rsidRPr="00DC021E" w:rsidRDefault="00DC64CF" w:rsidP="00977CF9">
            <w:pPr>
              <w:jc w:val="center"/>
              <w:rPr>
                <w:noProof/>
                <w:sz w:val="18"/>
              </w:rPr>
            </w:pPr>
            <w:r w:rsidRPr="00DC021E">
              <w:rPr>
                <w:noProof/>
                <w:sz w:val="22"/>
              </w:rPr>
              <w:t>YES/NO</w:t>
            </w:r>
          </w:p>
        </w:tc>
        <w:tc>
          <w:tcPr>
            <w:tcW w:w="1448" w:type="dxa"/>
            <w:vAlign w:val="center"/>
          </w:tcPr>
          <w:p w:rsidR="00DC64CF" w:rsidRPr="00DC021E" w:rsidRDefault="00DC64CF" w:rsidP="00977CF9">
            <w:pPr>
              <w:jc w:val="center"/>
              <w:rPr>
                <w:noProof/>
                <w:sz w:val="22"/>
              </w:rPr>
            </w:pPr>
            <w:r w:rsidRPr="00DC021E">
              <w:rPr>
                <w:noProof/>
                <w:sz w:val="22"/>
              </w:rPr>
              <w:t>YES/NO</w:t>
            </w:r>
          </w:p>
        </w:tc>
      </w:tr>
    </w:tbl>
    <w:p w:rsidR="00DC64CF" w:rsidRPr="00DC021E" w:rsidRDefault="00DC64CF" w:rsidP="00977CF9">
      <w:pPr>
        <w:rPr>
          <w:noProof/>
        </w:rPr>
        <w:sectPr w:rsidR="00DC64CF" w:rsidRPr="00DC021E" w:rsidSect="006A2759">
          <w:pgSz w:w="11907" w:h="16840" w:code="1"/>
          <w:pgMar w:top="1134" w:right="1418" w:bottom="1134" w:left="1418" w:header="709" w:footer="709" w:gutter="0"/>
          <w:cols w:space="708"/>
          <w:docGrid w:linePitch="360"/>
        </w:sectPr>
      </w:pPr>
    </w:p>
    <w:p w:rsidR="00DC64CF" w:rsidRPr="00DC021E" w:rsidRDefault="00DC64CF" w:rsidP="00977CF9">
      <w:pPr>
        <w:pStyle w:val="Heading2"/>
        <w:rPr>
          <w:bCs w:val="0"/>
          <w:noProof/>
          <w:szCs w:val="24"/>
        </w:rPr>
      </w:pPr>
      <w:r w:rsidRPr="00DC021E">
        <w:rPr>
          <w:noProof/>
        </w:rPr>
        <w:t xml:space="preserve">Estimated impact on expenditure </w:t>
      </w:r>
    </w:p>
    <w:p w:rsidR="00DC64CF" w:rsidRPr="00DC021E" w:rsidRDefault="00DC64CF" w:rsidP="00977CF9">
      <w:pPr>
        <w:pStyle w:val="Text1"/>
        <w:rPr>
          <w:noProof/>
        </w:rPr>
      </w:pPr>
      <w:r w:rsidRPr="00DC021E">
        <w:rPr>
          <w:noProof/>
          <w:highlight w:val="lightGray"/>
        </w:rPr>
        <w:t xml:space="preserve">[This section should be filled in using the </w:t>
      </w:r>
      <w:hyperlink r:id="rId18" w:history="1">
        <w:r w:rsidRPr="00DC021E">
          <w:rPr>
            <w:rStyle w:val="Hyperlink"/>
            <w:b/>
            <w:noProof/>
            <w:color w:val="auto"/>
            <w:highlight w:val="lightGray"/>
          </w:rPr>
          <w:t>spreadsheet on budget data of an administrative nature</w:t>
        </w:r>
      </w:hyperlink>
      <w:r w:rsidRPr="00DC021E">
        <w:rPr>
          <w:noProof/>
          <w:highlight w:val="lightGray"/>
        </w:rPr>
        <w:t xml:space="preserve"> (second document in annex to this financial statement) and uploaded to CISNET for interservice consultation purposes.]</w:t>
      </w:r>
    </w:p>
    <w:p w:rsidR="00DC64CF" w:rsidRPr="00DC021E" w:rsidRDefault="00DC64CF" w:rsidP="00977CF9">
      <w:pPr>
        <w:pStyle w:val="Heading3"/>
        <w:rPr>
          <w:noProof/>
          <w:u w:val="single"/>
        </w:rPr>
      </w:pPr>
      <w:r w:rsidRPr="00DC021E">
        <w:rPr>
          <w:noProof/>
        </w:rPr>
        <w:t xml:space="preserve">Summary of estimated impact on expenditure </w:t>
      </w:r>
    </w:p>
    <w:p w:rsidR="00DC64CF" w:rsidRPr="00DC021E" w:rsidRDefault="00DC64CF" w:rsidP="00977CF9">
      <w:pPr>
        <w:jc w:val="right"/>
        <w:rPr>
          <w:noProof/>
          <w:sz w:val="20"/>
        </w:rPr>
      </w:pPr>
      <w:r w:rsidRPr="00DC021E">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DC021E" w:rsidRPr="00DC021E" w:rsidTr="00977CF9">
        <w:trPr>
          <w:jc w:val="center"/>
        </w:trPr>
        <w:tc>
          <w:tcPr>
            <w:tcW w:w="4744" w:type="dxa"/>
            <w:shd w:val="thinDiagStripe" w:color="C0C0C0" w:fill="auto"/>
            <w:vAlign w:val="center"/>
          </w:tcPr>
          <w:p w:rsidR="00DC64CF" w:rsidRPr="00DC021E" w:rsidRDefault="00DC64CF" w:rsidP="00977CF9">
            <w:pPr>
              <w:spacing w:before="60" w:after="60"/>
              <w:jc w:val="center"/>
              <w:rPr>
                <w:b/>
                <w:noProof/>
                <w:sz w:val="22"/>
              </w:rPr>
            </w:pPr>
            <w:r w:rsidRPr="00DC021E">
              <w:rPr>
                <w:b/>
                <w:noProof/>
                <w:sz w:val="22"/>
              </w:rPr>
              <w:t xml:space="preserve">Heading of multiannual financial </w:t>
            </w:r>
            <w:r w:rsidRPr="00DC021E">
              <w:rPr>
                <w:noProof/>
                <w:sz w:val="22"/>
              </w:rPr>
              <w:br/>
            </w:r>
            <w:r w:rsidRPr="00DC021E">
              <w:rPr>
                <w:b/>
                <w:noProof/>
                <w:sz w:val="22"/>
              </w:rPr>
              <w:t xml:space="preserve">framework </w:t>
            </w:r>
          </w:p>
        </w:tc>
        <w:tc>
          <w:tcPr>
            <w:tcW w:w="1080" w:type="dxa"/>
            <w:vAlign w:val="center"/>
          </w:tcPr>
          <w:p w:rsidR="00DC64CF" w:rsidRPr="00DC021E" w:rsidRDefault="00DC64CF" w:rsidP="00977CF9">
            <w:pPr>
              <w:spacing w:before="60" w:after="60"/>
              <w:jc w:val="center"/>
              <w:rPr>
                <w:noProof/>
                <w:sz w:val="22"/>
              </w:rPr>
            </w:pPr>
            <w:r w:rsidRPr="00DC021E">
              <w:rPr>
                <w:noProof/>
                <w:sz w:val="22"/>
              </w:rPr>
              <w:t>Number</w:t>
            </w:r>
          </w:p>
        </w:tc>
        <w:tc>
          <w:tcPr>
            <w:tcW w:w="7817" w:type="dxa"/>
            <w:vAlign w:val="center"/>
          </w:tcPr>
          <w:p w:rsidR="00DC64CF" w:rsidRPr="00DC021E" w:rsidRDefault="001214EA" w:rsidP="001214EA">
            <w:pPr>
              <w:spacing w:before="60" w:after="60"/>
              <w:rPr>
                <w:noProof/>
                <w:sz w:val="22"/>
              </w:rPr>
            </w:pPr>
            <w:r w:rsidRPr="00DC021E">
              <w:rPr>
                <w:noProof/>
                <w:sz w:val="22"/>
              </w:rPr>
              <w:t>Susta</w:t>
            </w:r>
            <w:r w:rsidR="0021172B" w:rsidRPr="00DC021E">
              <w:rPr>
                <w:noProof/>
                <w:sz w:val="22"/>
              </w:rPr>
              <w:t>i</w:t>
            </w:r>
            <w:r w:rsidRPr="00DC021E">
              <w:rPr>
                <w:noProof/>
                <w:sz w:val="22"/>
              </w:rPr>
              <w:t>nable Growth: Natural Resources</w:t>
            </w:r>
          </w:p>
        </w:tc>
      </w:tr>
    </w:tbl>
    <w:p w:rsidR="00DC64CF" w:rsidRPr="00DC021E" w:rsidRDefault="00DC64CF" w:rsidP="00977CF9">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DC021E" w:rsidRPr="00DC021E" w:rsidTr="00977CF9">
        <w:tc>
          <w:tcPr>
            <w:tcW w:w="3960" w:type="dxa"/>
            <w:vAlign w:val="center"/>
          </w:tcPr>
          <w:p w:rsidR="00A202AE" w:rsidRPr="00DC021E" w:rsidRDefault="00A202AE" w:rsidP="001214EA">
            <w:pPr>
              <w:jc w:val="center"/>
              <w:rPr>
                <w:noProof/>
                <w:sz w:val="22"/>
              </w:rPr>
            </w:pPr>
            <w:r w:rsidRPr="00DC021E">
              <w:rPr>
                <w:noProof/>
                <w:sz w:val="22"/>
              </w:rPr>
              <w:t>DG: CLIMA</w:t>
            </w:r>
          </w:p>
        </w:tc>
        <w:tc>
          <w:tcPr>
            <w:tcW w:w="1560" w:type="dxa"/>
            <w:gridSpan w:val="2"/>
          </w:tcPr>
          <w:p w:rsidR="00A202AE" w:rsidRPr="00DC021E" w:rsidRDefault="00A202AE" w:rsidP="00977CF9">
            <w:pPr>
              <w:rPr>
                <w:noProof/>
                <w:sz w:val="20"/>
              </w:rPr>
            </w:pPr>
          </w:p>
        </w:tc>
        <w:tc>
          <w:tcPr>
            <w:tcW w:w="534" w:type="dxa"/>
          </w:tcPr>
          <w:p w:rsidR="00A202AE" w:rsidRPr="00DC021E" w:rsidRDefault="00A202AE" w:rsidP="00977CF9">
            <w:pPr>
              <w:jc w:val="center"/>
              <w:rPr>
                <w:noProof/>
                <w:sz w:val="20"/>
              </w:rPr>
            </w:pPr>
          </w:p>
        </w:tc>
        <w:tc>
          <w:tcPr>
            <w:tcW w:w="868" w:type="dxa"/>
            <w:vAlign w:val="center"/>
          </w:tcPr>
          <w:p w:rsidR="00A202AE" w:rsidRPr="00DC021E" w:rsidRDefault="00A202AE" w:rsidP="00977CF9">
            <w:pPr>
              <w:jc w:val="center"/>
              <w:rPr>
                <w:noProof/>
                <w:sz w:val="20"/>
              </w:rPr>
            </w:pPr>
            <w:r w:rsidRPr="00DC021E">
              <w:rPr>
                <w:noProof/>
                <w:sz w:val="20"/>
              </w:rPr>
              <w:t>Year 2017</w:t>
            </w:r>
          </w:p>
        </w:tc>
        <w:tc>
          <w:tcPr>
            <w:tcW w:w="868" w:type="dxa"/>
            <w:vAlign w:val="center"/>
          </w:tcPr>
          <w:p w:rsidR="00A202AE" w:rsidRPr="00DC021E" w:rsidRDefault="00A202AE" w:rsidP="00977CF9">
            <w:pPr>
              <w:jc w:val="center"/>
              <w:rPr>
                <w:noProof/>
                <w:sz w:val="20"/>
              </w:rPr>
            </w:pPr>
            <w:r w:rsidRPr="00DC021E">
              <w:rPr>
                <w:noProof/>
                <w:sz w:val="20"/>
              </w:rPr>
              <w:t>Year</w:t>
            </w:r>
            <w:r w:rsidRPr="00DC021E">
              <w:rPr>
                <w:noProof/>
                <w:sz w:val="22"/>
              </w:rPr>
              <w:br/>
            </w:r>
            <w:r w:rsidRPr="00DC021E">
              <w:rPr>
                <w:noProof/>
                <w:sz w:val="20"/>
              </w:rPr>
              <w:t>2018</w:t>
            </w:r>
          </w:p>
        </w:tc>
        <w:tc>
          <w:tcPr>
            <w:tcW w:w="868" w:type="dxa"/>
            <w:vAlign w:val="center"/>
          </w:tcPr>
          <w:p w:rsidR="00A202AE" w:rsidRPr="00DC021E" w:rsidRDefault="00A202AE" w:rsidP="00977CF9">
            <w:pPr>
              <w:jc w:val="center"/>
              <w:rPr>
                <w:noProof/>
                <w:sz w:val="20"/>
              </w:rPr>
            </w:pPr>
            <w:r w:rsidRPr="00DC021E">
              <w:rPr>
                <w:noProof/>
                <w:sz w:val="20"/>
              </w:rPr>
              <w:t>Year</w:t>
            </w:r>
            <w:r w:rsidRPr="00DC021E">
              <w:rPr>
                <w:noProof/>
                <w:sz w:val="22"/>
              </w:rPr>
              <w:br/>
            </w:r>
            <w:r w:rsidRPr="00DC021E">
              <w:rPr>
                <w:noProof/>
                <w:sz w:val="20"/>
              </w:rPr>
              <w:t>2019</w:t>
            </w:r>
          </w:p>
        </w:tc>
        <w:tc>
          <w:tcPr>
            <w:tcW w:w="868" w:type="dxa"/>
            <w:vAlign w:val="center"/>
          </w:tcPr>
          <w:p w:rsidR="00A202AE" w:rsidRPr="00DC021E" w:rsidRDefault="00A202AE" w:rsidP="00977CF9">
            <w:pPr>
              <w:jc w:val="center"/>
              <w:rPr>
                <w:noProof/>
                <w:sz w:val="20"/>
              </w:rPr>
            </w:pPr>
            <w:r w:rsidRPr="00DC021E">
              <w:rPr>
                <w:noProof/>
                <w:sz w:val="20"/>
              </w:rPr>
              <w:t>Year</w:t>
            </w:r>
            <w:r w:rsidRPr="00DC021E">
              <w:rPr>
                <w:noProof/>
                <w:sz w:val="22"/>
              </w:rPr>
              <w:br/>
            </w:r>
            <w:r w:rsidRPr="00DC021E">
              <w:rPr>
                <w:noProof/>
                <w:sz w:val="20"/>
              </w:rPr>
              <w:t>2020</w:t>
            </w:r>
          </w:p>
        </w:tc>
        <w:tc>
          <w:tcPr>
            <w:tcW w:w="2604" w:type="dxa"/>
            <w:gridSpan w:val="3"/>
            <w:vAlign w:val="center"/>
          </w:tcPr>
          <w:p w:rsidR="00A202AE" w:rsidRPr="00DC021E" w:rsidRDefault="00A202AE" w:rsidP="00977CF9">
            <w:pPr>
              <w:jc w:val="center"/>
              <w:rPr>
                <w:b/>
                <w:noProof/>
                <w:sz w:val="18"/>
              </w:rPr>
            </w:pPr>
          </w:p>
        </w:tc>
        <w:tc>
          <w:tcPr>
            <w:tcW w:w="1777" w:type="dxa"/>
            <w:vAlign w:val="center"/>
          </w:tcPr>
          <w:p w:rsidR="00A202AE" w:rsidRPr="00DC021E" w:rsidRDefault="00A202AE" w:rsidP="00977CF9">
            <w:pPr>
              <w:jc w:val="center"/>
              <w:rPr>
                <w:b/>
                <w:noProof/>
                <w:sz w:val="20"/>
              </w:rPr>
            </w:pPr>
            <w:r w:rsidRPr="00DC021E">
              <w:rPr>
                <w:b/>
                <w:noProof/>
                <w:sz w:val="20"/>
              </w:rPr>
              <w:t>TOTAL</w:t>
            </w:r>
          </w:p>
        </w:tc>
      </w:tr>
      <w:tr w:rsidR="00DC021E" w:rsidRPr="00DC021E" w:rsidTr="00977CF9">
        <w:trPr>
          <w:trHeight w:val="213"/>
        </w:trPr>
        <w:tc>
          <w:tcPr>
            <w:tcW w:w="6054" w:type="dxa"/>
            <w:gridSpan w:val="4"/>
            <w:vAlign w:val="center"/>
          </w:tcPr>
          <w:p w:rsidR="00A202AE" w:rsidRPr="00DC021E" w:rsidRDefault="00A202AE" w:rsidP="00977CF9">
            <w:pPr>
              <w:spacing w:before="20" w:after="20"/>
              <w:rPr>
                <w:noProof/>
                <w:sz w:val="21"/>
              </w:rPr>
            </w:pPr>
            <w:r w:rsidRPr="00DC021E">
              <w:rPr>
                <w:noProof/>
                <w:sz w:val="21"/>
              </w:rPr>
              <w:sym w:font="Wingdings" w:char="F09F"/>
            </w:r>
            <w:r w:rsidRPr="00DC021E">
              <w:rPr>
                <w:noProof/>
                <w:sz w:val="21"/>
              </w:rPr>
              <w:t xml:space="preserve"> Operational appropriations </w:t>
            </w:r>
          </w:p>
        </w:tc>
        <w:tc>
          <w:tcPr>
            <w:tcW w:w="868" w:type="dxa"/>
            <w:vAlign w:val="center"/>
          </w:tcPr>
          <w:p w:rsidR="00A202AE" w:rsidRPr="00DC021E" w:rsidRDefault="00A202AE" w:rsidP="00977CF9">
            <w:pPr>
              <w:rPr>
                <w:noProof/>
                <w:sz w:val="20"/>
              </w:rPr>
            </w:pPr>
          </w:p>
        </w:tc>
        <w:tc>
          <w:tcPr>
            <w:tcW w:w="868" w:type="dxa"/>
            <w:vAlign w:val="center"/>
          </w:tcPr>
          <w:p w:rsidR="00A202AE" w:rsidRPr="00DC021E" w:rsidRDefault="00A202AE" w:rsidP="00977CF9">
            <w:pPr>
              <w:rPr>
                <w:noProof/>
                <w:sz w:val="20"/>
              </w:rPr>
            </w:pPr>
          </w:p>
        </w:tc>
        <w:tc>
          <w:tcPr>
            <w:tcW w:w="868" w:type="dxa"/>
            <w:vAlign w:val="center"/>
          </w:tcPr>
          <w:p w:rsidR="00A202AE" w:rsidRPr="00DC021E" w:rsidRDefault="00A202AE" w:rsidP="00977CF9">
            <w:pPr>
              <w:rPr>
                <w:noProof/>
                <w:sz w:val="20"/>
              </w:rPr>
            </w:pPr>
          </w:p>
        </w:tc>
        <w:tc>
          <w:tcPr>
            <w:tcW w:w="868" w:type="dxa"/>
            <w:vAlign w:val="center"/>
          </w:tcPr>
          <w:p w:rsidR="00A202AE" w:rsidRPr="00DC021E" w:rsidRDefault="00A202AE" w:rsidP="00977CF9">
            <w:pPr>
              <w:rPr>
                <w:noProof/>
                <w:sz w:val="20"/>
              </w:rPr>
            </w:pPr>
          </w:p>
        </w:tc>
        <w:tc>
          <w:tcPr>
            <w:tcW w:w="868" w:type="dxa"/>
            <w:vAlign w:val="center"/>
          </w:tcPr>
          <w:p w:rsidR="00A202AE" w:rsidRPr="00DC021E" w:rsidRDefault="00A202AE" w:rsidP="00977CF9">
            <w:pPr>
              <w:rPr>
                <w:noProof/>
                <w:sz w:val="20"/>
              </w:rPr>
            </w:pPr>
          </w:p>
        </w:tc>
        <w:tc>
          <w:tcPr>
            <w:tcW w:w="868" w:type="dxa"/>
            <w:vAlign w:val="center"/>
          </w:tcPr>
          <w:p w:rsidR="00A202AE" w:rsidRPr="00DC021E" w:rsidRDefault="00A202AE" w:rsidP="00977CF9">
            <w:pPr>
              <w:rPr>
                <w:noProof/>
                <w:sz w:val="20"/>
              </w:rPr>
            </w:pPr>
          </w:p>
        </w:tc>
        <w:tc>
          <w:tcPr>
            <w:tcW w:w="868" w:type="dxa"/>
            <w:vAlign w:val="center"/>
          </w:tcPr>
          <w:p w:rsidR="00A202AE" w:rsidRPr="00DC021E" w:rsidRDefault="00A202AE" w:rsidP="00977CF9">
            <w:pPr>
              <w:rPr>
                <w:b/>
                <w:noProof/>
                <w:sz w:val="20"/>
              </w:rPr>
            </w:pPr>
          </w:p>
        </w:tc>
        <w:tc>
          <w:tcPr>
            <w:tcW w:w="1777" w:type="dxa"/>
            <w:vAlign w:val="center"/>
          </w:tcPr>
          <w:p w:rsidR="00A202AE" w:rsidRPr="00DC021E" w:rsidRDefault="00A202AE" w:rsidP="00977CF9">
            <w:pPr>
              <w:rPr>
                <w:b/>
                <w:noProof/>
                <w:sz w:val="20"/>
              </w:rPr>
            </w:pPr>
          </w:p>
        </w:tc>
      </w:tr>
      <w:tr w:rsidR="00DC021E" w:rsidRPr="00DC021E" w:rsidTr="00977CF9">
        <w:trPr>
          <w:trHeight w:val="277"/>
        </w:trPr>
        <w:tc>
          <w:tcPr>
            <w:tcW w:w="3960" w:type="dxa"/>
            <w:vMerge w:val="restart"/>
            <w:vAlign w:val="center"/>
          </w:tcPr>
          <w:p w:rsidR="00A202AE" w:rsidRPr="00DC021E" w:rsidRDefault="0021172B" w:rsidP="00977CF9">
            <w:pPr>
              <w:rPr>
                <w:noProof/>
                <w:sz w:val="22"/>
              </w:rPr>
            </w:pPr>
            <w:r w:rsidRPr="00DC021E">
              <w:rPr>
                <w:noProof/>
                <w:sz w:val="22"/>
              </w:rPr>
              <w:t>34.02.01</w:t>
            </w:r>
          </w:p>
        </w:tc>
        <w:tc>
          <w:tcPr>
            <w:tcW w:w="1440" w:type="dxa"/>
            <w:vAlign w:val="center"/>
          </w:tcPr>
          <w:p w:rsidR="00A202AE" w:rsidRPr="00DC021E" w:rsidRDefault="00A202AE" w:rsidP="00977CF9">
            <w:pPr>
              <w:spacing w:before="20" w:after="20"/>
              <w:rPr>
                <w:noProof/>
                <w:sz w:val="18"/>
              </w:rPr>
            </w:pPr>
            <w:r w:rsidRPr="00DC021E">
              <w:rPr>
                <w:noProof/>
                <w:sz w:val="18"/>
              </w:rPr>
              <w:t>Commitments</w:t>
            </w:r>
          </w:p>
        </w:tc>
        <w:tc>
          <w:tcPr>
            <w:tcW w:w="654" w:type="dxa"/>
            <w:gridSpan w:val="2"/>
            <w:vAlign w:val="center"/>
          </w:tcPr>
          <w:p w:rsidR="00A202AE" w:rsidRPr="00DC021E" w:rsidRDefault="00A202AE" w:rsidP="00977CF9">
            <w:pPr>
              <w:spacing w:before="20" w:after="20"/>
              <w:jc w:val="center"/>
              <w:rPr>
                <w:noProof/>
                <w:sz w:val="14"/>
              </w:rPr>
            </w:pPr>
            <w:r w:rsidRPr="00DC021E">
              <w:rPr>
                <w:noProof/>
                <w:sz w:val="14"/>
              </w:rPr>
              <w:t>(1)</w:t>
            </w:r>
          </w:p>
        </w:tc>
        <w:tc>
          <w:tcPr>
            <w:tcW w:w="868" w:type="dxa"/>
            <w:vAlign w:val="center"/>
          </w:tcPr>
          <w:p w:rsidR="00A202AE" w:rsidRPr="00DC021E" w:rsidRDefault="00A202AE" w:rsidP="00977CF9">
            <w:pPr>
              <w:spacing w:before="20" w:after="20"/>
              <w:jc w:val="right"/>
              <w:rPr>
                <w:noProof/>
                <w:sz w:val="20"/>
              </w:rPr>
            </w:pPr>
            <w:r w:rsidRPr="00DC021E">
              <w:rPr>
                <w:noProof/>
                <w:sz w:val="20"/>
              </w:rPr>
              <w:t>1,0</w:t>
            </w:r>
          </w:p>
        </w:tc>
        <w:tc>
          <w:tcPr>
            <w:tcW w:w="868" w:type="dxa"/>
            <w:vAlign w:val="center"/>
          </w:tcPr>
          <w:p w:rsidR="00A202AE" w:rsidRPr="00DC021E" w:rsidRDefault="00A202AE" w:rsidP="00977CF9">
            <w:pPr>
              <w:spacing w:before="20" w:after="20"/>
              <w:jc w:val="right"/>
              <w:rPr>
                <w:noProof/>
                <w:sz w:val="20"/>
              </w:rPr>
            </w:pPr>
            <w:r w:rsidRPr="00DC021E">
              <w:rPr>
                <w:noProof/>
                <w:sz w:val="20"/>
              </w:rPr>
              <w:t>0,6</w:t>
            </w: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b/>
                <w:noProof/>
                <w:sz w:val="20"/>
              </w:rPr>
            </w:pPr>
          </w:p>
        </w:tc>
        <w:tc>
          <w:tcPr>
            <w:tcW w:w="1777" w:type="dxa"/>
            <w:vAlign w:val="center"/>
          </w:tcPr>
          <w:p w:rsidR="00A202AE" w:rsidRPr="00DC021E" w:rsidRDefault="00A202AE" w:rsidP="00B81AB0">
            <w:pPr>
              <w:spacing w:before="20" w:after="20"/>
              <w:jc w:val="right"/>
              <w:rPr>
                <w:b/>
                <w:noProof/>
                <w:sz w:val="20"/>
              </w:rPr>
            </w:pPr>
            <w:r w:rsidRPr="00DC021E">
              <w:rPr>
                <w:b/>
                <w:noProof/>
                <w:sz w:val="20"/>
              </w:rPr>
              <w:t>1,6</w:t>
            </w:r>
          </w:p>
        </w:tc>
      </w:tr>
      <w:tr w:rsidR="00DC021E" w:rsidRPr="00DC021E" w:rsidTr="00977CF9">
        <w:tc>
          <w:tcPr>
            <w:tcW w:w="3960" w:type="dxa"/>
            <w:vMerge/>
          </w:tcPr>
          <w:p w:rsidR="00A202AE" w:rsidRPr="00DC021E" w:rsidRDefault="00A202AE" w:rsidP="00977CF9">
            <w:pPr>
              <w:jc w:val="center"/>
              <w:rPr>
                <w:noProof/>
                <w:sz w:val="20"/>
              </w:rPr>
            </w:pPr>
          </w:p>
        </w:tc>
        <w:tc>
          <w:tcPr>
            <w:tcW w:w="1440" w:type="dxa"/>
            <w:vAlign w:val="center"/>
          </w:tcPr>
          <w:p w:rsidR="00A202AE" w:rsidRPr="00DC021E" w:rsidRDefault="00A202AE" w:rsidP="00977CF9">
            <w:pPr>
              <w:spacing w:before="20" w:after="20"/>
              <w:rPr>
                <w:noProof/>
                <w:sz w:val="18"/>
              </w:rPr>
            </w:pPr>
            <w:r w:rsidRPr="00DC021E">
              <w:rPr>
                <w:noProof/>
                <w:sz w:val="18"/>
              </w:rPr>
              <w:t>Payments</w:t>
            </w:r>
          </w:p>
        </w:tc>
        <w:tc>
          <w:tcPr>
            <w:tcW w:w="654" w:type="dxa"/>
            <w:gridSpan w:val="2"/>
            <w:vAlign w:val="center"/>
          </w:tcPr>
          <w:p w:rsidR="00A202AE" w:rsidRPr="00DC021E" w:rsidRDefault="00A202AE" w:rsidP="00977CF9">
            <w:pPr>
              <w:spacing w:before="20" w:after="20"/>
              <w:jc w:val="center"/>
              <w:rPr>
                <w:noProof/>
                <w:sz w:val="14"/>
              </w:rPr>
            </w:pPr>
            <w:r w:rsidRPr="00DC021E">
              <w:rPr>
                <w:noProof/>
                <w:sz w:val="14"/>
              </w:rPr>
              <w:t>(2)</w:t>
            </w:r>
          </w:p>
        </w:tc>
        <w:tc>
          <w:tcPr>
            <w:tcW w:w="868" w:type="dxa"/>
            <w:vAlign w:val="center"/>
          </w:tcPr>
          <w:p w:rsidR="00A202AE" w:rsidRPr="00DC021E" w:rsidRDefault="00A202AE" w:rsidP="00977CF9">
            <w:pPr>
              <w:spacing w:before="20" w:after="20"/>
              <w:jc w:val="right"/>
              <w:rPr>
                <w:noProof/>
                <w:sz w:val="20"/>
              </w:rPr>
            </w:pPr>
            <w:r w:rsidRPr="00DC021E">
              <w:rPr>
                <w:noProof/>
                <w:sz w:val="20"/>
              </w:rPr>
              <w:t>0,6</w:t>
            </w:r>
          </w:p>
        </w:tc>
        <w:tc>
          <w:tcPr>
            <w:tcW w:w="868" w:type="dxa"/>
            <w:vAlign w:val="center"/>
          </w:tcPr>
          <w:p w:rsidR="00A202AE" w:rsidRPr="00DC021E" w:rsidRDefault="00A202AE" w:rsidP="00977CF9">
            <w:pPr>
              <w:spacing w:before="20" w:after="20"/>
              <w:jc w:val="right"/>
              <w:rPr>
                <w:noProof/>
                <w:sz w:val="20"/>
              </w:rPr>
            </w:pPr>
            <w:r w:rsidRPr="00DC021E">
              <w:rPr>
                <w:noProof/>
                <w:sz w:val="20"/>
              </w:rPr>
              <w:t>0,760</w:t>
            </w:r>
          </w:p>
        </w:tc>
        <w:tc>
          <w:tcPr>
            <w:tcW w:w="868" w:type="dxa"/>
            <w:vAlign w:val="center"/>
          </w:tcPr>
          <w:p w:rsidR="00A202AE" w:rsidRPr="00DC021E" w:rsidRDefault="00A202AE" w:rsidP="00977CF9">
            <w:pPr>
              <w:spacing w:before="20" w:after="20"/>
              <w:jc w:val="right"/>
              <w:rPr>
                <w:noProof/>
                <w:sz w:val="20"/>
              </w:rPr>
            </w:pPr>
            <w:r w:rsidRPr="00DC021E">
              <w:rPr>
                <w:noProof/>
                <w:sz w:val="20"/>
              </w:rPr>
              <w:t>0,240</w:t>
            </w: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b/>
                <w:noProof/>
                <w:sz w:val="20"/>
              </w:rPr>
            </w:pPr>
          </w:p>
        </w:tc>
        <w:tc>
          <w:tcPr>
            <w:tcW w:w="1777" w:type="dxa"/>
            <w:vAlign w:val="center"/>
          </w:tcPr>
          <w:p w:rsidR="00A202AE" w:rsidRPr="00DC021E" w:rsidRDefault="00A202AE" w:rsidP="00B81AB0">
            <w:pPr>
              <w:spacing w:before="20" w:after="20"/>
              <w:jc w:val="right"/>
              <w:rPr>
                <w:b/>
                <w:noProof/>
                <w:sz w:val="20"/>
              </w:rPr>
            </w:pPr>
            <w:r w:rsidRPr="00DC021E">
              <w:rPr>
                <w:b/>
                <w:noProof/>
                <w:sz w:val="20"/>
              </w:rPr>
              <w:t>1,6</w:t>
            </w:r>
          </w:p>
        </w:tc>
      </w:tr>
      <w:tr w:rsidR="00DC021E" w:rsidRPr="00DC021E" w:rsidTr="00977CF9">
        <w:tc>
          <w:tcPr>
            <w:tcW w:w="3960" w:type="dxa"/>
            <w:vMerge w:val="restart"/>
            <w:vAlign w:val="center"/>
          </w:tcPr>
          <w:p w:rsidR="00A202AE" w:rsidRPr="00DC021E" w:rsidRDefault="00A202AE" w:rsidP="00977CF9">
            <w:pPr>
              <w:rPr>
                <w:noProof/>
                <w:sz w:val="22"/>
              </w:rPr>
            </w:pPr>
            <w:r w:rsidRPr="00DC021E">
              <w:rPr>
                <w:noProof/>
                <w:sz w:val="20"/>
              </w:rPr>
              <w:t>Number of budget line</w:t>
            </w:r>
          </w:p>
        </w:tc>
        <w:tc>
          <w:tcPr>
            <w:tcW w:w="1440" w:type="dxa"/>
            <w:vAlign w:val="center"/>
          </w:tcPr>
          <w:p w:rsidR="00A202AE" w:rsidRPr="00DC021E" w:rsidRDefault="00A202AE" w:rsidP="00977CF9">
            <w:pPr>
              <w:spacing w:before="20" w:after="20"/>
              <w:rPr>
                <w:noProof/>
                <w:sz w:val="18"/>
              </w:rPr>
            </w:pPr>
            <w:r w:rsidRPr="00DC021E">
              <w:rPr>
                <w:noProof/>
                <w:sz w:val="18"/>
              </w:rPr>
              <w:t>Commitments</w:t>
            </w:r>
          </w:p>
        </w:tc>
        <w:tc>
          <w:tcPr>
            <w:tcW w:w="654" w:type="dxa"/>
            <w:gridSpan w:val="2"/>
            <w:vAlign w:val="center"/>
          </w:tcPr>
          <w:p w:rsidR="00A202AE" w:rsidRPr="00DC021E" w:rsidRDefault="00A202AE" w:rsidP="00977CF9">
            <w:pPr>
              <w:spacing w:before="20" w:after="20"/>
              <w:jc w:val="center"/>
              <w:rPr>
                <w:noProof/>
                <w:sz w:val="14"/>
              </w:rPr>
            </w:pPr>
            <w:r w:rsidRPr="00DC021E">
              <w:rPr>
                <w:noProof/>
                <w:sz w:val="14"/>
              </w:rPr>
              <w:t>(1a)</w:t>
            </w: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b/>
                <w:noProof/>
                <w:sz w:val="20"/>
              </w:rPr>
            </w:pPr>
          </w:p>
        </w:tc>
        <w:tc>
          <w:tcPr>
            <w:tcW w:w="1777" w:type="dxa"/>
            <w:vAlign w:val="center"/>
          </w:tcPr>
          <w:p w:rsidR="00A202AE" w:rsidRPr="00DC021E" w:rsidRDefault="00A202AE" w:rsidP="00977CF9">
            <w:pPr>
              <w:spacing w:before="20" w:after="20"/>
              <w:jc w:val="right"/>
              <w:rPr>
                <w:b/>
                <w:noProof/>
                <w:sz w:val="20"/>
              </w:rPr>
            </w:pPr>
          </w:p>
        </w:tc>
      </w:tr>
      <w:tr w:rsidR="00DC021E" w:rsidRPr="00DC021E" w:rsidTr="00977CF9">
        <w:tc>
          <w:tcPr>
            <w:tcW w:w="3960" w:type="dxa"/>
            <w:vMerge/>
          </w:tcPr>
          <w:p w:rsidR="00A202AE" w:rsidRPr="00DC021E" w:rsidRDefault="00A202AE" w:rsidP="00977CF9">
            <w:pPr>
              <w:jc w:val="center"/>
              <w:rPr>
                <w:noProof/>
                <w:sz w:val="20"/>
              </w:rPr>
            </w:pPr>
          </w:p>
        </w:tc>
        <w:tc>
          <w:tcPr>
            <w:tcW w:w="1440" w:type="dxa"/>
            <w:vAlign w:val="center"/>
          </w:tcPr>
          <w:p w:rsidR="00A202AE" w:rsidRPr="00DC021E" w:rsidRDefault="00A202AE" w:rsidP="00977CF9">
            <w:pPr>
              <w:spacing w:before="20" w:after="20"/>
              <w:rPr>
                <w:noProof/>
                <w:sz w:val="18"/>
              </w:rPr>
            </w:pPr>
            <w:r w:rsidRPr="00DC021E">
              <w:rPr>
                <w:noProof/>
                <w:sz w:val="18"/>
              </w:rPr>
              <w:t>Payments</w:t>
            </w:r>
          </w:p>
        </w:tc>
        <w:tc>
          <w:tcPr>
            <w:tcW w:w="654" w:type="dxa"/>
            <w:gridSpan w:val="2"/>
            <w:vAlign w:val="center"/>
          </w:tcPr>
          <w:p w:rsidR="00A202AE" w:rsidRPr="00DC021E" w:rsidRDefault="00A202AE" w:rsidP="00977CF9">
            <w:pPr>
              <w:spacing w:before="20" w:after="20"/>
              <w:jc w:val="center"/>
              <w:rPr>
                <w:noProof/>
                <w:sz w:val="14"/>
              </w:rPr>
            </w:pPr>
            <w:r w:rsidRPr="00DC021E">
              <w:rPr>
                <w:noProof/>
                <w:sz w:val="14"/>
              </w:rPr>
              <w:t>(2a)</w:t>
            </w: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b/>
                <w:noProof/>
                <w:sz w:val="20"/>
              </w:rPr>
            </w:pPr>
          </w:p>
        </w:tc>
        <w:tc>
          <w:tcPr>
            <w:tcW w:w="1777" w:type="dxa"/>
            <w:vAlign w:val="center"/>
          </w:tcPr>
          <w:p w:rsidR="00A202AE" w:rsidRPr="00DC021E" w:rsidRDefault="00A202AE" w:rsidP="00977CF9">
            <w:pPr>
              <w:spacing w:before="20" w:after="20"/>
              <w:jc w:val="right"/>
              <w:rPr>
                <w:b/>
                <w:noProof/>
                <w:sz w:val="20"/>
              </w:rPr>
            </w:pPr>
          </w:p>
        </w:tc>
      </w:tr>
      <w:tr w:rsidR="00DC021E" w:rsidRPr="00DC021E" w:rsidTr="00977CF9">
        <w:trPr>
          <w:trHeight w:val="231"/>
        </w:trPr>
        <w:tc>
          <w:tcPr>
            <w:tcW w:w="6054" w:type="dxa"/>
            <w:gridSpan w:val="4"/>
            <w:vAlign w:val="center"/>
          </w:tcPr>
          <w:p w:rsidR="00A202AE" w:rsidRPr="00DC021E" w:rsidRDefault="00A202AE" w:rsidP="00977CF9">
            <w:pPr>
              <w:spacing w:before="20" w:after="20"/>
              <w:rPr>
                <w:noProof/>
                <w:sz w:val="22"/>
              </w:rPr>
            </w:pPr>
            <w:r w:rsidRPr="00DC021E">
              <w:rPr>
                <w:noProof/>
                <w:sz w:val="21"/>
              </w:rPr>
              <w:t>Appropriations of an administrative nature financed from the envelope of specific programmes</w:t>
            </w:r>
            <w:r w:rsidRPr="00DC021E">
              <w:rPr>
                <w:rStyle w:val="FootnoteReference"/>
                <w:noProof/>
                <w:sz w:val="21"/>
              </w:rPr>
              <w:footnoteReference w:id="18"/>
            </w:r>
            <w:r w:rsidRPr="00DC021E">
              <w:rPr>
                <w:noProof/>
                <w:sz w:val="21"/>
              </w:rPr>
              <w:t xml:space="preserve"> </w:t>
            </w:r>
          </w:p>
          <w:p w:rsidR="00A202AE" w:rsidRPr="00DC021E" w:rsidRDefault="00A202AE" w:rsidP="00977CF9">
            <w:pPr>
              <w:spacing w:before="0" w:after="0"/>
              <w:rPr>
                <w:noProof/>
                <w:sz w:val="22"/>
              </w:rPr>
            </w:pPr>
          </w:p>
        </w:tc>
        <w:tc>
          <w:tcPr>
            <w:tcW w:w="868" w:type="dxa"/>
            <w:vAlign w:val="center"/>
          </w:tcPr>
          <w:p w:rsidR="00A202AE" w:rsidRPr="00DC021E" w:rsidRDefault="00A202AE" w:rsidP="00977CF9">
            <w:pPr>
              <w:rPr>
                <w:b/>
                <w:noProof/>
                <w:sz w:val="20"/>
              </w:rPr>
            </w:pPr>
          </w:p>
        </w:tc>
        <w:tc>
          <w:tcPr>
            <w:tcW w:w="868" w:type="dxa"/>
            <w:vAlign w:val="center"/>
          </w:tcPr>
          <w:p w:rsidR="00A202AE" w:rsidRPr="00DC021E" w:rsidRDefault="00A202AE" w:rsidP="00977CF9">
            <w:pPr>
              <w:rPr>
                <w:b/>
                <w:noProof/>
                <w:sz w:val="20"/>
              </w:rPr>
            </w:pPr>
          </w:p>
        </w:tc>
        <w:tc>
          <w:tcPr>
            <w:tcW w:w="868" w:type="dxa"/>
            <w:vAlign w:val="center"/>
          </w:tcPr>
          <w:p w:rsidR="00A202AE" w:rsidRPr="00DC021E" w:rsidRDefault="00A202AE" w:rsidP="00977CF9">
            <w:pPr>
              <w:rPr>
                <w:b/>
                <w:noProof/>
                <w:sz w:val="20"/>
              </w:rPr>
            </w:pPr>
          </w:p>
        </w:tc>
        <w:tc>
          <w:tcPr>
            <w:tcW w:w="868" w:type="dxa"/>
            <w:vAlign w:val="center"/>
          </w:tcPr>
          <w:p w:rsidR="00A202AE" w:rsidRPr="00DC021E" w:rsidRDefault="00A202AE" w:rsidP="00977CF9">
            <w:pPr>
              <w:rPr>
                <w:b/>
                <w:noProof/>
                <w:sz w:val="20"/>
              </w:rPr>
            </w:pPr>
          </w:p>
        </w:tc>
        <w:tc>
          <w:tcPr>
            <w:tcW w:w="868" w:type="dxa"/>
            <w:vAlign w:val="center"/>
          </w:tcPr>
          <w:p w:rsidR="00A202AE" w:rsidRPr="00DC021E" w:rsidRDefault="00A202AE" w:rsidP="00977CF9">
            <w:pPr>
              <w:rPr>
                <w:b/>
                <w:noProof/>
                <w:sz w:val="20"/>
              </w:rPr>
            </w:pPr>
          </w:p>
        </w:tc>
        <w:tc>
          <w:tcPr>
            <w:tcW w:w="868" w:type="dxa"/>
            <w:vAlign w:val="center"/>
          </w:tcPr>
          <w:p w:rsidR="00A202AE" w:rsidRPr="00DC021E" w:rsidRDefault="00A202AE" w:rsidP="00977CF9">
            <w:pPr>
              <w:rPr>
                <w:b/>
                <w:noProof/>
                <w:sz w:val="20"/>
              </w:rPr>
            </w:pPr>
          </w:p>
        </w:tc>
        <w:tc>
          <w:tcPr>
            <w:tcW w:w="868" w:type="dxa"/>
            <w:vAlign w:val="center"/>
          </w:tcPr>
          <w:p w:rsidR="00A202AE" w:rsidRPr="00DC021E" w:rsidRDefault="00A202AE" w:rsidP="00977CF9">
            <w:pPr>
              <w:rPr>
                <w:b/>
                <w:noProof/>
                <w:sz w:val="20"/>
              </w:rPr>
            </w:pPr>
          </w:p>
        </w:tc>
        <w:tc>
          <w:tcPr>
            <w:tcW w:w="1777" w:type="dxa"/>
            <w:vAlign w:val="center"/>
          </w:tcPr>
          <w:p w:rsidR="00A202AE" w:rsidRPr="00DC021E" w:rsidRDefault="00A202AE" w:rsidP="00977CF9">
            <w:pPr>
              <w:rPr>
                <w:b/>
                <w:noProof/>
                <w:sz w:val="20"/>
              </w:rPr>
            </w:pPr>
          </w:p>
        </w:tc>
      </w:tr>
      <w:tr w:rsidR="00DC021E" w:rsidRPr="00DC021E" w:rsidTr="00977CF9">
        <w:trPr>
          <w:trHeight w:val="319"/>
        </w:trPr>
        <w:tc>
          <w:tcPr>
            <w:tcW w:w="3960" w:type="dxa"/>
            <w:vAlign w:val="center"/>
          </w:tcPr>
          <w:p w:rsidR="00A202AE" w:rsidRPr="00DC021E" w:rsidRDefault="00A202AE" w:rsidP="00977CF9">
            <w:pPr>
              <w:spacing w:before="60" w:after="60"/>
              <w:rPr>
                <w:noProof/>
                <w:sz w:val="22"/>
              </w:rPr>
            </w:pPr>
            <w:r w:rsidRPr="00DC021E">
              <w:rPr>
                <w:noProof/>
                <w:sz w:val="20"/>
              </w:rPr>
              <w:t>Number of budget line</w:t>
            </w:r>
          </w:p>
        </w:tc>
        <w:tc>
          <w:tcPr>
            <w:tcW w:w="1440" w:type="dxa"/>
            <w:vAlign w:val="center"/>
          </w:tcPr>
          <w:p w:rsidR="00A202AE" w:rsidRPr="00DC021E" w:rsidRDefault="00A202AE" w:rsidP="00977CF9">
            <w:pPr>
              <w:spacing w:before="40" w:after="40"/>
              <w:jc w:val="right"/>
              <w:rPr>
                <w:noProof/>
                <w:sz w:val="18"/>
              </w:rPr>
            </w:pPr>
          </w:p>
        </w:tc>
        <w:tc>
          <w:tcPr>
            <w:tcW w:w="654" w:type="dxa"/>
            <w:gridSpan w:val="2"/>
            <w:vAlign w:val="center"/>
          </w:tcPr>
          <w:p w:rsidR="00A202AE" w:rsidRPr="00DC021E" w:rsidRDefault="00A202AE" w:rsidP="00977CF9">
            <w:pPr>
              <w:spacing w:before="40" w:after="40"/>
              <w:jc w:val="center"/>
              <w:rPr>
                <w:noProof/>
                <w:sz w:val="14"/>
              </w:rPr>
            </w:pPr>
            <w:r w:rsidRPr="00DC021E">
              <w:rPr>
                <w:noProof/>
                <w:sz w:val="14"/>
              </w:rPr>
              <w:t>(3)</w:t>
            </w:r>
          </w:p>
        </w:tc>
        <w:tc>
          <w:tcPr>
            <w:tcW w:w="868" w:type="dxa"/>
            <w:vAlign w:val="center"/>
          </w:tcPr>
          <w:p w:rsidR="00A202AE" w:rsidRPr="00DC021E" w:rsidRDefault="00A202AE" w:rsidP="00977CF9">
            <w:pPr>
              <w:spacing w:before="40" w:after="40"/>
              <w:jc w:val="right"/>
              <w:rPr>
                <w:b/>
                <w:noProof/>
                <w:sz w:val="20"/>
              </w:rPr>
            </w:pPr>
          </w:p>
        </w:tc>
        <w:tc>
          <w:tcPr>
            <w:tcW w:w="868" w:type="dxa"/>
            <w:vAlign w:val="center"/>
          </w:tcPr>
          <w:p w:rsidR="00A202AE" w:rsidRPr="00DC021E" w:rsidRDefault="00A202AE" w:rsidP="00977CF9">
            <w:pPr>
              <w:spacing w:before="40" w:after="40"/>
              <w:jc w:val="right"/>
              <w:rPr>
                <w:b/>
                <w:noProof/>
                <w:sz w:val="20"/>
              </w:rPr>
            </w:pPr>
          </w:p>
        </w:tc>
        <w:tc>
          <w:tcPr>
            <w:tcW w:w="868" w:type="dxa"/>
            <w:vAlign w:val="center"/>
          </w:tcPr>
          <w:p w:rsidR="00A202AE" w:rsidRPr="00DC021E" w:rsidRDefault="00A202AE" w:rsidP="00977CF9">
            <w:pPr>
              <w:spacing w:before="40" w:after="40"/>
              <w:jc w:val="right"/>
              <w:rPr>
                <w:b/>
                <w:noProof/>
                <w:sz w:val="20"/>
              </w:rPr>
            </w:pPr>
          </w:p>
        </w:tc>
        <w:tc>
          <w:tcPr>
            <w:tcW w:w="868" w:type="dxa"/>
            <w:vAlign w:val="center"/>
          </w:tcPr>
          <w:p w:rsidR="00A202AE" w:rsidRPr="00DC021E" w:rsidRDefault="00A202AE" w:rsidP="00977CF9">
            <w:pPr>
              <w:spacing w:before="40" w:after="40"/>
              <w:jc w:val="right"/>
              <w:rPr>
                <w:b/>
                <w:noProof/>
                <w:sz w:val="20"/>
              </w:rPr>
            </w:pPr>
          </w:p>
        </w:tc>
        <w:tc>
          <w:tcPr>
            <w:tcW w:w="868" w:type="dxa"/>
            <w:vAlign w:val="center"/>
          </w:tcPr>
          <w:p w:rsidR="00A202AE" w:rsidRPr="00DC021E" w:rsidRDefault="00A202AE" w:rsidP="00977CF9">
            <w:pPr>
              <w:spacing w:before="40" w:after="40"/>
              <w:jc w:val="right"/>
              <w:rPr>
                <w:b/>
                <w:noProof/>
                <w:sz w:val="20"/>
              </w:rPr>
            </w:pPr>
          </w:p>
        </w:tc>
        <w:tc>
          <w:tcPr>
            <w:tcW w:w="868" w:type="dxa"/>
            <w:vAlign w:val="center"/>
          </w:tcPr>
          <w:p w:rsidR="00A202AE" w:rsidRPr="00DC021E" w:rsidRDefault="00A202AE" w:rsidP="00977CF9">
            <w:pPr>
              <w:spacing w:before="40" w:after="40"/>
              <w:jc w:val="right"/>
              <w:rPr>
                <w:b/>
                <w:noProof/>
                <w:sz w:val="20"/>
              </w:rPr>
            </w:pPr>
          </w:p>
        </w:tc>
        <w:tc>
          <w:tcPr>
            <w:tcW w:w="868" w:type="dxa"/>
            <w:vAlign w:val="center"/>
          </w:tcPr>
          <w:p w:rsidR="00A202AE" w:rsidRPr="00DC021E" w:rsidRDefault="00A202AE" w:rsidP="00977CF9">
            <w:pPr>
              <w:spacing w:before="40" w:after="40"/>
              <w:jc w:val="right"/>
              <w:rPr>
                <w:b/>
                <w:noProof/>
                <w:sz w:val="20"/>
              </w:rPr>
            </w:pPr>
          </w:p>
        </w:tc>
        <w:tc>
          <w:tcPr>
            <w:tcW w:w="1777" w:type="dxa"/>
            <w:vAlign w:val="center"/>
          </w:tcPr>
          <w:p w:rsidR="00A202AE" w:rsidRPr="00DC021E" w:rsidRDefault="00A202AE" w:rsidP="00977CF9">
            <w:pPr>
              <w:spacing w:before="40" w:after="40"/>
              <w:jc w:val="right"/>
              <w:rPr>
                <w:b/>
                <w:noProof/>
                <w:sz w:val="20"/>
              </w:rPr>
            </w:pPr>
          </w:p>
        </w:tc>
      </w:tr>
      <w:tr w:rsidR="00DC021E" w:rsidRPr="00DC021E" w:rsidTr="00977CF9">
        <w:tc>
          <w:tcPr>
            <w:tcW w:w="3960" w:type="dxa"/>
            <w:vMerge w:val="restart"/>
            <w:vAlign w:val="center"/>
          </w:tcPr>
          <w:p w:rsidR="00A202AE" w:rsidRPr="00DC021E" w:rsidRDefault="00A202AE" w:rsidP="00A202AE">
            <w:pPr>
              <w:jc w:val="center"/>
              <w:rPr>
                <w:b/>
                <w:noProof/>
                <w:sz w:val="22"/>
              </w:rPr>
            </w:pPr>
            <w:r w:rsidRPr="00DC021E">
              <w:rPr>
                <w:b/>
                <w:noProof/>
                <w:sz w:val="22"/>
              </w:rPr>
              <w:t>TOTAL appropriations</w:t>
            </w:r>
            <w:r w:rsidRPr="00DC021E">
              <w:rPr>
                <w:noProof/>
                <w:sz w:val="22"/>
              </w:rPr>
              <w:br/>
            </w:r>
            <w:r w:rsidRPr="00DC021E">
              <w:rPr>
                <w:b/>
                <w:noProof/>
                <w:sz w:val="22"/>
              </w:rPr>
              <w:t>for DG CLIMA</w:t>
            </w:r>
          </w:p>
        </w:tc>
        <w:tc>
          <w:tcPr>
            <w:tcW w:w="1440" w:type="dxa"/>
            <w:vAlign w:val="center"/>
          </w:tcPr>
          <w:p w:rsidR="00A202AE" w:rsidRPr="00DC021E" w:rsidRDefault="00A202AE" w:rsidP="00977CF9">
            <w:pPr>
              <w:rPr>
                <w:noProof/>
                <w:sz w:val="18"/>
              </w:rPr>
            </w:pPr>
            <w:r w:rsidRPr="00DC021E">
              <w:rPr>
                <w:noProof/>
                <w:sz w:val="18"/>
              </w:rPr>
              <w:t>Commitments</w:t>
            </w:r>
          </w:p>
        </w:tc>
        <w:tc>
          <w:tcPr>
            <w:tcW w:w="654" w:type="dxa"/>
            <w:gridSpan w:val="2"/>
            <w:vAlign w:val="center"/>
          </w:tcPr>
          <w:p w:rsidR="00A202AE" w:rsidRPr="00DC021E" w:rsidRDefault="00A202AE" w:rsidP="00977CF9">
            <w:pPr>
              <w:jc w:val="center"/>
              <w:rPr>
                <w:noProof/>
                <w:sz w:val="14"/>
              </w:rPr>
            </w:pPr>
            <w:r w:rsidRPr="00DC021E">
              <w:rPr>
                <w:noProof/>
                <w:sz w:val="14"/>
              </w:rPr>
              <w:t>=1+1a +3</w:t>
            </w:r>
          </w:p>
        </w:tc>
        <w:tc>
          <w:tcPr>
            <w:tcW w:w="868" w:type="dxa"/>
            <w:vAlign w:val="center"/>
          </w:tcPr>
          <w:p w:rsidR="00A202AE" w:rsidRPr="00DC021E" w:rsidRDefault="00A202AE" w:rsidP="00977CF9">
            <w:pPr>
              <w:spacing w:before="20" w:after="20"/>
              <w:jc w:val="right"/>
              <w:rPr>
                <w:noProof/>
                <w:sz w:val="20"/>
              </w:rPr>
            </w:pPr>
            <w:r w:rsidRPr="00DC021E">
              <w:rPr>
                <w:noProof/>
                <w:sz w:val="20"/>
              </w:rPr>
              <w:t>1,0</w:t>
            </w:r>
          </w:p>
        </w:tc>
        <w:tc>
          <w:tcPr>
            <w:tcW w:w="868" w:type="dxa"/>
            <w:vAlign w:val="center"/>
          </w:tcPr>
          <w:p w:rsidR="00A202AE" w:rsidRPr="00DC021E" w:rsidRDefault="00A202AE" w:rsidP="00977CF9">
            <w:pPr>
              <w:spacing w:before="20" w:after="20"/>
              <w:jc w:val="right"/>
              <w:rPr>
                <w:noProof/>
                <w:sz w:val="20"/>
              </w:rPr>
            </w:pPr>
            <w:r w:rsidRPr="00DC021E">
              <w:rPr>
                <w:noProof/>
                <w:sz w:val="20"/>
              </w:rPr>
              <w:t>0,6</w:t>
            </w: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b/>
                <w:noProof/>
                <w:sz w:val="20"/>
              </w:rPr>
            </w:pPr>
          </w:p>
        </w:tc>
        <w:tc>
          <w:tcPr>
            <w:tcW w:w="1777" w:type="dxa"/>
            <w:vAlign w:val="center"/>
          </w:tcPr>
          <w:p w:rsidR="00A202AE" w:rsidRPr="00DC021E" w:rsidRDefault="00A202AE" w:rsidP="00B81AB0">
            <w:pPr>
              <w:spacing w:before="20" w:after="20"/>
              <w:jc w:val="right"/>
              <w:rPr>
                <w:b/>
                <w:noProof/>
                <w:sz w:val="20"/>
              </w:rPr>
            </w:pPr>
            <w:r w:rsidRPr="00DC021E">
              <w:rPr>
                <w:b/>
                <w:noProof/>
                <w:sz w:val="20"/>
              </w:rPr>
              <w:t>1,6</w:t>
            </w:r>
          </w:p>
        </w:tc>
      </w:tr>
      <w:tr w:rsidR="00DC021E" w:rsidRPr="00DC021E" w:rsidTr="00977CF9">
        <w:tc>
          <w:tcPr>
            <w:tcW w:w="3960" w:type="dxa"/>
            <w:vMerge/>
          </w:tcPr>
          <w:p w:rsidR="00A202AE" w:rsidRPr="00DC021E" w:rsidRDefault="00A202AE" w:rsidP="00977CF9">
            <w:pPr>
              <w:rPr>
                <w:noProof/>
                <w:sz w:val="20"/>
              </w:rPr>
            </w:pPr>
          </w:p>
        </w:tc>
        <w:tc>
          <w:tcPr>
            <w:tcW w:w="1440" w:type="dxa"/>
            <w:vAlign w:val="center"/>
          </w:tcPr>
          <w:p w:rsidR="00A202AE" w:rsidRPr="00DC021E" w:rsidRDefault="00A202AE" w:rsidP="00977CF9">
            <w:pPr>
              <w:rPr>
                <w:noProof/>
                <w:sz w:val="18"/>
              </w:rPr>
            </w:pPr>
            <w:r w:rsidRPr="00DC021E">
              <w:rPr>
                <w:noProof/>
                <w:sz w:val="18"/>
              </w:rPr>
              <w:t>Payments</w:t>
            </w:r>
          </w:p>
        </w:tc>
        <w:tc>
          <w:tcPr>
            <w:tcW w:w="654" w:type="dxa"/>
            <w:gridSpan w:val="2"/>
            <w:vAlign w:val="center"/>
          </w:tcPr>
          <w:p w:rsidR="00A202AE" w:rsidRPr="00DC021E" w:rsidRDefault="00A202AE" w:rsidP="00977CF9">
            <w:pPr>
              <w:jc w:val="center"/>
              <w:rPr>
                <w:noProof/>
                <w:sz w:val="14"/>
              </w:rPr>
            </w:pPr>
            <w:r w:rsidRPr="00DC021E">
              <w:rPr>
                <w:noProof/>
                <w:sz w:val="14"/>
              </w:rPr>
              <w:t>=2+2a</w:t>
            </w:r>
          </w:p>
          <w:p w:rsidR="00A202AE" w:rsidRPr="00DC021E" w:rsidRDefault="00A202AE" w:rsidP="00977CF9">
            <w:pPr>
              <w:jc w:val="center"/>
              <w:rPr>
                <w:noProof/>
                <w:sz w:val="14"/>
              </w:rPr>
            </w:pPr>
            <w:r w:rsidRPr="00DC021E">
              <w:rPr>
                <w:noProof/>
                <w:sz w:val="14"/>
              </w:rPr>
              <w:t>+3</w:t>
            </w:r>
          </w:p>
        </w:tc>
        <w:tc>
          <w:tcPr>
            <w:tcW w:w="868" w:type="dxa"/>
            <w:vAlign w:val="center"/>
          </w:tcPr>
          <w:p w:rsidR="00A202AE" w:rsidRPr="00DC021E" w:rsidRDefault="00A202AE" w:rsidP="00977CF9">
            <w:pPr>
              <w:spacing w:before="20" w:after="20"/>
              <w:jc w:val="right"/>
              <w:rPr>
                <w:noProof/>
                <w:sz w:val="20"/>
              </w:rPr>
            </w:pPr>
            <w:r w:rsidRPr="00DC021E">
              <w:rPr>
                <w:noProof/>
                <w:sz w:val="20"/>
              </w:rPr>
              <w:t>0,6</w:t>
            </w:r>
          </w:p>
        </w:tc>
        <w:tc>
          <w:tcPr>
            <w:tcW w:w="868" w:type="dxa"/>
            <w:vAlign w:val="center"/>
          </w:tcPr>
          <w:p w:rsidR="00A202AE" w:rsidRPr="00DC021E" w:rsidRDefault="00A202AE" w:rsidP="00977CF9">
            <w:pPr>
              <w:spacing w:before="20" w:after="20"/>
              <w:jc w:val="right"/>
              <w:rPr>
                <w:noProof/>
                <w:sz w:val="20"/>
              </w:rPr>
            </w:pPr>
            <w:r w:rsidRPr="00DC021E">
              <w:rPr>
                <w:noProof/>
                <w:sz w:val="20"/>
              </w:rPr>
              <w:t>0,760</w:t>
            </w:r>
          </w:p>
        </w:tc>
        <w:tc>
          <w:tcPr>
            <w:tcW w:w="868" w:type="dxa"/>
            <w:vAlign w:val="center"/>
          </w:tcPr>
          <w:p w:rsidR="00A202AE" w:rsidRPr="00DC021E" w:rsidRDefault="00A202AE" w:rsidP="00977CF9">
            <w:pPr>
              <w:spacing w:before="20" w:after="20"/>
              <w:jc w:val="right"/>
              <w:rPr>
                <w:noProof/>
                <w:sz w:val="20"/>
              </w:rPr>
            </w:pPr>
            <w:r w:rsidRPr="00DC021E">
              <w:rPr>
                <w:noProof/>
                <w:sz w:val="20"/>
              </w:rPr>
              <w:t>0,240</w:t>
            </w: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noProof/>
                <w:sz w:val="20"/>
              </w:rPr>
            </w:pPr>
          </w:p>
        </w:tc>
        <w:tc>
          <w:tcPr>
            <w:tcW w:w="868" w:type="dxa"/>
            <w:vAlign w:val="center"/>
          </w:tcPr>
          <w:p w:rsidR="00A202AE" w:rsidRPr="00DC021E" w:rsidRDefault="00A202AE" w:rsidP="00977CF9">
            <w:pPr>
              <w:spacing w:before="20" w:after="20"/>
              <w:jc w:val="right"/>
              <w:rPr>
                <w:b/>
                <w:noProof/>
                <w:sz w:val="20"/>
              </w:rPr>
            </w:pPr>
          </w:p>
        </w:tc>
        <w:tc>
          <w:tcPr>
            <w:tcW w:w="1777" w:type="dxa"/>
            <w:vAlign w:val="center"/>
          </w:tcPr>
          <w:p w:rsidR="00A202AE" w:rsidRPr="00DC021E" w:rsidRDefault="00A202AE" w:rsidP="00B81AB0">
            <w:pPr>
              <w:spacing w:before="20" w:after="20"/>
              <w:jc w:val="right"/>
              <w:rPr>
                <w:b/>
                <w:noProof/>
                <w:sz w:val="20"/>
              </w:rPr>
            </w:pPr>
            <w:r w:rsidRPr="00DC021E">
              <w:rPr>
                <w:b/>
                <w:noProof/>
                <w:sz w:val="20"/>
              </w:rPr>
              <w:t>1,6</w:t>
            </w:r>
          </w:p>
        </w:tc>
      </w:tr>
    </w:tbl>
    <w:p w:rsidR="00DC64CF" w:rsidRPr="00DC021E" w:rsidRDefault="00DC64CF" w:rsidP="00977CF9">
      <w:pPr>
        <w:rPr>
          <w:noProof/>
        </w:rPr>
      </w:pPr>
      <w:r w:rsidRPr="00DC021E">
        <w:rPr>
          <w:noProof/>
        </w:rPr>
        <w:br/>
      </w:r>
      <w:r w:rsidRPr="00DC021E">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DC021E" w:rsidRPr="00DC021E" w:rsidTr="00977CF9">
        <w:trPr>
          <w:trHeight w:val="277"/>
        </w:trPr>
        <w:tc>
          <w:tcPr>
            <w:tcW w:w="3960" w:type="dxa"/>
            <w:vMerge w:val="restart"/>
            <w:vAlign w:val="center"/>
          </w:tcPr>
          <w:p w:rsidR="00DC64CF" w:rsidRPr="00DC021E" w:rsidRDefault="00DC64CF" w:rsidP="00977CF9">
            <w:pPr>
              <w:spacing w:before="20" w:after="20"/>
              <w:rPr>
                <w:noProof/>
                <w:sz w:val="22"/>
              </w:rPr>
            </w:pPr>
            <w:r w:rsidRPr="00DC021E">
              <w:rPr>
                <w:noProof/>
                <w:sz w:val="22"/>
              </w:rPr>
              <w:br w:type="page"/>
            </w:r>
            <w:r w:rsidRPr="00DC021E">
              <w:rPr>
                <w:noProof/>
                <w:sz w:val="21"/>
              </w:rPr>
              <w:sym w:font="Wingdings" w:char="F09F"/>
            </w:r>
            <w:r w:rsidRPr="00DC021E">
              <w:rPr>
                <w:noProof/>
                <w:sz w:val="21"/>
              </w:rPr>
              <w:t xml:space="preserve"> TOTAL operational appropriations </w:t>
            </w:r>
          </w:p>
        </w:tc>
        <w:tc>
          <w:tcPr>
            <w:tcW w:w="1440" w:type="dxa"/>
            <w:vAlign w:val="center"/>
          </w:tcPr>
          <w:p w:rsidR="00DC64CF" w:rsidRPr="00DC021E" w:rsidRDefault="00DC64CF" w:rsidP="00977CF9">
            <w:pPr>
              <w:spacing w:beforeLines="20" w:before="48" w:afterLines="20" w:after="48"/>
              <w:rPr>
                <w:noProof/>
                <w:sz w:val="18"/>
              </w:rPr>
            </w:pPr>
            <w:r w:rsidRPr="00DC021E">
              <w:rPr>
                <w:noProof/>
                <w:sz w:val="18"/>
              </w:rPr>
              <w:t>Commitments</w:t>
            </w:r>
          </w:p>
        </w:tc>
        <w:tc>
          <w:tcPr>
            <w:tcW w:w="654" w:type="dxa"/>
            <w:vAlign w:val="center"/>
          </w:tcPr>
          <w:p w:rsidR="00DC64CF" w:rsidRPr="00DC021E" w:rsidRDefault="00DC64CF" w:rsidP="00977CF9">
            <w:pPr>
              <w:spacing w:beforeLines="20" w:before="48" w:afterLines="20" w:after="48"/>
              <w:jc w:val="center"/>
              <w:rPr>
                <w:noProof/>
                <w:sz w:val="14"/>
              </w:rPr>
            </w:pPr>
            <w:r w:rsidRPr="00DC021E">
              <w:rPr>
                <w:noProof/>
                <w:sz w:val="14"/>
              </w:rPr>
              <w:t>(4)</w:t>
            </w:r>
          </w:p>
        </w:tc>
        <w:tc>
          <w:tcPr>
            <w:tcW w:w="868" w:type="dxa"/>
            <w:vAlign w:val="center"/>
          </w:tcPr>
          <w:p w:rsidR="00DC64CF" w:rsidRPr="00DC021E" w:rsidRDefault="00777351" w:rsidP="00977CF9">
            <w:pPr>
              <w:spacing w:before="20" w:after="20"/>
              <w:jc w:val="right"/>
              <w:rPr>
                <w:noProof/>
                <w:sz w:val="20"/>
              </w:rPr>
            </w:pPr>
            <w:r w:rsidRPr="00DC021E">
              <w:rPr>
                <w:noProof/>
                <w:sz w:val="20"/>
              </w:rPr>
              <w:t>1,0</w:t>
            </w:r>
          </w:p>
        </w:tc>
        <w:tc>
          <w:tcPr>
            <w:tcW w:w="868" w:type="dxa"/>
            <w:vAlign w:val="center"/>
          </w:tcPr>
          <w:p w:rsidR="00DC64CF" w:rsidRPr="00DC021E" w:rsidRDefault="00777351" w:rsidP="00977CF9">
            <w:pPr>
              <w:spacing w:before="20" w:after="20"/>
              <w:jc w:val="right"/>
              <w:rPr>
                <w:noProof/>
                <w:sz w:val="20"/>
              </w:rPr>
            </w:pPr>
            <w:r w:rsidRPr="00DC021E">
              <w:rPr>
                <w:noProof/>
                <w:sz w:val="20"/>
              </w:rPr>
              <w:t>0,6</w:t>
            </w: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b/>
                <w:noProof/>
                <w:sz w:val="20"/>
              </w:rPr>
            </w:pPr>
          </w:p>
        </w:tc>
        <w:tc>
          <w:tcPr>
            <w:tcW w:w="1777" w:type="dxa"/>
            <w:vAlign w:val="center"/>
          </w:tcPr>
          <w:p w:rsidR="00DC64CF" w:rsidRPr="00DC021E" w:rsidRDefault="00777351" w:rsidP="00B81AB0">
            <w:pPr>
              <w:spacing w:before="20" w:after="20"/>
              <w:jc w:val="right"/>
              <w:rPr>
                <w:b/>
                <w:noProof/>
                <w:sz w:val="20"/>
              </w:rPr>
            </w:pPr>
            <w:r w:rsidRPr="00DC021E">
              <w:rPr>
                <w:b/>
                <w:noProof/>
                <w:sz w:val="20"/>
              </w:rPr>
              <w:t>1,6</w:t>
            </w:r>
          </w:p>
        </w:tc>
      </w:tr>
      <w:tr w:rsidR="00DC021E" w:rsidRPr="00DC021E" w:rsidTr="00977CF9">
        <w:tc>
          <w:tcPr>
            <w:tcW w:w="3960" w:type="dxa"/>
            <w:vMerge/>
          </w:tcPr>
          <w:p w:rsidR="00DC64CF" w:rsidRPr="00DC021E" w:rsidRDefault="00DC64CF" w:rsidP="00977CF9">
            <w:pPr>
              <w:jc w:val="center"/>
              <w:rPr>
                <w:noProof/>
                <w:sz w:val="20"/>
              </w:rPr>
            </w:pPr>
          </w:p>
        </w:tc>
        <w:tc>
          <w:tcPr>
            <w:tcW w:w="1440" w:type="dxa"/>
            <w:vAlign w:val="center"/>
          </w:tcPr>
          <w:p w:rsidR="00DC64CF" w:rsidRPr="00DC021E" w:rsidRDefault="00DC64CF" w:rsidP="00977CF9">
            <w:pPr>
              <w:spacing w:beforeLines="20" w:before="48" w:afterLines="20" w:after="48"/>
              <w:rPr>
                <w:noProof/>
                <w:sz w:val="18"/>
              </w:rPr>
            </w:pPr>
            <w:r w:rsidRPr="00DC021E">
              <w:rPr>
                <w:noProof/>
                <w:sz w:val="18"/>
              </w:rPr>
              <w:t>Payments</w:t>
            </w:r>
          </w:p>
        </w:tc>
        <w:tc>
          <w:tcPr>
            <w:tcW w:w="654" w:type="dxa"/>
            <w:vAlign w:val="center"/>
          </w:tcPr>
          <w:p w:rsidR="00DC64CF" w:rsidRPr="00DC021E" w:rsidRDefault="00DC64CF" w:rsidP="00977CF9">
            <w:pPr>
              <w:spacing w:beforeLines="20" w:before="48" w:afterLines="20" w:after="48"/>
              <w:jc w:val="center"/>
              <w:rPr>
                <w:noProof/>
                <w:sz w:val="14"/>
              </w:rPr>
            </w:pPr>
            <w:r w:rsidRPr="00DC021E">
              <w:rPr>
                <w:noProof/>
                <w:sz w:val="14"/>
              </w:rPr>
              <w:t>(5)</w:t>
            </w:r>
          </w:p>
        </w:tc>
        <w:tc>
          <w:tcPr>
            <w:tcW w:w="868" w:type="dxa"/>
            <w:vAlign w:val="center"/>
          </w:tcPr>
          <w:p w:rsidR="00DC64CF" w:rsidRPr="00DC021E" w:rsidRDefault="00777351" w:rsidP="00977CF9">
            <w:pPr>
              <w:spacing w:before="20" w:after="20"/>
              <w:jc w:val="right"/>
              <w:rPr>
                <w:noProof/>
                <w:sz w:val="20"/>
              </w:rPr>
            </w:pPr>
            <w:r w:rsidRPr="00DC021E">
              <w:rPr>
                <w:noProof/>
                <w:sz w:val="20"/>
              </w:rPr>
              <w:t>0,6</w:t>
            </w:r>
          </w:p>
        </w:tc>
        <w:tc>
          <w:tcPr>
            <w:tcW w:w="868" w:type="dxa"/>
            <w:vAlign w:val="center"/>
          </w:tcPr>
          <w:p w:rsidR="00DC64CF" w:rsidRPr="00DC021E" w:rsidRDefault="00777351" w:rsidP="00977CF9">
            <w:pPr>
              <w:spacing w:before="20" w:after="20"/>
              <w:jc w:val="right"/>
              <w:rPr>
                <w:noProof/>
                <w:sz w:val="20"/>
              </w:rPr>
            </w:pPr>
            <w:r w:rsidRPr="00DC021E">
              <w:rPr>
                <w:noProof/>
                <w:sz w:val="20"/>
              </w:rPr>
              <w:t>0,760</w:t>
            </w:r>
          </w:p>
        </w:tc>
        <w:tc>
          <w:tcPr>
            <w:tcW w:w="868" w:type="dxa"/>
            <w:vAlign w:val="center"/>
          </w:tcPr>
          <w:p w:rsidR="00DC64CF" w:rsidRPr="00DC021E" w:rsidRDefault="00777351" w:rsidP="00977CF9">
            <w:pPr>
              <w:spacing w:before="20" w:after="20"/>
              <w:jc w:val="right"/>
              <w:rPr>
                <w:noProof/>
                <w:sz w:val="20"/>
              </w:rPr>
            </w:pPr>
            <w:r w:rsidRPr="00DC021E">
              <w:rPr>
                <w:noProof/>
                <w:sz w:val="20"/>
              </w:rPr>
              <w:t>0,240</w:t>
            </w: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b/>
                <w:noProof/>
                <w:sz w:val="20"/>
              </w:rPr>
            </w:pPr>
          </w:p>
        </w:tc>
        <w:tc>
          <w:tcPr>
            <w:tcW w:w="1777" w:type="dxa"/>
            <w:vAlign w:val="center"/>
          </w:tcPr>
          <w:p w:rsidR="00DC64CF" w:rsidRPr="00DC021E" w:rsidRDefault="00777351" w:rsidP="00B81AB0">
            <w:pPr>
              <w:spacing w:before="20" w:after="20"/>
              <w:jc w:val="right"/>
              <w:rPr>
                <w:b/>
                <w:noProof/>
                <w:sz w:val="20"/>
              </w:rPr>
            </w:pPr>
            <w:r w:rsidRPr="00DC021E">
              <w:rPr>
                <w:b/>
                <w:noProof/>
                <w:sz w:val="20"/>
              </w:rPr>
              <w:t>1,6</w:t>
            </w:r>
          </w:p>
        </w:tc>
      </w:tr>
      <w:tr w:rsidR="00DC021E" w:rsidRPr="00DC021E" w:rsidTr="00977CF9">
        <w:trPr>
          <w:trHeight w:val="533"/>
        </w:trPr>
        <w:tc>
          <w:tcPr>
            <w:tcW w:w="5400" w:type="dxa"/>
            <w:gridSpan w:val="2"/>
            <w:vAlign w:val="center"/>
          </w:tcPr>
          <w:p w:rsidR="00DC64CF" w:rsidRPr="00DC021E" w:rsidRDefault="00DC64CF" w:rsidP="00977CF9">
            <w:pPr>
              <w:spacing w:beforeLines="20" w:before="48" w:afterLines="20" w:after="48"/>
              <w:rPr>
                <w:noProof/>
                <w:sz w:val="22"/>
              </w:rPr>
            </w:pPr>
            <w:r w:rsidRPr="00DC021E">
              <w:rPr>
                <w:noProof/>
                <w:sz w:val="21"/>
              </w:rPr>
              <w:sym w:font="Wingdings" w:char="F09F"/>
            </w:r>
            <w:r w:rsidRPr="00DC021E">
              <w:rPr>
                <w:noProof/>
                <w:sz w:val="21"/>
              </w:rPr>
              <w:t xml:space="preserve"> TOTAL appropriations of an administrative nature financed from the envelope for specific programmes </w:t>
            </w:r>
          </w:p>
        </w:tc>
        <w:tc>
          <w:tcPr>
            <w:tcW w:w="654" w:type="dxa"/>
            <w:vAlign w:val="center"/>
          </w:tcPr>
          <w:p w:rsidR="00DC64CF" w:rsidRPr="00DC021E" w:rsidRDefault="00DC64CF" w:rsidP="00977CF9">
            <w:pPr>
              <w:spacing w:beforeLines="20" w:before="48" w:afterLines="20" w:after="48"/>
              <w:jc w:val="center"/>
              <w:rPr>
                <w:noProof/>
                <w:sz w:val="14"/>
              </w:rPr>
            </w:pPr>
            <w:r w:rsidRPr="00DC021E">
              <w:rPr>
                <w:noProof/>
                <w:sz w:val="14"/>
              </w:rPr>
              <w:t>(6)</w:t>
            </w: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1777" w:type="dxa"/>
            <w:vAlign w:val="center"/>
          </w:tcPr>
          <w:p w:rsidR="00DC64CF" w:rsidRPr="00DC021E" w:rsidRDefault="00DC64CF" w:rsidP="00977CF9">
            <w:pPr>
              <w:spacing w:before="20" w:after="20"/>
              <w:jc w:val="right"/>
              <w:rPr>
                <w:b/>
                <w:noProof/>
                <w:sz w:val="20"/>
              </w:rPr>
            </w:pPr>
          </w:p>
        </w:tc>
      </w:tr>
      <w:tr w:rsidR="00DC021E" w:rsidRPr="00DC021E" w:rsidTr="00977CF9">
        <w:tc>
          <w:tcPr>
            <w:tcW w:w="3960" w:type="dxa"/>
            <w:vMerge w:val="restart"/>
            <w:shd w:val="thinDiagStripe" w:color="C0C0C0" w:fill="auto"/>
            <w:vAlign w:val="center"/>
          </w:tcPr>
          <w:p w:rsidR="00DC64CF" w:rsidRPr="00DC021E" w:rsidRDefault="00DC64CF" w:rsidP="00977CF9">
            <w:pPr>
              <w:jc w:val="center"/>
              <w:rPr>
                <w:b/>
                <w:noProof/>
                <w:sz w:val="22"/>
              </w:rPr>
            </w:pPr>
            <w:r w:rsidRPr="00DC021E">
              <w:rPr>
                <w:b/>
                <w:noProof/>
                <w:sz w:val="22"/>
              </w:rPr>
              <w:t xml:space="preserve">TOTAL appropriations </w:t>
            </w:r>
            <w:r w:rsidRPr="00DC021E">
              <w:rPr>
                <w:noProof/>
                <w:sz w:val="22"/>
              </w:rPr>
              <w:br/>
            </w:r>
            <w:r w:rsidRPr="00DC021E">
              <w:rPr>
                <w:b/>
                <w:noProof/>
                <w:sz w:val="22"/>
              </w:rPr>
              <w:t>under HEADING &lt;….&gt;</w:t>
            </w:r>
            <w:r w:rsidRPr="00DC021E">
              <w:rPr>
                <w:noProof/>
                <w:sz w:val="22"/>
              </w:rPr>
              <w:br/>
              <w:t>of the multiannual financial framework</w:t>
            </w:r>
          </w:p>
        </w:tc>
        <w:tc>
          <w:tcPr>
            <w:tcW w:w="1440" w:type="dxa"/>
            <w:vAlign w:val="center"/>
          </w:tcPr>
          <w:p w:rsidR="00DC64CF" w:rsidRPr="00DC021E" w:rsidRDefault="00DC64CF" w:rsidP="00977CF9">
            <w:pPr>
              <w:rPr>
                <w:noProof/>
                <w:sz w:val="18"/>
              </w:rPr>
            </w:pPr>
            <w:r w:rsidRPr="00DC021E">
              <w:rPr>
                <w:noProof/>
                <w:sz w:val="18"/>
              </w:rPr>
              <w:t>Commitments</w:t>
            </w:r>
          </w:p>
        </w:tc>
        <w:tc>
          <w:tcPr>
            <w:tcW w:w="654" w:type="dxa"/>
            <w:vAlign w:val="center"/>
          </w:tcPr>
          <w:p w:rsidR="00DC64CF" w:rsidRPr="00DC021E" w:rsidRDefault="00DC64CF" w:rsidP="00977CF9">
            <w:pPr>
              <w:jc w:val="center"/>
              <w:rPr>
                <w:noProof/>
                <w:sz w:val="14"/>
              </w:rPr>
            </w:pPr>
            <w:r w:rsidRPr="00DC021E">
              <w:rPr>
                <w:noProof/>
                <w:sz w:val="14"/>
              </w:rPr>
              <w:t>=4+ 6</w:t>
            </w:r>
          </w:p>
        </w:tc>
        <w:tc>
          <w:tcPr>
            <w:tcW w:w="868" w:type="dxa"/>
            <w:vAlign w:val="center"/>
          </w:tcPr>
          <w:p w:rsidR="00DC64CF" w:rsidRPr="00DC021E" w:rsidRDefault="00777351" w:rsidP="00977CF9">
            <w:pPr>
              <w:spacing w:before="20" w:after="20"/>
              <w:jc w:val="right"/>
              <w:rPr>
                <w:noProof/>
                <w:sz w:val="20"/>
              </w:rPr>
            </w:pPr>
            <w:r w:rsidRPr="00DC021E">
              <w:rPr>
                <w:noProof/>
                <w:sz w:val="20"/>
              </w:rPr>
              <w:t>1,0</w:t>
            </w:r>
          </w:p>
        </w:tc>
        <w:tc>
          <w:tcPr>
            <w:tcW w:w="868" w:type="dxa"/>
            <w:vAlign w:val="center"/>
          </w:tcPr>
          <w:p w:rsidR="00DC64CF" w:rsidRPr="00DC021E" w:rsidRDefault="00777351" w:rsidP="00977CF9">
            <w:pPr>
              <w:spacing w:before="20" w:after="20"/>
              <w:jc w:val="right"/>
              <w:rPr>
                <w:noProof/>
                <w:sz w:val="20"/>
              </w:rPr>
            </w:pPr>
            <w:r w:rsidRPr="00DC021E">
              <w:rPr>
                <w:noProof/>
                <w:sz w:val="20"/>
              </w:rPr>
              <w:t>0,6</w:t>
            </w: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b/>
                <w:noProof/>
                <w:sz w:val="20"/>
              </w:rPr>
            </w:pPr>
          </w:p>
        </w:tc>
        <w:tc>
          <w:tcPr>
            <w:tcW w:w="1777" w:type="dxa"/>
            <w:vAlign w:val="center"/>
          </w:tcPr>
          <w:p w:rsidR="00DC64CF" w:rsidRPr="00DC021E" w:rsidRDefault="00777351" w:rsidP="00B81AB0">
            <w:pPr>
              <w:spacing w:before="20" w:after="20"/>
              <w:jc w:val="right"/>
              <w:rPr>
                <w:b/>
                <w:noProof/>
                <w:sz w:val="20"/>
              </w:rPr>
            </w:pPr>
            <w:r w:rsidRPr="00DC021E">
              <w:rPr>
                <w:b/>
                <w:noProof/>
                <w:sz w:val="20"/>
              </w:rPr>
              <w:t>1,6</w:t>
            </w:r>
          </w:p>
        </w:tc>
      </w:tr>
      <w:tr w:rsidR="00DC021E" w:rsidRPr="00DC021E" w:rsidTr="00977CF9">
        <w:tc>
          <w:tcPr>
            <w:tcW w:w="3960" w:type="dxa"/>
            <w:vMerge/>
            <w:shd w:val="thinDiagStripe" w:color="C0C0C0" w:fill="auto"/>
          </w:tcPr>
          <w:p w:rsidR="00DC64CF" w:rsidRPr="00DC021E" w:rsidRDefault="00DC64CF" w:rsidP="00977CF9">
            <w:pPr>
              <w:rPr>
                <w:noProof/>
                <w:sz w:val="20"/>
              </w:rPr>
            </w:pPr>
          </w:p>
        </w:tc>
        <w:tc>
          <w:tcPr>
            <w:tcW w:w="1440" w:type="dxa"/>
            <w:vAlign w:val="center"/>
          </w:tcPr>
          <w:p w:rsidR="00DC64CF" w:rsidRPr="00DC021E" w:rsidRDefault="00DC64CF" w:rsidP="00977CF9">
            <w:pPr>
              <w:rPr>
                <w:noProof/>
                <w:sz w:val="18"/>
              </w:rPr>
            </w:pPr>
            <w:r w:rsidRPr="00DC021E">
              <w:rPr>
                <w:noProof/>
                <w:sz w:val="18"/>
              </w:rPr>
              <w:t>Payments</w:t>
            </w:r>
          </w:p>
        </w:tc>
        <w:tc>
          <w:tcPr>
            <w:tcW w:w="654" w:type="dxa"/>
            <w:vAlign w:val="center"/>
          </w:tcPr>
          <w:p w:rsidR="00DC64CF" w:rsidRPr="00DC021E" w:rsidRDefault="00DC64CF" w:rsidP="00977CF9">
            <w:pPr>
              <w:jc w:val="center"/>
              <w:rPr>
                <w:noProof/>
                <w:sz w:val="14"/>
              </w:rPr>
            </w:pPr>
            <w:r w:rsidRPr="00DC021E">
              <w:rPr>
                <w:noProof/>
                <w:sz w:val="14"/>
              </w:rPr>
              <w:t>=5+ 6</w:t>
            </w:r>
          </w:p>
        </w:tc>
        <w:tc>
          <w:tcPr>
            <w:tcW w:w="868" w:type="dxa"/>
            <w:vAlign w:val="center"/>
          </w:tcPr>
          <w:p w:rsidR="00DC64CF" w:rsidRPr="00DC021E" w:rsidRDefault="00777351" w:rsidP="00977CF9">
            <w:pPr>
              <w:spacing w:before="20" w:after="20"/>
              <w:jc w:val="right"/>
              <w:rPr>
                <w:noProof/>
                <w:sz w:val="20"/>
              </w:rPr>
            </w:pPr>
            <w:r w:rsidRPr="00DC021E">
              <w:rPr>
                <w:noProof/>
                <w:sz w:val="20"/>
              </w:rPr>
              <w:t>0,6</w:t>
            </w:r>
          </w:p>
        </w:tc>
        <w:tc>
          <w:tcPr>
            <w:tcW w:w="868" w:type="dxa"/>
            <w:vAlign w:val="center"/>
          </w:tcPr>
          <w:p w:rsidR="00DC64CF" w:rsidRPr="00DC021E" w:rsidRDefault="00777351" w:rsidP="00977CF9">
            <w:pPr>
              <w:spacing w:before="20" w:after="20"/>
              <w:jc w:val="right"/>
              <w:rPr>
                <w:noProof/>
                <w:sz w:val="20"/>
              </w:rPr>
            </w:pPr>
            <w:r w:rsidRPr="00DC021E">
              <w:rPr>
                <w:noProof/>
                <w:sz w:val="20"/>
              </w:rPr>
              <w:t>0,760</w:t>
            </w:r>
          </w:p>
        </w:tc>
        <w:tc>
          <w:tcPr>
            <w:tcW w:w="868" w:type="dxa"/>
            <w:vAlign w:val="center"/>
          </w:tcPr>
          <w:p w:rsidR="00DC64CF" w:rsidRPr="00DC021E" w:rsidRDefault="00777351" w:rsidP="00977CF9">
            <w:pPr>
              <w:spacing w:before="20" w:after="20"/>
              <w:jc w:val="right"/>
              <w:rPr>
                <w:noProof/>
                <w:sz w:val="20"/>
              </w:rPr>
            </w:pPr>
            <w:r w:rsidRPr="00DC021E">
              <w:rPr>
                <w:noProof/>
                <w:sz w:val="20"/>
              </w:rPr>
              <w:t>0,240</w:t>
            </w: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b/>
                <w:noProof/>
                <w:sz w:val="20"/>
              </w:rPr>
            </w:pPr>
          </w:p>
        </w:tc>
        <w:tc>
          <w:tcPr>
            <w:tcW w:w="1777" w:type="dxa"/>
            <w:vAlign w:val="center"/>
          </w:tcPr>
          <w:p w:rsidR="00DC64CF" w:rsidRPr="00DC021E" w:rsidRDefault="00777351" w:rsidP="00B81AB0">
            <w:pPr>
              <w:spacing w:before="20" w:after="20"/>
              <w:jc w:val="right"/>
              <w:rPr>
                <w:b/>
                <w:noProof/>
                <w:sz w:val="20"/>
              </w:rPr>
            </w:pPr>
            <w:r w:rsidRPr="00DC021E">
              <w:rPr>
                <w:b/>
                <w:noProof/>
                <w:sz w:val="20"/>
              </w:rPr>
              <w:t>1,6</w:t>
            </w:r>
          </w:p>
        </w:tc>
      </w:tr>
    </w:tbl>
    <w:p w:rsidR="00DC64CF" w:rsidRPr="00DC021E" w:rsidRDefault="00DC64CF" w:rsidP="00977CF9">
      <w:pPr>
        <w:spacing w:after="40"/>
        <w:rPr>
          <w:b/>
          <w:noProof/>
          <w:sz w:val="22"/>
          <w:u w:val="single"/>
        </w:rPr>
      </w:pPr>
      <w:r w:rsidRPr="00DC021E">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DC021E" w:rsidRPr="00DC021E" w:rsidTr="00977CF9">
        <w:trPr>
          <w:trHeight w:val="277"/>
        </w:trPr>
        <w:tc>
          <w:tcPr>
            <w:tcW w:w="3960" w:type="dxa"/>
            <w:vMerge w:val="restart"/>
            <w:tcBorders>
              <w:top w:val="single" w:sz="4" w:space="0" w:color="FF0000"/>
              <w:left w:val="single" w:sz="4" w:space="0" w:color="auto"/>
              <w:bottom w:val="single" w:sz="4" w:space="0" w:color="FF0000"/>
            </w:tcBorders>
            <w:vAlign w:val="center"/>
          </w:tcPr>
          <w:p w:rsidR="00DC64CF" w:rsidRPr="00DC021E" w:rsidRDefault="00DC64CF" w:rsidP="00977CF9">
            <w:pPr>
              <w:spacing w:before="20" w:after="20"/>
              <w:rPr>
                <w:noProof/>
                <w:sz w:val="22"/>
              </w:rPr>
            </w:pPr>
            <w:r w:rsidRPr="00DC021E">
              <w:rPr>
                <w:noProof/>
                <w:sz w:val="21"/>
              </w:rPr>
              <w:sym w:font="Wingdings" w:char="F09F"/>
            </w:r>
            <w:r w:rsidRPr="00DC021E">
              <w:rPr>
                <w:noProof/>
                <w:sz w:val="21"/>
              </w:rPr>
              <w:t xml:space="preserve"> TOTAL operational appropriations </w:t>
            </w:r>
          </w:p>
        </w:tc>
        <w:tc>
          <w:tcPr>
            <w:tcW w:w="1440" w:type="dxa"/>
            <w:tcBorders>
              <w:top w:val="single" w:sz="4" w:space="0" w:color="FF0000"/>
            </w:tcBorders>
            <w:vAlign w:val="center"/>
          </w:tcPr>
          <w:p w:rsidR="00DC64CF" w:rsidRPr="00DC021E" w:rsidRDefault="00DC64CF" w:rsidP="00977CF9">
            <w:pPr>
              <w:spacing w:beforeLines="20" w:before="48" w:afterLines="20" w:after="48"/>
              <w:rPr>
                <w:noProof/>
                <w:sz w:val="18"/>
              </w:rPr>
            </w:pPr>
            <w:r w:rsidRPr="00DC021E">
              <w:rPr>
                <w:noProof/>
                <w:sz w:val="18"/>
              </w:rPr>
              <w:t>Commitments</w:t>
            </w:r>
          </w:p>
        </w:tc>
        <w:tc>
          <w:tcPr>
            <w:tcW w:w="654" w:type="dxa"/>
            <w:tcBorders>
              <w:top w:val="single" w:sz="4" w:space="0" w:color="FF0000"/>
            </w:tcBorders>
            <w:vAlign w:val="center"/>
          </w:tcPr>
          <w:p w:rsidR="00DC64CF" w:rsidRPr="00DC021E" w:rsidRDefault="00DC64CF" w:rsidP="00977CF9">
            <w:pPr>
              <w:spacing w:beforeLines="20" w:before="48" w:afterLines="20" w:after="48"/>
              <w:jc w:val="center"/>
              <w:rPr>
                <w:noProof/>
                <w:sz w:val="14"/>
              </w:rPr>
            </w:pPr>
            <w:r w:rsidRPr="00DC021E">
              <w:rPr>
                <w:noProof/>
                <w:sz w:val="14"/>
              </w:rPr>
              <w:t>(4)</w:t>
            </w:r>
          </w:p>
        </w:tc>
        <w:tc>
          <w:tcPr>
            <w:tcW w:w="868" w:type="dxa"/>
            <w:tcBorders>
              <w:top w:val="single" w:sz="4" w:space="0" w:color="FF0000"/>
            </w:tcBorders>
            <w:vAlign w:val="center"/>
          </w:tcPr>
          <w:p w:rsidR="00DC64CF" w:rsidRPr="00DC021E" w:rsidRDefault="00DC64CF" w:rsidP="00977CF9">
            <w:pPr>
              <w:spacing w:before="20" w:after="20"/>
              <w:jc w:val="right"/>
              <w:rPr>
                <w:noProof/>
                <w:sz w:val="20"/>
              </w:rPr>
            </w:pPr>
          </w:p>
        </w:tc>
        <w:tc>
          <w:tcPr>
            <w:tcW w:w="868" w:type="dxa"/>
            <w:tcBorders>
              <w:top w:val="single" w:sz="4" w:space="0" w:color="FF0000"/>
            </w:tcBorders>
            <w:vAlign w:val="center"/>
          </w:tcPr>
          <w:p w:rsidR="00DC64CF" w:rsidRPr="00DC021E" w:rsidRDefault="00DC64CF" w:rsidP="00977CF9">
            <w:pPr>
              <w:spacing w:before="20" w:after="20"/>
              <w:jc w:val="right"/>
              <w:rPr>
                <w:noProof/>
                <w:sz w:val="20"/>
              </w:rPr>
            </w:pPr>
          </w:p>
        </w:tc>
        <w:tc>
          <w:tcPr>
            <w:tcW w:w="868" w:type="dxa"/>
            <w:tcBorders>
              <w:top w:val="single" w:sz="4" w:space="0" w:color="FF0000"/>
            </w:tcBorders>
            <w:vAlign w:val="center"/>
          </w:tcPr>
          <w:p w:rsidR="00DC64CF" w:rsidRPr="00DC021E" w:rsidRDefault="00DC64CF" w:rsidP="00977CF9">
            <w:pPr>
              <w:spacing w:before="20" w:after="20"/>
              <w:jc w:val="right"/>
              <w:rPr>
                <w:noProof/>
                <w:sz w:val="20"/>
              </w:rPr>
            </w:pPr>
          </w:p>
        </w:tc>
        <w:tc>
          <w:tcPr>
            <w:tcW w:w="868" w:type="dxa"/>
            <w:tcBorders>
              <w:top w:val="single" w:sz="4" w:space="0" w:color="FF0000"/>
            </w:tcBorders>
            <w:vAlign w:val="center"/>
          </w:tcPr>
          <w:p w:rsidR="00DC64CF" w:rsidRPr="00DC021E" w:rsidRDefault="00DC64CF" w:rsidP="00977CF9">
            <w:pPr>
              <w:spacing w:before="20" w:after="20"/>
              <w:jc w:val="right"/>
              <w:rPr>
                <w:noProof/>
                <w:sz w:val="20"/>
              </w:rPr>
            </w:pPr>
          </w:p>
        </w:tc>
        <w:tc>
          <w:tcPr>
            <w:tcW w:w="868" w:type="dxa"/>
            <w:tcBorders>
              <w:top w:val="single" w:sz="4" w:space="0" w:color="FF0000"/>
            </w:tcBorders>
            <w:vAlign w:val="center"/>
          </w:tcPr>
          <w:p w:rsidR="00DC64CF" w:rsidRPr="00DC021E" w:rsidRDefault="00DC64CF" w:rsidP="00977CF9">
            <w:pPr>
              <w:spacing w:before="20" w:after="20"/>
              <w:jc w:val="right"/>
              <w:rPr>
                <w:noProof/>
                <w:sz w:val="20"/>
              </w:rPr>
            </w:pPr>
          </w:p>
        </w:tc>
        <w:tc>
          <w:tcPr>
            <w:tcW w:w="868" w:type="dxa"/>
            <w:tcBorders>
              <w:top w:val="single" w:sz="4" w:space="0" w:color="FF0000"/>
            </w:tcBorders>
            <w:vAlign w:val="center"/>
          </w:tcPr>
          <w:p w:rsidR="00DC64CF" w:rsidRPr="00DC021E" w:rsidRDefault="00DC64CF" w:rsidP="00977CF9">
            <w:pPr>
              <w:spacing w:before="20" w:after="20"/>
              <w:jc w:val="right"/>
              <w:rPr>
                <w:noProof/>
                <w:sz w:val="20"/>
              </w:rPr>
            </w:pPr>
          </w:p>
        </w:tc>
        <w:tc>
          <w:tcPr>
            <w:tcW w:w="868" w:type="dxa"/>
            <w:tcBorders>
              <w:top w:val="single" w:sz="4" w:space="0" w:color="FF0000"/>
            </w:tcBorders>
            <w:vAlign w:val="center"/>
          </w:tcPr>
          <w:p w:rsidR="00DC64CF" w:rsidRPr="00DC021E" w:rsidRDefault="00DC64CF" w:rsidP="00977CF9">
            <w:pPr>
              <w:spacing w:before="20" w:after="20"/>
              <w:jc w:val="right"/>
              <w:rPr>
                <w:b/>
                <w:noProof/>
                <w:sz w:val="20"/>
              </w:rPr>
            </w:pPr>
          </w:p>
        </w:tc>
        <w:tc>
          <w:tcPr>
            <w:tcW w:w="1777" w:type="dxa"/>
            <w:tcBorders>
              <w:top w:val="single" w:sz="4" w:space="0" w:color="FF0000"/>
              <w:right w:val="single" w:sz="4" w:space="0" w:color="auto"/>
            </w:tcBorders>
            <w:vAlign w:val="center"/>
          </w:tcPr>
          <w:p w:rsidR="00DC64CF" w:rsidRPr="00DC021E" w:rsidRDefault="00DC64CF" w:rsidP="00977CF9">
            <w:pPr>
              <w:spacing w:before="20" w:after="20"/>
              <w:jc w:val="right"/>
              <w:rPr>
                <w:b/>
                <w:noProof/>
                <w:sz w:val="20"/>
              </w:rPr>
            </w:pPr>
          </w:p>
        </w:tc>
      </w:tr>
      <w:tr w:rsidR="00DC021E" w:rsidRPr="00DC021E" w:rsidTr="00977CF9">
        <w:tc>
          <w:tcPr>
            <w:tcW w:w="3960" w:type="dxa"/>
            <w:vMerge/>
            <w:tcBorders>
              <w:top w:val="single" w:sz="4" w:space="0" w:color="FF0000"/>
              <w:left w:val="single" w:sz="4" w:space="0" w:color="auto"/>
              <w:bottom w:val="single" w:sz="4" w:space="0" w:color="FF0000"/>
            </w:tcBorders>
          </w:tcPr>
          <w:p w:rsidR="00DC64CF" w:rsidRPr="00DC021E" w:rsidRDefault="00DC64CF" w:rsidP="00977CF9">
            <w:pPr>
              <w:jc w:val="center"/>
              <w:rPr>
                <w:noProof/>
                <w:sz w:val="20"/>
              </w:rPr>
            </w:pPr>
          </w:p>
        </w:tc>
        <w:tc>
          <w:tcPr>
            <w:tcW w:w="1440" w:type="dxa"/>
            <w:vAlign w:val="center"/>
          </w:tcPr>
          <w:p w:rsidR="00DC64CF" w:rsidRPr="00DC021E" w:rsidRDefault="00DC64CF" w:rsidP="00977CF9">
            <w:pPr>
              <w:spacing w:beforeLines="20" w:before="48" w:afterLines="20" w:after="48"/>
              <w:rPr>
                <w:noProof/>
                <w:sz w:val="18"/>
              </w:rPr>
            </w:pPr>
            <w:r w:rsidRPr="00DC021E">
              <w:rPr>
                <w:noProof/>
                <w:sz w:val="18"/>
              </w:rPr>
              <w:t>Payments</w:t>
            </w:r>
          </w:p>
        </w:tc>
        <w:tc>
          <w:tcPr>
            <w:tcW w:w="654" w:type="dxa"/>
            <w:vAlign w:val="center"/>
          </w:tcPr>
          <w:p w:rsidR="00DC64CF" w:rsidRPr="00DC021E" w:rsidRDefault="00DC64CF" w:rsidP="00977CF9">
            <w:pPr>
              <w:spacing w:beforeLines="20" w:before="48" w:afterLines="20" w:after="48"/>
              <w:jc w:val="center"/>
              <w:rPr>
                <w:noProof/>
                <w:sz w:val="14"/>
              </w:rPr>
            </w:pPr>
            <w:r w:rsidRPr="00DC021E">
              <w:rPr>
                <w:noProof/>
                <w:sz w:val="14"/>
              </w:rPr>
              <w:t>(5)</w:t>
            </w: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b/>
                <w:noProof/>
                <w:sz w:val="20"/>
              </w:rPr>
            </w:pPr>
          </w:p>
        </w:tc>
        <w:tc>
          <w:tcPr>
            <w:tcW w:w="1777" w:type="dxa"/>
            <w:tcBorders>
              <w:right w:val="single" w:sz="4" w:space="0" w:color="auto"/>
            </w:tcBorders>
            <w:vAlign w:val="center"/>
          </w:tcPr>
          <w:p w:rsidR="00DC64CF" w:rsidRPr="00DC021E" w:rsidRDefault="00DC64CF" w:rsidP="00977CF9">
            <w:pPr>
              <w:spacing w:before="20" w:after="20"/>
              <w:jc w:val="right"/>
              <w:rPr>
                <w:b/>
                <w:noProof/>
                <w:sz w:val="20"/>
              </w:rPr>
            </w:pPr>
          </w:p>
        </w:tc>
      </w:tr>
      <w:tr w:rsidR="00DC021E" w:rsidRPr="00DC021E" w:rsidTr="00977CF9">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DC64CF" w:rsidRPr="00DC021E" w:rsidRDefault="00DC64CF" w:rsidP="00977CF9">
            <w:pPr>
              <w:spacing w:beforeLines="20" w:before="48" w:afterLines="20" w:after="48"/>
              <w:rPr>
                <w:noProof/>
                <w:sz w:val="22"/>
              </w:rPr>
            </w:pPr>
            <w:r w:rsidRPr="00DC021E">
              <w:rPr>
                <w:noProof/>
                <w:sz w:val="21"/>
              </w:rPr>
              <w:sym w:font="Wingdings" w:char="F09F"/>
            </w:r>
            <w:r w:rsidRPr="00DC021E">
              <w:rPr>
                <w:noProof/>
                <w:sz w:val="21"/>
              </w:rPr>
              <w:t xml:space="preserve"> TOTAL appropriations of an administrative nature financed from the envelope for specific programmes </w:t>
            </w:r>
          </w:p>
        </w:tc>
        <w:tc>
          <w:tcPr>
            <w:tcW w:w="654" w:type="dxa"/>
            <w:vAlign w:val="center"/>
          </w:tcPr>
          <w:p w:rsidR="00DC64CF" w:rsidRPr="00DC021E" w:rsidRDefault="00DC64CF" w:rsidP="00977CF9">
            <w:pPr>
              <w:spacing w:beforeLines="20" w:before="48" w:afterLines="20" w:after="48"/>
              <w:jc w:val="center"/>
              <w:rPr>
                <w:noProof/>
                <w:sz w:val="14"/>
              </w:rPr>
            </w:pPr>
            <w:r w:rsidRPr="00DC021E">
              <w:rPr>
                <w:noProof/>
                <w:sz w:val="14"/>
              </w:rPr>
              <w:t>(6)</w:t>
            </w: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868" w:type="dxa"/>
            <w:vAlign w:val="center"/>
          </w:tcPr>
          <w:p w:rsidR="00DC64CF" w:rsidRPr="00DC021E" w:rsidRDefault="00DC64CF" w:rsidP="00977CF9">
            <w:pPr>
              <w:spacing w:before="20" w:after="20"/>
              <w:jc w:val="right"/>
              <w:rPr>
                <w:b/>
                <w:noProof/>
                <w:sz w:val="20"/>
              </w:rPr>
            </w:pPr>
          </w:p>
        </w:tc>
        <w:tc>
          <w:tcPr>
            <w:tcW w:w="1777" w:type="dxa"/>
            <w:vAlign w:val="center"/>
          </w:tcPr>
          <w:p w:rsidR="00DC64CF" w:rsidRPr="00DC021E" w:rsidRDefault="00DC64CF" w:rsidP="00977CF9">
            <w:pPr>
              <w:spacing w:before="20" w:after="20"/>
              <w:jc w:val="right"/>
              <w:rPr>
                <w:b/>
                <w:noProof/>
                <w:sz w:val="20"/>
              </w:rPr>
            </w:pPr>
          </w:p>
        </w:tc>
      </w:tr>
      <w:tr w:rsidR="00DC021E" w:rsidRPr="00DC021E" w:rsidTr="00977CF9">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DC64CF" w:rsidRPr="00DC021E" w:rsidRDefault="00DC64CF" w:rsidP="00977CF9">
            <w:pPr>
              <w:jc w:val="center"/>
              <w:rPr>
                <w:noProof/>
                <w:sz w:val="22"/>
              </w:rPr>
            </w:pPr>
            <w:r w:rsidRPr="00DC021E">
              <w:rPr>
                <w:noProof/>
                <w:sz w:val="22"/>
              </w:rPr>
              <w:t xml:space="preserve">TOTAL appropriations </w:t>
            </w:r>
            <w:r w:rsidRPr="00DC021E">
              <w:rPr>
                <w:noProof/>
                <w:sz w:val="22"/>
              </w:rPr>
              <w:br/>
              <w:t>under HEADINGS 1 to 4</w:t>
            </w:r>
            <w:r w:rsidRPr="00DC021E">
              <w:rPr>
                <w:noProof/>
                <w:sz w:val="22"/>
              </w:rPr>
              <w:br/>
              <w:t>of the multiannual financial framework</w:t>
            </w:r>
            <w:r w:rsidRPr="00DC021E">
              <w:rPr>
                <w:noProof/>
                <w:sz w:val="22"/>
              </w:rPr>
              <w:br/>
            </w:r>
            <w:r w:rsidRPr="00DC021E">
              <w:rPr>
                <w:noProof/>
                <w:sz w:val="20"/>
              </w:rPr>
              <w:t>(Reference amount)</w:t>
            </w:r>
          </w:p>
        </w:tc>
        <w:tc>
          <w:tcPr>
            <w:tcW w:w="1440" w:type="dxa"/>
            <w:vAlign w:val="center"/>
          </w:tcPr>
          <w:p w:rsidR="00DC64CF" w:rsidRPr="00DC021E" w:rsidRDefault="00DC64CF" w:rsidP="00977CF9">
            <w:pPr>
              <w:rPr>
                <w:noProof/>
                <w:sz w:val="18"/>
              </w:rPr>
            </w:pPr>
            <w:r w:rsidRPr="00DC021E">
              <w:rPr>
                <w:noProof/>
                <w:sz w:val="18"/>
              </w:rPr>
              <w:t>Commitments</w:t>
            </w:r>
          </w:p>
        </w:tc>
        <w:tc>
          <w:tcPr>
            <w:tcW w:w="654" w:type="dxa"/>
            <w:vAlign w:val="center"/>
          </w:tcPr>
          <w:p w:rsidR="00DC64CF" w:rsidRPr="00DC021E" w:rsidRDefault="00DC64CF" w:rsidP="00977CF9">
            <w:pPr>
              <w:jc w:val="center"/>
              <w:rPr>
                <w:noProof/>
                <w:sz w:val="14"/>
              </w:rPr>
            </w:pPr>
            <w:r w:rsidRPr="00DC021E">
              <w:rPr>
                <w:noProof/>
                <w:sz w:val="14"/>
              </w:rPr>
              <w:t>=4+ 6</w:t>
            </w:r>
          </w:p>
        </w:tc>
        <w:tc>
          <w:tcPr>
            <w:tcW w:w="868" w:type="dxa"/>
            <w:vAlign w:val="center"/>
          </w:tcPr>
          <w:p w:rsidR="00DC64CF" w:rsidRPr="00DC021E" w:rsidRDefault="00BD5C0A" w:rsidP="00977CF9">
            <w:pPr>
              <w:spacing w:before="20" w:after="20"/>
              <w:jc w:val="right"/>
              <w:rPr>
                <w:noProof/>
                <w:sz w:val="20"/>
              </w:rPr>
            </w:pPr>
            <w:r w:rsidRPr="00DC021E">
              <w:rPr>
                <w:noProof/>
                <w:sz w:val="20"/>
              </w:rPr>
              <w:t>1,0</w:t>
            </w:r>
          </w:p>
        </w:tc>
        <w:tc>
          <w:tcPr>
            <w:tcW w:w="868" w:type="dxa"/>
            <w:vAlign w:val="center"/>
          </w:tcPr>
          <w:p w:rsidR="00DC64CF" w:rsidRPr="00DC021E" w:rsidRDefault="00BD5C0A" w:rsidP="00977CF9">
            <w:pPr>
              <w:spacing w:before="20" w:after="20"/>
              <w:jc w:val="right"/>
              <w:rPr>
                <w:noProof/>
                <w:sz w:val="20"/>
              </w:rPr>
            </w:pPr>
            <w:r w:rsidRPr="00DC021E">
              <w:rPr>
                <w:noProof/>
                <w:sz w:val="20"/>
              </w:rPr>
              <w:t>0,6</w:t>
            </w: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868" w:type="dxa"/>
            <w:vAlign w:val="center"/>
          </w:tcPr>
          <w:p w:rsidR="00DC64CF" w:rsidRPr="00DC021E" w:rsidRDefault="00DC64CF" w:rsidP="00977CF9">
            <w:pPr>
              <w:spacing w:before="20" w:after="20"/>
              <w:jc w:val="right"/>
              <w:rPr>
                <w:noProof/>
                <w:sz w:val="20"/>
              </w:rPr>
            </w:pPr>
          </w:p>
        </w:tc>
        <w:tc>
          <w:tcPr>
            <w:tcW w:w="1777" w:type="dxa"/>
            <w:tcBorders>
              <w:right w:val="single" w:sz="4" w:space="0" w:color="auto"/>
            </w:tcBorders>
            <w:vAlign w:val="center"/>
          </w:tcPr>
          <w:p w:rsidR="00DC64CF" w:rsidRPr="00DC021E" w:rsidRDefault="00BD5C0A" w:rsidP="00B81AB0">
            <w:pPr>
              <w:spacing w:before="20" w:after="20"/>
              <w:jc w:val="right"/>
              <w:rPr>
                <w:noProof/>
                <w:sz w:val="20"/>
              </w:rPr>
            </w:pPr>
            <w:r w:rsidRPr="00DC021E">
              <w:rPr>
                <w:noProof/>
                <w:sz w:val="20"/>
              </w:rPr>
              <w:t>1,6</w:t>
            </w:r>
          </w:p>
        </w:tc>
      </w:tr>
      <w:tr w:rsidR="00DC021E" w:rsidRPr="00DC021E" w:rsidTr="00977CF9">
        <w:tc>
          <w:tcPr>
            <w:tcW w:w="3960" w:type="dxa"/>
            <w:vMerge/>
            <w:tcBorders>
              <w:top w:val="single" w:sz="4" w:space="0" w:color="FF0000"/>
              <w:left w:val="single" w:sz="4" w:space="0" w:color="auto"/>
              <w:bottom w:val="single" w:sz="4" w:space="0" w:color="FF0000"/>
            </w:tcBorders>
            <w:shd w:val="thinDiagStripe" w:color="C0C0C0" w:fill="auto"/>
          </w:tcPr>
          <w:p w:rsidR="00DC64CF" w:rsidRPr="00DC021E" w:rsidRDefault="00DC64CF" w:rsidP="00977CF9">
            <w:pPr>
              <w:rPr>
                <w:noProof/>
                <w:sz w:val="20"/>
              </w:rPr>
            </w:pPr>
          </w:p>
        </w:tc>
        <w:tc>
          <w:tcPr>
            <w:tcW w:w="1440" w:type="dxa"/>
            <w:tcBorders>
              <w:bottom w:val="single" w:sz="4" w:space="0" w:color="FF0000"/>
            </w:tcBorders>
            <w:vAlign w:val="center"/>
          </w:tcPr>
          <w:p w:rsidR="00DC64CF" w:rsidRPr="00DC021E" w:rsidRDefault="00DC64CF" w:rsidP="00977CF9">
            <w:pPr>
              <w:rPr>
                <w:noProof/>
                <w:sz w:val="18"/>
              </w:rPr>
            </w:pPr>
            <w:r w:rsidRPr="00DC021E">
              <w:rPr>
                <w:noProof/>
                <w:sz w:val="18"/>
              </w:rPr>
              <w:t>Payments</w:t>
            </w:r>
          </w:p>
        </w:tc>
        <w:tc>
          <w:tcPr>
            <w:tcW w:w="654" w:type="dxa"/>
            <w:tcBorders>
              <w:bottom w:val="single" w:sz="4" w:space="0" w:color="FF0000"/>
            </w:tcBorders>
            <w:vAlign w:val="center"/>
          </w:tcPr>
          <w:p w:rsidR="00DC64CF" w:rsidRPr="00DC021E" w:rsidRDefault="00DC64CF" w:rsidP="00977CF9">
            <w:pPr>
              <w:jc w:val="center"/>
              <w:rPr>
                <w:noProof/>
                <w:sz w:val="14"/>
              </w:rPr>
            </w:pPr>
            <w:r w:rsidRPr="00DC021E">
              <w:rPr>
                <w:noProof/>
                <w:sz w:val="14"/>
              </w:rPr>
              <w:t>=5+ 6</w:t>
            </w:r>
          </w:p>
        </w:tc>
        <w:tc>
          <w:tcPr>
            <w:tcW w:w="868" w:type="dxa"/>
            <w:tcBorders>
              <w:bottom w:val="single" w:sz="4" w:space="0" w:color="FF0000"/>
            </w:tcBorders>
            <w:vAlign w:val="center"/>
          </w:tcPr>
          <w:p w:rsidR="00DC64CF" w:rsidRPr="00DC021E" w:rsidRDefault="00BD5C0A" w:rsidP="00977CF9">
            <w:pPr>
              <w:spacing w:before="20" w:after="20"/>
              <w:jc w:val="right"/>
              <w:rPr>
                <w:noProof/>
                <w:sz w:val="20"/>
              </w:rPr>
            </w:pPr>
            <w:r w:rsidRPr="00DC021E">
              <w:rPr>
                <w:noProof/>
                <w:sz w:val="20"/>
              </w:rPr>
              <w:t>0,6</w:t>
            </w:r>
          </w:p>
        </w:tc>
        <w:tc>
          <w:tcPr>
            <w:tcW w:w="868" w:type="dxa"/>
            <w:tcBorders>
              <w:bottom w:val="single" w:sz="4" w:space="0" w:color="FF0000"/>
            </w:tcBorders>
            <w:vAlign w:val="center"/>
          </w:tcPr>
          <w:p w:rsidR="00DC64CF" w:rsidRPr="00DC021E" w:rsidRDefault="00BD5C0A" w:rsidP="00977CF9">
            <w:pPr>
              <w:spacing w:before="20" w:after="20"/>
              <w:jc w:val="right"/>
              <w:rPr>
                <w:noProof/>
                <w:sz w:val="20"/>
              </w:rPr>
            </w:pPr>
            <w:r w:rsidRPr="00DC021E">
              <w:rPr>
                <w:noProof/>
                <w:sz w:val="20"/>
              </w:rPr>
              <w:t>0,760</w:t>
            </w:r>
          </w:p>
        </w:tc>
        <w:tc>
          <w:tcPr>
            <w:tcW w:w="868" w:type="dxa"/>
            <w:tcBorders>
              <w:bottom w:val="single" w:sz="4" w:space="0" w:color="FF0000"/>
            </w:tcBorders>
            <w:vAlign w:val="center"/>
          </w:tcPr>
          <w:p w:rsidR="00DC64CF" w:rsidRPr="00DC021E" w:rsidRDefault="00BD5C0A" w:rsidP="00977CF9">
            <w:pPr>
              <w:spacing w:before="20" w:after="20"/>
              <w:jc w:val="right"/>
              <w:rPr>
                <w:noProof/>
                <w:sz w:val="20"/>
              </w:rPr>
            </w:pPr>
            <w:r w:rsidRPr="00DC021E">
              <w:rPr>
                <w:noProof/>
                <w:sz w:val="20"/>
              </w:rPr>
              <w:t>0,240</w:t>
            </w:r>
          </w:p>
        </w:tc>
        <w:tc>
          <w:tcPr>
            <w:tcW w:w="868" w:type="dxa"/>
            <w:tcBorders>
              <w:bottom w:val="single" w:sz="4" w:space="0" w:color="FF0000"/>
            </w:tcBorders>
            <w:vAlign w:val="center"/>
          </w:tcPr>
          <w:p w:rsidR="00DC64CF" w:rsidRPr="00DC021E" w:rsidRDefault="00DC64CF" w:rsidP="00977CF9">
            <w:pPr>
              <w:spacing w:before="20" w:after="20"/>
              <w:jc w:val="right"/>
              <w:rPr>
                <w:noProof/>
                <w:sz w:val="20"/>
              </w:rPr>
            </w:pPr>
          </w:p>
        </w:tc>
        <w:tc>
          <w:tcPr>
            <w:tcW w:w="868" w:type="dxa"/>
            <w:tcBorders>
              <w:bottom w:val="single" w:sz="4" w:space="0" w:color="FF0000"/>
            </w:tcBorders>
            <w:vAlign w:val="center"/>
          </w:tcPr>
          <w:p w:rsidR="00DC64CF" w:rsidRPr="00DC021E" w:rsidRDefault="00DC64CF" w:rsidP="00977CF9">
            <w:pPr>
              <w:spacing w:before="20" w:after="20"/>
              <w:jc w:val="right"/>
              <w:rPr>
                <w:noProof/>
                <w:sz w:val="20"/>
              </w:rPr>
            </w:pPr>
          </w:p>
        </w:tc>
        <w:tc>
          <w:tcPr>
            <w:tcW w:w="868" w:type="dxa"/>
            <w:tcBorders>
              <w:bottom w:val="single" w:sz="4" w:space="0" w:color="FF0000"/>
            </w:tcBorders>
            <w:vAlign w:val="center"/>
          </w:tcPr>
          <w:p w:rsidR="00DC64CF" w:rsidRPr="00DC021E" w:rsidRDefault="00DC64CF" w:rsidP="00977CF9">
            <w:pPr>
              <w:spacing w:before="20" w:after="20"/>
              <w:jc w:val="right"/>
              <w:rPr>
                <w:noProof/>
                <w:sz w:val="20"/>
              </w:rPr>
            </w:pPr>
          </w:p>
        </w:tc>
        <w:tc>
          <w:tcPr>
            <w:tcW w:w="868" w:type="dxa"/>
            <w:tcBorders>
              <w:bottom w:val="single" w:sz="4" w:space="0" w:color="FF0000"/>
            </w:tcBorders>
            <w:vAlign w:val="center"/>
          </w:tcPr>
          <w:p w:rsidR="00DC64CF" w:rsidRPr="00DC021E" w:rsidRDefault="00DC64CF" w:rsidP="00977CF9">
            <w:pPr>
              <w:spacing w:before="20" w:after="20"/>
              <w:jc w:val="right"/>
              <w:rPr>
                <w:noProof/>
                <w:sz w:val="20"/>
              </w:rPr>
            </w:pPr>
          </w:p>
        </w:tc>
        <w:tc>
          <w:tcPr>
            <w:tcW w:w="1777" w:type="dxa"/>
            <w:tcBorders>
              <w:bottom w:val="single" w:sz="4" w:space="0" w:color="FF0000"/>
              <w:right w:val="single" w:sz="4" w:space="0" w:color="auto"/>
            </w:tcBorders>
            <w:vAlign w:val="center"/>
          </w:tcPr>
          <w:p w:rsidR="00DC64CF" w:rsidRPr="00DC021E" w:rsidRDefault="00BD5C0A" w:rsidP="00B81AB0">
            <w:pPr>
              <w:spacing w:before="20" w:after="20"/>
              <w:jc w:val="right"/>
              <w:rPr>
                <w:noProof/>
                <w:sz w:val="20"/>
              </w:rPr>
            </w:pPr>
            <w:r w:rsidRPr="00DC021E">
              <w:rPr>
                <w:noProof/>
                <w:sz w:val="20"/>
              </w:rPr>
              <w:t>1,6</w:t>
            </w:r>
          </w:p>
        </w:tc>
      </w:tr>
    </w:tbl>
    <w:p w:rsidR="00DC64CF" w:rsidRPr="00DC021E" w:rsidRDefault="00DC64CF" w:rsidP="00977CF9">
      <w:pPr>
        <w:rPr>
          <w:noProof/>
        </w:rPr>
      </w:pPr>
    </w:p>
    <w:p w:rsidR="00DC64CF" w:rsidRPr="00DC021E" w:rsidRDefault="00190DCE" w:rsidP="00977CF9">
      <w:pPr>
        <w:rPr>
          <w:noProof/>
        </w:rPr>
      </w:pPr>
      <w:r w:rsidRPr="00DC021E">
        <w:rPr>
          <w:noProof/>
        </w:rPr>
        <w:t>The proposed measures will be carried out under the financial envelope for LIFE, as agreed under the MFF 2014-2020</w:t>
      </w:r>
      <w:r w:rsidR="00DC64CF" w:rsidRPr="00DC021E">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DC021E" w:rsidRPr="00DC021E" w:rsidTr="00977CF9">
        <w:trPr>
          <w:jc w:val="center"/>
        </w:trPr>
        <w:tc>
          <w:tcPr>
            <w:tcW w:w="4744" w:type="dxa"/>
            <w:shd w:val="thinDiagStripe" w:color="C0C0C0" w:fill="auto"/>
            <w:vAlign w:val="center"/>
          </w:tcPr>
          <w:p w:rsidR="00DC64CF" w:rsidRPr="00DC021E" w:rsidRDefault="00DC64CF" w:rsidP="00977CF9">
            <w:pPr>
              <w:spacing w:before="60" w:after="60"/>
              <w:jc w:val="center"/>
              <w:rPr>
                <w:b/>
                <w:noProof/>
                <w:sz w:val="22"/>
              </w:rPr>
            </w:pPr>
            <w:r w:rsidRPr="00DC021E">
              <w:rPr>
                <w:noProof/>
                <w:sz w:val="22"/>
              </w:rPr>
              <w:br w:type="page"/>
            </w:r>
            <w:r w:rsidRPr="00DC021E">
              <w:rPr>
                <w:b/>
                <w:noProof/>
                <w:sz w:val="22"/>
              </w:rPr>
              <w:t xml:space="preserve">Heading of multiannual financial </w:t>
            </w:r>
            <w:r w:rsidRPr="00DC021E">
              <w:rPr>
                <w:noProof/>
                <w:sz w:val="22"/>
              </w:rPr>
              <w:br/>
            </w:r>
            <w:r w:rsidRPr="00DC021E">
              <w:rPr>
                <w:b/>
                <w:noProof/>
                <w:sz w:val="22"/>
              </w:rPr>
              <w:t xml:space="preserve">framework </w:t>
            </w:r>
          </w:p>
        </w:tc>
        <w:tc>
          <w:tcPr>
            <w:tcW w:w="1080" w:type="dxa"/>
            <w:shd w:val="thinDiagStripe" w:color="C0C0C0" w:fill="auto"/>
            <w:vAlign w:val="center"/>
          </w:tcPr>
          <w:p w:rsidR="00DC64CF" w:rsidRPr="00DC021E" w:rsidRDefault="00DC64CF" w:rsidP="00977CF9">
            <w:pPr>
              <w:spacing w:before="60" w:after="60"/>
              <w:jc w:val="center"/>
              <w:rPr>
                <w:noProof/>
                <w:sz w:val="22"/>
              </w:rPr>
            </w:pPr>
            <w:r w:rsidRPr="00DC021E">
              <w:rPr>
                <w:b/>
                <w:noProof/>
                <w:sz w:val="22"/>
              </w:rPr>
              <w:t>5</w:t>
            </w:r>
          </w:p>
        </w:tc>
        <w:tc>
          <w:tcPr>
            <w:tcW w:w="7817" w:type="dxa"/>
            <w:vAlign w:val="center"/>
          </w:tcPr>
          <w:p w:rsidR="00DC64CF" w:rsidRPr="00DC021E" w:rsidRDefault="00DC64CF" w:rsidP="00977CF9">
            <w:pPr>
              <w:spacing w:before="60" w:after="60"/>
              <w:rPr>
                <w:noProof/>
                <w:sz w:val="22"/>
              </w:rPr>
            </w:pPr>
            <w:r w:rsidRPr="00DC021E">
              <w:rPr>
                <w:noProof/>
                <w:sz w:val="22"/>
              </w:rPr>
              <w:t>‘Administrative expenditure’</w:t>
            </w:r>
          </w:p>
        </w:tc>
      </w:tr>
    </w:tbl>
    <w:p w:rsidR="00DC64CF" w:rsidRPr="00DC021E" w:rsidRDefault="00DC64CF" w:rsidP="00977CF9">
      <w:pPr>
        <w:jc w:val="right"/>
        <w:rPr>
          <w:noProof/>
          <w:sz w:val="20"/>
        </w:rPr>
      </w:pPr>
      <w:r w:rsidRPr="00DC021E">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DC021E" w:rsidRPr="00DC021E" w:rsidTr="00977CF9">
        <w:tc>
          <w:tcPr>
            <w:tcW w:w="3960" w:type="dxa"/>
            <w:tcBorders>
              <w:top w:val="nil"/>
              <w:left w:val="nil"/>
              <w:right w:val="nil"/>
            </w:tcBorders>
            <w:vAlign w:val="center"/>
          </w:tcPr>
          <w:p w:rsidR="00695C29" w:rsidRPr="00DC021E" w:rsidRDefault="00695C29" w:rsidP="00977CF9">
            <w:pPr>
              <w:jc w:val="center"/>
              <w:rPr>
                <w:noProof/>
                <w:sz w:val="22"/>
              </w:rPr>
            </w:pPr>
          </w:p>
        </w:tc>
        <w:tc>
          <w:tcPr>
            <w:tcW w:w="1560" w:type="dxa"/>
            <w:tcBorders>
              <w:top w:val="nil"/>
              <w:left w:val="nil"/>
              <w:right w:val="nil"/>
            </w:tcBorders>
          </w:tcPr>
          <w:p w:rsidR="00695C29" w:rsidRPr="00DC021E" w:rsidRDefault="00695C29" w:rsidP="00977CF9">
            <w:pPr>
              <w:rPr>
                <w:noProof/>
                <w:sz w:val="20"/>
              </w:rPr>
            </w:pPr>
          </w:p>
        </w:tc>
        <w:tc>
          <w:tcPr>
            <w:tcW w:w="534" w:type="dxa"/>
            <w:tcBorders>
              <w:top w:val="nil"/>
              <w:left w:val="nil"/>
            </w:tcBorders>
          </w:tcPr>
          <w:p w:rsidR="00695C29" w:rsidRPr="00DC021E" w:rsidRDefault="00695C29" w:rsidP="00977CF9">
            <w:pPr>
              <w:jc w:val="center"/>
              <w:rPr>
                <w:noProof/>
                <w:sz w:val="20"/>
              </w:rPr>
            </w:pPr>
          </w:p>
        </w:tc>
        <w:tc>
          <w:tcPr>
            <w:tcW w:w="868" w:type="dxa"/>
            <w:vAlign w:val="center"/>
          </w:tcPr>
          <w:p w:rsidR="00695C29" w:rsidRPr="00DC021E" w:rsidRDefault="00695C29" w:rsidP="00977CF9">
            <w:pPr>
              <w:jc w:val="center"/>
              <w:rPr>
                <w:noProof/>
                <w:sz w:val="20"/>
              </w:rPr>
            </w:pPr>
            <w:r w:rsidRPr="00DC021E">
              <w:rPr>
                <w:noProof/>
                <w:sz w:val="20"/>
              </w:rPr>
              <w:t>Year</w:t>
            </w:r>
            <w:r w:rsidRPr="00DC021E">
              <w:rPr>
                <w:noProof/>
                <w:sz w:val="22"/>
              </w:rPr>
              <w:br/>
            </w:r>
            <w:r w:rsidRPr="00DC021E">
              <w:rPr>
                <w:b/>
                <w:noProof/>
                <w:sz w:val="20"/>
              </w:rPr>
              <w:t>2017</w:t>
            </w:r>
          </w:p>
        </w:tc>
        <w:tc>
          <w:tcPr>
            <w:tcW w:w="868" w:type="dxa"/>
            <w:vAlign w:val="center"/>
          </w:tcPr>
          <w:p w:rsidR="00695C29" w:rsidRPr="00DC021E" w:rsidRDefault="00695C29" w:rsidP="00977CF9">
            <w:pPr>
              <w:jc w:val="center"/>
              <w:rPr>
                <w:noProof/>
                <w:sz w:val="20"/>
              </w:rPr>
            </w:pPr>
            <w:r w:rsidRPr="00DC021E">
              <w:rPr>
                <w:noProof/>
                <w:sz w:val="20"/>
              </w:rPr>
              <w:t>Year</w:t>
            </w:r>
            <w:r w:rsidRPr="00DC021E">
              <w:rPr>
                <w:noProof/>
                <w:sz w:val="22"/>
              </w:rPr>
              <w:br/>
            </w:r>
            <w:r w:rsidRPr="00DC021E">
              <w:rPr>
                <w:b/>
                <w:noProof/>
                <w:sz w:val="20"/>
              </w:rPr>
              <w:t>2018</w:t>
            </w:r>
          </w:p>
        </w:tc>
        <w:tc>
          <w:tcPr>
            <w:tcW w:w="868" w:type="dxa"/>
            <w:vAlign w:val="center"/>
          </w:tcPr>
          <w:p w:rsidR="00695C29" w:rsidRPr="00DC021E" w:rsidRDefault="00695C29" w:rsidP="00977CF9">
            <w:pPr>
              <w:jc w:val="center"/>
              <w:rPr>
                <w:noProof/>
                <w:sz w:val="20"/>
              </w:rPr>
            </w:pPr>
            <w:r w:rsidRPr="00DC021E">
              <w:rPr>
                <w:noProof/>
                <w:sz w:val="20"/>
              </w:rPr>
              <w:t>Year</w:t>
            </w:r>
            <w:r w:rsidRPr="00DC021E">
              <w:rPr>
                <w:noProof/>
                <w:sz w:val="22"/>
              </w:rPr>
              <w:br/>
            </w:r>
            <w:r w:rsidRPr="00DC021E">
              <w:rPr>
                <w:b/>
                <w:noProof/>
                <w:sz w:val="20"/>
              </w:rPr>
              <w:t>2019</w:t>
            </w:r>
          </w:p>
        </w:tc>
        <w:tc>
          <w:tcPr>
            <w:tcW w:w="868" w:type="dxa"/>
            <w:vAlign w:val="center"/>
          </w:tcPr>
          <w:p w:rsidR="00695C29" w:rsidRPr="00DC021E" w:rsidRDefault="00695C29" w:rsidP="00977CF9">
            <w:pPr>
              <w:jc w:val="center"/>
              <w:rPr>
                <w:noProof/>
                <w:sz w:val="20"/>
              </w:rPr>
            </w:pPr>
            <w:r w:rsidRPr="00DC021E">
              <w:rPr>
                <w:noProof/>
                <w:sz w:val="20"/>
              </w:rPr>
              <w:t>Year</w:t>
            </w:r>
            <w:r w:rsidRPr="00DC021E">
              <w:rPr>
                <w:noProof/>
                <w:sz w:val="22"/>
              </w:rPr>
              <w:br/>
            </w:r>
            <w:r w:rsidRPr="00DC021E">
              <w:rPr>
                <w:b/>
                <w:noProof/>
                <w:sz w:val="20"/>
              </w:rPr>
              <w:t>2020</w:t>
            </w:r>
          </w:p>
        </w:tc>
        <w:tc>
          <w:tcPr>
            <w:tcW w:w="2604" w:type="dxa"/>
            <w:gridSpan w:val="3"/>
            <w:vAlign w:val="center"/>
          </w:tcPr>
          <w:p w:rsidR="00695C29" w:rsidRPr="00DC021E" w:rsidRDefault="00695C29" w:rsidP="00977CF9">
            <w:pPr>
              <w:jc w:val="center"/>
              <w:rPr>
                <w:b/>
                <w:noProof/>
                <w:sz w:val="20"/>
                <w:szCs w:val="20"/>
              </w:rPr>
            </w:pPr>
          </w:p>
        </w:tc>
        <w:tc>
          <w:tcPr>
            <w:tcW w:w="1777" w:type="dxa"/>
            <w:vAlign w:val="center"/>
          </w:tcPr>
          <w:p w:rsidR="00695C29" w:rsidRPr="00DC021E" w:rsidRDefault="00695C29" w:rsidP="00977CF9">
            <w:pPr>
              <w:jc w:val="center"/>
              <w:rPr>
                <w:b/>
                <w:noProof/>
                <w:sz w:val="20"/>
              </w:rPr>
            </w:pPr>
            <w:r w:rsidRPr="00DC021E">
              <w:rPr>
                <w:b/>
                <w:noProof/>
                <w:sz w:val="20"/>
              </w:rPr>
              <w:t>TOTAL</w:t>
            </w:r>
          </w:p>
        </w:tc>
      </w:tr>
      <w:tr w:rsidR="00DC021E" w:rsidRPr="00DC021E" w:rsidTr="00977CF9">
        <w:trPr>
          <w:gridAfter w:val="10"/>
          <w:wAfter w:w="9947" w:type="dxa"/>
        </w:trPr>
        <w:tc>
          <w:tcPr>
            <w:tcW w:w="3960" w:type="dxa"/>
            <w:vAlign w:val="center"/>
          </w:tcPr>
          <w:p w:rsidR="00695C29" w:rsidRPr="00DC021E" w:rsidRDefault="00695C29" w:rsidP="00695C29">
            <w:pPr>
              <w:spacing w:before="60" w:after="60"/>
              <w:jc w:val="center"/>
              <w:rPr>
                <w:noProof/>
                <w:sz w:val="22"/>
              </w:rPr>
            </w:pPr>
            <w:r w:rsidRPr="00DC021E">
              <w:rPr>
                <w:noProof/>
                <w:sz w:val="22"/>
              </w:rPr>
              <w:t>DG: CLIMA</w:t>
            </w:r>
          </w:p>
        </w:tc>
      </w:tr>
      <w:tr w:rsidR="00DC021E" w:rsidRPr="00DC021E" w:rsidTr="00977CF9">
        <w:trPr>
          <w:trHeight w:val="313"/>
        </w:trPr>
        <w:tc>
          <w:tcPr>
            <w:tcW w:w="6054" w:type="dxa"/>
            <w:gridSpan w:val="3"/>
            <w:vAlign w:val="center"/>
          </w:tcPr>
          <w:p w:rsidR="00B81AB0" w:rsidRPr="00DC021E" w:rsidRDefault="00B81AB0" w:rsidP="00977CF9">
            <w:pPr>
              <w:spacing w:before="20" w:after="20"/>
              <w:rPr>
                <w:noProof/>
                <w:sz w:val="22"/>
              </w:rPr>
            </w:pPr>
            <w:r w:rsidRPr="00DC021E">
              <w:rPr>
                <w:noProof/>
                <w:sz w:val="22"/>
              </w:rPr>
              <w:sym w:font="Wingdings" w:char="F09F"/>
            </w:r>
            <w:r w:rsidRPr="00DC021E">
              <w:rPr>
                <w:noProof/>
                <w:sz w:val="22"/>
              </w:rPr>
              <w:t xml:space="preserve"> Human resources </w:t>
            </w:r>
          </w:p>
        </w:tc>
        <w:tc>
          <w:tcPr>
            <w:tcW w:w="868" w:type="dxa"/>
            <w:vAlign w:val="center"/>
          </w:tcPr>
          <w:p w:rsidR="00B81AB0" w:rsidRPr="00DC021E" w:rsidRDefault="00B81AB0" w:rsidP="00977CF9">
            <w:pPr>
              <w:spacing w:before="20" w:after="20"/>
              <w:jc w:val="right"/>
              <w:rPr>
                <w:noProof/>
                <w:sz w:val="20"/>
              </w:rPr>
            </w:pPr>
            <w:r w:rsidRPr="00DC021E">
              <w:rPr>
                <w:noProof/>
                <w:sz w:val="20"/>
              </w:rPr>
              <w:t>0,268</w:t>
            </w:r>
          </w:p>
        </w:tc>
        <w:tc>
          <w:tcPr>
            <w:tcW w:w="868" w:type="dxa"/>
            <w:vAlign w:val="center"/>
          </w:tcPr>
          <w:p w:rsidR="00B81AB0" w:rsidRPr="00DC021E" w:rsidRDefault="00B81AB0" w:rsidP="00977CF9">
            <w:pPr>
              <w:spacing w:before="20" w:after="20"/>
              <w:jc w:val="right"/>
              <w:rPr>
                <w:noProof/>
                <w:sz w:val="20"/>
              </w:rPr>
            </w:pPr>
            <w:r w:rsidRPr="00DC021E">
              <w:rPr>
                <w:noProof/>
                <w:sz w:val="20"/>
              </w:rPr>
              <w:t>0,402</w:t>
            </w:r>
          </w:p>
        </w:tc>
        <w:tc>
          <w:tcPr>
            <w:tcW w:w="868" w:type="dxa"/>
            <w:vAlign w:val="center"/>
          </w:tcPr>
          <w:p w:rsidR="00B81AB0" w:rsidRPr="00DC021E" w:rsidRDefault="00B81AB0" w:rsidP="00977CF9">
            <w:pPr>
              <w:spacing w:before="20" w:after="20"/>
              <w:jc w:val="right"/>
              <w:rPr>
                <w:noProof/>
                <w:sz w:val="20"/>
              </w:rPr>
            </w:pPr>
            <w:r w:rsidRPr="00DC021E">
              <w:rPr>
                <w:noProof/>
                <w:sz w:val="20"/>
              </w:rPr>
              <w:t>0,402</w:t>
            </w:r>
          </w:p>
        </w:tc>
        <w:tc>
          <w:tcPr>
            <w:tcW w:w="868" w:type="dxa"/>
            <w:vAlign w:val="center"/>
          </w:tcPr>
          <w:p w:rsidR="00B81AB0" w:rsidRPr="00DC021E" w:rsidRDefault="00B81AB0" w:rsidP="00977CF9">
            <w:pPr>
              <w:spacing w:before="20" w:after="20"/>
              <w:jc w:val="right"/>
              <w:rPr>
                <w:noProof/>
                <w:sz w:val="20"/>
              </w:rPr>
            </w:pPr>
            <w:r w:rsidRPr="00DC021E">
              <w:rPr>
                <w:noProof/>
                <w:sz w:val="20"/>
              </w:rPr>
              <w:t>0,536</w:t>
            </w:r>
          </w:p>
        </w:tc>
        <w:tc>
          <w:tcPr>
            <w:tcW w:w="868" w:type="dxa"/>
            <w:vAlign w:val="center"/>
          </w:tcPr>
          <w:p w:rsidR="00B81AB0" w:rsidRPr="00DC021E" w:rsidRDefault="00B81AB0" w:rsidP="00977CF9">
            <w:pPr>
              <w:spacing w:before="20" w:after="20"/>
              <w:jc w:val="right"/>
              <w:rPr>
                <w:noProof/>
                <w:sz w:val="20"/>
              </w:rPr>
            </w:pPr>
          </w:p>
        </w:tc>
        <w:tc>
          <w:tcPr>
            <w:tcW w:w="868" w:type="dxa"/>
            <w:vAlign w:val="center"/>
          </w:tcPr>
          <w:p w:rsidR="00B81AB0" w:rsidRPr="00DC021E" w:rsidRDefault="00B81AB0" w:rsidP="00977CF9">
            <w:pPr>
              <w:spacing w:before="20" w:after="20"/>
              <w:jc w:val="right"/>
              <w:rPr>
                <w:noProof/>
                <w:sz w:val="20"/>
              </w:rPr>
            </w:pPr>
          </w:p>
        </w:tc>
        <w:tc>
          <w:tcPr>
            <w:tcW w:w="868" w:type="dxa"/>
            <w:vAlign w:val="center"/>
          </w:tcPr>
          <w:p w:rsidR="00B81AB0" w:rsidRPr="00DC021E" w:rsidRDefault="00B81AB0" w:rsidP="00977CF9">
            <w:pPr>
              <w:spacing w:before="20" w:after="20"/>
              <w:jc w:val="right"/>
              <w:rPr>
                <w:b/>
                <w:noProof/>
                <w:sz w:val="20"/>
              </w:rPr>
            </w:pPr>
          </w:p>
        </w:tc>
        <w:tc>
          <w:tcPr>
            <w:tcW w:w="1777" w:type="dxa"/>
            <w:vAlign w:val="center"/>
          </w:tcPr>
          <w:p w:rsidR="00B81AB0" w:rsidRPr="00DC021E" w:rsidRDefault="00B81AB0" w:rsidP="00977CF9">
            <w:pPr>
              <w:spacing w:before="20" w:after="20"/>
              <w:jc w:val="right"/>
              <w:rPr>
                <w:b/>
                <w:noProof/>
                <w:sz w:val="20"/>
              </w:rPr>
            </w:pPr>
            <w:r w:rsidRPr="00DC021E">
              <w:rPr>
                <w:b/>
                <w:noProof/>
                <w:sz w:val="20"/>
              </w:rPr>
              <w:t>,1,608</w:t>
            </w:r>
          </w:p>
        </w:tc>
      </w:tr>
      <w:tr w:rsidR="00DC021E" w:rsidRPr="00DC021E" w:rsidTr="00977CF9">
        <w:trPr>
          <w:trHeight w:val="351"/>
        </w:trPr>
        <w:tc>
          <w:tcPr>
            <w:tcW w:w="6054" w:type="dxa"/>
            <w:gridSpan w:val="3"/>
            <w:vAlign w:val="center"/>
          </w:tcPr>
          <w:p w:rsidR="00B81AB0" w:rsidRPr="00DC021E" w:rsidRDefault="00B81AB0" w:rsidP="00977CF9">
            <w:pPr>
              <w:spacing w:before="20" w:after="20"/>
              <w:rPr>
                <w:noProof/>
                <w:sz w:val="22"/>
              </w:rPr>
            </w:pPr>
            <w:r w:rsidRPr="00DC021E">
              <w:rPr>
                <w:noProof/>
                <w:sz w:val="22"/>
              </w:rPr>
              <w:sym w:font="Wingdings" w:char="F09F"/>
            </w:r>
            <w:r w:rsidRPr="00DC021E">
              <w:rPr>
                <w:noProof/>
                <w:sz w:val="22"/>
              </w:rPr>
              <w:t xml:space="preserve"> Other administrative expenditure </w:t>
            </w:r>
          </w:p>
        </w:tc>
        <w:tc>
          <w:tcPr>
            <w:tcW w:w="868" w:type="dxa"/>
            <w:vAlign w:val="center"/>
          </w:tcPr>
          <w:p w:rsidR="00B81AB0" w:rsidRPr="00DC021E" w:rsidRDefault="00B81AB0" w:rsidP="00977CF9">
            <w:pPr>
              <w:spacing w:before="20" w:after="20"/>
              <w:jc w:val="right"/>
              <w:rPr>
                <w:noProof/>
                <w:sz w:val="20"/>
              </w:rPr>
            </w:pPr>
            <w:r w:rsidRPr="00DC021E">
              <w:rPr>
                <w:noProof/>
                <w:sz w:val="20"/>
              </w:rPr>
              <w:t>0,015</w:t>
            </w:r>
          </w:p>
        </w:tc>
        <w:tc>
          <w:tcPr>
            <w:tcW w:w="868" w:type="dxa"/>
            <w:vAlign w:val="center"/>
          </w:tcPr>
          <w:p w:rsidR="00B81AB0" w:rsidRPr="00DC021E" w:rsidRDefault="00B81AB0" w:rsidP="00977CF9">
            <w:pPr>
              <w:spacing w:before="20" w:after="20"/>
              <w:jc w:val="right"/>
              <w:rPr>
                <w:noProof/>
                <w:sz w:val="20"/>
              </w:rPr>
            </w:pPr>
            <w:r w:rsidRPr="00DC021E">
              <w:rPr>
                <w:noProof/>
                <w:sz w:val="20"/>
              </w:rPr>
              <w:t>0,015</w:t>
            </w:r>
          </w:p>
        </w:tc>
        <w:tc>
          <w:tcPr>
            <w:tcW w:w="868" w:type="dxa"/>
            <w:vAlign w:val="center"/>
          </w:tcPr>
          <w:p w:rsidR="00B81AB0" w:rsidRPr="00DC021E" w:rsidRDefault="00B81AB0" w:rsidP="00977CF9">
            <w:pPr>
              <w:spacing w:before="20" w:after="20"/>
              <w:jc w:val="right"/>
              <w:rPr>
                <w:noProof/>
                <w:sz w:val="20"/>
              </w:rPr>
            </w:pPr>
            <w:r w:rsidRPr="00DC021E">
              <w:rPr>
                <w:noProof/>
                <w:sz w:val="20"/>
              </w:rPr>
              <w:t>0,015</w:t>
            </w:r>
          </w:p>
        </w:tc>
        <w:tc>
          <w:tcPr>
            <w:tcW w:w="868" w:type="dxa"/>
            <w:vAlign w:val="center"/>
          </w:tcPr>
          <w:p w:rsidR="00B81AB0" w:rsidRPr="00DC021E" w:rsidRDefault="00B81AB0" w:rsidP="00977CF9">
            <w:pPr>
              <w:spacing w:before="20" w:after="20"/>
              <w:jc w:val="right"/>
              <w:rPr>
                <w:noProof/>
                <w:sz w:val="20"/>
              </w:rPr>
            </w:pPr>
            <w:r w:rsidRPr="00DC021E">
              <w:rPr>
                <w:noProof/>
                <w:sz w:val="20"/>
              </w:rPr>
              <w:t>0,015</w:t>
            </w:r>
          </w:p>
        </w:tc>
        <w:tc>
          <w:tcPr>
            <w:tcW w:w="868" w:type="dxa"/>
            <w:vAlign w:val="center"/>
          </w:tcPr>
          <w:p w:rsidR="00B81AB0" w:rsidRPr="00DC021E" w:rsidRDefault="00B81AB0" w:rsidP="00977CF9">
            <w:pPr>
              <w:spacing w:before="20" w:after="20"/>
              <w:jc w:val="right"/>
              <w:rPr>
                <w:b/>
                <w:noProof/>
                <w:sz w:val="20"/>
              </w:rPr>
            </w:pPr>
          </w:p>
        </w:tc>
        <w:tc>
          <w:tcPr>
            <w:tcW w:w="868" w:type="dxa"/>
            <w:vAlign w:val="center"/>
          </w:tcPr>
          <w:p w:rsidR="00B81AB0" w:rsidRPr="00DC021E" w:rsidRDefault="00B81AB0" w:rsidP="00977CF9">
            <w:pPr>
              <w:spacing w:before="20" w:after="20"/>
              <w:jc w:val="right"/>
              <w:rPr>
                <w:noProof/>
                <w:sz w:val="20"/>
              </w:rPr>
            </w:pPr>
          </w:p>
        </w:tc>
        <w:tc>
          <w:tcPr>
            <w:tcW w:w="868" w:type="dxa"/>
            <w:vAlign w:val="center"/>
          </w:tcPr>
          <w:p w:rsidR="00B81AB0" w:rsidRPr="00DC021E" w:rsidRDefault="00B81AB0" w:rsidP="00977CF9">
            <w:pPr>
              <w:spacing w:before="20" w:after="20"/>
              <w:jc w:val="right"/>
              <w:rPr>
                <w:b/>
                <w:noProof/>
                <w:sz w:val="20"/>
              </w:rPr>
            </w:pPr>
          </w:p>
        </w:tc>
        <w:tc>
          <w:tcPr>
            <w:tcW w:w="1777" w:type="dxa"/>
            <w:vAlign w:val="center"/>
          </w:tcPr>
          <w:p w:rsidR="00B81AB0" w:rsidRPr="00DC021E" w:rsidRDefault="00B81AB0" w:rsidP="00977CF9">
            <w:pPr>
              <w:spacing w:before="20" w:after="20"/>
              <w:jc w:val="right"/>
              <w:rPr>
                <w:noProof/>
                <w:sz w:val="20"/>
              </w:rPr>
            </w:pPr>
            <w:r w:rsidRPr="00DC021E">
              <w:rPr>
                <w:b/>
                <w:noProof/>
                <w:sz w:val="20"/>
              </w:rPr>
              <w:t>0,060</w:t>
            </w:r>
          </w:p>
        </w:tc>
      </w:tr>
      <w:tr w:rsidR="00DC021E" w:rsidRPr="00DC021E" w:rsidTr="00977CF9">
        <w:tc>
          <w:tcPr>
            <w:tcW w:w="3960" w:type="dxa"/>
            <w:vAlign w:val="center"/>
          </w:tcPr>
          <w:p w:rsidR="00B81AB0" w:rsidRPr="00DC021E" w:rsidRDefault="00B81AB0" w:rsidP="00695C29">
            <w:pPr>
              <w:jc w:val="center"/>
              <w:rPr>
                <w:b/>
                <w:noProof/>
                <w:sz w:val="22"/>
              </w:rPr>
            </w:pPr>
            <w:r w:rsidRPr="00DC021E">
              <w:rPr>
                <w:b/>
                <w:noProof/>
                <w:sz w:val="22"/>
              </w:rPr>
              <w:t>TOTAL DG CLIMA</w:t>
            </w:r>
          </w:p>
        </w:tc>
        <w:tc>
          <w:tcPr>
            <w:tcW w:w="2094" w:type="dxa"/>
            <w:gridSpan w:val="2"/>
            <w:vAlign w:val="center"/>
          </w:tcPr>
          <w:p w:rsidR="00B81AB0" w:rsidRPr="00DC021E" w:rsidRDefault="00B81AB0" w:rsidP="00977CF9">
            <w:pPr>
              <w:rPr>
                <w:noProof/>
                <w:sz w:val="14"/>
              </w:rPr>
            </w:pPr>
            <w:r w:rsidRPr="00DC021E">
              <w:rPr>
                <w:noProof/>
                <w:sz w:val="18"/>
              </w:rPr>
              <w:t xml:space="preserve">Appropriations </w:t>
            </w:r>
          </w:p>
        </w:tc>
        <w:tc>
          <w:tcPr>
            <w:tcW w:w="868" w:type="dxa"/>
            <w:vAlign w:val="center"/>
          </w:tcPr>
          <w:p w:rsidR="00B81AB0" w:rsidRPr="00DC021E" w:rsidRDefault="00B81AB0" w:rsidP="00977CF9">
            <w:pPr>
              <w:spacing w:before="60" w:after="60"/>
              <w:jc w:val="right"/>
              <w:rPr>
                <w:noProof/>
                <w:sz w:val="20"/>
              </w:rPr>
            </w:pPr>
            <w:r w:rsidRPr="00DC021E">
              <w:rPr>
                <w:b/>
                <w:noProof/>
                <w:sz w:val="20"/>
                <w:szCs w:val="20"/>
              </w:rPr>
              <w:t>0,283</w:t>
            </w:r>
          </w:p>
        </w:tc>
        <w:tc>
          <w:tcPr>
            <w:tcW w:w="868" w:type="dxa"/>
            <w:vAlign w:val="center"/>
          </w:tcPr>
          <w:p w:rsidR="00B81AB0" w:rsidRPr="00DC021E" w:rsidRDefault="00B81AB0" w:rsidP="00977CF9">
            <w:pPr>
              <w:spacing w:before="20" w:after="20"/>
              <w:jc w:val="right"/>
              <w:rPr>
                <w:noProof/>
                <w:sz w:val="20"/>
              </w:rPr>
            </w:pPr>
            <w:r w:rsidRPr="00DC021E">
              <w:rPr>
                <w:b/>
                <w:noProof/>
                <w:sz w:val="20"/>
                <w:szCs w:val="20"/>
              </w:rPr>
              <w:t>0,417</w:t>
            </w:r>
          </w:p>
        </w:tc>
        <w:tc>
          <w:tcPr>
            <w:tcW w:w="868" w:type="dxa"/>
            <w:vAlign w:val="center"/>
          </w:tcPr>
          <w:p w:rsidR="00B81AB0" w:rsidRPr="00DC021E" w:rsidRDefault="00B81AB0" w:rsidP="00977CF9">
            <w:pPr>
              <w:spacing w:before="20" w:after="20"/>
              <w:jc w:val="right"/>
              <w:rPr>
                <w:noProof/>
                <w:sz w:val="20"/>
              </w:rPr>
            </w:pPr>
            <w:r w:rsidRPr="00DC021E">
              <w:rPr>
                <w:b/>
                <w:noProof/>
                <w:sz w:val="20"/>
                <w:szCs w:val="20"/>
              </w:rPr>
              <w:t>0,417</w:t>
            </w:r>
          </w:p>
        </w:tc>
        <w:tc>
          <w:tcPr>
            <w:tcW w:w="868" w:type="dxa"/>
            <w:vAlign w:val="center"/>
          </w:tcPr>
          <w:p w:rsidR="00B81AB0" w:rsidRPr="00DC021E" w:rsidRDefault="00B81AB0" w:rsidP="00977CF9">
            <w:pPr>
              <w:spacing w:before="20" w:after="20"/>
              <w:jc w:val="right"/>
              <w:rPr>
                <w:noProof/>
                <w:sz w:val="20"/>
              </w:rPr>
            </w:pPr>
            <w:r w:rsidRPr="00DC021E">
              <w:rPr>
                <w:b/>
                <w:noProof/>
                <w:sz w:val="20"/>
                <w:szCs w:val="20"/>
              </w:rPr>
              <w:t>0,551</w:t>
            </w:r>
          </w:p>
        </w:tc>
        <w:tc>
          <w:tcPr>
            <w:tcW w:w="868" w:type="dxa"/>
            <w:vAlign w:val="center"/>
          </w:tcPr>
          <w:p w:rsidR="00B81AB0" w:rsidRPr="00DC021E" w:rsidRDefault="00B81AB0" w:rsidP="00977CF9">
            <w:pPr>
              <w:spacing w:before="20" w:after="20"/>
              <w:jc w:val="right"/>
              <w:rPr>
                <w:noProof/>
                <w:sz w:val="20"/>
              </w:rPr>
            </w:pPr>
          </w:p>
        </w:tc>
        <w:tc>
          <w:tcPr>
            <w:tcW w:w="868" w:type="dxa"/>
            <w:vAlign w:val="center"/>
          </w:tcPr>
          <w:p w:rsidR="00B81AB0" w:rsidRPr="00DC021E" w:rsidRDefault="00B81AB0" w:rsidP="00977CF9">
            <w:pPr>
              <w:spacing w:before="20" w:after="20"/>
              <w:jc w:val="right"/>
              <w:rPr>
                <w:noProof/>
                <w:sz w:val="20"/>
              </w:rPr>
            </w:pPr>
          </w:p>
        </w:tc>
        <w:tc>
          <w:tcPr>
            <w:tcW w:w="868" w:type="dxa"/>
            <w:vAlign w:val="center"/>
          </w:tcPr>
          <w:p w:rsidR="00B81AB0" w:rsidRPr="00DC021E" w:rsidRDefault="00B81AB0" w:rsidP="00977CF9">
            <w:pPr>
              <w:spacing w:before="20" w:after="20"/>
              <w:jc w:val="right"/>
              <w:rPr>
                <w:b/>
                <w:noProof/>
                <w:sz w:val="20"/>
              </w:rPr>
            </w:pPr>
          </w:p>
        </w:tc>
        <w:tc>
          <w:tcPr>
            <w:tcW w:w="1777" w:type="dxa"/>
            <w:vAlign w:val="center"/>
          </w:tcPr>
          <w:p w:rsidR="00B81AB0" w:rsidRPr="00DC021E" w:rsidRDefault="00B81AB0" w:rsidP="00977CF9">
            <w:pPr>
              <w:spacing w:before="20" w:after="20"/>
              <w:jc w:val="right"/>
              <w:rPr>
                <w:b/>
                <w:noProof/>
                <w:sz w:val="20"/>
              </w:rPr>
            </w:pPr>
            <w:r w:rsidRPr="00DC021E">
              <w:rPr>
                <w:b/>
                <w:noProof/>
                <w:sz w:val="20"/>
                <w:szCs w:val="20"/>
              </w:rPr>
              <w:t>1,668</w:t>
            </w:r>
          </w:p>
        </w:tc>
      </w:tr>
    </w:tbl>
    <w:p w:rsidR="00DC64CF" w:rsidRPr="00DC021E" w:rsidRDefault="00DC64CF" w:rsidP="00977CF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DC021E" w:rsidRPr="00DC021E" w:rsidTr="00977CF9">
        <w:tc>
          <w:tcPr>
            <w:tcW w:w="3960" w:type="dxa"/>
            <w:shd w:val="thinDiagStripe" w:color="C0C0C0" w:fill="auto"/>
            <w:vAlign w:val="center"/>
          </w:tcPr>
          <w:p w:rsidR="00CA0F3C" w:rsidRPr="00DC021E" w:rsidRDefault="00CA0F3C" w:rsidP="00977CF9">
            <w:pPr>
              <w:jc w:val="center"/>
              <w:rPr>
                <w:b/>
                <w:noProof/>
                <w:sz w:val="22"/>
              </w:rPr>
            </w:pPr>
            <w:r w:rsidRPr="00DC021E">
              <w:rPr>
                <w:b/>
                <w:noProof/>
                <w:sz w:val="22"/>
              </w:rPr>
              <w:t>TOTAL appropriations</w:t>
            </w:r>
            <w:r w:rsidRPr="00DC021E">
              <w:rPr>
                <w:noProof/>
                <w:sz w:val="22"/>
              </w:rPr>
              <w:br/>
            </w:r>
            <w:r w:rsidRPr="00DC021E">
              <w:rPr>
                <w:b/>
                <w:noProof/>
                <w:sz w:val="22"/>
              </w:rPr>
              <w:t>under HEADING 5</w:t>
            </w:r>
            <w:r w:rsidRPr="00DC021E">
              <w:rPr>
                <w:noProof/>
                <w:sz w:val="22"/>
              </w:rPr>
              <w:br/>
              <w:t>of the multiannual financial framework</w:t>
            </w:r>
            <w:r w:rsidRPr="00DC021E">
              <w:rPr>
                <w:b/>
                <w:noProof/>
                <w:sz w:val="22"/>
              </w:rPr>
              <w:t xml:space="preserve"> </w:t>
            </w:r>
          </w:p>
        </w:tc>
        <w:tc>
          <w:tcPr>
            <w:tcW w:w="2094" w:type="dxa"/>
            <w:vAlign w:val="center"/>
          </w:tcPr>
          <w:p w:rsidR="00CA0F3C" w:rsidRPr="00DC021E" w:rsidRDefault="00CA0F3C" w:rsidP="00977CF9">
            <w:pPr>
              <w:spacing w:before="40" w:after="40"/>
              <w:rPr>
                <w:noProof/>
                <w:sz w:val="22"/>
              </w:rPr>
            </w:pPr>
            <w:r w:rsidRPr="00DC021E">
              <w:rPr>
                <w:noProof/>
                <w:sz w:val="18"/>
              </w:rPr>
              <w:t>(Total commitments = Total payments)</w:t>
            </w:r>
          </w:p>
        </w:tc>
        <w:tc>
          <w:tcPr>
            <w:tcW w:w="868" w:type="dxa"/>
            <w:vAlign w:val="center"/>
          </w:tcPr>
          <w:p w:rsidR="00CA0F3C" w:rsidRPr="00DC021E" w:rsidRDefault="00CA0F3C" w:rsidP="00977CF9">
            <w:pPr>
              <w:spacing w:before="20" w:after="20"/>
              <w:jc w:val="right"/>
              <w:rPr>
                <w:b/>
                <w:noProof/>
                <w:sz w:val="20"/>
                <w:szCs w:val="20"/>
              </w:rPr>
            </w:pPr>
            <w:r w:rsidRPr="00DC021E">
              <w:rPr>
                <w:b/>
                <w:noProof/>
                <w:sz w:val="20"/>
                <w:szCs w:val="20"/>
              </w:rPr>
              <w:t>0,283</w:t>
            </w:r>
          </w:p>
        </w:tc>
        <w:tc>
          <w:tcPr>
            <w:tcW w:w="868" w:type="dxa"/>
            <w:vAlign w:val="center"/>
          </w:tcPr>
          <w:p w:rsidR="00CA0F3C" w:rsidRPr="00DC021E" w:rsidRDefault="00CA0F3C" w:rsidP="00977CF9">
            <w:pPr>
              <w:spacing w:before="20" w:after="20"/>
              <w:jc w:val="right"/>
              <w:rPr>
                <w:b/>
                <w:noProof/>
                <w:sz w:val="20"/>
                <w:szCs w:val="20"/>
              </w:rPr>
            </w:pPr>
            <w:r w:rsidRPr="00DC021E">
              <w:rPr>
                <w:b/>
                <w:noProof/>
                <w:sz w:val="20"/>
                <w:szCs w:val="20"/>
              </w:rPr>
              <w:t>0,417</w:t>
            </w:r>
          </w:p>
        </w:tc>
        <w:tc>
          <w:tcPr>
            <w:tcW w:w="868" w:type="dxa"/>
            <w:vAlign w:val="center"/>
          </w:tcPr>
          <w:p w:rsidR="00CA0F3C" w:rsidRPr="00DC021E" w:rsidRDefault="00CA0F3C" w:rsidP="00977CF9">
            <w:pPr>
              <w:spacing w:before="20" w:after="20"/>
              <w:jc w:val="right"/>
              <w:rPr>
                <w:b/>
                <w:noProof/>
                <w:sz w:val="20"/>
                <w:szCs w:val="20"/>
              </w:rPr>
            </w:pPr>
            <w:r w:rsidRPr="00DC021E">
              <w:rPr>
                <w:b/>
                <w:noProof/>
                <w:sz w:val="20"/>
                <w:szCs w:val="20"/>
              </w:rPr>
              <w:t>0,417</w:t>
            </w:r>
          </w:p>
        </w:tc>
        <w:tc>
          <w:tcPr>
            <w:tcW w:w="868" w:type="dxa"/>
            <w:vAlign w:val="center"/>
          </w:tcPr>
          <w:p w:rsidR="00CA0F3C" w:rsidRPr="00DC021E" w:rsidRDefault="00CA0F3C" w:rsidP="00977CF9">
            <w:pPr>
              <w:spacing w:before="20" w:after="20"/>
              <w:jc w:val="right"/>
              <w:rPr>
                <w:b/>
                <w:noProof/>
                <w:sz w:val="20"/>
                <w:szCs w:val="20"/>
              </w:rPr>
            </w:pPr>
            <w:r w:rsidRPr="00DC021E">
              <w:rPr>
                <w:b/>
                <w:noProof/>
                <w:sz w:val="20"/>
                <w:szCs w:val="20"/>
              </w:rPr>
              <w:t>0,551</w:t>
            </w:r>
          </w:p>
        </w:tc>
        <w:tc>
          <w:tcPr>
            <w:tcW w:w="868" w:type="dxa"/>
            <w:vAlign w:val="center"/>
          </w:tcPr>
          <w:p w:rsidR="00CA0F3C" w:rsidRPr="00DC021E" w:rsidRDefault="00CA0F3C" w:rsidP="00977CF9">
            <w:pPr>
              <w:spacing w:before="20" w:after="20"/>
              <w:jc w:val="right"/>
              <w:rPr>
                <w:b/>
                <w:noProof/>
                <w:sz w:val="20"/>
                <w:szCs w:val="20"/>
              </w:rPr>
            </w:pPr>
          </w:p>
        </w:tc>
        <w:tc>
          <w:tcPr>
            <w:tcW w:w="868" w:type="dxa"/>
            <w:vAlign w:val="center"/>
          </w:tcPr>
          <w:p w:rsidR="00CA0F3C" w:rsidRPr="00DC021E" w:rsidRDefault="00CA0F3C" w:rsidP="00977CF9">
            <w:pPr>
              <w:spacing w:before="20" w:after="20"/>
              <w:jc w:val="right"/>
              <w:rPr>
                <w:b/>
                <w:noProof/>
                <w:sz w:val="20"/>
                <w:szCs w:val="20"/>
              </w:rPr>
            </w:pPr>
          </w:p>
        </w:tc>
        <w:tc>
          <w:tcPr>
            <w:tcW w:w="868" w:type="dxa"/>
            <w:vAlign w:val="center"/>
          </w:tcPr>
          <w:p w:rsidR="00CA0F3C" w:rsidRPr="00DC021E" w:rsidRDefault="00CA0F3C" w:rsidP="00977CF9">
            <w:pPr>
              <w:spacing w:before="20" w:after="20"/>
              <w:jc w:val="right"/>
              <w:rPr>
                <w:b/>
                <w:noProof/>
                <w:sz w:val="20"/>
                <w:szCs w:val="20"/>
              </w:rPr>
            </w:pPr>
          </w:p>
        </w:tc>
        <w:tc>
          <w:tcPr>
            <w:tcW w:w="1777" w:type="dxa"/>
            <w:vAlign w:val="center"/>
          </w:tcPr>
          <w:p w:rsidR="00CA0F3C" w:rsidRPr="00DC021E" w:rsidRDefault="00AD5EB3" w:rsidP="00AD5EB3">
            <w:pPr>
              <w:spacing w:before="20" w:after="20"/>
              <w:jc w:val="right"/>
              <w:rPr>
                <w:b/>
                <w:noProof/>
                <w:sz w:val="20"/>
                <w:szCs w:val="20"/>
              </w:rPr>
            </w:pPr>
            <w:r w:rsidRPr="00DC021E">
              <w:rPr>
                <w:b/>
                <w:noProof/>
                <w:sz w:val="20"/>
                <w:szCs w:val="20"/>
              </w:rPr>
              <w:t>1,668</w:t>
            </w:r>
          </w:p>
        </w:tc>
      </w:tr>
    </w:tbl>
    <w:p w:rsidR="00DC64CF" w:rsidRPr="00DC021E" w:rsidRDefault="00DC64CF" w:rsidP="00977CF9">
      <w:pPr>
        <w:jc w:val="right"/>
        <w:rPr>
          <w:noProof/>
          <w:sz w:val="20"/>
        </w:rPr>
      </w:pPr>
      <w:r w:rsidRPr="00DC021E">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DC021E" w:rsidRPr="00DC021E" w:rsidTr="00977CF9">
        <w:tc>
          <w:tcPr>
            <w:tcW w:w="3960" w:type="dxa"/>
            <w:tcBorders>
              <w:top w:val="nil"/>
              <w:left w:val="nil"/>
              <w:right w:val="nil"/>
            </w:tcBorders>
            <w:vAlign w:val="center"/>
          </w:tcPr>
          <w:p w:rsidR="005F2FF1" w:rsidRPr="00DC021E" w:rsidRDefault="005F2FF1" w:rsidP="00977CF9">
            <w:pPr>
              <w:jc w:val="center"/>
              <w:rPr>
                <w:noProof/>
                <w:sz w:val="22"/>
              </w:rPr>
            </w:pPr>
          </w:p>
        </w:tc>
        <w:tc>
          <w:tcPr>
            <w:tcW w:w="1560" w:type="dxa"/>
            <w:tcBorders>
              <w:top w:val="nil"/>
              <w:left w:val="nil"/>
              <w:right w:val="nil"/>
            </w:tcBorders>
          </w:tcPr>
          <w:p w:rsidR="005F2FF1" w:rsidRPr="00DC021E" w:rsidRDefault="005F2FF1" w:rsidP="00977CF9">
            <w:pPr>
              <w:rPr>
                <w:noProof/>
                <w:sz w:val="20"/>
              </w:rPr>
            </w:pPr>
          </w:p>
        </w:tc>
        <w:tc>
          <w:tcPr>
            <w:tcW w:w="534" w:type="dxa"/>
            <w:tcBorders>
              <w:top w:val="nil"/>
              <w:left w:val="nil"/>
            </w:tcBorders>
          </w:tcPr>
          <w:p w:rsidR="005F2FF1" w:rsidRPr="00DC021E" w:rsidRDefault="005F2FF1" w:rsidP="00977CF9">
            <w:pPr>
              <w:jc w:val="center"/>
              <w:rPr>
                <w:noProof/>
                <w:sz w:val="20"/>
              </w:rPr>
            </w:pPr>
          </w:p>
        </w:tc>
        <w:tc>
          <w:tcPr>
            <w:tcW w:w="868" w:type="dxa"/>
            <w:vAlign w:val="center"/>
          </w:tcPr>
          <w:p w:rsidR="005F2FF1" w:rsidRPr="00DC021E" w:rsidRDefault="005F2FF1" w:rsidP="00977CF9">
            <w:pPr>
              <w:jc w:val="center"/>
              <w:rPr>
                <w:noProof/>
                <w:sz w:val="20"/>
              </w:rPr>
            </w:pPr>
            <w:r w:rsidRPr="00DC021E">
              <w:rPr>
                <w:noProof/>
                <w:sz w:val="20"/>
              </w:rPr>
              <w:t>Year</w:t>
            </w:r>
            <w:r w:rsidRPr="00DC021E">
              <w:rPr>
                <w:noProof/>
                <w:sz w:val="22"/>
              </w:rPr>
              <w:br/>
            </w:r>
            <w:r w:rsidRPr="00DC021E">
              <w:rPr>
                <w:b/>
                <w:noProof/>
                <w:sz w:val="20"/>
              </w:rPr>
              <w:t>2017</w:t>
            </w:r>
          </w:p>
        </w:tc>
        <w:tc>
          <w:tcPr>
            <w:tcW w:w="868" w:type="dxa"/>
            <w:vAlign w:val="center"/>
          </w:tcPr>
          <w:p w:rsidR="005F2FF1" w:rsidRPr="00DC021E" w:rsidRDefault="005F2FF1" w:rsidP="00977CF9">
            <w:pPr>
              <w:jc w:val="center"/>
              <w:rPr>
                <w:noProof/>
                <w:sz w:val="20"/>
              </w:rPr>
            </w:pPr>
            <w:r w:rsidRPr="00DC021E">
              <w:rPr>
                <w:noProof/>
                <w:sz w:val="20"/>
              </w:rPr>
              <w:t>Year</w:t>
            </w:r>
            <w:r w:rsidRPr="00DC021E">
              <w:rPr>
                <w:noProof/>
                <w:sz w:val="22"/>
              </w:rPr>
              <w:br/>
            </w:r>
            <w:r w:rsidRPr="00DC021E">
              <w:rPr>
                <w:b/>
                <w:noProof/>
                <w:sz w:val="20"/>
              </w:rPr>
              <w:t>2018</w:t>
            </w:r>
          </w:p>
        </w:tc>
        <w:tc>
          <w:tcPr>
            <w:tcW w:w="868" w:type="dxa"/>
            <w:vAlign w:val="center"/>
          </w:tcPr>
          <w:p w:rsidR="005F2FF1" w:rsidRPr="00DC021E" w:rsidRDefault="005F2FF1" w:rsidP="00977CF9">
            <w:pPr>
              <w:jc w:val="center"/>
              <w:rPr>
                <w:noProof/>
                <w:sz w:val="20"/>
              </w:rPr>
            </w:pPr>
            <w:r w:rsidRPr="00DC021E">
              <w:rPr>
                <w:noProof/>
                <w:sz w:val="20"/>
              </w:rPr>
              <w:t>Year</w:t>
            </w:r>
            <w:r w:rsidRPr="00DC021E">
              <w:rPr>
                <w:noProof/>
                <w:sz w:val="22"/>
              </w:rPr>
              <w:br/>
            </w:r>
            <w:r w:rsidRPr="00DC021E">
              <w:rPr>
                <w:b/>
                <w:noProof/>
                <w:sz w:val="20"/>
              </w:rPr>
              <w:t>2019</w:t>
            </w:r>
          </w:p>
        </w:tc>
        <w:tc>
          <w:tcPr>
            <w:tcW w:w="868" w:type="dxa"/>
            <w:vAlign w:val="center"/>
          </w:tcPr>
          <w:p w:rsidR="005F2FF1" w:rsidRPr="00DC021E" w:rsidRDefault="005F2FF1" w:rsidP="00977CF9">
            <w:pPr>
              <w:jc w:val="center"/>
              <w:rPr>
                <w:noProof/>
                <w:sz w:val="20"/>
              </w:rPr>
            </w:pPr>
            <w:r w:rsidRPr="00DC021E">
              <w:rPr>
                <w:noProof/>
                <w:sz w:val="20"/>
              </w:rPr>
              <w:t>Year</w:t>
            </w:r>
            <w:r w:rsidRPr="00DC021E">
              <w:rPr>
                <w:noProof/>
                <w:sz w:val="22"/>
              </w:rPr>
              <w:br/>
            </w:r>
            <w:r w:rsidRPr="00DC021E">
              <w:rPr>
                <w:b/>
                <w:noProof/>
                <w:sz w:val="20"/>
              </w:rPr>
              <w:t>2020</w:t>
            </w:r>
          </w:p>
        </w:tc>
        <w:tc>
          <w:tcPr>
            <w:tcW w:w="2604" w:type="dxa"/>
            <w:gridSpan w:val="3"/>
            <w:vAlign w:val="center"/>
          </w:tcPr>
          <w:p w:rsidR="005F2FF1" w:rsidRPr="00DC021E" w:rsidRDefault="005F2FF1" w:rsidP="00977CF9">
            <w:pPr>
              <w:jc w:val="center"/>
              <w:rPr>
                <w:b/>
                <w:noProof/>
                <w:sz w:val="20"/>
                <w:szCs w:val="20"/>
              </w:rPr>
            </w:pPr>
          </w:p>
        </w:tc>
        <w:tc>
          <w:tcPr>
            <w:tcW w:w="1777" w:type="dxa"/>
            <w:vAlign w:val="center"/>
          </w:tcPr>
          <w:p w:rsidR="005F2FF1" w:rsidRPr="00DC021E" w:rsidRDefault="005F2FF1" w:rsidP="00977CF9">
            <w:pPr>
              <w:jc w:val="center"/>
              <w:rPr>
                <w:b/>
                <w:noProof/>
                <w:sz w:val="20"/>
              </w:rPr>
            </w:pPr>
            <w:r w:rsidRPr="00DC021E">
              <w:rPr>
                <w:b/>
                <w:noProof/>
                <w:sz w:val="20"/>
              </w:rPr>
              <w:t>TOTAL</w:t>
            </w:r>
          </w:p>
        </w:tc>
      </w:tr>
      <w:tr w:rsidR="00DC021E" w:rsidRPr="00DC021E" w:rsidTr="00977CF9">
        <w:tc>
          <w:tcPr>
            <w:tcW w:w="3960" w:type="dxa"/>
            <w:vMerge w:val="restart"/>
            <w:shd w:val="clear" w:color="auto" w:fill="C0C0C0"/>
            <w:vAlign w:val="center"/>
          </w:tcPr>
          <w:p w:rsidR="00AD5EB3" w:rsidRPr="00DC021E" w:rsidRDefault="00AD5EB3" w:rsidP="00977CF9">
            <w:pPr>
              <w:jc w:val="center"/>
              <w:rPr>
                <w:b/>
                <w:noProof/>
                <w:sz w:val="22"/>
              </w:rPr>
            </w:pPr>
            <w:r w:rsidRPr="00DC021E">
              <w:rPr>
                <w:b/>
                <w:noProof/>
                <w:sz w:val="22"/>
              </w:rPr>
              <w:t xml:space="preserve">TOTAL appropriations </w:t>
            </w:r>
            <w:r w:rsidRPr="00DC021E">
              <w:rPr>
                <w:noProof/>
                <w:sz w:val="22"/>
              </w:rPr>
              <w:br/>
            </w:r>
            <w:r w:rsidRPr="00DC021E">
              <w:rPr>
                <w:b/>
                <w:noProof/>
                <w:sz w:val="22"/>
              </w:rPr>
              <w:t>under HEADINGS 1 to 5</w:t>
            </w:r>
            <w:r w:rsidRPr="00DC021E">
              <w:rPr>
                <w:noProof/>
                <w:sz w:val="22"/>
              </w:rPr>
              <w:br/>
              <w:t>of the multiannual financial framework</w:t>
            </w:r>
            <w:r w:rsidRPr="00DC021E">
              <w:rPr>
                <w:b/>
                <w:noProof/>
                <w:sz w:val="22"/>
              </w:rPr>
              <w:t xml:space="preserve"> </w:t>
            </w:r>
          </w:p>
        </w:tc>
        <w:tc>
          <w:tcPr>
            <w:tcW w:w="2094" w:type="dxa"/>
            <w:gridSpan w:val="2"/>
            <w:vAlign w:val="center"/>
          </w:tcPr>
          <w:p w:rsidR="00AD5EB3" w:rsidRPr="00DC021E" w:rsidRDefault="00AD5EB3" w:rsidP="00977CF9">
            <w:pPr>
              <w:rPr>
                <w:noProof/>
                <w:sz w:val="14"/>
              </w:rPr>
            </w:pPr>
            <w:r w:rsidRPr="00DC021E">
              <w:rPr>
                <w:noProof/>
                <w:sz w:val="18"/>
              </w:rPr>
              <w:t>Commitments</w:t>
            </w:r>
          </w:p>
        </w:tc>
        <w:tc>
          <w:tcPr>
            <w:tcW w:w="868" w:type="dxa"/>
            <w:vAlign w:val="center"/>
          </w:tcPr>
          <w:p w:rsidR="00AD5EB3" w:rsidRPr="00DC021E" w:rsidRDefault="00AD5EB3" w:rsidP="00977CF9">
            <w:pPr>
              <w:spacing w:before="60" w:after="60"/>
              <w:jc w:val="right"/>
              <w:rPr>
                <w:noProof/>
                <w:sz w:val="20"/>
              </w:rPr>
            </w:pPr>
            <w:r w:rsidRPr="00DC021E">
              <w:rPr>
                <w:noProof/>
                <w:sz w:val="20"/>
              </w:rPr>
              <w:t>1,283</w:t>
            </w:r>
          </w:p>
        </w:tc>
        <w:tc>
          <w:tcPr>
            <w:tcW w:w="868" w:type="dxa"/>
            <w:vAlign w:val="center"/>
          </w:tcPr>
          <w:p w:rsidR="00AD5EB3" w:rsidRPr="00DC021E" w:rsidRDefault="00AD5EB3" w:rsidP="00977CF9">
            <w:pPr>
              <w:spacing w:before="60" w:after="60"/>
              <w:jc w:val="right"/>
              <w:rPr>
                <w:noProof/>
                <w:sz w:val="20"/>
              </w:rPr>
            </w:pPr>
            <w:r w:rsidRPr="00DC021E">
              <w:rPr>
                <w:noProof/>
                <w:sz w:val="20"/>
              </w:rPr>
              <w:t>1,017</w:t>
            </w:r>
          </w:p>
        </w:tc>
        <w:tc>
          <w:tcPr>
            <w:tcW w:w="868" w:type="dxa"/>
            <w:vAlign w:val="center"/>
          </w:tcPr>
          <w:p w:rsidR="00AD5EB3" w:rsidRPr="00DC021E" w:rsidRDefault="00AD5EB3" w:rsidP="00977CF9">
            <w:pPr>
              <w:spacing w:before="60" w:after="60"/>
              <w:jc w:val="right"/>
              <w:rPr>
                <w:noProof/>
                <w:sz w:val="20"/>
              </w:rPr>
            </w:pPr>
            <w:r w:rsidRPr="00DC021E">
              <w:rPr>
                <w:noProof/>
                <w:sz w:val="20"/>
              </w:rPr>
              <w:t>0,417</w:t>
            </w:r>
          </w:p>
        </w:tc>
        <w:tc>
          <w:tcPr>
            <w:tcW w:w="868" w:type="dxa"/>
            <w:vAlign w:val="center"/>
          </w:tcPr>
          <w:p w:rsidR="00AD5EB3" w:rsidRPr="00DC021E" w:rsidRDefault="00AD5EB3" w:rsidP="00977CF9">
            <w:pPr>
              <w:spacing w:before="60" w:after="60"/>
              <w:jc w:val="right"/>
              <w:rPr>
                <w:noProof/>
                <w:sz w:val="20"/>
              </w:rPr>
            </w:pPr>
            <w:r w:rsidRPr="00DC021E">
              <w:rPr>
                <w:noProof/>
                <w:sz w:val="20"/>
              </w:rPr>
              <w:t>0,551</w:t>
            </w:r>
          </w:p>
        </w:tc>
        <w:tc>
          <w:tcPr>
            <w:tcW w:w="868" w:type="dxa"/>
            <w:vAlign w:val="center"/>
          </w:tcPr>
          <w:p w:rsidR="00AD5EB3" w:rsidRPr="00DC021E" w:rsidRDefault="00AD5EB3" w:rsidP="00977CF9">
            <w:pPr>
              <w:spacing w:before="60" w:after="60"/>
              <w:jc w:val="right"/>
              <w:rPr>
                <w:noProof/>
                <w:sz w:val="20"/>
              </w:rPr>
            </w:pPr>
          </w:p>
        </w:tc>
        <w:tc>
          <w:tcPr>
            <w:tcW w:w="868" w:type="dxa"/>
            <w:vAlign w:val="center"/>
          </w:tcPr>
          <w:p w:rsidR="00AD5EB3" w:rsidRPr="00DC021E" w:rsidRDefault="00AD5EB3" w:rsidP="00977CF9">
            <w:pPr>
              <w:spacing w:before="60" w:after="60"/>
              <w:jc w:val="right"/>
              <w:rPr>
                <w:noProof/>
                <w:sz w:val="20"/>
              </w:rPr>
            </w:pPr>
          </w:p>
        </w:tc>
        <w:tc>
          <w:tcPr>
            <w:tcW w:w="868" w:type="dxa"/>
            <w:vAlign w:val="center"/>
          </w:tcPr>
          <w:p w:rsidR="00AD5EB3" w:rsidRPr="00DC021E" w:rsidRDefault="00AD5EB3" w:rsidP="00977CF9">
            <w:pPr>
              <w:spacing w:before="60" w:after="60"/>
              <w:jc w:val="right"/>
              <w:rPr>
                <w:b/>
                <w:noProof/>
                <w:sz w:val="20"/>
              </w:rPr>
            </w:pPr>
          </w:p>
        </w:tc>
        <w:tc>
          <w:tcPr>
            <w:tcW w:w="1777" w:type="dxa"/>
            <w:vAlign w:val="center"/>
          </w:tcPr>
          <w:p w:rsidR="00AD5EB3" w:rsidRPr="00DC021E" w:rsidRDefault="00AD5EB3" w:rsidP="00977CF9">
            <w:pPr>
              <w:spacing w:before="60" w:after="60"/>
              <w:jc w:val="right"/>
              <w:rPr>
                <w:b/>
                <w:noProof/>
                <w:sz w:val="20"/>
              </w:rPr>
            </w:pPr>
            <w:r w:rsidRPr="00DC021E">
              <w:rPr>
                <w:b/>
                <w:noProof/>
                <w:sz w:val="20"/>
              </w:rPr>
              <w:t>3,268</w:t>
            </w:r>
          </w:p>
        </w:tc>
      </w:tr>
      <w:tr w:rsidR="00DC021E" w:rsidRPr="00DC021E" w:rsidTr="00977CF9">
        <w:tc>
          <w:tcPr>
            <w:tcW w:w="3960" w:type="dxa"/>
            <w:vMerge/>
            <w:shd w:val="clear" w:color="auto" w:fill="C0C0C0"/>
          </w:tcPr>
          <w:p w:rsidR="00AD5EB3" w:rsidRPr="00DC021E" w:rsidRDefault="00AD5EB3" w:rsidP="00977CF9">
            <w:pPr>
              <w:rPr>
                <w:noProof/>
                <w:sz w:val="20"/>
              </w:rPr>
            </w:pPr>
          </w:p>
        </w:tc>
        <w:tc>
          <w:tcPr>
            <w:tcW w:w="2094" w:type="dxa"/>
            <w:gridSpan w:val="2"/>
            <w:vAlign w:val="center"/>
          </w:tcPr>
          <w:p w:rsidR="00AD5EB3" w:rsidRPr="00DC021E" w:rsidRDefault="00AD5EB3" w:rsidP="00977CF9">
            <w:pPr>
              <w:rPr>
                <w:noProof/>
                <w:sz w:val="14"/>
              </w:rPr>
            </w:pPr>
            <w:r w:rsidRPr="00DC021E">
              <w:rPr>
                <w:noProof/>
                <w:sz w:val="18"/>
              </w:rPr>
              <w:t>Payments</w:t>
            </w:r>
          </w:p>
        </w:tc>
        <w:tc>
          <w:tcPr>
            <w:tcW w:w="868" w:type="dxa"/>
            <w:vAlign w:val="center"/>
          </w:tcPr>
          <w:p w:rsidR="00AD5EB3" w:rsidRPr="00DC021E" w:rsidRDefault="00AD5EB3" w:rsidP="00977CF9">
            <w:pPr>
              <w:spacing w:before="60" w:after="60"/>
              <w:jc w:val="right"/>
              <w:rPr>
                <w:noProof/>
                <w:sz w:val="20"/>
              </w:rPr>
            </w:pPr>
            <w:r w:rsidRPr="00DC021E">
              <w:rPr>
                <w:noProof/>
                <w:sz w:val="20"/>
              </w:rPr>
              <w:t>0,883</w:t>
            </w:r>
          </w:p>
        </w:tc>
        <w:tc>
          <w:tcPr>
            <w:tcW w:w="868" w:type="dxa"/>
            <w:vAlign w:val="center"/>
          </w:tcPr>
          <w:p w:rsidR="00AD5EB3" w:rsidRPr="00DC021E" w:rsidRDefault="00AD5EB3" w:rsidP="00977CF9">
            <w:pPr>
              <w:spacing w:before="60" w:after="60"/>
              <w:jc w:val="right"/>
              <w:rPr>
                <w:noProof/>
                <w:sz w:val="20"/>
              </w:rPr>
            </w:pPr>
            <w:r w:rsidRPr="00DC021E">
              <w:rPr>
                <w:noProof/>
                <w:sz w:val="20"/>
              </w:rPr>
              <w:t>1,177</w:t>
            </w:r>
          </w:p>
        </w:tc>
        <w:tc>
          <w:tcPr>
            <w:tcW w:w="868" w:type="dxa"/>
            <w:vAlign w:val="center"/>
          </w:tcPr>
          <w:p w:rsidR="00AD5EB3" w:rsidRPr="00DC021E" w:rsidRDefault="00AD5EB3" w:rsidP="00977CF9">
            <w:pPr>
              <w:spacing w:before="60" w:after="60"/>
              <w:jc w:val="right"/>
              <w:rPr>
                <w:noProof/>
                <w:sz w:val="20"/>
              </w:rPr>
            </w:pPr>
            <w:r w:rsidRPr="00DC021E">
              <w:rPr>
                <w:noProof/>
                <w:sz w:val="20"/>
              </w:rPr>
              <w:t>0,657</w:t>
            </w:r>
          </w:p>
        </w:tc>
        <w:tc>
          <w:tcPr>
            <w:tcW w:w="868" w:type="dxa"/>
            <w:vAlign w:val="center"/>
          </w:tcPr>
          <w:p w:rsidR="00AD5EB3" w:rsidRPr="00DC021E" w:rsidRDefault="00AD5EB3" w:rsidP="00977CF9">
            <w:pPr>
              <w:spacing w:before="60" w:after="60"/>
              <w:jc w:val="right"/>
              <w:rPr>
                <w:noProof/>
                <w:sz w:val="20"/>
              </w:rPr>
            </w:pPr>
            <w:r w:rsidRPr="00DC021E">
              <w:rPr>
                <w:noProof/>
                <w:sz w:val="20"/>
              </w:rPr>
              <w:t>0,551</w:t>
            </w:r>
          </w:p>
        </w:tc>
        <w:tc>
          <w:tcPr>
            <w:tcW w:w="868" w:type="dxa"/>
            <w:vAlign w:val="center"/>
          </w:tcPr>
          <w:p w:rsidR="00AD5EB3" w:rsidRPr="00DC021E" w:rsidRDefault="00AD5EB3" w:rsidP="00977CF9">
            <w:pPr>
              <w:spacing w:before="60" w:after="60"/>
              <w:jc w:val="right"/>
              <w:rPr>
                <w:noProof/>
                <w:sz w:val="20"/>
              </w:rPr>
            </w:pPr>
          </w:p>
        </w:tc>
        <w:tc>
          <w:tcPr>
            <w:tcW w:w="868" w:type="dxa"/>
            <w:vAlign w:val="center"/>
          </w:tcPr>
          <w:p w:rsidR="00AD5EB3" w:rsidRPr="00DC021E" w:rsidRDefault="00AD5EB3" w:rsidP="00977CF9">
            <w:pPr>
              <w:spacing w:before="60" w:after="60"/>
              <w:jc w:val="right"/>
              <w:rPr>
                <w:noProof/>
                <w:sz w:val="20"/>
              </w:rPr>
            </w:pPr>
          </w:p>
        </w:tc>
        <w:tc>
          <w:tcPr>
            <w:tcW w:w="868" w:type="dxa"/>
            <w:vAlign w:val="center"/>
          </w:tcPr>
          <w:p w:rsidR="00AD5EB3" w:rsidRPr="00DC021E" w:rsidRDefault="00AD5EB3" w:rsidP="00977CF9">
            <w:pPr>
              <w:spacing w:before="60" w:after="60"/>
              <w:jc w:val="right"/>
              <w:rPr>
                <w:noProof/>
                <w:sz w:val="20"/>
              </w:rPr>
            </w:pPr>
          </w:p>
        </w:tc>
        <w:tc>
          <w:tcPr>
            <w:tcW w:w="1777" w:type="dxa"/>
            <w:vAlign w:val="center"/>
          </w:tcPr>
          <w:p w:rsidR="00AD5EB3" w:rsidRPr="00DC021E" w:rsidRDefault="00AD5EB3" w:rsidP="00977CF9">
            <w:pPr>
              <w:spacing w:before="60" w:after="60"/>
              <w:jc w:val="right"/>
              <w:rPr>
                <w:b/>
                <w:noProof/>
                <w:sz w:val="20"/>
              </w:rPr>
            </w:pPr>
            <w:r w:rsidRPr="00DC021E">
              <w:rPr>
                <w:b/>
                <w:noProof/>
                <w:sz w:val="20"/>
              </w:rPr>
              <w:t>3,268</w:t>
            </w:r>
          </w:p>
        </w:tc>
      </w:tr>
    </w:tbl>
    <w:p w:rsidR="00DC64CF" w:rsidRPr="00DC021E" w:rsidRDefault="00DC64CF" w:rsidP="00977CF9">
      <w:pPr>
        <w:rPr>
          <w:noProof/>
        </w:rPr>
        <w:sectPr w:rsidR="00DC64CF" w:rsidRPr="00DC021E" w:rsidSect="006A2759">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rsidR="00DC64CF" w:rsidRPr="00DC021E" w:rsidRDefault="00DC64CF" w:rsidP="00977CF9">
      <w:pPr>
        <w:pStyle w:val="Heading3"/>
        <w:rPr>
          <w:bCs w:val="0"/>
          <w:noProof/>
          <w:szCs w:val="24"/>
        </w:rPr>
      </w:pPr>
      <w:r w:rsidRPr="00DC021E">
        <w:rPr>
          <w:noProof/>
        </w:rPr>
        <w:t xml:space="preserve">Estimated impact on operational appropriations </w:t>
      </w:r>
    </w:p>
    <w:p w:rsidR="00DC64CF" w:rsidRPr="00DC021E" w:rsidRDefault="00DC64CF" w:rsidP="00977CF9">
      <w:pPr>
        <w:pStyle w:val="ListDash1"/>
        <w:rPr>
          <w:noProof/>
        </w:rPr>
      </w:pPr>
      <w:r w:rsidRPr="00DC021E">
        <w:rPr>
          <w:noProof/>
        </w:rPr>
        <w:sym w:font="Wingdings" w:char="F0A8"/>
      </w:r>
      <w:r w:rsidRPr="00DC021E">
        <w:rPr>
          <w:noProof/>
        </w:rPr>
        <w:tab/>
        <w:t xml:space="preserve">The proposal/initiative does not require the use of operational appropriations </w:t>
      </w:r>
    </w:p>
    <w:p w:rsidR="00DC64CF" w:rsidRPr="00DC021E" w:rsidRDefault="00DC64CF" w:rsidP="00977CF9">
      <w:pPr>
        <w:pStyle w:val="ListDash1"/>
        <w:rPr>
          <w:noProof/>
        </w:rPr>
      </w:pPr>
      <w:r w:rsidRPr="00DC021E">
        <w:rPr>
          <w:strike/>
          <w:noProof/>
        </w:rPr>
        <w:sym w:font="Wingdings" w:char="F0A8"/>
      </w:r>
      <w:r w:rsidRPr="00DC021E">
        <w:rPr>
          <w:noProof/>
        </w:rPr>
        <w:tab/>
        <w:t>The proposal/initiative requires the use of operational appropriations, as explained below:</w:t>
      </w:r>
    </w:p>
    <w:p w:rsidR="00DC64CF" w:rsidRPr="00DC021E" w:rsidRDefault="00DC64CF" w:rsidP="00977CF9">
      <w:pPr>
        <w:jc w:val="right"/>
        <w:rPr>
          <w:noProof/>
          <w:sz w:val="20"/>
        </w:rPr>
      </w:pPr>
      <w:r w:rsidRPr="00DC021E">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DC021E" w:rsidRPr="00DC021E" w:rsidTr="00977CF9">
        <w:trPr>
          <w:jc w:val="center"/>
        </w:trPr>
        <w:tc>
          <w:tcPr>
            <w:tcW w:w="1423" w:type="dxa"/>
            <w:vMerge w:val="restart"/>
            <w:vAlign w:val="center"/>
          </w:tcPr>
          <w:p w:rsidR="00351418" w:rsidRPr="00DC021E" w:rsidRDefault="00351418" w:rsidP="00977CF9">
            <w:pPr>
              <w:ind w:right="-29"/>
              <w:jc w:val="center"/>
              <w:rPr>
                <w:b/>
                <w:noProof/>
                <w:sz w:val="18"/>
                <w:szCs w:val="18"/>
              </w:rPr>
            </w:pPr>
            <w:r w:rsidRPr="00DC021E">
              <w:rPr>
                <w:b/>
                <w:noProof/>
                <w:sz w:val="18"/>
              </w:rPr>
              <w:t xml:space="preserve">Indicate objectives and outputs </w:t>
            </w:r>
          </w:p>
          <w:p w:rsidR="00351418" w:rsidRPr="00DC021E" w:rsidRDefault="00351418" w:rsidP="00977CF9">
            <w:pPr>
              <w:ind w:right="-29"/>
              <w:jc w:val="center"/>
              <w:rPr>
                <w:b/>
                <w:noProof/>
                <w:sz w:val="18"/>
                <w:szCs w:val="18"/>
              </w:rPr>
            </w:pPr>
          </w:p>
          <w:p w:rsidR="00351418" w:rsidRPr="00DC021E" w:rsidRDefault="00351418" w:rsidP="00977CF9">
            <w:pPr>
              <w:ind w:right="-29"/>
              <w:jc w:val="center"/>
              <w:rPr>
                <w:noProof/>
                <w:sz w:val="18"/>
                <w:szCs w:val="18"/>
              </w:rPr>
            </w:pPr>
            <w:r w:rsidRPr="00DC021E">
              <w:rPr>
                <w:noProof/>
                <w:sz w:val="18"/>
              </w:rPr>
              <w:sym w:font="Wingdings" w:char="F0F2"/>
            </w:r>
          </w:p>
        </w:tc>
        <w:tc>
          <w:tcPr>
            <w:tcW w:w="720" w:type="dxa"/>
            <w:vAlign w:val="center"/>
          </w:tcPr>
          <w:p w:rsidR="00351418" w:rsidRPr="00DC021E" w:rsidRDefault="00351418" w:rsidP="00977CF9">
            <w:pPr>
              <w:ind w:right="-29"/>
              <w:jc w:val="center"/>
              <w:rPr>
                <w:noProof/>
                <w:sz w:val="18"/>
                <w:szCs w:val="18"/>
              </w:rPr>
            </w:pPr>
          </w:p>
        </w:tc>
        <w:tc>
          <w:tcPr>
            <w:tcW w:w="701" w:type="dxa"/>
            <w:vAlign w:val="center"/>
          </w:tcPr>
          <w:p w:rsidR="00351418" w:rsidRPr="00DC021E" w:rsidRDefault="00351418" w:rsidP="00977CF9">
            <w:pPr>
              <w:ind w:right="-29"/>
              <w:jc w:val="center"/>
              <w:rPr>
                <w:noProof/>
                <w:sz w:val="18"/>
                <w:szCs w:val="18"/>
              </w:rPr>
            </w:pPr>
          </w:p>
        </w:tc>
        <w:tc>
          <w:tcPr>
            <w:tcW w:w="1224" w:type="dxa"/>
            <w:gridSpan w:val="2"/>
            <w:tcBorders>
              <w:left w:val="nil"/>
            </w:tcBorders>
            <w:vAlign w:val="center"/>
          </w:tcPr>
          <w:p w:rsidR="00351418" w:rsidRPr="00DC021E" w:rsidRDefault="00351418" w:rsidP="00977CF9">
            <w:pPr>
              <w:ind w:right="-29"/>
              <w:jc w:val="center"/>
              <w:rPr>
                <w:noProof/>
                <w:sz w:val="18"/>
                <w:szCs w:val="18"/>
              </w:rPr>
            </w:pPr>
            <w:r w:rsidRPr="00DC021E">
              <w:rPr>
                <w:noProof/>
                <w:sz w:val="18"/>
              </w:rPr>
              <w:t>Year</w:t>
            </w:r>
            <w:r w:rsidRPr="00DC021E">
              <w:rPr>
                <w:noProof/>
                <w:sz w:val="22"/>
              </w:rPr>
              <w:br/>
            </w:r>
            <w:r w:rsidRPr="00DC021E">
              <w:rPr>
                <w:b/>
                <w:noProof/>
                <w:sz w:val="18"/>
              </w:rPr>
              <w:t>2017</w:t>
            </w:r>
          </w:p>
        </w:tc>
        <w:tc>
          <w:tcPr>
            <w:tcW w:w="1260" w:type="dxa"/>
            <w:gridSpan w:val="2"/>
            <w:vAlign w:val="center"/>
          </w:tcPr>
          <w:p w:rsidR="00351418" w:rsidRPr="00DC021E" w:rsidRDefault="00351418" w:rsidP="00977CF9">
            <w:pPr>
              <w:ind w:right="-29"/>
              <w:jc w:val="center"/>
              <w:rPr>
                <w:noProof/>
                <w:sz w:val="18"/>
                <w:szCs w:val="18"/>
              </w:rPr>
            </w:pPr>
            <w:r w:rsidRPr="00DC021E">
              <w:rPr>
                <w:noProof/>
                <w:sz w:val="18"/>
              </w:rPr>
              <w:t>Year</w:t>
            </w:r>
            <w:r w:rsidRPr="00DC021E">
              <w:rPr>
                <w:noProof/>
                <w:sz w:val="22"/>
              </w:rPr>
              <w:br/>
            </w:r>
            <w:r w:rsidRPr="00DC021E">
              <w:rPr>
                <w:b/>
                <w:noProof/>
                <w:sz w:val="18"/>
              </w:rPr>
              <w:t>2018</w:t>
            </w:r>
          </w:p>
        </w:tc>
        <w:tc>
          <w:tcPr>
            <w:tcW w:w="1440" w:type="dxa"/>
            <w:gridSpan w:val="2"/>
            <w:vAlign w:val="center"/>
          </w:tcPr>
          <w:p w:rsidR="00351418" w:rsidRPr="00DC021E" w:rsidRDefault="00351418" w:rsidP="00977CF9">
            <w:pPr>
              <w:ind w:right="-29"/>
              <w:jc w:val="center"/>
              <w:rPr>
                <w:noProof/>
                <w:sz w:val="18"/>
                <w:szCs w:val="18"/>
              </w:rPr>
            </w:pPr>
            <w:r w:rsidRPr="00DC021E">
              <w:rPr>
                <w:noProof/>
                <w:sz w:val="18"/>
              </w:rPr>
              <w:t>Year</w:t>
            </w:r>
            <w:r w:rsidRPr="00DC021E">
              <w:rPr>
                <w:noProof/>
                <w:sz w:val="22"/>
              </w:rPr>
              <w:br/>
            </w:r>
            <w:r w:rsidRPr="00DC021E">
              <w:rPr>
                <w:b/>
                <w:noProof/>
                <w:sz w:val="18"/>
              </w:rPr>
              <w:t>2019</w:t>
            </w:r>
          </w:p>
        </w:tc>
        <w:tc>
          <w:tcPr>
            <w:tcW w:w="1620" w:type="dxa"/>
            <w:gridSpan w:val="3"/>
            <w:vAlign w:val="center"/>
          </w:tcPr>
          <w:p w:rsidR="00351418" w:rsidRPr="00DC021E" w:rsidRDefault="00351418" w:rsidP="00977CF9">
            <w:pPr>
              <w:ind w:right="-29"/>
              <w:jc w:val="center"/>
              <w:rPr>
                <w:noProof/>
                <w:sz w:val="18"/>
                <w:szCs w:val="18"/>
              </w:rPr>
            </w:pPr>
            <w:r w:rsidRPr="00DC021E">
              <w:rPr>
                <w:noProof/>
                <w:sz w:val="18"/>
              </w:rPr>
              <w:t>Year</w:t>
            </w:r>
            <w:r w:rsidRPr="00DC021E">
              <w:rPr>
                <w:noProof/>
                <w:sz w:val="22"/>
              </w:rPr>
              <w:br/>
            </w:r>
            <w:r w:rsidRPr="00DC021E">
              <w:rPr>
                <w:b/>
                <w:noProof/>
                <w:sz w:val="18"/>
              </w:rPr>
              <w:t>2020</w:t>
            </w:r>
          </w:p>
        </w:tc>
        <w:tc>
          <w:tcPr>
            <w:tcW w:w="3600" w:type="dxa"/>
            <w:gridSpan w:val="6"/>
            <w:vAlign w:val="center"/>
          </w:tcPr>
          <w:p w:rsidR="00351418" w:rsidRPr="00DC021E" w:rsidRDefault="00351418" w:rsidP="00977CF9">
            <w:pPr>
              <w:jc w:val="center"/>
              <w:rPr>
                <w:b/>
                <w:noProof/>
                <w:sz w:val="20"/>
                <w:szCs w:val="20"/>
              </w:rPr>
            </w:pPr>
          </w:p>
        </w:tc>
        <w:tc>
          <w:tcPr>
            <w:tcW w:w="1620" w:type="dxa"/>
            <w:gridSpan w:val="2"/>
            <w:tcBorders>
              <w:left w:val="nil"/>
              <w:bottom w:val="nil"/>
            </w:tcBorders>
            <w:vAlign w:val="center"/>
          </w:tcPr>
          <w:p w:rsidR="00351418" w:rsidRPr="00DC021E" w:rsidRDefault="00351418" w:rsidP="00977CF9">
            <w:pPr>
              <w:ind w:right="-29"/>
              <w:jc w:val="center"/>
              <w:rPr>
                <w:noProof/>
                <w:sz w:val="18"/>
                <w:szCs w:val="18"/>
              </w:rPr>
            </w:pPr>
            <w:r w:rsidRPr="00DC021E">
              <w:rPr>
                <w:b/>
                <w:noProof/>
                <w:sz w:val="18"/>
              </w:rPr>
              <w:t>TOTAL</w:t>
            </w:r>
          </w:p>
        </w:tc>
      </w:tr>
      <w:tr w:rsidR="00DC021E" w:rsidRPr="00DC021E" w:rsidTr="00977CF9">
        <w:trPr>
          <w:jc w:val="center"/>
        </w:trPr>
        <w:tc>
          <w:tcPr>
            <w:tcW w:w="1423" w:type="dxa"/>
            <w:vMerge/>
            <w:vAlign w:val="center"/>
          </w:tcPr>
          <w:p w:rsidR="00DC64CF" w:rsidRPr="00DC021E" w:rsidRDefault="00DC64CF" w:rsidP="00977CF9">
            <w:pPr>
              <w:ind w:right="-29"/>
              <w:jc w:val="center"/>
              <w:rPr>
                <w:noProof/>
                <w:sz w:val="18"/>
                <w:szCs w:val="18"/>
              </w:rPr>
            </w:pPr>
          </w:p>
        </w:tc>
        <w:tc>
          <w:tcPr>
            <w:tcW w:w="12185" w:type="dxa"/>
            <w:gridSpan w:val="19"/>
            <w:vAlign w:val="center"/>
          </w:tcPr>
          <w:p w:rsidR="00DC64CF" w:rsidRPr="00DC021E" w:rsidRDefault="00DC64CF" w:rsidP="00977CF9">
            <w:pPr>
              <w:spacing w:before="60" w:after="60"/>
              <w:ind w:right="-29"/>
              <w:jc w:val="center"/>
              <w:rPr>
                <w:noProof/>
                <w:sz w:val="18"/>
                <w:szCs w:val="18"/>
              </w:rPr>
            </w:pPr>
            <w:r w:rsidRPr="00DC021E">
              <w:rPr>
                <w:b/>
                <w:noProof/>
                <w:sz w:val="18"/>
              </w:rPr>
              <w:t>OUTPUTS</w:t>
            </w:r>
          </w:p>
        </w:tc>
      </w:tr>
      <w:tr w:rsidR="00DC021E" w:rsidRPr="00DC021E" w:rsidTr="00977CF9">
        <w:trPr>
          <w:cantSplit/>
          <w:trHeight w:val="1134"/>
          <w:jc w:val="center"/>
        </w:trPr>
        <w:tc>
          <w:tcPr>
            <w:tcW w:w="1423" w:type="dxa"/>
            <w:vMerge/>
            <w:vAlign w:val="center"/>
          </w:tcPr>
          <w:p w:rsidR="00DC64CF" w:rsidRPr="00DC021E" w:rsidRDefault="00DC64CF" w:rsidP="00977CF9">
            <w:pPr>
              <w:rPr>
                <w:noProof/>
                <w:sz w:val="18"/>
                <w:szCs w:val="18"/>
              </w:rPr>
            </w:pPr>
          </w:p>
        </w:tc>
        <w:tc>
          <w:tcPr>
            <w:tcW w:w="720" w:type="dxa"/>
            <w:vAlign w:val="center"/>
          </w:tcPr>
          <w:p w:rsidR="00DC64CF" w:rsidRPr="00DC021E" w:rsidRDefault="00DC64CF" w:rsidP="00977CF9">
            <w:pPr>
              <w:jc w:val="center"/>
              <w:rPr>
                <w:noProof/>
                <w:sz w:val="18"/>
                <w:szCs w:val="18"/>
              </w:rPr>
            </w:pPr>
            <w:r w:rsidRPr="00DC021E">
              <w:rPr>
                <w:noProof/>
                <w:sz w:val="18"/>
              </w:rPr>
              <w:t>Type</w:t>
            </w:r>
            <w:r w:rsidRPr="00DC021E">
              <w:rPr>
                <w:rStyle w:val="FootnoteReference"/>
                <w:noProof/>
                <w:sz w:val="18"/>
              </w:rPr>
              <w:footnoteReference w:id="19"/>
            </w:r>
          </w:p>
          <w:p w:rsidR="00DC64CF" w:rsidRPr="00DC021E" w:rsidRDefault="00DC64CF" w:rsidP="00977CF9">
            <w:pPr>
              <w:spacing w:before="0" w:after="0"/>
              <w:jc w:val="center"/>
              <w:rPr>
                <w:noProof/>
                <w:sz w:val="18"/>
                <w:szCs w:val="18"/>
              </w:rPr>
            </w:pPr>
          </w:p>
        </w:tc>
        <w:tc>
          <w:tcPr>
            <w:tcW w:w="701" w:type="dxa"/>
            <w:vAlign w:val="center"/>
          </w:tcPr>
          <w:p w:rsidR="00DC64CF" w:rsidRPr="00DC021E" w:rsidRDefault="00DC64CF" w:rsidP="00977CF9">
            <w:pPr>
              <w:jc w:val="center"/>
              <w:rPr>
                <w:noProof/>
                <w:sz w:val="18"/>
                <w:szCs w:val="18"/>
              </w:rPr>
            </w:pPr>
            <w:r w:rsidRPr="00DC021E">
              <w:rPr>
                <w:noProof/>
                <w:sz w:val="18"/>
              </w:rPr>
              <w:t>Average cost</w:t>
            </w:r>
          </w:p>
        </w:tc>
        <w:tc>
          <w:tcPr>
            <w:tcW w:w="504" w:type="dxa"/>
            <w:tcBorders>
              <w:left w:val="nil"/>
              <w:right w:val="dashSmallGap" w:sz="4" w:space="0" w:color="auto"/>
            </w:tcBorders>
            <w:shd w:val="pct10" w:color="auto" w:fill="auto"/>
            <w:textDirection w:val="btLr"/>
            <w:vAlign w:val="center"/>
          </w:tcPr>
          <w:p w:rsidR="00DC64CF" w:rsidRPr="00DC021E" w:rsidRDefault="00DC64CF" w:rsidP="00977CF9">
            <w:pPr>
              <w:ind w:left="113" w:right="113"/>
              <w:jc w:val="center"/>
              <w:rPr>
                <w:noProof/>
                <w:sz w:val="18"/>
                <w:szCs w:val="18"/>
              </w:rPr>
            </w:pPr>
            <w:r w:rsidRPr="00DC021E">
              <w:rPr>
                <w:noProof/>
                <w:sz w:val="18"/>
              </w:rPr>
              <w:t>No</w:t>
            </w:r>
          </w:p>
        </w:tc>
        <w:tc>
          <w:tcPr>
            <w:tcW w:w="720" w:type="dxa"/>
            <w:tcBorders>
              <w:left w:val="dashSmallGap" w:sz="4" w:space="0" w:color="auto"/>
            </w:tcBorders>
            <w:shd w:val="pct10" w:color="auto" w:fill="auto"/>
            <w:vAlign w:val="center"/>
          </w:tcPr>
          <w:p w:rsidR="00DC64CF" w:rsidRPr="00DC021E" w:rsidRDefault="00DC64CF" w:rsidP="00977CF9">
            <w:pPr>
              <w:jc w:val="center"/>
              <w:rPr>
                <w:noProof/>
                <w:sz w:val="18"/>
                <w:szCs w:val="18"/>
              </w:rPr>
            </w:pPr>
            <w:r w:rsidRPr="00DC021E">
              <w:rPr>
                <w:noProof/>
                <w:sz w:val="18"/>
              </w:rPr>
              <w:t>Cost</w:t>
            </w:r>
          </w:p>
        </w:tc>
        <w:tc>
          <w:tcPr>
            <w:tcW w:w="540" w:type="dxa"/>
            <w:tcBorders>
              <w:right w:val="dashSmallGap" w:sz="4" w:space="0" w:color="auto"/>
            </w:tcBorders>
            <w:shd w:val="pct10" w:color="auto" w:fill="auto"/>
            <w:textDirection w:val="btLr"/>
            <w:vAlign w:val="center"/>
          </w:tcPr>
          <w:p w:rsidR="00DC64CF" w:rsidRPr="00DC021E" w:rsidRDefault="00DC64CF" w:rsidP="00977CF9">
            <w:pPr>
              <w:ind w:left="113" w:right="113"/>
              <w:jc w:val="center"/>
              <w:rPr>
                <w:noProof/>
                <w:sz w:val="18"/>
                <w:szCs w:val="18"/>
              </w:rPr>
            </w:pPr>
            <w:r w:rsidRPr="00DC021E">
              <w:rPr>
                <w:noProof/>
                <w:sz w:val="18"/>
              </w:rPr>
              <w:t>No</w:t>
            </w:r>
          </w:p>
        </w:tc>
        <w:tc>
          <w:tcPr>
            <w:tcW w:w="720" w:type="dxa"/>
            <w:tcBorders>
              <w:left w:val="dashSmallGap" w:sz="4" w:space="0" w:color="auto"/>
            </w:tcBorders>
            <w:shd w:val="pct10" w:color="auto" w:fill="auto"/>
            <w:vAlign w:val="center"/>
          </w:tcPr>
          <w:p w:rsidR="00DC64CF" w:rsidRPr="00DC021E" w:rsidRDefault="00DC64CF" w:rsidP="00977CF9">
            <w:pPr>
              <w:jc w:val="center"/>
              <w:rPr>
                <w:noProof/>
                <w:sz w:val="18"/>
                <w:szCs w:val="18"/>
              </w:rPr>
            </w:pPr>
            <w:r w:rsidRPr="00DC021E">
              <w:rPr>
                <w:noProof/>
                <w:sz w:val="18"/>
              </w:rPr>
              <w:t>Cost</w:t>
            </w:r>
          </w:p>
        </w:tc>
        <w:tc>
          <w:tcPr>
            <w:tcW w:w="720" w:type="dxa"/>
            <w:tcBorders>
              <w:right w:val="dashSmallGap" w:sz="4" w:space="0" w:color="auto"/>
            </w:tcBorders>
            <w:shd w:val="pct10" w:color="auto" w:fill="auto"/>
            <w:textDirection w:val="btLr"/>
            <w:vAlign w:val="center"/>
          </w:tcPr>
          <w:p w:rsidR="00DC64CF" w:rsidRPr="00DC021E" w:rsidRDefault="00DC64CF" w:rsidP="00977CF9">
            <w:pPr>
              <w:ind w:left="113" w:right="113"/>
              <w:jc w:val="center"/>
              <w:rPr>
                <w:noProof/>
                <w:sz w:val="18"/>
                <w:szCs w:val="18"/>
              </w:rPr>
            </w:pPr>
            <w:r w:rsidRPr="00DC021E">
              <w:rPr>
                <w:noProof/>
                <w:sz w:val="18"/>
              </w:rPr>
              <w:t>No</w:t>
            </w:r>
          </w:p>
        </w:tc>
        <w:tc>
          <w:tcPr>
            <w:tcW w:w="720" w:type="dxa"/>
            <w:tcBorders>
              <w:left w:val="dashSmallGap" w:sz="4" w:space="0" w:color="auto"/>
            </w:tcBorders>
            <w:shd w:val="pct10" w:color="auto" w:fill="auto"/>
            <w:vAlign w:val="center"/>
          </w:tcPr>
          <w:p w:rsidR="00DC64CF" w:rsidRPr="00DC021E" w:rsidRDefault="00DC64CF" w:rsidP="00977CF9">
            <w:pPr>
              <w:jc w:val="center"/>
              <w:rPr>
                <w:noProof/>
                <w:sz w:val="18"/>
                <w:szCs w:val="18"/>
              </w:rPr>
            </w:pPr>
            <w:r w:rsidRPr="00DC021E">
              <w:rPr>
                <w:noProof/>
                <w:sz w:val="18"/>
              </w:rPr>
              <w:t>Cost</w:t>
            </w:r>
          </w:p>
        </w:tc>
        <w:tc>
          <w:tcPr>
            <w:tcW w:w="900" w:type="dxa"/>
            <w:tcBorders>
              <w:right w:val="dashSmallGap" w:sz="4" w:space="0" w:color="auto"/>
            </w:tcBorders>
            <w:shd w:val="pct10" w:color="auto" w:fill="auto"/>
            <w:textDirection w:val="btLr"/>
            <w:vAlign w:val="center"/>
          </w:tcPr>
          <w:p w:rsidR="00DC64CF" w:rsidRPr="00DC021E" w:rsidRDefault="00DC64CF" w:rsidP="00977CF9">
            <w:pPr>
              <w:ind w:left="113" w:right="113"/>
              <w:jc w:val="center"/>
              <w:rPr>
                <w:noProof/>
                <w:sz w:val="18"/>
                <w:szCs w:val="18"/>
              </w:rPr>
            </w:pPr>
            <w:r w:rsidRPr="00DC021E">
              <w:rPr>
                <w:noProof/>
                <w:sz w:val="18"/>
              </w:rPr>
              <w:t>No</w:t>
            </w:r>
          </w:p>
        </w:tc>
        <w:tc>
          <w:tcPr>
            <w:tcW w:w="720" w:type="dxa"/>
            <w:gridSpan w:val="2"/>
            <w:tcBorders>
              <w:left w:val="dashSmallGap" w:sz="4" w:space="0" w:color="auto"/>
            </w:tcBorders>
            <w:shd w:val="pct10" w:color="auto" w:fill="auto"/>
            <w:vAlign w:val="center"/>
          </w:tcPr>
          <w:p w:rsidR="00DC64CF" w:rsidRPr="00DC021E" w:rsidRDefault="00DC64CF" w:rsidP="00977CF9">
            <w:pPr>
              <w:jc w:val="center"/>
              <w:rPr>
                <w:noProof/>
                <w:sz w:val="18"/>
                <w:szCs w:val="18"/>
              </w:rPr>
            </w:pPr>
            <w:r w:rsidRPr="00DC021E">
              <w:rPr>
                <w:noProof/>
                <w:sz w:val="18"/>
              </w:rPr>
              <w:t>Cost</w:t>
            </w:r>
          </w:p>
        </w:tc>
        <w:tc>
          <w:tcPr>
            <w:tcW w:w="540" w:type="dxa"/>
            <w:tcBorders>
              <w:right w:val="dashSmallGap" w:sz="4" w:space="0" w:color="auto"/>
            </w:tcBorders>
            <w:shd w:val="pct10" w:color="auto" w:fill="auto"/>
            <w:textDirection w:val="btLr"/>
            <w:vAlign w:val="center"/>
          </w:tcPr>
          <w:p w:rsidR="00DC64CF" w:rsidRPr="00DC021E" w:rsidRDefault="00DC64CF" w:rsidP="00977CF9">
            <w:pPr>
              <w:ind w:left="113" w:right="113"/>
              <w:jc w:val="center"/>
              <w:rPr>
                <w:noProof/>
                <w:sz w:val="18"/>
                <w:szCs w:val="18"/>
              </w:rPr>
            </w:pPr>
            <w:r w:rsidRPr="00DC021E">
              <w:rPr>
                <w:noProof/>
                <w:sz w:val="18"/>
              </w:rPr>
              <w:t>No</w:t>
            </w:r>
          </w:p>
        </w:tc>
        <w:tc>
          <w:tcPr>
            <w:tcW w:w="648" w:type="dxa"/>
            <w:tcBorders>
              <w:left w:val="dashSmallGap" w:sz="4" w:space="0" w:color="auto"/>
            </w:tcBorders>
            <w:shd w:val="pct10" w:color="auto" w:fill="auto"/>
            <w:vAlign w:val="center"/>
          </w:tcPr>
          <w:p w:rsidR="00DC64CF" w:rsidRPr="00DC021E" w:rsidRDefault="00DC64CF" w:rsidP="00977CF9">
            <w:pPr>
              <w:jc w:val="center"/>
              <w:rPr>
                <w:noProof/>
                <w:sz w:val="18"/>
                <w:szCs w:val="18"/>
              </w:rPr>
            </w:pPr>
            <w:r w:rsidRPr="00DC021E">
              <w:rPr>
                <w:noProof/>
                <w:sz w:val="18"/>
              </w:rPr>
              <w:t>Cost</w:t>
            </w:r>
          </w:p>
        </w:tc>
        <w:tc>
          <w:tcPr>
            <w:tcW w:w="432" w:type="dxa"/>
            <w:tcBorders>
              <w:right w:val="dashSmallGap" w:sz="4" w:space="0" w:color="auto"/>
            </w:tcBorders>
            <w:shd w:val="pct10" w:color="auto" w:fill="auto"/>
            <w:textDirection w:val="btLr"/>
            <w:vAlign w:val="center"/>
          </w:tcPr>
          <w:p w:rsidR="00DC64CF" w:rsidRPr="00DC021E" w:rsidRDefault="00DC64CF" w:rsidP="00977CF9">
            <w:pPr>
              <w:ind w:left="113" w:right="113"/>
              <w:jc w:val="center"/>
              <w:rPr>
                <w:noProof/>
                <w:sz w:val="18"/>
                <w:szCs w:val="18"/>
              </w:rPr>
            </w:pPr>
            <w:r w:rsidRPr="00DC021E">
              <w:rPr>
                <w:noProof/>
                <w:sz w:val="18"/>
              </w:rPr>
              <w:t>No</w:t>
            </w:r>
          </w:p>
        </w:tc>
        <w:tc>
          <w:tcPr>
            <w:tcW w:w="720" w:type="dxa"/>
            <w:tcBorders>
              <w:left w:val="dashSmallGap" w:sz="4" w:space="0" w:color="auto"/>
            </w:tcBorders>
            <w:shd w:val="pct10" w:color="auto" w:fill="auto"/>
            <w:vAlign w:val="center"/>
          </w:tcPr>
          <w:p w:rsidR="00DC64CF" w:rsidRPr="00DC021E" w:rsidRDefault="00DC64CF" w:rsidP="00977CF9">
            <w:pPr>
              <w:jc w:val="center"/>
              <w:rPr>
                <w:noProof/>
                <w:sz w:val="18"/>
                <w:szCs w:val="18"/>
              </w:rPr>
            </w:pPr>
            <w:r w:rsidRPr="00DC021E">
              <w:rPr>
                <w:noProof/>
                <w:sz w:val="18"/>
              </w:rPr>
              <w:t>Cost</w:t>
            </w:r>
          </w:p>
        </w:tc>
        <w:tc>
          <w:tcPr>
            <w:tcW w:w="540" w:type="dxa"/>
            <w:tcBorders>
              <w:right w:val="dashSmallGap" w:sz="4" w:space="0" w:color="auto"/>
            </w:tcBorders>
            <w:shd w:val="pct10" w:color="auto" w:fill="auto"/>
            <w:textDirection w:val="btLr"/>
            <w:vAlign w:val="center"/>
          </w:tcPr>
          <w:p w:rsidR="00DC64CF" w:rsidRPr="00DC021E" w:rsidRDefault="00DC64CF" w:rsidP="00977CF9">
            <w:pPr>
              <w:ind w:left="113" w:right="113"/>
              <w:jc w:val="center"/>
              <w:rPr>
                <w:noProof/>
                <w:sz w:val="18"/>
                <w:szCs w:val="18"/>
              </w:rPr>
            </w:pPr>
            <w:r w:rsidRPr="00DC021E">
              <w:rPr>
                <w:noProof/>
                <w:sz w:val="18"/>
              </w:rPr>
              <w:t>No</w:t>
            </w:r>
          </w:p>
        </w:tc>
        <w:tc>
          <w:tcPr>
            <w:tcW w:w="720" w:type="dxa"/>
            <w:tcBorders>
              <w:left w:val="dashSmallGap" w:sz="4" w:space="0" w:color="auto"/>
            </w:tcBorders>
            <w:shd w:val="pct10" w:color="auto" w:fill="auto"/>
            <w:vAlign w:val="center"/>
          </w:tcPr>
          <w:p w:rsidR="00DC64CF" w:rsidRPr="00DC021E" w:rsidRDefault="00DC64CF" w:rsidP="00977CF9">
            <w:pPr>
              <w:jc w:val="center"/>
              <w:rPr>
                <w:noProof/>
                <w:sz w:val="18"/>
                <w:szCs w:val="18"/>
              </w:rPr>
            </w:pPr>
            <w:r w:rsidRPr="00DC021E">
              <w:rPr>
                <w:noProof/>
                <w:sz w:val="18"/>
              </w:rPr>
              <w:t>Cost</w:t>
            </w:r>
          </w:p>
        </w:tc>
        <w:tc>
          <w:tcPr>
            <w:tcW w:w="720" w:type="dxa"/>
            <w:tcBorders>
              <w:right w:val="dashSmallGap" w:sz="4" w:space="0" w:color="auto"/>
            </w:tcBorders>
            <w:shd w:val="pct10" w:color="auto" w:fill="auto"/>
            <w:vAlign w:val="center"/>
          </w:tcPr>
          <w:p w:rsidR="00DC64CF" w:rsidRPr="00DC021E" w:rsidRDefault="00DC64CF" w:rsidP="00977CF9">
            <w:pPr>
              <w:jc w:val="center"/>
              <w:rPr>
                <w:noProof/>
                <w:sz w:val="18"/>
                <w:szCs w:val="18"/>
              </w:rPr>
            </w:pPr>
            <w:r w:rsidRPr="00DC021E">
              <w:rPr>
                <w:noProof/>
                <w:sz w:val="18"/>
              </w:rPr>
              <w:t>Total No</w:t>
            </w:r>
          </w:p>
        </w:tc>
        <w:tc>
          <w:tcPr>
            <w:tcW w:w="900" w:type="dxa"/>
            <w:tcBorders>
              <w:left w:val="dashSmallGap" w:sz="4" w:space="0" w:color="auto"/>
            </w:tcBorders>
            <w:shd w:val="pct10" w:color="auto" w:fill="auto"/>
            <w:vAlign w:val="center"/>
          </w:tcPr>
          <w:p w:rsidR="00DC64CF" w:rsidRPr="00DC021E" w:rsidRDefault="00DC64CF" w:rsidP="00977CF9">
            <w:pPr>
              <w:jc w:val="center"/>
              <w:rPr>
                <w:noProof/>
                <w:sz w:val="18"/>
                <w:szCs w:val="18"/>
              </w:rPr>
            </w:pPr>
            <w:r w:rsidRPr="00DC021E">
              <w:rPr>
                <w:noProof/>
                <w:sz w:val="18"/>
              </w:rPr>
              <w:t>Total cost</w:t>
            </w:r>
          </w:p>
        </w:tc>
      </w:tr>
      <w:tr w:rsidR="00DC021E" w:rsidRPr="00DC021E" w:rsidTr="00977CF9">
        <w:trPr>
          <w:jc w:val="center"/>
        </w:trPr>
        <w:tc>
          <w:tcPr>
            <w:tcW w:w="2844" w:type="dxa"/>
            <w:gridSpan w:val="3"/>
            <w:vAlign w:val="center"/>
          </w:tcPr>
          <w:p w:rsidR="00DC64CF" w:rsidRPr="00DC021E" w:rsidRDefault="00DC64CF" w:rsidP="00977CF9">
            <w:pPr>
              <w:spacing w:before="60" w:after="60"/>
              <w:ind w:right="-29"/>
              <w:jc w:val="center"/>
              <w:rPr>
                <w:noProof/>
                <w:sz w:val="18"/>
                <w:szCs w:val="18"/>
              </w:rPr>
            </w:pPr>
            <w:r w:rsidRPr="00DC021E">
              <w:rPr>
                <w:noProof/>
                <w:sz w:val="18"/>
              </w:rPr>
              <w:t>SPECIFIC OBJECTIVE No 1</w:t>
            </w:r>
            <w:r w:rsidRPr="00DC021E">
              <w:rPr>
                <w:rStyle w:val="FootnoteReference"/>
                <w:noProof/>
                <w:sz w:val="18"/>
              </w:rPr>
              <w:footnoteReference w:id="20"/>
            </w:r>
            <w:r w:rsidRPr="00DC021E">
              <w:rPr>
                <w:noProof/>
                <w:sz w:val="18"/>
              </w:rPr>
              <w:t>…</w:t>
            </w:r>
          </w:p>
        </w:tc>
        <w:tc>
          <w:tcPr>
            <w:tcW w:w="504"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72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54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72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72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72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90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720" w:type="dxa"/>
            <w:gridSpan w:val="2"/>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54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648"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432"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72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54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72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72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c>
          <w:tcPr>
            <w:tcW w:w="900" w:type="dxa"/>
            <w:tcBorders>
              <w:top w:val="nil"/>
              <w:left w:val="nil"/>
              <w:bottom w:val="nil"/>
              <w:right w:val="nil"/>
            </w:tcBorders>
          </w:tcPr>
          <w:p w:rsidR="00DC64CF" w:rsidRPr="00DC021E" w:rsidRDefault="00DC64CF" w:rsidP="00977CF9">
            <w:pPr>
              <w:spacing w:before="60" w:after="60"/>
              <w:ind w:right="-29"/>
              <w:jc w:val="center"/>
              <w:rPr>
                <w:noProof/>
                <w:sz w:val="18"/>
                <w:szCs w:val="18"/>
              </w:rPr>
            </w:pPr>
          </w:p>
        </w:tc>
      </w:tr>
      <w:tr w:rsidR="00DC021E" w:rsidRPr="00DC021E" w:rsidTr="00977CF9">
        <w:trPr>
          <w:trHeight w:hRule="exact" w:val="369"/>
          <w:jc w:val="center"/>
        </w:trPr>
        <w:tc>
          <w:tcPr>
            <w:tcW w:w="1423" w:type="dxa"/>
          </w:tcPr>
          <w:p w:rsidR="00E828EC" w:rsidRPr="00DC021E" w:rsidRDefault="00E828EC" w:rsidP="00977CF9">
            <w:pPr>
              <w:ind w:right="-29"/>
              <w:jc w:val="center"/>
              <w:rPr>
                <w:noProof/>
                <w:sz w:val="18"/>
              </w:rPr>
            </w:pPr>
            <w:r w:rsidRPr="00DC021E">
              <w:rPr>
                <w:noProof/>
                <w:sz w:val="18"/>
              </w:rPr>
              <w:t>- Output</w:t>
            </w:r>
          </w:p>
          <w:p w:rsidR="00E828EC" w:rsidRPr="00DC021E" w:rsidRDefault="00E828EC" w:rsidP="00977CF9">
            <w:pPr>
              <w:ind w:right="-29"/>
              <w:jc w:val="center"/>
              <w:rPr>
                <w:noProof/>
                <w:sz w:val="18"/>
              </w:rPr>
            </w:pPr>
          </w:p>
          <w:p w:rsidR="00E828EC" w:rsidRPr="00DC021E" w:rsidRDefault="00E828EC" w:rsidP="00977CF9">
            <w:pPr>
              <w:ind w:right="-29"/>
              <w:jc w:val="center"/>
              <w:rPr>
                <w:noProof/>
                <w:sz w:val="18"/>
              </w:rPr>
            </w:pPr>
          </w:p>
          <w:p w:rsidR="00E828EC" w:rsidRPr="00DC021E" w:rsidRDefault="00E828EC" w:rsidP="00977CF9">
            <w:pPr>
              <w:ind w:right="-29"/>
              <w:jc w:val="center"/>
              <w:rPr>
                <w:noProof/>
                <w:sz w:val="18"/>
              </w:rPr>
            </w:pPr>
          </w:p>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r w:rsidRPr="00DC021E">
              <w:rPr>
                <w:noProof/>
                <w:sz w:val="18"/>
                <w:szCs w:val="18"/>
              </w:rPr>
              <w:t>AA with  JRC</w:t>
            </w:r>
          </w:p>
        </w:tc>
        <w:tc>
          <w:tcPr>
            <w:tcW w:w="701" w:type="dxa"/>
          </w:tcPr>
          <w:p w:rsidR="00E828EC" w:rsidRPr="00DC021E" w:rsidRDefault="00E828EC" w:rsidP="00977CF9">
            <w:pPr>
              <w:ind w:right="-29"/>
              <w:jc w:val="center"/>
              <w:rPr>
                <w:noProof/>
                <w:sz w:val="18"/>
                <w:szCs w:val="18"/>
              </w:rPr>
            </w:pPr>
            <w:r w:rsidRPr="00DC021E">
              <w:rPr>
                <w:noProof/>
                <w:sz w:val="18"/>
                <w:szCs w:val="18"/>
              </w:rPr>
              <w:t>0,500</w:t>
            </w:r>
          </w:p>
        </w:tc>
        <w:tc>
          <w:tcPr>
            <w:tcW w:w="504" w:type="dxa"/>
            <w:tcBorders>
              <w:right w:val="dashSmallGap" w:sz="4" w:space="0" w:color="auto"/>
            </w:tcBorders>
          </w:tcPr>
          <w:p w:rsidR="00E828EC" w:rsidRPr="00DC021E" w:rsidRDefault="00E828EC" w:rsidP="00977CF9">
            <w:pPr>
              <w:ind w:right="-29"/>
              <w:jc w:val="center"/>
              <w:rPr>
                <w:noProof/>
                <w:sz w:val="18"/>
                <w:szCs w:val="18"/>
              </w:rPr>
            </w:pPr>
            <w:r w:rsidRPr="00DC021E">
              <w:rPr>
                <w:noProof/>
                <w:sz w:val="18"/>
                <w:szCs w:val="18"/>
              </w:rPr>
              <w:t>1</w:t>
            </w:r>
          </w:p>
        </w:tc>
        <w:tc>
          <w:tcPr>
            <w:tcW w:w="720" w:type="dxa"/>
            <w:tcBorders>
              <w:left w:val="dashSmallGap" w:sz="4" w:space="0" w:color="auto"/>
            </w:tcBorders>
          </w:tcPr>
          <w:p w:rsidR="00E828EC" w:rsidRPr="00DC021E" w:rsidRDefault="00E828EC" w:rsidP="00977CF9">
            <w:pPr>
              <w:ind w:right="-29"/>
              <w:jc w:val="center"/>
              <w:rPr>
                <w:noProof/>
                <w:sz w:val="18"/>
                <w:szCs w:val="18"/>
              </w:rPr>
            </w:pPr>
            <w:r w:rsidRPr="00DC021E">
              <w:rPr>
                <w:noProof/>
                <w:sz w:val="18"/>
                <w:szCs w:val="18"/>
              </w:rPr>
              <w:t>0,500</w:t>
            </w:r>
          </w:p>
        </w:tc>
        <w:tc>
          <w:tcPr>
            <w:tcW w:w="540" w:type="dxa"/>
            <w:tcBorders>
              <w:right w:val="dashSmallGap" w:sz="4" w:space="0" w:color="auto"/>
            </w:tcBorders>
          </w:tcPr>
          <w:p w:rsidR="00E828EC" w:rsidRPr="00DC021E" w:rsidRDefault="00E828EC" w:rsidP="00977CF9">
            <w:pPr>
              <w:ind w:right="-29"/>
              <w:jc w:val="center"/>
              <w:rPr>
                <w:noProof/>
                <w:sz w:val="18"/>
                <w:szCs w:val="18"/>
              </w:rPr>
            </w:pPr>
          </w:p>
        </w:tc>
        <w:tc>
          <w:tcPr>
            <w:tcW w:w="720" w:type="dxa"/>
            <w:tcBorders>
              <w:left w:val="dashSmallGap" w:sz="4" w:space="0" w:color="auto"/>
            </w:tcBorders>
          </w:tcPr>
          <w:p w:rsidR="00E828EC" w:rsidRPr="00DC021E" w:rsidRDefault="00E828EC" w:rsidP="00977CF9">
            <w:pPr>
              <w:ind w:right="-29"/>
              <w:jc w:val="center"/>
              <w:rPr>
                <w:noProof/>
                <w:sz w:val="18"/>
                <w:szCs w:val="18"/>
              </w:rPr>
            </w:pPr>
          </w:p>
        </w:tc>
        <w:tc>
          <w:tcPr>
            <w:tcW w:w="720" w:type="dxa"/>
            <w:tcBorders>
              <w:right w:val="dashSmallGap" w:sz="4" w:space="0" w:color="auto"/>
            </w:tcBorders>
          </w:tcPr>
          <w:p w:rsidR="00E828EC" w:rsidRPr="00DC021E" w:rsidRDefault="00E828EC" w:rsidP="00977CF9">
            <w:pPr>
              <w:ind w:right="-29"/>
              <w:jc w:val="center"/>
              <w:rPr>
                <w:noProof/>
                <w:sz w:val="18"/>
                <w:szCs w:val="18"/>
              </w:rPr>
            </w:pPr>
          </w:p>
        </w:tc>
        <w:tc>
          <w:tcPr>
            <w:tcW w:w="720" w:type="dxa"/>
            <w:tcBorders>
              <w:left w:val="dashSmallGap" w:sz="4" w:space="0" w:color="auto"/>
            </w:tcBorders>
          </w:tcPr>
          <w:p w:rsidR="00E828EC" w:rsidRPr="00DC021E" w:rsidRDefault="00E828EC" w:rsidP="00977CF9">
            <w:pPr>
              <w:ind w:right="-29"/>
              <w:jc w:val="center"/>
              <w:rPr>
                <w:noProof/>
                <w:sz w:val="18"/>
                <w:szCs w:val="18"/>
              </w:rPr>
            </w:pPr>
          </w:p>
        </w:tc>
        <w:tc>
          <w:tcPr>
            <w:tcW w:w="900" w:type="dxa"/>
            <w:tcBorders>
              <w:right w:val="dashSmallGap" w:sz="4" w:space="0" w:color="auto"/>
            </w:tcBorders>
          </w:tcPr>
          <w:p w:rsidR="00E828EC" w:rsidRPr="00DC021E" w:rsidRDefault="00E828EC" w:rsidP="00977CF9">
            <w:pPr>
              <w:ind w:right="-29"/>
              <w:jc w:val="center"/>
              <w:rPr>
                <w:noProof/>
                <w:sz w:val="18"/>
                <w:szCs w:val="18"/>
              </w:rPr>
            </w:pPr>
          </w:p>
        </w:tc>
        <w:tc>
          <w:tcPr>
            <w:tcW w:w="720" w:type="dxa"/>
            <w:gridSpan w:val="2"/>
            <w:tcBorders>
              <w:left w:val="dashSmallGap" w:sz="4" w:space="0" w:color="auto"/>
            </w:tcBorders>
          </w:tcPr>
          <w:p w:rsidR="00E828EC" w:rsidRPr="00DC021E" w:rsidRDefault="00E828EC" w:rsidP="00977CF9">
            <w:pPr>
              <w:ind w:right="-29"/>
              <w:jc w:val="center"/>
              <w:rPr>
                <w:noProof/>
                <w:sz w:val="18"/>
                <w:szCs w:val="18"/>
              </w:rPr>
            </w:pPr>
          </w:p>
        </w:tc>
        <w:tc>
          <w:tcPr>
            <w:tcW w:w="540" w:type="dxa"/>
            <w:tcBorders>
              <w:right w:val="dashSmallGap" w:sz="4" w:space="0" w:color="auto"/>
            </w:tcBorders>
          </w:tcPr>
          <w:p w:rsidR="00E828EC" w:rsidRPr="00DC021E" w:rsidRDefault="00E828EC" w:rsidP="00977CF9">
            <w:pPr>
              <w:ind w:right="-29"/>
              <w:jc w:val="center"/>
              <w:rPr>
                <w:noProof/>
                <w:sz w:val="18"/>
                <w:szCs w:val="18"/>
              </w:rPr>
            </w:pPr>
          </w:p>
        </w:tc>
        <w:tc>
          <w:tcPr>
            <w:tcW w:w="648" w:type="dxa"/>
            <w:tcBorders>
              <w:left w:val="dashSmallGap" w:sz="4" w:space="0" w:color="auto"/>
            </w:tcBorders>
          </w:tcPr>
          <w:p w:rsidR="00E828EC" w:rsidRPr="00DC021E" w:rsidRDefault="00E828EC" w:rsidP="00977CF9">
            <w:pPr>
              <w:ind w:right="-29"/>
              <w:jc w:val="center"/>
              <w:rPr>
                <w:noProof/>
                <w:sz w:val="18"/>
                <w:szCs w:val="18"/>
              </w:rPr>
            </w:pPr>
          </w:p>
        </w:tc>
        <w:tc>
          <w:tcPr>
            <w:tcW w:w="432" w:type="dxa"/>
            <w:tcBorders>
              <w:right w:val="dashSmallGap" w:sz="4" w:space="0" w:color="auto"/>
            </w:tcBorders>
          </w:tcPr>
          <w:p w:rsidR="00E828EC" w:rsidRPr="00DC021E" w:rsidRDefault="00E828EC" w:rsidP="00977CF9">
            <w:pPr>
              <w:ind w:right="-29"/>
              <w:jc w:val="center"/>
              <w:rPr>
                <w:noProof/>
                <w:sz w:val="18"/>
                <w:szCs w:val="18"/>
              </w:rPr>
            </w:pPr>
          </w:p>
        </w:tc>
        <w:tc>
          <w:tcPr>
            <w:tcW w:w="720" w:type="dxa"/>
            <w:tcBorders>
              <w:left w:val="dashSmallGap" w:sz="4" w:space="0" w:color="auto"/>
            </w:tcBorders>
          </w:tcPr>
          <w:p w:rsidR="00E828EC" w:rsidRPr="00DC021E" w:rsidRDefault="00E828EC" w:rsidP="00977CF9">
            <w:pPr>
              <w:ind w:right="-29"/>
              <w:jc w:val="center"/>
              <w:rPr>
                <w:noProof/>
                <w:sz w:val="18"/>
                <w:szCs w:val="18"/>
              </w:rPr>
            </w:pPr>
          </w:p>
        </w:tc>
        <w:tc>
          <w:tcPr>
            <w:tcW w:w="540" w:type="dxa"/>
            <w:tcBorders>
              <w:right w:val="dashSmallGap" w:sz="4" w:space="0" w:color="auto"/>
            </w:tcBorders>
          </w:tcPr>
          <w:p w:rsidR="00E828EC" w:rsidRPr="00DC021E" w:rsidRDefault="00E828EC" w:rsidP="00977CF9">
            <w:pPr>
              <w:ind w:right="-29"/>
              <w:jc w:val="center"/>
              <w:rPr>
                <w:noProof/>
                <w:sz w:val="18"/>
                <w:szCs w:val="18"/>
              </w:rPr>
            </w:pPr>
          </w:p>
        </w:tc>
        <w:tc>
          <w:tcPr>
            <w:tcW w:w="720" w:type="dxa"/>
            <w:tcBorders>
              <w:left w:val="dashSmallGap" w:sz="4" w:space="0" w:color="auto"/>
            </w:tcBorders>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r w:rsidRPr="00DC021E">
              <w:rPr>
                <w:noProof/>
                <w:sz w:val="18"/>
                <w:szCs w:val="18"/>
              </w:rPr>
              <w:t>1</w:t>
            </w:r>
          </w:p>
        </w:tc>
        <w:tc>
          <w:tcPr>
            <w:tcW w:w="900" w:type="dxa"/>
          </w:tcPr>
          <w:p w:rsidR="00E828EC" w:rsidRPr="00DC021E" w:rsidRDefault="00E828EC" w:rsidP="00977CF9">
            <w:pPr>
              <w:ind w:right="-29"/>
              <w:jc w:val="center"/>
              <w:rPr>
                <w:noProof/>
                <w:sz w:val="18"/>
                <w:szCs w:val="18"/>
              </w:rPr>
            </w:pPr>
            <w:r w:rsidRPr="00DC021E">
              <w:rPr>
                <w:noProof/>
                <w:sz w:val="18"/>
                <w:szCs w:val="18"/>
              </w:rPr>
              <w:t>0,5</w:t>
            </w:r>
          </w:p>
        </w:tc>
      </w:tr>
      <w:tr w:rsidR="00DC021E" w:rsidRPr="00DC021E" w:rsidTr="00977CF9">
        <w:trPr>
          <w:trHeight w:hRule="exact" w:val="369"/>
          <w:jc w:val="center"/>
        </w:trPr>
        <w:tc>
          <w:tcPr>
            <w:tcW w:w="1423" w:type="dxa"/>
          </w:tcPr>
          <w:p w:rsidR="00E828EC" w:rsidRPr="00DC021E" w:rsidRDefault="00E828EC" w:rsidP="00977CF9">
            <w:pPr>
              <w:ind w:right="-29"/>
              <w:jc w:val="center"/>
              <w:rPr>
                <w:noProof/>
                <w:sz w:val="18"/>
              </w:rPr>
            </w:pPr>
            <w:r w:rsidRPr="00DC021E">
              <w:rPr>
                <w:noProof/>
                <w:sz w:val="18"/>
              </w:rPr>
              <w:t>- Output</w:t>
            </w:r>
          </w:p>
          <w:p w:rsidR="00E828EC" w:rsidRPr="00DC021E" w:rsidRDefault="00E828EC" w:rsidP="00977CF9">
            <w:pPr>
              <w:ind w:right="-29"/>
              <w:jc w:val="center"/>
              <w:rPr>
                <w:noProof/>
                <w:sz w:val="18"/>
              </w:rPr>
            </w:pPr>
          </w:p>
          <w:p w:rsidR="00E828EC" w:rsidRPr="00DC021E" w:rsidRDefault="00E828EC" w:rsidP="00977CF9">
            <w:pPr>
              <w:ind w:right="-29"/>
              <w:jc w:val="center"/>
              <w:rPr>
                <w:noProof/>
                <w:sz w:val="18"/>
              </w:rPr>
            </w:pPr>
          </w:p>
          <w:p w:rsidR="00E828EC" w:rsidRPr="00DC021E" w:rsidRDefault="00E828EC" w:rsidP="00977CF9">
            <w:pPr>
              <w:ind w:right="-29"/>
              <w:jc w:val="center"/>
              <w:rPr>
                <w:noProof/>
                <w:sz w:val="18"/>
              </w:rPr>
            </w:pPr>
          </w:p>
          <w:p w:rsidR="00E828EC" w:rsidRPr="00DC021E" w:rsidRDefault="00E828EC" w:rsidP="00977CF9">
            <w:pPr>
              <w:ind w:right="-29"/>
              <w:jc w:val="center"/>
              <w:rPr>
                <w:noProof/>
                <w:sz w:val="18"/>
                <w:szCs w:val="18"/>
              </w:rPr>
            </w:pPr>
          </w:p>
        </w:tc>
        <w:tc>
          <w:tcPr>
            <w:tcW w:w="720" w:type="dxa"/>
          </w:tcPr>
          <w:p w:rsidR="00E828EC" w:rsidRPr="00DC021E" w:rsidRDefault="00E828EC" w:rsidP="0021172B">
            <w:pPr>
              <w:ind w:right="-29"/>
              <w:jc w:val="center"/>
              <w:rPr>
                <w:noProof/>
                <w:sz w:val="18"/>
                <w:szCs w:val="18"/>
              </w:rPr>
            </w:pPr>
            <w:r w:rsidRPr="00DC021E">
              <w:rPr>
                <w:noProof/>
                <w:sz w:val="18"/>
                <w:szCs w:val="18"/>
              </w:rPr>
              <w:t>SER</w:t>
            </w:r>
          </w:p>
          <w:p w:rsidR="00E828EC" w:rsidRPr="00DC021E" w:rsidRDefault="00E828EC" w:rsidP="00977CF9">
            <w:pPr>
              <w:ind w:right="-29"/>
              <w:jc w:val="center"/>
              <w:rPr>
                <w:noProof/>
                <w:sz w:val="18"/>
                <w:szCs w:val="18"/>
              </w:rPr>
            </w:pPr>
            <w:r w:rsidRPr="00DC021E">
              <w:rPr>
                <w:noProof/>
                <w:sz w:val="18"/>
                <w:szCs w:val="18"/>
              </w:rPr>
              <w:t>Consul-tancy Forest experts</w:t>
            </w:r>
          </w:p>
        </w:tc>
        <w:tc>
          <w:tcPr>
            <w:tcW w:w="701" w:type="dxa"/>
          </w:tcPr>
          <w:p w:rsidR="00E828EC" w:rsidRPr="00DC021E" w:rsidRDefault="00E828EC" w:rsidP="00977CF9">
            <w:pPr>
              <w:ind w:right="-29"/>
              <w:jc w:val="center"/>
              <w:rPr>
                <w:noProof/>
                <w:sz w:val="18"/>
                <w:szCs w:val="18"/>
              </w:rPr>
            </w:pPr>
            <w:r w:rsidRPr="00DC021E">
              <w:rPr>
                <w:noProof/>
                <w:sz w:val="18"/>
                <w:szCs w:val="18"/>
              </w:rPr>
              <w:t>0,500</w:t>
            </w:r>
          </w:p>
        </w:tc>
        <w:tc>
          <w:tcPr>
            <w:tcW w:w="504" w:type="dxa"/>
            <w:tcBorders>
              <w:right w:val="dashSmallGap" w:sz="4" w:space="0" w:color="auto"/>
            </w:tcBorders>
          </w:tcPr>
          <w:p w:rsidR="00E828EC" w:rsidRPr="00DC021E" w:rsidRDefault="00E828EC" w:rsidP="00977CF9">
            <w:pPr>
              <w:ind w:right="-29"/>
              <w:jc w:val="center"/>
              <w:rPr>
                <w:noProof/>
                <w:sz w:val="18"/>
                <w:szCs w:val="18"/>
              </w:rPr>
            </w:pPr>
            <w:r w:rsidRPr="00DC021E">
              <w:rPr>
                <w:noProof/>
                <w:sz w:val="18"/>
                <w:szCs w:val="18"/>
              </w:rPr>
              <w:t>1</w:t>
            </w:r>
          </w:p>
        </w:tc>
        <w:tc>
          <w:tcPr>
            <w:tcW w:w="720" w:type="dxa"/>
            <w:tcBorders>
              <w:left w:val="dashSmallGap" w:sz="4" w:space="0" w:color="auto"/>
            </w:tcBorders>
          </w:tcPr>
          <w:p w:rsidR="00E828EC" w:rsidRPr="00DC021E" w:rsidRDefault="00E828EC" w:rsidP="00977CF9">
            <w:pPr>
              <w:ind w:right="-29"/>
              <w:jc w:val="center"/>
              <w:rPr>
                <w:noProof/>
                <w:sz w:val="18"/>
                <w:szCs w:val="18"/>
              </w:rPr>
            </w:pPr>
            <w:r w:rsidRPr="00DC021E">
              <w:rPr>
                <w:noProof/>
                <w:sz w:val="18"/>
                <w:szCs w:val="18"/>
              </w:rPr>
              <w:t>0,500</w:t>
            </w:r>
          </w:p>
        </w:tc>
        <w:tc>
          <w:tcPr>
            <w:tcW w:w="540" w:type="dxa"/>
            <w:tcBorders>
              <w:right w:val="dashSmallGap" w:sz="4" w:space="0" w:color="auto"/>
            </w:tcBorders>
          </w:tcPr>
          <w:p w:rsidR="00E828EC" w:rsidRPr="00DC021E" w:rsidRDefault="00E828EC" w:rsidP="00977CF9">
            <w:pPr>
              <w:ind w:right="-29"/>
              <w:jc w:val="center"/>
              <w:rPr>
                <w:noProof/>
                <w:sz w:val="18"/>
                <w:szCs w:val="18"/>
              </w:rPr>
            </w:pPr>
          </w:p>
        </w:tc>
        <w:tc>
          <w:tcPr>
            <w:tcW w:w="720" w:type="dxa"/>
            <w:tcBorders>
              <w:left w:val="dashSmallGap" w:sz="4" w:space="0" w:color="auto"/>
            </w:tcBorders>
          </w:tcPr>
          <w:p w:rsidR="00E828EC" w:rsidRPr="00DC021E" w:rsidRDefault="00E828EC" w:rsidP="00977CF9">
            <w:pPr>
              <w:ind w:right="-29"/>
              <w:jc w:val="center"/>
              <w:rPr>
                <w:noProof/>
                <w:sz w:val="18"/>
                <w:szCs w:val="18"/>
              </w:rPr>
            </w:pPr>
          </w:p>
        </w:tc>
        <w:tc>
          <w:tcPr>
            <w:tcW w:w="720" w:type="dxa"/>
            <w:tcBorders>
              <w:right w:val="dashSmallGap" w:sz="4" w:space="0" w:color="auto"/>
            </w:tcBorders>
          </w:tcPr>
          <w:p w:rsidR="00E828EC" w:rsidRPr="00DC021E" w:rsidRDefault="00E828EC" w:rsidP="00977CF9">
            <w:pPr>
              <w:ind w:right="-29"/>
              <w:jc w:val="center"/>
              <w:rPr>
                <w:noProof/>
                <w:sz w:val="18"/>
                <w:szCs w:val="18"/>
              </w:rPr>
            </w:pPr>
          </w:p>
        </w:tc>
        <w:tc>
          <w:tcPr>
            <w:tcW w:w="720" w:type="dxa"/>
            <w:tcBorders>
              <w:left w:val="dashSmallGap" w:sz="4" w:space="0" w:color="auto"/>
            </w:tcBorders>
          </w:tcPr>
          <w:p w:rsidR="00E828EC" w:rsidRPr="00DC021E" w:rsidRDefault="00E828EC" w:rsidP="00977CF9">
            <w:pPr>
              <w:ind w:right="-29"/>
              <w:jc w:val="center"/>
              <w:rPr>
                <w:noProof/>
                <w:sz w:val="18"/>
                <w:szCs w:val="18"/>
              </w:rPr>
            </w:pPr>
          </w:p>
        </w:tc>
        <w:tc>
          <w:tcPr>
            <w:tcW w:w="900" w:type="dxa"/>
            <w:tcBorders>
              <w:right w:val="dashSmallGap" w:sz="4" w:space="0" w:color="auto"/>
            </w:tcBorders>
          </w:tcPr>
          <w:p w:rsidR="00E828EC" w:rsidRPr="00DC021E" w:rsidRDefault="00E828EC" w:rsidP="00977CF9">
            <w:pPr>
              <w:ind w:right="-29"/>
              <w:jc w:val="center"/>
              <w:rPr>
                <w:noProof/>
                <w:sz w:val="18"/>
                <w:szCs w:val="18"/>
              </w:rPr>
            </w:pPr>
          </w:p>
        </w:tc>
        <w:tc>
          <w:tcPr>
            <w:tcW w:w="720" w:type="dxa"/>
            <w:gridSpan w:val="2"/>
            <w:tcBorders>
              <w:left w:val="dashSmallGap" w:sz="4" w:space="0" w:color="auto"/>
            </w:tcBorders>
          </w:tcPr>
          <w:p w:rsidR="00E828EC" w:rsidRPr="00DC021E" w:rsidRDefault="00E828EC" w:rsidP="00977CF9">
            <w:pPr>
              <w:ind w:right="-29"/>
              <w:jc w:val="center"/>
              <w:rPr>
                <w:noProof/>
                <w:sz w:val="18"/>
                <w:szCs w:val="18"/>
              </w:rPr>
            </w:pPr>
          </w:p>
        </w:tc>
        <w:tc>
          <w:tcPr>
            <w:tcW w:w="540" w:type="dxa"/>
            <w:tcBorders>
              <w:right w:val="dashSmallGap" w:sz="4" w:space="0" w:color="auto"/>
            </w:tcBorders>
          </w:tcPr>
          <w:p w:rsidR="00E828EC" w:rsidRPr="00DC021E" w:rsidRDefault="00E828EC" w:rsidP="00977CF9">
            <w:pPr>
              <w:ind w:right="-29"/>
              <w:jc w:val="center"/>
              <w:rPr>
                <w:noProof/>
                <w:sz w:val="18"/>
                <w:szCs w:val="18"/>
              </w:rPr>
            </w:pPr>
          </w:p>
        </w:tc>
        <w:tc>
          <w:tcPr>
            <w:tcW w:w="648" w:type="dxa"/>
            <w:tcBorders>
              <w:left w:val="dashSmallGap" w:sz="4" w:space="0" w:color="auto"/>
            </w:tcBorders>
          </w:tcPr>
          <w:p w:rsidR="00E828EC" w:rsidRPr="00DC021E" w:rsidRDefault="00E828EC" w:rsidP="00977CF9">
            <w:pPr>
              <w:ind w:right="-29"/>
              <w:jc w:val="center"/>
              <w:rPr>
                <w:noProof/>
                <w:sz w:val="18"/>
                <w:szCs w:val="18"/>
              </w:rPr>
            </w:pPr>
          </w:p>
        </w:tc>
        <w:tc>
          <w:tcPr>
            <w:tcW w:w="432" w:type="dxa"/>
            <w:tcBorders>
              <w:right w:val="dashSmallGap" w:sz="4" w:space="0" w:color="auto"/>
            </w:tcBorders>
          </w:tcPr>
          <w:p w:rsidR="00E828EC" w:rsidRPr="00DC021E" w:rsidRDefault="00E828EC" w:rsidP="00977CF9">
            <w:pPr>
              <w:ind w:right="-29"/>
              <w:jc w:val="center"/>
              <w:rPr>
                <w:noProof/>
                <w:sz w:val="18"/>
                <w:szCs w:val="18"/>
              </w:rPr>
            </w:pPr>
          </w:p>
        </w:tc>
        <w:tc>
          <w:tcPr>
            <w:tcW w:w="720" w:type="dxa"/>
            <w:tcBorders>
              <w:left w:val="dashSmallGap" w:sz="4" w:space="0" w:color="auto"/>
            </w:tcBorders>
          </w:tcPr>
          <w:p w:rsidR="00E828EC" w:rsidRPr="00DC021E" w:rsidRDefault="00E828EC" w:rsidP="00977CF9">
            <w:pPr>
              <w:ind w:right="-29"/>
              <w:jc w:val="center"/>
              <w:rPr>
                <w:noProof/>
                <w:sz w:val="18"/>
                <w:szCs w:val="18"/>
              </w:rPr>
            </w:pPr>
          </w:p>
        </w:tc>
        <w:tc>
          <w:tcPr>
            <w:tcW w:w="540" w:type="dxa"/>
            <w:tcBorders>
              <w:right w:val="dashSmallGap" w:sz="4" w:space="0" w:color="auto"/>
            </w:tcBorders>
          </w:tcPr>
          <w:p w:rsidR="00E828EC" w:rsidRPr="00DC021E" w:rsidRDefault="00E828EC" w:rsidP="00977CF9">
            <w:pPr>
              <w:ind w:right="-29"/>
              <w:jc w:val="center"/>
              <w:rPr>
                <w:noProof/>
                <w:sz w:val="18"/>
                <w:szCs w:val="18"/>
              </w:rPr>
            </w:pPr>
          </w:p>
        </w:tc>
        <w:tc>
          <w:tcPr>
            <w:tcW w:w="720" w:type="dxa"/>
            <w:tcBorders>
              <w:left w:val="dashSmallGap" w:sz="4" w:space="0" w:color="auto"/>
            </w:tcBorders>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r w:rsidRPr="00DC021E">
              <w:rPr>
                <w:noProof/>
                <w:sz w:val="18"/>
                <w:szCs w:val="18"/>
              </w:rPr>
              <w:t>1</w:t>
            </w:r>
          </w:p>
        </w:tc>
        <w:tc>
          <w:tcPr>
            <w:tcW w:w="900" w:type="dxa"/>
          </w:tcPr>
          <w:p w:rsidR="00E828EC" w:rsidRPr="00DC021E" w:rsidRDefault="00E828EC" w:rsidP="00977CF9">
            <w:pPr>
              <w:ind w:right="-29"/>
              <w:jc w:val="center"/>
              <w:rPr>
                <w:noProof/>
                <w:sz w:val="18"/>
                <w:szCs w:val="18"/>
              </w:rPr>
            </w:pPr>
            <w:r w:rsidRPr="00DC021E">
              <w:rPr>
                <w:noProof/>
                <w:sz w:val="18"/>
                <w:szCs w:val="18"/>
              </w:rPr>
              <w:t>0,5</w:t>
            </w:r>
          </w:p>
        </w:tc>
      </w:tr>
      <w:tr w:rsidR="00DC021E" w:rsidRPr="00DC021E" w:rsidTr="00977CF9">
        <w:trPr>
          <w:trHeight w:hRule="exact" w:val="369"/>
          <w:jc w:val="center"/>
        </w:trPr>
        <w:tc>
          <w:tcPr>
            <w:tcW w:w="1423" w:type="dxa"/>
          </w:tcPr>
          <w:p w:rsidR="00E828EC" w:rsidRPr="00DC021E" w:rsidRDefault="00E828EC" w:rsidP="00977CF9">
            <w:pPr>
              <w:ind w:right="-29"/>
              <w:jc w:val="center"/>
              <w:rPr>
                <w:noProof/>
                <w:sz w:val="18"/>
                <w:szCs w:val="18"/>
              </w:rPr>
            </w:pPr>
            <w:r w:rsidRPr="00DC021E">
              <w:rPr>
                <w:noProof/>
                <w:sz w:val="18"/>
              </w:rPr>
              <w:t>- Output</w:t>
            </w:r>
          </w:p>
        </w:tc>
        <w:tc>
          <w:tcPr>
            <w:tcW w:w="720" w:type="dxa"/>
          </w:tcPr>
          <w:p w:rsidR="00E828EC" w:rsidRPr="00DC021E" w:rsidRDefault="00E828EC" w:rsidP="00977CF9">
            <w:pPr>
              <w:ind w:right="-29"/>
              <w:jc w:val="center"/>
              <w:rPr>
                <w:noProof/>
                <w:sz w:val="18"/>
                <w:szCs w:val="18"/>
              </w:rPr>
            </w:pPr>
            <w:r w:rsidRPr="00DC021E">
              <w:rPr>
                <w:noProof/>
                <w:sz w:val="18"/>
                <w:szCs w:val="18"/>
              </w:rPr>
              <w:t>SER IT new module EU registry</w:t>
            </w:r>
          </w:p>
        </w:tc>
        <w:tc>
          <w:tcPr>
            <w:tcW w:w="701" w:type="dxa"/>
          </w:tcPr>
          <w:p w:rsidR="00E828EC" w:rsidRPr="00DC021E" w:rsidRDefault="00E828EC" w:rsidP="00977CF9">
            <w:pPr>
              <w:ind w:right="-29"/>
              <w:jc w:val="center"/>
              <w:rPr>
                <w:noProof/>
                <w:sz w:val="18"/>
                <w:szCs w:val="18"/>
              </w:rPr>
            </w:pPr>
            <w:r w:rsidRPr="00DC021E">
              <w:rPr>
                <w:noProof/>
                <w:sz w:val="18"/>
                <w:szCs w:val="18"/>
              </w:rPr>
              <w:t>0,600</w:t>
            </w:r>
          </w:p>
        </w:tc>
        <w:tc>
          <w:tcPr>
            <w:tcW w:w="504"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p>
        </w:tc>
        <w:tc>
          <w:tcPr>
            <w:tcW w:w="540" w:type="dxa"/>
          </w:tcPr>
          <w:p w:rsidR="00E828EC" w:rsidRPr="00DC021E" w:rsidRDefault="00E828EC" w:rsidP="00977CF9">
            <w:pPr>
              <w:ind w:right="-29"/>
              <w:jc w:val="center"/>
              <w:rPr>
                <w:noProof/>
                <w:sz w:val="18"/>
                <w:szCs w:val="18"/>
              </w:rPr>
            </w:pPr>
            <w:r w:rsidRPr="00DC021E">
              <w:rPr>
                <w:noProof/>
                <w:sz w:val="18"/>
                <w:szCs w:val="18"/>
              </w:rPr>
              <w:t>1</w:t>
            </w:r>
          </w:p>
        </w:tc>
        <w:tc>
          <w:tcPr>
            <w:tcW w:w="720" w:type="dxa"/>
          </w:tcPr>
          <w:p w:rsidR="00E828EC" w:rsidRPr="00DC021E" w:rsidRDefault="00E828EC" w:rsidP="00977CF9">
            <w:pPr>
              <w:ind w:right="-29"/>
              <w:jc w:val="center"/>
              <w:rPr>
                <w:noProof/>
                <w:sz w:val="18"/>
                <w:szCs w:val="18"/>
              </w:rPr>
            </w:pPr>
            <w:r w:rsidRPr="00DC021E">
              <w:rPr>
                <w:noProof/>
                <w:sz w:val="18"/>
                <w:szCs w:val="18"/>
              </w:rPr>
              <w:t>0,600</w:t>
            </w:r>
          </w:p>
        </w:tc>
        <w:tc>
          <w:tcPr>
            <w:tcW w:w="720"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p>
        </w:tc>
        <w:tc>
          <w:tcPr>
            <w:tcW w:w="900" w:type="dxa"/>
          </w:tcPr>
          <w:p w:rsidR="00E828EC" w:rsidRPr="00DC021E" w:rsidRDefault="00E828EC" w:rsidP="00977CF9">
            <w:pPr>
              <w:ind w:right="-29"/>
              <w:jc w:val="center"/>
              <w:rPr>
                <w:noProof/>
                <w:sz w:val="18"/>
                <w:szCs w:val="18"/>
              </w:rPr>
            </w:pPr>
          </w:p>
        </w:tc>
        <w:tc>
          <w:tcPr>
            <w:tcW w:w="720" w:type="dxa"/>
            <w:gridSpan w:val="2"/>
          </w:tcPr>
          <w:p w:rsidR="00E828EC" w:rsidRPr="00DC021E" w:rsidRDefault="00E828EC" w:rsidP="00977CF9">
            <w:pPr>
              <w:ind w:right="-29"/>
              <w:jc w:val="center"/>
              <w:rPr>
                <w:noProof/>
                <w:sz w:val="18"/>
                <w:szCs w:val="18"/>
              </w:rPr>
            </w:pPr>
          </w:p>
        </w:tc>
        <w:tc>
          <w:tcPr>
            <w:tcW w:w="540" w:type="dxa"/>
          </w:tcPr>
          <w:p w:rsidR="00E828EC" w:rsidRPr="00DC021E" w:rsidRDefault="00E828EC" w:rsidP="00977CF9">
            <w:pPr>
              <w:ind w:right="-29"/>
              <w:jc w:val="center"/>
              <w:rPr>
                <w:noProof/>
                <w:sz w:val="18"/>
                <w:szCs w:val="18"/>
              </w:rPr>
            </w:pPr>
          </w:p>
        </w:tc>
        <w:tc>
          <w:tcPr>
            <w:tcW w:w="648" w:type="dxa"/>
          </w:tcPr>
          <w:p w:rsidR="00E828EC" w:rsidRPr="00DC021E" w:rsidRDefault="00E828EC" w:rsidP="00977CF9">
            <w:pPr>
              <w:ind w:right="-29"/>
              <w:jc w:val="center"/>
              <w:rPr>
                <w:noProof/>
                <w:sz w:val="18"/>
                <w:szCs w:val="18"/>
              </w:rPr>
            </w:pPr>
          </w:p>
        </w:tc>
        <w:tc>
          <w:tcPr>
            <w:tcW w:w="432"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p>
        </w:tc>
        <w:tc>
          <w:tcPr>
            <w:tcW w:w="540"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r w:rsidRPr="00DC021E">
              <w:rPr>
                <w:noProof/>
                <w:sz w:val="18"/>
                <w:szCs w:val="18"/>
              </w:rPr>
              <w:t>1</w:t>
            </w:r>
          </w:p>
        </w:tc>
        <w:tc>
          <w:tcPr>
            <w:tcW w:w="900" w:type="dxa"/>
          </w:tcPr>
          <w:p w:rsidR="00E828EC" w:rsidRPr="00DC021E" w:rsidRDefault="00E828EC" w:rsidP="0021172B">
            <w:pPr>
              <w:ind w:right="-29"/>
              <w:jc w:val="center"/>
              <w:rPr>
                <w:noProof/>
                <w:sz w:val="18"/>
                <w:szCs w:val="18"/>
              </w:rPr>
            </w:pPr>
            <w:r w:rsidRPr="00DC021E">
              <w:rPr>
                <w:noProof/>
                <w:sz w:val="18"/>
                <w:szCs w:val="18"/>
              </w:rPr>
              <w:t>0,6</w:t>
            </w:r>
          </w:p>
          <w:p w:rsidR="00E828EC" w:rsidRPr="00DC021E" w:rsidRDefault="00E828EC" w:rsidP="00977CF9">
            <w:pPr>
              <w:ind w:right="-29"/>
              <w:jc w:val="center"/>
              <w:rPr>
                <w:noProof/>
                <w:sz w:val="18"/>
                <w:szCs w:val="18"/>
              </w:rPr>
            </w:pPr>
          </w:p>
        </w:tc>
      </w:tr>
      <w:tr w:rsidR="00DC021E" w:rsidRPr="00DC021E" w:rsidTr="00977CF9">
        <w:trPr>
          <w:trHeight w:hRule="exact" w:val="369"/>
          <w:jc w:val="center"/>
        </w:trPr>
        <w:tc>
          <w:tcPr>
            <w:tcW w:w="1423" w:type="dxa"/>
          </w:tcPr>
          <w:p w:rsidR="00E828EC" w:rsidRPr="00DC021E" w:rsidRDefault="00E828EC" w:rsidP="00977CF9">
            <w:pPr>
              <w:ind w:right="-29"/>
              <w:jc w:val="center"/>
              <w:rPr>
                <w:noProof/>
                <w:sz w:val="18"/>
              </w:rPr>
            </w:pPr>
            <w:r w:rsidRPr="00DC021E">
              <w:rPr>
                <w:noProof/>
                <w:sz w:val="18"/>
              </w:rPr>
              <w:t>-Output</w:t>
            </w:r>
          </w:p>
          <w:p w:rsidR="00E828EC" w:rsidRPr="00DC021E" w:rsidRDefault="00E828EC" w:rsidP="00977CF9">
            <w:pPr>
              <w:ind w:right="-29"/>
              <w:jc w:val="center"/>
              <w:rPr>
                <w:noProof/>
                <w:sz w:val="18"/>
              </w:rPr>
            </w:pPr>
          </w:p>
        </w:tc>
        <w:tc>
          <w:tcPr>
            <w:tcW w:w="720" w:type="dxa"/>
          </w:tcPr>
          <w:p w:rsidR="00E828EC" w:rsidRPr="00DC021E" w:rsidRDefault="00E828EC" w:rsidP="00977CF9">
            <w:pPr>
              <w:ind w:right="-29"/>
              <w:jc w:val="center"/>
              <w:rPr>
                <w:noProof/>
                <w:sz w:val="18"/>
                <w:szCs w:val="18"/>
              </w:rPr>
            </w:pPr>
            <w:r w:rsidRPr="00DC021E">
              <w:rPr>
                <w:noProof/>
                <w:sz w:val="18"/>
                <w:szCs w:val="18"/>
              </w:rPr>
              <w:t>Trans-fer to ESTAT for</w:t>
            </w:r>
            <w:r w:rsidRPr="00DC021E">
              <w:rPr>
                <w:noProof/>
                <w:sz w:val="18"/>
                <w:szCs w:val="18"/>
              </w:rPr>
              <w:br/>
              <w:t>LUCAS</w:t>
            </w:r>
          </w:p>
        </w:tc>
        <w:tc>
          <w:tcPr>
            <w:tcW w:w="701" w:type="dxa"/>
          </w:tcPr>
          <w:p w:rsidR="00E828EC" w:rsidRPr="00DC021E" w:rsidRDefault="00E828EC" w:rsidP="00977CF9">
            <w:pPr>
              <w:ind w:right="-29"/>
              <w:jc w:val="center"/>
              <w:rPr>
                <w:noProof/>
                <w:sz w:val="18"/>
                <w:szCs w:val="18"/>
              </w:rPr>
            </w:pPr>
            <w:r w:rsidRPr="00DC021E">
              <w:rPr>
                <w:noProof/>
                <w:sz w:val="18"/>
                <w:szCs w:val="18"/>
              </w:rPr>
              <w:t>2,5</w:t>
            </w:r>
          </w:p>
        </w:tc>
        <w:tc>
          <w:tcPr>
            <w:tcW w:w="504"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p>
        </w:tc>
        <w:tc>
          <w:tcPr>
            <w:tcW w:w="540"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p>
        </w:tc>
        <w:tc>
          <w:tcPr>
            <w:tcW w:w="900" w:type="dxa"/>
          </w:tcPr>
          <w:p w:rsidR="00E828EC" w:rsidRPr="00DC021E" w:rsidRDefault="00E828EC" w:rsidP="00977CF9">
            <w:pPr>
              <w:ind w:right="-29"/>
              <w:jc w:val="center"/>
              <w:rPr>
                <w:noProof/>
                <w:sz w:val="18"/>
                <w:szCs w:val="18"/>
              </w:rPr>
            </w:pPr>
          </w:p>
        </w:tc>
        <w:tc>
          <w:tcPr>
            <w:tcW w:w="720" w:type="dxa"/>
            <w:gridSpan w:val="2"/>
          </w:tcPr>
          <w:p w:rsidR="00E828EC" w:rsidRPr="00DC021E" w:rsidRDefault="00E828EC" w:rsidP="00977CF9">
            <w:pPr>
              <w:ind w:right="-29"/>
              <w:jc w:val="center"/>
              <w:rPr>
                <w:noProof/>
                <w:sz w:val="18"/>
                <w:szCs w:val="18"/>
              </w:rPr>
            </w:pPr>
          </w:p>
        </w:tc>
        <w:tc>
          <w:tcPr>
            <w:tcW w:w="540" w:type="dxa"/>
          </w:tcPr>
          <w:p w:rsidR="00E828EC" w:rsidRPr="00DC021E" w:rsidRDefault="00E828EC" w:rsidP="00977CF9">
            <w:pPr>
              <w:ind w:right="-29"/>
              <w:jc w:val="center"/>
              <w:rPr>
                <w:noProof/>
                <w:sz w:val="18"/>
                <w:szCs w:val="18"/>
              </w:rPr>
            </w:pPr>
          </w:p>
        </w:tc>
        <w:tc>
          <w:tcPr>
            <w:tcW w:w="648" w:type="dxa"/>
          </w:tcPr>
          <w:p w:rsidR="00E828EC" w:rsidRPr="00DC021E" w:rsidRDefault="00E828EC" w:rsidP="00977CF9">
            <w:pPr>
              <w:ind w:right="-29"/>
              <w:jc w:val="center"/>
              <w:rPr>
                <w:noProof/>
                <w:sz w:val="18"/>
                <w:szCs w:val="18"/>
              </w:rPr>
            </w:pPr>
          </w:p>
        </w:tc>
        <w:tc>
          <w:tcPr>
            <w:tcW w:w="432"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p>
        </w:tc>
        <w:tc>
          <w:tcPr>
            <w:tcW w:w="540"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p>
        </w:tc>
        <w:tc>
          <w:tcPr>
            <w:tcW w:w="720" w:type="dxa"/>
          </w:tcPr>
          <w:p w:rsidR="00E828EC" w:rsidRPr="00DC021E" w:rsidRDefault="00E828EC" w:rsidP="00977CF9">
            <w:pPr>
              <w:ind w:right="-29"/>
              <w:jc w:val="center"/>
              <w:rPr>
                <w:noProof/>
                <w:sz w:val="18"/>
                <w:szCs w:val="18"/>
              </w:rPr>
            </w:pPr>
          </w:p>
        </w:tc>
        <w:tc>
          <w:tcPr>
            <w:tcW w:w="900" w:type="dxa"/>
          </w:tcPr>
          <w:p w:rsidR="00E828EC" w:rsidRPr="00DC021E" w:rsidRDefault="00E828EC" w:rsidP="00977CF9">
            <w:pPr>
              <w:ind w:right="-29"/>
              <w:jc w:val="center"/>
              <w:rPr>
                <w:noProof/>
                <w:sz w:val="18"/>
                <w:szCs w:val="18"/>
              </w:rPr>
            </w:pPr>
          </w:p>
        </w:tc>
      </w:tr>
      <w:tr w:rsidR="00DC021E" w:rsidRPr="00DC021E" w:rsidTr="00977CF9">
        <w:trPr>
          <w:jc w:val="center"/>
        </w:trPr>
        <w:tc>
          <w:tcPr>
            <w:tcW w:w="2844" w:type="dxa"/>
            <w:gridSpan w:val="3"/>
            <w:tcBorders>
              <w:bottom w:val="single" w:sz="12" w:space="0" w:color="auto"/>
            </w:tcBorders>
            <w:vAlign w:val="center"/>
          </w:tcPr>
          <w:p w:rsidR="00E828EC" w:rsidRPr="00DC021E" w:rsidRDefault="00E828EC" w:rsidP="00977CF9">
            <w:pPr>
              <w:ind w:right="-29"/>
              <w:jc w:val="center"/>
              <w:rPr>
                <w:noProof/>
                <w:sz w:val="18"/>
                <w:szCs w:val="18"/>
              </w:rPr>
            </w:pPr>
            <w:r w:rsidRPr="00DC021E">
              <w:rPr>
                <w:noProof/>
                <w:sz w:val="18"/>
              </w:rPr>
              <w:t>Subtotal for specific objective No 1</w:t>
            </w:r>
          </w:p>
        </w:tc>
        <w:tc>
          <w:tcPr>
            <w:tcW w:w="504" w:type="dxa"/>
            <w:tcBorders>
              <w:bottom w:val="single" w:sz="12" w:space="0" w:color="auto"/>
            </w:tcBorders>
          </w:tcPr>
          <w:p w:rsidR="00E828EC" w:rsidRPr="00DC021E" w:rsidRDefault="00E828EC" w:rsidP="00977CF9">
            <w:pPr>
              <w:ind w:right="-29"/>
              <w:jc w:val="center"/>
              <w:rPr>
                <w:noProof/>
                <w:sz w:val="18"/>
                <w:szCs w:val="18"/>
              </w:rPr>
            </w:pPr>
            <w:r w:rsidRPr="00DC021E">
              <w:rPr>
                <w:noProof/>
                <w:sz w:val="18"/>
                <w:szCs w:val="18"/>
              </w:rPr>
              <w:t>2</w:t>
            </w:r>
          </w:p>
        </w:tc>
        <w:tc>
          <w:tcPr>
            <w:tcW w:w="720" w:type="dxa"/>
            <w:tcBorders>
              <w:bottom w:val="single" w:sz="12" w:space="0" w:color="auto"/>
            </w:tcBorders>
          </w:tcPr>
          <w:p w:rsidR="00E828EC" w:rsidRPr="00DC021E" w:rsidRDefault="00E828EC" w:rsidP="00977CF9">
            <w:pPr>
              <w:ind w:right="-29"/>
              <w:jc w:val="center"/>
              <w:rPr>
                <w:noProof/>
                <w:sz w:val="18"/>
                <w:szCs w:val="18"/>
              </w:rPr>
            </w:pPr>
            <w:r w:rsidRPr="00DC021E">
              <w:rPr>
                <w:noProof/>
                <w:sz w:val="18"/>
                <w:szCs w:val="18"/>
              </w:rPr>
              <w:t>1,0</w:t>
            </w:r>
          </w:p>
        </w:tc>
        <w:tc>
          <w:tcPr>
            <w:tcW w:w="540" w:type="dxa"/>
            <w:tcBorders>
              <w:bottom w:val="single" w:sz="12" w:space="0" w:color="auto"/>
            </w:tcBorders>
          </w:tcPr>
          <w:p w:rsidR="00E828EC" w:rsidRPr="00DC021E" w:rsidRDefault="00E828EC" w:rsidP="00977CF9">
            <w:pPr>
              <w:ind w:right="-29"/>
              <w:jc w:val="center"/>
              <w:rPr>
                <w:noProof/>
                <w:sz w:val="18"/>
                <w:szCs w:val="18"/>
              </w:rPr>
            </w:pPr>
            <w:r w:rsidRPr="00DC021E">
              <w:rPr>
                <w:noProof/>
                <w:sz w:val="18"/>
                <w:szCs w:val="18"/>
              </w:rPr>
              <w:t>1</w:t>
            </w:r>
          </w:p>
        </w:tc>
        <w:tc>
          <w:tcPr>
            <w:tcW w:w="720" w:type="dxa"/>
            <w:tcBorders>
              <w:bottom w:val="single" w:sz="12" w:space="0" w:color="auto"/>
            </w:tcBorders>
          </w:tcPr>
          <w:p w:rsidR="00E828EC" w:rsidRPr="00DC021E" w:rsidRDefault="00E828EC" w:rsidP="00977CF9">
            <w:pPr>
              <w:ind w:right="-29"/>
              <w:jc w:val="center"/>
              <w:rPr>
                <w:noProof/>
                <w:sz w:val="18"/>
                <w:szCs w:val="18"/>
              </w:rPr>
            </w:pPr>
            <w:r w:rsidRPr="00DC021E">
              <w:rPr>
                <w:noProof/>
                <w:sz w:val="18"/>
                <w:szCs w:val="18"/>
              </w:rPr>
              <w:t>0,600</w:t>
            </w:r>
          </w:p>
        </w:tc>
        <w:tc>
          <w:tcPr>
            <w:tcW w:w="720" w:type="dxa"/>
            <w:tcBorders>
              <w:bottom w:val="single" w:sz="12" w:space="0" w:color="auto"/>
            </w:tcBorders>
          </w:tcPr>
          <w:p w:rsidR="00E828EC" w:rsidRPr="00DC021E" w:rsidRDefault="00E828EC" w:rsidP="00977CF9">
            <w:pPr>
              <w:ind w:right="-29"/>
              <w:jc w:val="center"/>
              <w:rPr>
                <w:noProof/>
                <w:sz w:val="18"/>
                <w:szCs w:val="18"/>
              </w:rPr>
            </w:pPr>
          </w:p>
        </w:tc>
        <w:tc>
          <w:tcPr>
            <w:tcW w:w="720" w:type="dxa"/>
            <w:tcBorders>
              <w:bottom w:val="single" w:sz="12" w:space="0" w:color="auto"/>
            </w:tcBorders>
          </w:tcPr>
          <w:p w:rsidR="00E828EC" w:rsidRPr="00DC021E" w:rsidRDefault="00E828EC" w:rsidP="00977CF9">
            <w:pPr>
              <w:ind w:right="-29"/>
              <w:jc w:val="center"/>
              <w:rPr>
                <w:noProof/>
                <w:sz w:val="18"/>
                <w:szCs w:val="18"/>
              </w:rPr>
            </w:pPr>
          </w:p>
        </w:tc>
        <w:tc>
          <w:tcPr>
            <w:tcW w:w="900" w:type="dxa"/>
            <w:tcBorders>
              <w:bottom w:val="single" w:sz="12" w:space="0" w:color="auto"/>
            </w:tcBorders>
          </w:tcPr>
          <w:p w:rsidR="00E828EC" w:rsidRPr="00DC021E" w:rsidRDefault="00E828EC" w:rsidP="00977CF9">
            <w:pPr>
              <w:ind w:right="-29"/>
              <w:jc w:val="center"/>
              <w:rPr>
                <w:noProof/>
                <w:sz w:val="18"/>
                <w:szCs w:val="18"/>
              </w:rPr>
            </w:pPr>
          </w:p>
        </w:tc>
        <w:tc>
          <w:tcPr>
            <w:tcW w:w="720" w:type="dxa"/>
            <w:gridSpan w:val="2"/>
            <w:tcBorders>
              <w:bottom w:val="single" w:sz="12" w:space="0" w:color="auto"/>
            </w:tcBorders>
          </w:tcPr>
          <w:p w:rsidR="00E828EC" w:rsidRPr="00DC021E" w:rsidRDefault="00E828EC" w:rsidP="00977CF9">
            <w:pPr>
              <w:ind w:right="-29"/>
              <w:jc w:val="center"/>
              <w:rPr>
                <w:noProof/>
                <w:sz w:val="18"/>
                <w:szCs w:val="18"/>
              </w:rPr>
            </w:pPr>
          </w:p>
        </w:tc>
        <w:tc>
          <w:tcPr>
            <w:tcW w:w="540" w:type="dxa"/>
            <w:tcBorders>
              <w:bottom w:val="single" w:sz="12" w:space="0" w:color="auto"/>
            </w:tcBorders>
          </w:tcPr>
          <w:p w:rsidR="00E828EC" w:rsidRPr="00DC021E" w:rsidRDefault="00E828EC" w:rsidP="00977CF9">
            <w:pPr>
              <w:ind w:right="-29"/>
              <w:jc w:val="center"/>
              <w:rPr>
                <w:noProof/>
                <w:sz w:val="18"/>
                <w:szCs w:val="18"/>
              </w:rPr>
            </w:pPr>
          </w:p>
        </w:tc>
        <w:tc>
          <w:tcPr>
            <w:tcW w:w="648" w:type="dxa"/>
            <w:tcBorders>
              <w:bottom w:val="single" w:sz="12" w:space="0" w:color="auto"/>
            </w:tcBorders>
          </w:tcPr>
          <w:p w:rsidR="00E828EC" w:rsidRPr="00DC021E" w:rsidRDefault="00E828EC" w:rsidP="00977CF9">
            <w:pPr>
              <w:ind w:right="-29"/>
              <w:jc w:val="center"/>
              <w:rPr>
                <w:noProof/>
                <w:sz w:val="18"/>
                <w:szCs w:val="18"/>
              </w:rPr>
            </w:pPr>
          </w:p>
        </w:tc>
        <w:tc>
          <w:tcPr>
            <w:tcW w:w="432" w:type="dxa"/>
            <w:tcBorders>
              <w:bottom w:val="single" w:sz="12" w:space="0" w:color="auto"/>
            </w:tcBorders>
          </w:tcPr>
          <w:p w:rsidR="00E828EC" w:rsidRPr="00DC021E" w:rsidRDefault="00E828EC" w:rsidP="00977CF9">
            <w:pPr>
              <w:ind w:right="-29"/>
              <w:jc w:val="center"/>
              <w:rPr>
                <w:noProof/>
                <w:sz w:val="18"/>
                <w:szCs w:val="18"/>
              </w:rPr>
            </w:pPr>
          </w:p>
        </w:tc>
        <w:tc>
          <w:tcPr>
            <w:tcW w:w="720" w:type="dxa"/>
            <w:tcBorders>
              <w:bottom w:val="single" w:sz="12" w:space="0" w:color="auto"/>
            </w:tcBorders>
          </w:tcPr>
          <w:p w:rsidR="00E828EC" w:rsidRPr="00DC021E" w:rsidRDefault="00E828EC" w:rsidP="00977CF9">
            <w:pPr>
              <w:ind w:right="-29"/>
              <w:jc w:val="center"/>
              <w:rPr>
                <w:noProof/>
                <w:sz w:val="18"/>
                <w:szCs w:val="18"/>
              </w:rPr>
            </w:pPr>
          </w:p>
        </w:tc>
        <w:tc>
          <w:tcPr>
            <w:tcW w:w="540" w:type="dxa"/>
            <w:tcBorders>
              <w:bottom w:val="single" w:sz="12" w:space="0" w:color="auto"/>
            </w:tcBorders>
          </w:tcPr>
          <w:p w:rsidR="00E828EC" w:rsidRPr="00DC021E" w:rsidRDefault="00E828EC" w:rsidP="00977CF9">
            <w:pPr>
              <w:ind w:right="-29"/>
              <w:jc w:val="center"/>
              <w:rPr>
                <w:noProof/>
                <w:sz w:val="18"/>
                <w:szCs w:val="18"/>
              </w:rPr>
            </w:pPr>
          </w:p>
        </w:tc>
        <w:tc>
          <w:tcPr>
            <w:tcW w:w="720" w:type="dxa"/>
            <w:tcBorders>
              <w:bottom w:val="single" w:sz="12" w:space="0" w:color="auto"/>
            </w:tcBorders>
          </w:tcPr>
          <w:p w:rsidR="00E828EC" w:rsidRPr="00DC021E" w:rsidRDefault="00E828EC" w:rsidP="00977CF9">
            <w:pPr>
              <w:ind w:right="-29"/>
              <w:jc w:val="center"/>
              <w:rPr>
                <w:noProof/>
                <w:sz w:val="18"/>
                <w:szCs w:val="18"/>
              </w:rPr>
            </w:pPr>
          </w:p>
        </w:tc>
        <w:tc>
          <w:tcPr>
            <w:tcW w:w="720" w:type="dxa"/>
            <w:tcBorders>
              <w:bottom w:val="single" w:sz="12" w:space="0" w:color="auto"/>
            </w:tcBorders>
          </w:tcPr>
          <w:p w:rsidR="00E828EC" w:rsidRPr="00DC021E" w:rsidRDefault="00E828EC" w:rsidP="00977CF9">
            <w:pPr>
              <w:ind w:right="-29"/>
              <w:jc w:val="center"/>
              <w:rPr>
                <w:noProof/>
                <w:sz w:val="18"/>
                <w:szCs w:val="18"/>
              </w:rPr>
            </w:pPr>
            <w:r w:rsidRPr="00DC021E">
              <w:rPr>
                <w:noProof/>
                <w:sz w:val="18"/>
                <w:szCs w:val="18"/>
              </w:rPr>
              <w:t>3</w:t>
            </w:r>
          </w:p>
        </w:tc>
        <w:tc>
          <w:tcPr>
            <w:tcW w:w="900" w:type="dxa"/>
            <w:tcBorders>
              <w:bottom w:val="single" w:sz="12" w:space="0" w:color="auto"/>
            </w:tcBorders>
          </w:tcPr>
          <w:p w:rsidR="00E828EC" w:rsidRPr="00DC021E" w:rsidRDefault="00E828EC" w:rsidP="00977CF9">
            <w:pPr>
              <w:ind w:right="-29"/>
              <w:jc w:val="center"/>
              <w:rPr>
                <w:noProof/>
                <w:sz w:val="18"/>
                <w:szCs w:val="18"/>
              </w:rPr>
            </w:pPr>
            <w:r w:rsidRPr="00DC021E">
              <w:rPr>
                <w:noProof/>
                <w:sz w:val="18"/>
                <w:szCs w:val="18"/>
              </w:rPr>
              <w:t>1,6</w:t>
            </w:r>
          </w:p>
        </w:tc>
      </w:tr>
      <w:tr w:rsidR="00DC021E" w:rsidRPr="00DC021E" w:rsidTr="00977CF9">
        <w:trPr>
          <w:jc w:val="center"/>
        </w:trPr>
        <w:tc>
          <w:tcPr>
            <w:tcW w:w="2844" w:type="dxa"/>
            <w:gridSpan w:val="3"/>
            <w:vAlign w:val="center"/>
          </w:tcPr>
          <w:p w:rsidR="00AD5EB3" w:rsidRPr="00DC021E" w:rsidRDefault="00AD5EB3" w:rsidP="00977CF9">
            <w:pPr>
              <w:spacing w:before="60" w:after="60"/>
              <w:ind w:right="-29"/>
              <w:jc w:val="center"/>
              <w:rPr>
                <w:noProof/>
                <w:sz w:val="18"/>
                <w:szCs w:val="18"/>
              </w:rPr>
            </w:pPr>
            <w:r w:rsidRPr="00DC021E">
              <w:rPr>
                <w:noProof/>
                <w:sz w:val="18"/>
              </w:rPr>
              <w:t>SPECIFIC OBJECTIVE No 2 ...</w:t>
            </w:r>
          </w:p>
        </w:tc>
        <w:tc>
          <w:tcPr>
            <w:tcW w:w="504"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72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54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72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72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72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90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720" w:type="dxa"/>
            <w:gridSpan w:val="2"/>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54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648"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432"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72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54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72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72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c>
          <w:tcPr>
            <w:tcW w:w="900" w:type="dxa"/>
            <w:tcBorders>
              <w:top w:val="nil"/>
              <w:left w:val="nil"/>
              <w:bottom w:val="nil"/>
              <w:right w:val="nil"/>
            </w:tcBorders>
          </w:tcPr>
          <w:p w:rsidR="00AD5EB3" w:rsidRPr="00DC021E" w:rsidRDefault="00AD5EB3" w:rsidP="00977CF9">
            <w:pPr>
              <w:spacing w:before="60" w:after="60"/>
              <w:ind w:right="-29"/>
              <w:jc w:val="center"/>
              <w:rPr>
                <w:noProof/>
                <w:sz w:val="18"/>
                <w:szCs w:val="18"/>
              </w:rPr>
            </w:pPr>
          </w:p>
        </w:tc>
      </w:tr>
      <w:tr w:rsidR="00DC021E" w:rsidRPr="00DC021E" w:rsidTr="00977CF9">
        <w:trPr>
          <w:trHeight w:hRule="exact" w:val="369"/>
          <w:jc w:val="center"/>
        </w:trPr>
        <w:tc>
          <w:tcPr>
            <w:tcW w:w="1423" w:type="dxa"/>
          </w:tcPr>
          <w:p w:rsidR="00AD5EB3" w:rsidRPr="00DC021E" w:rsidRDefault="00AD5EB3" w:rsidP="00977CF9">
            <w:pPr>
              <w:ind w:right="-29"/>
              <w:jc w:val="center"/>
              <w:rPr>
                <w:noProof/>
                <w:sz w:val="18"/>
                <w:szCs w:val="18"/>
              </w:rPr>
            </w:pPr>
            <w:r w:rsidRPr="00DC021E">
              <w:rPr>
                <w:noProof/>
                <w:sz w:val="18"/>
              </w:rPr>
              <w:t>- Output</w:t>
            </w:r>
          </w:p>
        </w:tc>
        <w:tc>
          <w:tcPr>
            <w:tcW w:w="720" w:type="dxa"/>
          </w:tcPr>
          <w:p w:rsidR="00AD5EB3" w:rsidRPr="00DC021E" w:rsidRDefault="00AD5EB3" w:rsidP="00977CF9">
            <w:pPr>
              <w:ind w:right="-29"/>
              <w:jc w:val="center"/>
              <w:rPr>
                <w:noProof/>
                <w:sz w:val="18"/>
                <w:szCs w:val="18"/>
              </w:rPr>
            </w:pPr>
          </w:p>
        </w:tc>
        <w:tc>
          <w:tcPr>
            <w:tcW w:w="701" w:type="dxa"/>
          </w:tcPr>
          <w:p w:rsidR="00AD5EB3" w:rsidRPr="00DC021E" w:rsidRDefault="00AD5EB3" w:rsidP="00977CF9">
            <w:pPr>
              <w:ind w:right="-29"/>
              <w:jc w:val="center"/>
              <w:rPr>
                <w:noProof/>
                <w:sz w:val="18"/>
                <w:szCs w:val="18"/>
              </w:rPr>
            </w:pPr>
          </w:p>
        </w:tc>
        <w:tc>
          <w:tcPr>
            <w:tcW w:w="504" w:type="dxa"/>
          </w:tcPr>
          <w:p w:rsidR="00AD5EB3" w:rsidRPr="00DC021E" w:rsidRDefault="00AD5EB3" w:rsidP="00977CF9">
            <w:pPr>
              <w:ind w:right="-29"/>
              <w:jc w:val="center"/>
              <w:rPr>
                <w:noProof/>
                <w:sz w:val="18"/>
                <w:szCs w:val="18"/>
              </w:rPr>
            </w:pPr>
          </w:p>
        </w:tc>
        <w:tc>
          <w:tcPr>
            <w:tcW w:w="720" w:type="dxa"/>
          </w:tcPr>
          <w:p w:rsidR="00AD5EB3" w:rsidRPr="00DC021E" w:rsidRDefault="00AD5EB3" w:rsidP="00977CF9">
            <w:pPr>
              <w:ind w:right="-29"/>
              <w:jc w:val="center"/>
              <w:rPr>
                <w:noProof/>
                <w:sz w:val="18"/>
                <w:szCs w:val="18"/>
              </w:rPr>
            </w:pPr>
          </w:p>
        </w:tc>
        <w:tc>
          <w:tcPr>
            <w:tcW w:w="540" w:type="dxa"/>
          </w:tcPr>
          <w:p w:rsidR="00AD5EB3" w:rsidRPr="00DC021E" w:rsidRDefault="00AD5EB3" w:rsidP="00977CF9">
            <w:pPr>
              <w:ind w:right="-29"/>
              <w:jc w:val="center"/>
              <w:rPr>
                <w:noProof/>
                <w:sz w:val="18"/>
                <w:szCs w:val="18"/>
              </w:rPr>
            </w:pPr>
          </w:p>
        </w:tc>
        <w:tc>
          <w:tcPr>
            <w:tcW w:w="720" w:type="dxa"/>
          </w:tcPr>
          <w:p w:rsidR="00AD5EB3" w:rsidRPr="00DC021E" w:rsidRDefault="00AD5EB3" w:rsidP="00977CF9">
            <w:pPr>
              <w:ind w:right="-29"/>
              <w:jc w:val="center"/>
              <w:rPr>
                <w:noProof/>
                <w:sz w:val="18"/>
                <w:szCs w:val="18"/>
              </w:rPr>
            </w:pPr>
          </w:p>
        </w:tc>
        <w:tc>
          <w:tcPr>
            <w:tcW w:w="720" w:type="dxa"/>
          </w:tcPr>
          <w:p w:rsidR="00AD5EB3" w:rsidRPr="00DC021E" w:rsidRDefault="00AD5EB3" w:rsidP="00977CF9">
            <w:pPr>
              <w:ind w:right="-29"/>
              <w:jc w:val="center"/>
              <w:rPr>
                <w:noProof/>
                <w:sz w:val="18"/>
                <w:szCs w:val="18"/>
              </w:rPr>
            </w:pPr>
          </w:p>
        </w:tc>
        <w:tc>
          <w:tcPr>
            <w:tcW w:w="720" w:type="dxa"/>
          </w:tcPr>
          <w:p w:rsidR="00AD5EB3" w:rsidRPr="00DC021E" w:rsidRDefault="00AD5EB3" w:rsidP="00977CF9">
            <w:pPr>
              <w:ind w:right="-29"/>
              <w:jc w:val="center"/>
              <w:rPr>
                <w:noProof/>
                <w:sz w:val="18"/>
                <w:szCs w:val="18"/>
              </w:rPr>
            </w:pPr>
          </w:p>
        </w:tc>
        <w:tc>
          <w:tcPr>
            <w:tcW w:w="900" w:type="dxa"/>
          </w:tcPr>
          <w:p w:rsidR="00AD5EB3" w:rsidRPr="00DC021E" w:rsidRDefault="00AD5EB3" w:rsidP="00977CF9">
            <w:pPr>
              <w:ind w:right="-29"/>
              <w:jc w:val="center"/>
              <w:rPr>
                <w:noProof/>
                <w:sz w:val="18"/>
                <w:szCs w:val="18"/>
              </w:rPr>
            </w:pPr>
          </w:p>
        </w:tc>
        <w:tc>
          <w:tcPr>
            <w:tcW w:w="720" w:type="dxa"/>
            <w:gridSpan w:val="2"/>
          </w:tcPr>
          <w:p w:rsidR="00AD5EB3" w:rsidRPr="00DC021E" w:rsidRDefault="00AD5EB3" w:rsidP="00977CF9">
            <w:pPr>
              <w:ind w:right="-29"/>
              <w:jc w:val="center"/>
              <w:rPr>
                <w:noProof/>
                <w:sz w:val="18"/>
                <w:szCs w:val="18"/>
              </w:rPr>
            </w:pPr>
          </w:p>
        </w:tc>
        <w:tc>
          <w:tcPr>
            <w:tcW w:w="540" w:type="dxa"/>
          </w:tcPr>
          <w:p w:rsidR="00AD5EB3" w:rsidRPr="00DC021E" w:rsidRDefault="00AD5EB3" w:rsidP="00977CF9">
            <w:pPr>
              <w:ind w:right="-29"/>
              <w:jc w:val="center"/>
              <w:rPr>
                <w:noProof/>
                <w:sz w:val="18"/>
                <w:szCs w:val="18"/>
              </w:rPr>
            </w:pPr>
          </w:p>
        </w:tc>
        <w:tc>
          <w:tcPr>
            <w:tcW w:w="648" w:type="dxa"/>
          </w:tcPr>
          <w:p w:rsidR="00AD5EB3" w:rsidRPr="00DC021E" w:rsidRDefault="00AD5EB3" w:rsidP="00977CF9">
            <w:pPr>
              <w:ind w:right="-29"/>
              <w:jc w:val="center"/>
              <w:rPr>
                <w:noProof/>
                <w:sz w:val="18"/>
                <w:szCs w:val="18"/>
              </w:rPr>
            </w:pPr>
          </w:p>
        </w:tc>
        <w:tc>
          <w:tcPr>
            <w:tcW w:w="432" w:type="dxa"/>
          </w:tcPr>
          <w:p w:rsidR="00AD5EB3" w:rsidRPr="00DC021E" w:rsidRDefault="00AD5EB3" w:rsidP="00977CF9">
            <w:pPr>
              <w:ind w:right="-29"/>
              <w:jc w:val="center"/>
              <w:rPr>
                <w:noProof/>
                <w:sz w:val="18"/>
                <w:szCs w:val="18"/>
              </w:rPr>
            </w:pPr>
          </w:p>
        </w:tc>
        <w:tc>
          <w:tcPr>
            <w:tcW w:w="720" w:type="dxa"/>
          </w:tcPr>
          <w:p w:rsidR="00AD5EB3" w:rsidRPr="00DC021E" w:rsidRDefault="00AD5EB3" w:rsidP="00977CF9">
            <w:pPr>
              <w:ind w:right="-29"/>
              <w:jc w:val="center"/>
              <w:rPr>
                <w:noProof/>
                <w:sz w:val="18"/>
                <w:szCs w:val="18"/>
              </w:rPr>
            </w:pPr>
          </w:p>
        </w:tc>
        <w:tc>
          <w:tcPr>
            <w:tcW w:w="540" w:type="dxa"/>
          </w:tcPr>
          <w:p w:rsidR="00AD5EB3" w:rsidRPr="00DC021E" w:rsidRDefault="00AD5EB3" w:rsidP="00977CF9">
            <w:pPr>
              <w:ind w:right="-29"/>
              <w:jc w:val="center"/>
              <w:rPr>
                <w:noProof/>
                <w:sz w:val="18"/>
                <w:szCs w:val="18"/>
              </w:rPr>
            </w:pPr>
          </w:p>
        </w:tc>
        <w:tc>
          <w:tcPr>
            <w:tcW w:w="720" w:type="dxa"/>
          </w:tcPr>
          <w:p w:rsidR="00AD5EB3" w:rsidRPr="00DC021E" w:rsidRDefault="00AD5EB3" w:rsidP="00977CF9">
            <w:pPr>
              <w:ind w:right="-29"/>
              <w:jc w:val="center"/>
              <w:rPr>
                <w:noProof/>
                <w:sz w:val="18"/>
                <w:szCs w:val="18"/>
              </w:rPr>
            </w:pPr>
          </w:p>
        </w:tc>
        <w:tc>
          <w:tcPr>
            <w:tcW w:w="720" w:type="dxa"/>
          </w:tcPr>
          <w:p w:rsidR="00AD5EB3" w:rsidRPr="00DC021E" w:rsidRDefault="00AD5EB3" w:rsidP="00977CF9">
            <w:pPr>
              <w:ind w:right="-29"/>
              <w:jc w:val="center"/>
              <w:rPr>
                <w:noProof/>
                <w:sz w:val="18"/>
                <w:szCs w:val="18"/>
              </w:rPr>
            </w:pPr>
            <w:r w:rsidRPr="00DC021E">
              <w:rPr>
                <w:noProof/>
                <w:sz w:val="18"/>
                <w:szCs w:val="18"/>
              </w:rPr>
              <w:t>1</w:t>
            </w:r>
          </w:p>
        </w:tc>
        <w:tc>
          <w:tcPr>
            <w:tcW w:w="900" w:type="dxa"/>
          </w:tcPr>
          <w:p w:rsidR="00AD5EB3" w:rsidRPr="00DC021E" w:rsidRDefault="00AD5EB3" w:rsidP="00977CF9">
            <w:pPr>
              <w:ind w:right="-29"/>
              <w:jc w:val="center"/>
              <w:rPr>
                <w:noProof/>
                <w:sz w:val="18"/>
                <w:szCs w:val="18"/>
              </w:rPr>
            </w:pPr>
            <w:r w:rsidRPr="00DC021E">
              <w:rPr>
                <w:noProof/>
                <w:sz w:val="18"/>
                <w:szCs w:val="18"/>
              </w:rPr>
              <w:t>0,5</w:t>
            </w:r>
          </w:p>
        </w:tc>
      </w:tr>
      <w:tr w:rsidR="00DC021E" w:rsidRPr="00DC021E" w:rsidTr="00977CF9">
        <w:trPr>
          <w:jc w:val="center"/>
        </w:trPr>
        <w:tc>
          <w:tcPr>
            <w:tcW w:w="2844" w:type="dxa"/>
            <w:gridSpan w:val="3"/>
            <w:tcBorders>
              <w:bottom w:val="single" w:sz="12" w:space="0" w:color="auto"/>
            </w:tcBorders>
            <w:vAlign w:val="center"/>
          </w:tcPr>
          <w:p w:rsidR="00AD5EB3" w:rsidRPr="00DC021E" w:rsidRDefault="00AD5EB3" w:rsidP="00977CF9">
            <w:pPr>
              <w:jc w:val="center"/>
              <w:rPr>
                <w:noProof/>
                <w:sz w:val="18"/>
                <w:szCs w:val="18"/>
              </w:rPr>
            </w:pPr>
            <w:r w:rsidRPr="00DC021E">
              <w:rPr>
                <w:noProof/>
                <w:sz w:val="18"/>
              </w:rPr>
              <w:t>Subtotal for specific objective No 2</w:t>
            </w:r>
          </w:p>
        </w:tc>
        <w:tc>
          <w:tcPr>
            <w:tcW w:w="504" w:type="dxa"/>
            <w:tcBorders>
              <w:bottom w:val="single" w:sz="12" w:space="0" w:color="auto"/>
            </w:tcBorders>
          </w:tcPr>
          <w:p w:rsidR="00AD5EB3" w:rsidRPr="00DC021E" w:rsidRDefault="00AD5EB3" w:rsidP="00977CF9">
            <w:pPr>
              <w:ind w:right="-29"/>
              <w:jc w:val="center"/>
              <w:rPr>
                <w:noProof/>
                <w:sz w:val="18"/>
                <w:szCs w:val="18"/>
              </w:rPr>
            </w:pPr>
          </w:p>
        </w:tc>
        <w:tc>
          <w:tcPr>
            <w:tcW w:w="720" w:type="dxa"/>
            <w:tcBorders>
              <w:bottom w:val="single" w:sz="12" w:space="0" w:color="auto"/>
            </w:tcBorders>
          </w:tcPr>
          <w:p w:rsidR="00AD5EB3" w:rsidRPr="00DC021E" w:rsidRDefault="00AD5EB3" w:rsidP="00977CF9">
            <w:pPr>
              <w:ind w:right="-29"/>
              <w:jc w:val="center"/>
              <w:rPr>
                <w:noProof/>
                <w:sz w:val="18"/>
                <w:szCs w:val="18"/>
              </w:rPr>
            </w:pPr>
          </w:p>
        </w:tc>
        <w:tc>
          <w:tcPr>
            <w:tcW w:w="540" w:type="dxa"/>
            <w:tcBorders>
              <w:bottom w:val="single" w:sz="12" w:space="0" w:color="auto"/>
            </w:tcBorders>
          </w:tcPr>
          <w:p w:rsidR="00AD5EB3" w:rsidRPr="00DC021E" w:rsidRDefault="00AD5EB3" w:rsidP="00977CF9">
            <w:pPr>
              <w:ind w:right="-29"/>
              <w:jc w:val="center"/>
              <w:rPr>
                <w:noProof/>
                <w:sz w:val="18"/>
                <w:szCs w:val="18"/>
              </w:rPr>
            </w:pPr>
          </w:p>
        </w:tc>
        <w:tc>
          <w:tcPr>
            <w:tcW w:w="720" w:type="dxa"/>
            <w:tcBorders>
              <w:bottom w:val="single" w:sz="12" w:space="0" w:color="auto"/>
            </w:tcBorders>
          </w:tcPr>
          <w:p w:rsidR="00AD5EB3" w:rsidRPr="00DC021E" w:rsidRDefault="00AD5EB3" w:rsidP="00977CF9">
            <w:pPr>
              <w:ind w:right="-29"/>
              <w:jc w:val="center"/>
              <w:rPr>
                <w:noProof/>
                <w:sz w:val="18"/>
                <w:szCs w:val="18"/>
              </w:rPr>
            </w:pPr>
          </w:p>
        </w:tc>
        <w:tc>
          <w:tcPr>
            <w:tcW w:w="720" w:type="dxa"/>
            <w:tcBorders>
              <w:bottom w:val="single" w:sz="12" w:space="0" w:color="auto"/>
            </w:tcBorders>
          </w:tcPr>
          <w:p w:rsidR="00AD5EB3" w:rsidRPr="00DC021E" w:rsidRDefault="00AD5EB3" w:rsidP="00977CF9">
            <w:pPr>
              <w:ind w:right="-29"/>
              <w:jc w:val="center"/>
              <w:rPr>
                <w:noProof/>
                <w:sz w:val="18"/>
                <w:szCs w:val="18"/>
              </w:rPr>
            </w:pPr>
          </w:p>
        </w:tc>
        <w:tc>
          <w:tcPr>
            <w:tcW w:w="720" w:type="dxa"/>
            <w:tcBorders>
              <w:bottom w:val="single" w:sz="12" w:space="0" w:color="auto"/>
            </w:tcBorders>
          </w:tcPr>
          <w:p w:rsidR="00AD5EB3" w:rsidRPr="00DC021E" w:rsidRDefault="00AD5EB3" w:rsidP="00977CF9">
            <w:pPr>
              <w:ind w:right="-29"/>
              <w:jc w:val="center"/>
              <w:rPr>
                <w:noProof/>
                <w:sz w:val="18"/>
                <w:szCs w:val="18"/>
              </w:rPr>
            </w:pPr>
          </w:p>
        </w:tc>
        <w:tc>
          <w:tcPr>
            <w:tcW w:w="951" w:type="dxa"/>
            <w:gridSpan w:val="2"/>
            <w:tcBorders>
              <w:bottom w:val="single" w:sz="12" w:space="0" w:color="auto"/>
            </w:tcBorders>
          </w:tcPr>
          <w:p w:rsidR="00AD5EB3" w:rsidRPr="00DC021E" w:rsidRDefault="00AD5EB3" w:rsidP="00977CF9">
            <w:pPr>
              <w:ind w:right="-29"/>
              <w:jc w:val="center"/>
              <w:rPr>
                <w:noProof/>
                <w:sz w:val="18"/>
                <w:szCs w:val="18"/>
              </w:rPr>
            </w:pPr>
          </w:p>
        </w:tc>
        <w:tc>
          <w:tcPr>
            <w:tcW w:w="669" w:type="dxa"/>
            <w:tcBorders>
              <w:bottom w:val="single" w:sz="12" w:space="0" w:color="auto"/>
            </w:tcBorders>
          </w:tcPr>
          <w:p w:rsidR="00AD5EB3" w:rsidRPr="00DC021E" w:rsidRDefault="00AD5EB3" w:rsidP="00977CF9">
            <w:pPr>
              <w:ind w:right="-29"/>
              <w:jc w:val="center"/>
              <w:rPr>
                <w:noProof/>
                <w:sz w:val="18"/>
                <w:szCs w:val="18"/>
              </w:rPr>
            </w:pPr>
          </w:p>
        </w:tc>
        <w:tc>
          <w:tcPr>
            <w:tcW w:w="540" w:type="dxa"/>
            <w:tcBorders>
              <w:bottom w:val="single" w:sz="12" w:space="0" w:color="auto"/>
            </w:tcBorders>
          </w:tcPr>
          <w:p w:rsidR="00AD5EB3" w:rsidRPr="00DC021E" w:rsidRDefault="00AD5EB3" w:rsidP="00977CF9">
            <w:pPr>
              <w:ind w:right="-29"/>
              <w:jc w:val="center"/>
              <w:rPr>
                <w:noProof/>
                <w:sz w:val="18"/>
                <w:szCs w:val="18"/>
              </w:rPr>
            </w:pPr>
          </w:p>
        </w:tc>
        <w:tc>
          <w:tcPr>
            <w:tcW w:w="648" w:type="dxa"/>
            <w:tcBorders>
              <w:bottom w:val="single" w:sz="12" w:space="0" w:color="auto"/>
            </w:tcBorders>
          </w:tcPr>
          <w:p w:rsidR="00AD5EB3" w:rsidRPr="00DC021E" w:rsidRDefault="00AD5EB3" w:rsidP="00977CF9">
            <w:pPr>
              <w:ind w:right="-29"/>
              <w:jc w:val="center"/>
              <w:rPr>
                <w:noProof/>
                <w:sz w:val="18"/>
                <w:szCs w:val="18"/>
              </w:rPr>
            </w:pPr>
          </w:p>
        </w:tc>
        <w:tc>
          <w:tcPr>
            <w:tcW w:w="432" w:type="dxa"/>
            <w:tcBorders>
              <w:bottom w:val="single" w:sz="12" w:space="0" w:color="auto"/>
            </w:tcBorders>
          </w:tcPr>
          <w:p w:rsidR="00AD5EB3" w:rsidRPr="00DC021E" w:rsidRDefault="00AD5EB3" w:rsidP="00977CF9">
            <w:pPr>
              <w:ind w:right="-29"/>
              <w:jc w:val="center"/>
              <w:rPr>
                <w:noProof/>
                <w:sz w:val="18"/>
                <w:szCs w:val="18"/>
              </w:rPr>
            </w:pPr>
          </w:p>
        </w:tc>
        <w:tc>
          <w:tcPr>
            <w:tcW w:w="720" w:type="dxa"/>
            <w:tcBorders>
              <w:bottom w:val="single" w:sz="12" w:space="0" w:color="auto"/>
            </w:tcBorders>
          </w:tcPr>
          <w:p w:rsidR="00AD5EB3" w:rsidRPr="00DC021E" w:rsidRDefault="00AD5EB3" w:rsidP="00977CF9">
            <w:pPr>
              <w:ind w:right="-29"/>
              <w:jc w:val="center"/>
              <w:rPr>
                <w:noProof/>
                <w:sz w:val="18"/>
                <w:szCs w:val="18"/>
              </w:rPr>
            </w:pPr>
          </w:p>
        </w:tc>
        <w:tc>
          <w:tcPr>
            <w:tcW w:w="540" w:type="dxa"/>
            <w:tcBorders>
              <w:bottom w:val="single" w:sz="12" w:space="0" w:color="auto"/>
            </w:tcBorders>
          </w:tcPr>
          <w:p w:rsidR="00AD5EB3" w:rsidRPr="00DC021E" w:rsidRDefault="00AD5EB3" w:rsidP="00977CF9">
            <w:pPr>
              <w:ind w:right="-29"/>
              <w:jc w:val="center"/>
              <w:rPr>
                <w:noProof/>
                <w:sz w:val="18"/>
                <w:szCs w:val="18"/>
              </w:rPr>
            </w:pPr>
          </w:p>
        </w:tc>
        <w:tc>
          <w:tcPr>
            <w:tcW w:w="720" w:type="dxa"/>
            <w:tcBorders>
              <w:bottom w:val="single" w:sz="12" w:space="0" w:color="auto"/>
            </w:tcBorders>
          </w:tcPr>
          <w:p w:rsidR="00AD5EB3" w:rsidRPr="00DC021E" w:rsidRDefault="00AD5EB3" w:rsidP="00977CF9">
            <w:pPr>
              <w:ind w:right="-29"/>
              <w:jc w:val="center"/>
              <w:rPr>
                <w:noProof/>
                <w:sz w:val="18"/>
                <w:szCs w:val="18"/>
              </w:rPr>
            </w:pPr>
          </w:p>
        </w:tc>
        <w:tc>
          <w:tcPr>
            <w:tcW w:w="720" w:type="dxa"/>
            <w:tcBorders>
              <w:bottom w:val="single" w:sz="12" w:space="0" w:color="auto"/>
            </w:tcBorders>
          </w:tcPr>
          <w:p w:rsidR="00AD5EB3" w:rsidRPr="00DC021E" w:rsidRDefault="00AD5EB3" w:rsidP="00977CF9">
            <w:pPr>
              <w:ind w:right="-29"/>
              <w:jc w:val="center"/>
              <w:rPr>
                <w:noProof/>
                <w:sz w:val="18"/>
                <w:szCs w:val="18"/>
              </w:rPr>
            </w:pPr>
          </w:p>
        </w:tc>
        <w:tc>
          <w:tcPr>
            <w:tcW w:w="900" w:type="dxa"/>
            <w:tcBorders>
              <w:bottom w:val="single" w:sz="12" w:space="0" w:color="auto"/>
            </w:tcBorders>
          </w:tcPr>
          <w:p w:rsidR="00AD5EB3" w:rsidRPr="00DC021E" w:rsidRDefault="00AD5EB3" w:rsidP="00977CF9">
            <w:pPr>
              <w:ind w:right="-29"/>
              <w:jc w:val="center"/>
              <w:rPr>
                <w:noProof/>
                <w:sz w:val="18"/>
                <w:szCs w:val="18"/>
              </w:rPr>
            </w:pPr>
          </w:p>
        </w:tc>
      </w:tr>
      <w:tr w:rsidR="00DC021E" w:rsidRPr="00DC021E" w:rsidTr="00977CF9">
        <w:trPr>
          <w:jc w:val="center"/>
        </w:trPr>
        <w:tc>
          <w:tcPr>
            <w:tcW w:w="2844" w:type="dxa"/>
            <w:gridSpan w:val="3"/>
            <w:tcBorders>
              <w:top w:val="single" w:sz="12" w:space="0" w:color="auto"/>
              <w:left w:val="single" w:sz="12" w:space="0" w:color="auto"/>
              <w:bottom w:val="single" w:sz="12" w:space="0" w:color="auto"/>
            </w:tcBorders>
            <w:vAlign w:val="center"/>
          </w:tcPr>
          <w:p w:rsidR="00AD5EB3" w:rsidRPr="00DC021E" w:rsidRDefault="00AD5EB3" w:rsidP="00977CF9">
            <w:pPr>
              <w:ind w:right="-29"/>
              <w:jc w:val="center"/>
              <w:rPr>
                <w:noProof/>
                <w:sz w:val="18"/>
                <w:szCs w:val="18"/>
              </w:rPr>
            </w:pPr>
            <w:r w:rsidRPr="00DC021E">
              <w:rPr>
                <w:b/>
                <w:noProof/>
                <w:sz w:val="18"/>
              </w:rPr>
              <w:t>TOTAL COST</w:t>
            </w:r>
          </w:p>
        </w:tc>
        <w:tc>
          <w:tcPr>
            <w:tcW w:w="504"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r w:rsidRPr="00DC021E">
              <w:rPr>
                <w:noProof/>
                <w:sz w:val="18"/>
                <w:szCs w:val="18"/>
              </w:rPr>
              <w:t>2</w:t>
            </w:r>
          </w:p>
        </w:tc>
        <w:tc>
          <w:tcPr>
            <w:tcW w:w="720"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r w:rsidRPr="00DC021E">
              <w:rPr>
                <w:noProof/>
                <w:sz w:val="18"/>
                <w:szCs w:val="18"/>
              </w:rPr>
              <w:t>1,0</w:t>
            </w:r>
          </w:p>
        </w:tc>
        <w:tc>
          <w:tcPr>
            <w:tcW w:w="540"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r w:rsidRPr="00DC021E">
              <w:rPr>
                <w:noProof/>
                <w:sz w:val="18"/>
                <w:szCs w:val="18"/>
              </w:rPr>
              <w:t>1</w:t>
            </w:r>
          </w:p>
        </w:tc>
        <w:tc>
          <w:tcPr>
            <w:tcW w:w="720"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r w:rsidRPr="00DC021E">
              <w:rPr>
                <w:noProof/>
                <w:sz w:val="18"/>
                <w:szCs w:val="18"/>
              </w:rPr>
              <w:t>0,600</w:t>
            </w:r>
          </w:p>
        </w:tc>
        <w:tc>
          <w:tcPr>
            <w:tcW w:w="720"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p>
        </w:tc>
        <w:tc>
          <w:tcPr>
            <w:tcW w:w="720"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p>
        </w:tc>
        <w:tc>
          <w:tcPr>
            <w:tcW w:w="900"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p>
        </w:tc>
        <w:tc>
          <w:tcPr>
            <w:tcW w:w="540"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p>
        </w:tc>
        <w:tc>
          <w:tcPr>
            <w:tcW w:w="648"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p>
        </w:tc>
        <w:tc>
          <w:tcPr>
            <w:tcW w:w="432"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p>
        </w:tc>
        <w:tc>
          <w:tcPr>
            <w:tcW w:w="720"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p>
        </w:tc>
        <w:tc>
          <w:tcPr>
            <w:tcW w:w="540"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p>
        </w:tc>
        <w:tc>
          <w:tcPr>
            <w:tcW w:w="720"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p>
        </w:tc>
        <w:tc>
          <w:tcPr>
            <w:tcW w:w="720" w:type="dxa"/>
            <w:tcBorders>
              <w:top w:val="single" w:sz="12" w:space="0" w:color="auto"/>
              <w:bottom w:val="single" w:sz="12" w:space="0" w:color="auto"/>
            </w:tcBorders>
          </w:tcPr>
          <w:p w:rsidR="00AD5EB3" w:rsidRPr="00DC021E" w:rsidRDefault="00AD5EB3" w:rsidP="00977CF9">
            <w:pPr>
              <w:spacing w:before="180" w:after="180"/>
              <w:ind w:right="-29"/>
              <w:jc w:val="center"/>
              <w:rPr>
                <w:noProof/>
                <w:sz w:val="18"/>
                <w:szCs w:val="18"/>
              </w:rPr>
            </w:pPr>
            <w:r w:rsidRPr="00DC021E">
              <w:rPr>
                <w:noProof/>
                <w:sz w:val="18"/>
                <w:szCs w:val="18"/>
              </w:rPr>
              <w:t>3</w:t>
            </w:r>
          </w:p>
        </w:tc>
        <w:tc>
          <w:tcPr>
            <w:tcW w:w="900" w:type="dxa"/>
            <w:tcBorders>
              <w:top w:val="single" w:sz="12" w:space="0" w:color="auto"/>
              <w:bottom w:val="single" w:sz="12" w:space="0" w:color="auto"/>
              <w:right w:val="single" w:sz="12" w:space="0" w:color="auto"/>
            </w:tcBorders>
          </w:tcPr>
          <w:p w:rsidR="00AD5EB3" w:rsidRPr="00DC021E" w:rsidRDefault="00AD5EB3" w:rsidP="00977CF9">
            <w:pPr>
              <w:spacing w:before="180" w:after="180"/>
              <w:ind w:right="-29"/>
              <w:jc w:val="center"/>
              <w:rPr>
                <w:noProof/>
                <w:sz w:val="18"/>
                <w:szCs w:val="18"/>
              </w:rPr>
            </w:pPr>
            <w:r w:rsidRPr="00DC021E">
              <w:rPr>
                <w:noProof/>
                <w:sz w:val="18"/>
                <w:szCs w:val="18"/>
              </w:rPr>
              <w:t>1,6</w:t>
            </w:r>
          </w:p>
        </w:tc>
      </w:tr>
    </w:tbl>
    <w:p w:rsidR="00DC64CF" w:rsidRPr="00DC021E" w:rsidRDefault="00DC64CF" w:rsidP="00977CF9">
      <w:pPr>
        <w:rPr>
          <w:noProof/>
        </w:rPr>
        <w:sectPr w:rsidR="00DC64CF" w:rsidRPr="00DC021E" w:rsidSect="006A2759">
          <w:pgSz w:w="16840" w:h="11907" w:orient="landscape" w:code="9"/>
          <w:pgMar w:top="1134" w:right="1418" w:bottom="567" w:left="1418" w:header="709" w:footer="709" w:gutter="0"/>
          <w:cols w:space="708"/>
          <w:docGrid w:linePitch="360"/>
        </w:sectPr>
      </w:pPr>
    </w:p>
    <w:p w:rsidR="00DC64CF" w:rsidRPr="00DC021E" w:rsidRDefault="00DC64CF" w:rsidP="00977CF9">
      <w:pPr>
        <w:pStyle w:val="Heading3"/>
        <w:rPr>
          <w:bCs w:val="0"/>
          <w:noProof/>
          <w:szCs w:val="24"/>
        </w:rPr>
      </w:pPr>
      <w:r w:rsidRPr="00DC021E">
        <w:rPr>
          <w:noProof/>
        </w:rPr>
        <w:t>Estimated impact on appropriations of an administrative nature</w:t>
      </w:r>
    </w:p>
    <w:p w:rsidR="00DC64CF" w:rsidRPr="00DC021E" w:rsidRDefault="00DC64CF" w:rsidP="00977CF9">
      <w:pPr>
        <w:pStyle w:val="Heading4"/>
        <w:rPr>
          <w:noProof/>
        </w:rPr>
      </w:pPr>
      <w:r w:rsidRPr="00DC021E">
        <w:rPr>
          <w:noProof/>
        </w:rPr>
        <w:t xml:space="preserve">Summary </w:t>
      </w:r>
    </w:p>
    <w:p w:rsidR="00DC64CF" w:rsidRPr="00DC021E" w:rsidRDefault="00DC64CF" w:rsidP="00977CF9">
      <w:pPr>
        <w:pStyle w:val="ListDash1"/>
        <w:rPr>
          <w:noProof/>
        </w:rPr>
      </w:pPr>
      <w:r w:rsidRPr="00DC021E">
        <w:rPr>
          <w:noProof/>
        </w:rPr>
        <w:sym w:font="Wingdings" w:char="F0A8"/>
      </w:r>
      <w:r w:rsidRPr="00DC021E">
        <w:rPr>
          <w:noProof/>
        </w:rPr>
        <w:tab/>
        <w:t xml:space="preserve">The proposal/initiative does not require the use of appropriations of an administrative nature </w:t>
      </w:r>
    </w:p>
    <w:p w:rsidR="00DC64CF" w:rsidRPr="00DC021E" w:rsidRDefault="00DC64CF" w:rsidP="00977CF9">
      <w:pPr>
        <w:pStyle w:val="ListDash1"/>
        <w:rPr>
          <w:noProof/>
        </w:rPr>
      </w:pPr>
      <w:r w:rsidRPr="00DC021E">
        <w:rPr>
          <w:strike/>
          <w:noProof/>
        </w:rPr>
        <w:sym w:font="Wingdings" w:char="F0A8"/>
      </w:r>
      <w:r w:rsidRPr="00DC021E">
        <w:rPr>
          <w:noProof/>
        </w:rPr>
        <w:tab/>
        <w:t>The proposal/initiative requires the use of appropriations of an administrative nature, as explained below:</w:t>
      </w:r>
    </w:p>
    <w:p w:rsidR="00DC64CF" w:rsidRPr="00DC021E" w:rsidRDefault="00DC64CF" w:rsidP="00977CF9">
      <w:pPr>
        <w:rPr>
          <w:noProof/>
          <w:sz w:val="20"/>
        </w:rPr>
      </w:pPr>
      <w:r w:rsidRPr="00DC021E">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DC021E" w:rsidRPr="00DC021E" w:rsidTr="00977CF9">
        <w:trPr>
          <w:trHeight w:val="585"/>
        </w:trPr>
        <w:tc>
          <w:tcPr>
            <w:tcW w:w="1980" w:type="dxa"/>
          </w:tcPr>
          <w:p w:rsidR="006765FE" w:rsidRPr="00DC021E" w:rsidRDefault="006765FE" w:rsidP="00977CF9">
            <w:pPr>
              <w:spacing w:before="60" w:after="60" w:line="200" w:lineRule="exact"/>
              <w:rPr>
                <w:noProof/>
                <w:sz w:val="16"/>
                <w:szCs w:val="16"/>
              </w:rPr>
            </w:pPr>
          </w:p>
        </w:tc>
        <w:tc>
          <w:tcPr>
            <w:tcW w:w="1080" w:type="dxa"/>
            <w:vAlign w:val="center"/>
          </w:tcPr>
          <w:p w:rsidR="006765FE" w:rsidRPr="00DC021E" w:rsidRDefault="006765FE" w:rsidP="00977CF9">
            <w:pPr>
              <w:spacing w:before="60" w:after="60" w:line="200" w:lineRule="exact"/>
              <w:jc w:val="center"/>
              <w:rPr>
                <w:noProof/>
                <w:sz w:val="16"/>
                <w:szCs w:val="16"/>
              </w:rPr>
            </w:pPr>
            <w:r w:rsidRPr="00DC021E">
              <w:rPr>
                <w:noProof/>
                <w:sz w:val="16"/>
              </w:rPr>
              <w:t>Year</w:t>
            </w:r>
            <w:r w:rsidRPr="00DC021E">
              <w:rPr>
                <w:noProof/>
                <w:sz w:val="22"/>
              </w:rPr>
              <w:br/>
            </w:r>
            <w:r w:rsidRPr="00DC021E">
              <w:rPr>
                <w:b/>
                <w:noProof/>
                <w:sz w:val="16"/>
              </w:rPr>
              <w:t>2017</w:t>
            </w:r>
          </w:p>
        </w:tc>
        <w:tc>
          <w:tcPr>
            <w:tcW w:w="1080" w:type="dxa"/>
            <w:vAlign w:val="center"/>
          </w:tcPr>
          <w:p w:rsidR="006765FE" w:rsidRPr="00DC021E" w:rsidRDefault="006765FE" w:rsidP="00977CF9">
            <w:pPr>
              <w:spacing w:before="60" w:after="60" w:line="200" w:lineRule="exact"/>
              <w:jc w:val="center"/>
              <w:rPr>
                <w:noProof/>
                <w:sz w:val="16"/>
                <w:szCs w:val="16"/>
              </w:rPr>
            </w:pPr>
            <w:r w:rsidRPr="00DC021E">
              <w:rPr>
                <w:noProof/>
                <w:sz w:val="16"/>
              </w:rPr>
              <w:t>Year</w:t>
            </w:r>
            <w:r w:rsidRPr="00DC021E">
              <w:rPr>
                <w:noProof/>
                <w:sz w:val="22"/>
              </w:rPr>
              <w:br/>
            </w:r>
            <w:r w:rsidRPr="00DC021E">
              <w:rPr>
                <w:b/>
                <w:noProof/>
                <w:sz w:val="16"/>
              </w:rPr>
              <w:t>2018</w:t>
            </w:r>
          </w:p>
        </w:tc>
        <w:tc>
          <w:tcPr>
            <w:tcW w:w="1080" w:type="dxa"/>
            <w:vAlign w:val="center"/>
          </w:tcPr>
          <w:p w:rsidR="006765FE" w:rsidRPr="00DC021E" w:rsidRDefault="006765FE" w:rsidP="00977CF9">
            <w:pPr>
              <w:spacing w:before="60" w:after="60" w:line="200" w:lineRule="exact"/>
              <w:jc w:val="center"/>
              <w:rPr>
                <w:noProof/>
                <w:sz w:val="16"/>
                <w:szCs w:val="16"/>
              </w:rPr>
            </w:pPr>
            <w:r w:rsidRPr="00DC021E">
              <w:rPr>
                <w:noProof/>
                <w:sz w:val="16"/>
              </w:rPr>
              <w:t>Year</w:t>
            </w:r>
            <w:r w:rsidRPr="00DC021E">
              <w:rPr>
                <w:noProof/>
                <w:sz w:val="22"/>
              </w:rPr>
              <w:br/>
            </w:r>
            <w:r w:rsidRPr="00DC021E">
              <w:rPr>
                <w:b/>
                <w:noProof/>
                <w:sz w:val="16"/>
              </w:rPr>
              <w:t>2019</w:t>
            </w:r>
          </w:p>
        </w:tc>
        <w:tc>
          <w:tcPr>
            <w:tcW w:w="1080" w:type="dxa"/>
            <w:vAlign w:val="center"/>
          </w:tcPr>
          <w:p w:rsidR="006765FE" w:rsidRPr="00DC021E" w:rsidRDefault="006765FE" w:rsidP="00977CF9">
            <w:pPr>
              <w:spacing w:before="60" w:after="60" w:line="200" w:lineRule="exact"/>
              <w:jc w:val="center"/>
              <w:rPr>
                <w:noProof/>
                <w:sz w:val="16"/>
                <w:szCs w:val="16"/>
              </w:rPr>
            </w:pPr>
            <w:r w:rsidRPr="00DC021E">
              <w:rPr>
                <w:noProof/>
                <w:sz w:val="16"/>
              </w:rPr>
              <w:t>Year</w:t>
            </w:r>
            <w:r w:rsidRPr="00DC021E">
              <w:rPr>
                <w:noProof/>
                <w:sz w:val="22"/>
              </w:rPr>
              <w:br/>
            </w:r>
            <w:r w:rsidRPr="00DC021E">
              <w:rPr>
                <w:b/>
                <w:noProof/>
                <w:sz w:val="16"/>
              </w:rPr>
              <w:t>2020</w:t>
            </w:r>
          </w:p>
        </w:tc>
        <w:tc>
          <w:tcPr>
            <w:tcW w:w="3240" w:type="dxa"/>
            <w:vAlign w:val="center"/>
          </w:tcPr>
          <w:p w:rsidR="006765FE" w:rsidRPr="00DC021E" w:rsidRDefault="006765FE" w:rsidP="00977CF9">
            <w:pPr>
              <w:spacing w:line="200" w:lineRule="exact"/>
              <w:jc w:val="center"/>
              <w:rPr>
                <w:b/>
                <w:noProof/>
                <w:sz w:val="16"/>
                <w:szCs w:val="16"/>
              </w:rPr>
            </w:pPr>
          </w:p>
        </w:tc>
        <w:tc>
          <w:tcPr>
            <w:tcW w:w="1080" w:type="dxa"/>
            <w:vAlign w:val="center"/>
          </w:tcPr>
          <w:p w:rsidR="006765FE" w:rsidRPr="00DC021E" w:rsidRDefault="006765FE" w:rsidP="00977CF9">
            <w:pPr>
              <w:spacing w:before="60" w:after="60" w:line="200" w:lineRule="exact"/>
              <w:jc w:val="center"/>
              <w:rPr>
                <w:b/>
                <w:noProof/>
                <w:sz w:val="16"/>
                <w:szCs w:val="16"/>
              </w:rPr>
            </w:pPr>
            <w:r w:rsidRPr="00DC021E">
              <w:rPr>
                <w:b/>
                <w:noProof/>
                <w:sz w:val="16"/>
              </w:rPr>
              <w:t>TOTAL</w:t>
            </w:r>
          </w:p>
        </w:tc>
      </w:tr>
    </w:tbl>
    <w:p w:rsidR="00DC64CF" w:rsidRPr="00DC021E" w:rsidRDefault="00DC64CF" w:rsidP="00977CF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DC021E" w:rsidRPr="00DC021E" w:rsidTr="00977CF9">
        <w:trPr>
          <w:trHeight w:val="585"/>
        </w:trPr>
        <w:tc>
          <w:tcPr>
            <w:tcW w:w="1980" w:type="dxa"/>
            <w:shd w:val="clear" w:color="auto" w:fill="CCCCCC"/>
            <w:vAlign w:val="center"/>
          </w:tcPr>
          <w:p w:rsidR="00DC64CF" w:rsidRPr="00DC021E" w:rsidRDefault="00DC64CF" w:rsidP="00977CF9">
            <w:pPr>
              <w:spacing w:before="60" w:after="60" w:line="200" w:lineRule="exact"/>
              <w:jc w:val="center"/>
              <w:rPr>
                <w:b/>
                <w:noProof/>
                <w:sz w:val="16"/>
                <w:szCs w:val="16"/>
              </w:rPr>
            </w:pPr>
            <w:r w:rsidRPr="00DC021E">
              <w:rPr>
                <w:b/>
                <w:noProof/>
                <w:sz w:val="16"/>
              </w:rPr>
              <w:t>HEADING 5</w:t>
            </w:r>
            <w:r w:rsidRPr="00DC021E">
              <w:rPr>
                <w:noProof/>
                <w:sz w:val="22"/>
              </w:rPr>
              <w:br/>
            </w:r>
            <w:r w:rsidRPr="00DC021E">
              <w:rPr>
                <w:b/>
                <w:noProof/>
                <w:sz w:val="16"/>
              </w:rPr>
              <w:t>of the multiannual financial framework</w:t>
            </w: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b/>
                <w:noProof/>
                <w:sz w:val="16"/>
                <w:szCs w:val="16"/>
              </w:rPr>
            </w:pPr>
          </w:p>
        </w:tc>
        <w:tc>
          <w:tcPr>
            <w:tcW w:w="1080" w:type="dxa"/>
            <w:vAlign w:val="center"/>
          </w:tcPr>
          <w:p w:rsidR="00DC64CF" w:rsidRPr="00DC021E" w:rsidRDefault="00DC64CF" w:rsidP="00977CF9">
            <w:pPr>
              <w:spacing w:before="60" w:after="60" w:line="200" w:lineRule="exact"/>
              <w:jc w:val="right"/>
              <w:rPr>
                <w:b/>
                <w:noProof/>
                <w:sz w:val="16"/>
                <w:szCs w:val="16"/>
              </w:rPr>
            </w:pPr>
          </w:p>
        </w:tc>
      </w:tr>
      <w:tr w:rsidR="00DC021E" w:rsidRPr="00DC021E" w:rsidTr="00977CF9">
        <w:trPr>
          <w:trHeight w:val="585"/>
        </w:trPr>
        <w:tc>
          <w:tcPr>
            <w:tcW w:w="1980" w:type="dxa"/>
            <w:vAlign w:val="center"/>
          </w:tcPr>
          <w:p w:rsidR="00E828EC" w:rsidRPr="00DC021E" w:rsidRDefault="00E828EC" w:rsidP="00977CF9">
            <w:pPr>
              <w:spacing w:before="60" w:after="60" w:line="200" w:lineRule="exact"/>
              <w:ind w:left="72"/>
              <w:jc w:val="left"/>
              <w:rPr>
                <w:noProof/>
                <w:sz w:val="16"/>
                <w:szCs w:val="16"/>
              </w:rPr>
            </w:pPr>
            <w:r w:rsidRPr="00DC021E">
              <w:rPr>
                <w:noProof/>
                <w:sz w:val="16"/>
              </w:rPr>
              <w:t xml:space="preserve">Human resources </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noProof/>
                <w:sz w:val="20"/>
              </w:rPr>
              <w:t>0,268</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noProof/>
                <w:sz w:val="20"/>
              </w:rPr>
              <w:t>0,402</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noProof/>
                <w:sz w:val="20"/>
              </w:rPr>
              <w:t>0,402</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noProof/>
                <w:sz w:val="20"/>
              </w:rPr>
              <w:t>0,536</w:t>
            </w:r>
          </w:p>
        </w:tc>
        <w:tc>
          <w:tcPr>
            <w:tcW w:w="1080" w:type="dxa"/>
            <w:vAlign w:val="center"/>
          </w:tcPr>
          <w:p w:rsidR="00E828EC" w:rsidRPr="00DC021E" w:rsidRDefault="00E828EC" w:rsidP="00977CF9">
            <w:pPr>
              <w:spacing w:before="60" w:after="60" w:line="200" w:lineRule="exact"/>
              <w:jc w:val="right"/>
              <w:rPr>
                <w:noProof/>
                <w:sz w:val="16"/>
                <w:szCs w:val="16"/>
              </w:rPr>
            </w:pPr>
          </w:p>
        </w:tc>
        <w:tc>
          <w:tcPr>
            <w:tcW w:w="1080" w:type="dxa"/>
            <w:vAlign w:val="center"/>
          </w:tcPr>
          <w:p w:rsidR="00E828EC" w:rsidRPr="00DC021E" w:rsidRDefault="00E828EC" w:rsidP="00977CF9">
            <w:pPr>
              <w:spacing w:before="60" w:after="60" w:line="200" w:lineRule="exact"/>
              <w:jc w:val="right"/>
              <w:rPr>
                <w:noProof/>
                <w:sz w:val="16"/>
                <w:szCs w:val="16"/>
              </w:rPr>
            </w:pPr>
          </w:p>
        </w:tc>
        <w:tc>
          <w:tcPr>
            <w:tcW w:w="1080" w:type="dxa"/>
            <w:vAlign w:val="center"/>
          </w:tcPr>
          <w:p w:rsidR="00E828EC" w:rsidRPr="00DC021E" w:rsidRDefault="00E828EC" w:rsidP="00977CF9">
            <w:pPr>
              <w:spacing w:before="60" w:after="60" w:line="200" w:lineRule="exact"/>
              <w:jc w:val="right"/>
              <w:rPr>
                <w:b/>
                <w:noProof/>
                <w:sz w:val="16"/>
                <w:szCs w:val="16"/>
              </w:rPr>
            </w:pPr>
          </w:p>
        </w:tc>
        <w:tc>
          <w:tcPr>
            <w:tcW w:w="1080" w:type="dxa"/>
            <w:vAlign w:val="center"/>
          </w:tcPr>
          <w:p w:rsidR="00E828EC" w:rsidRPr="00DC021E" w:rsidRDefault="00E828EC" w:rsidP="00977CF9">
            <w:pPr>
              <w:spacing w:before="60" w:after="60" w:line="200" w:lineRule="exact"/>
              <w:jc w:val="right"/>
              <w:rPr>
                <w:b/>
                <w:noProof/>
                <w:sz w:val="16"/>
                <w:szCs w:val="16"/>
              </w:rPr>
            </w:pPr>
            <w:r w:rsidRPr="00DC021E">
              <w:rPr>
                <w:b/>
                <w:noProof/>
                <w:sz w:val="20"/>
              </w:rPr>
              <w:t>1, 608</w:t>
            </w:r>
          </w:p>
        </w:tc>
      </w:tr>
      <w:tr w:rsidR="00DC021E" w:rsidRPr="00DC021E" w:rsidTr="00977CF9">
        <w:trPr>
          <w:trHeight w:val="585"/>
        </w:trPr>
        <w:tc>
          <w:tcPr>
            <w:tcW w:w="1980" w:type="dxa"/>
            <w:vAlign w:val="center"/>
          </w:tcPr>
          <w:p w:rsidR="00E828EC" w:rsidRPr="00DC021E" w:rsidRDefault="00E828EC" w:rsidP="00977CF9">
            <w:pPr>
              <w:spacing w:before="60" w:after="60" w:line="200" w:lineRule="exact"/>
              <w:ind w:left="72"/>
              <w:jc w:val="left"/>
              <w:rPr>
                <w:noProof/>
                <w:sz w:val="16"/>
                <w:szCs w:val="16"/>
              </w:rPr>
            </w:pPr>
            <w:r w:rsidRPr="00DC021E">
              <w:rPr>
                <w:noProof/>
                <w:sz w:val="16"/>
              </w:rPr>
              <w:t xml:space="preserve">Other administrative expenditure </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noProof/>
                <w:sz w:val="20"/>
              </w:rPr>
              <w:t>0,015</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noProof/>
                <w:sz w:val="20"/>
              </w:rPr>
              <w:t>0,015</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noProof/>
                <w:sz w:val="20"/>
              </w:rPr>
              <w:t>0,015</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noProof/>
                <w:sz w:val="20"/>
              </w:rPr>
              <w:t>0,015</w:t>
            </w:r>
          </w:p>
        </w:tc>
        <w:tc>
          <w:tcPr>
            <w:tcW w:w="1080" w:type="dxa"/>
            <w:vAlign w:val="center"/>
          </w:tcPr>
          <w:p w:rsidR="00E828EC" w:rsidRPr="00DC021E" w:rsidRDefault="00E828EC" w:rsidP="00977CF9">
            <w:pPr>
              <w:spacing w:before="60" w:after="60" w:line="200" w:lineRule="exact"/>
              <w:jc w:val="right"/>
              <w:rPr>
                <w:noProof/>
                <w:sz w:val="16"/>
                <w:szCs w:val="16"/>
              </w:rPr>
            </w:pPr>
          </w:p>
        </w:tc>
        <w:tc>
          <w:tcPr>
            <w:tcW w:w="1080" w:type="dxa"/>
            <w:vAlign w:val="center"/>
          </w:tcPr>
          <w:p w:rsidR="00E828EC" w:rsidRPr="00DC021E" w:rsidRDefault="00E828EC" w:rsidP="00977CF9">
            <w:pPr>
              <w:spacing w:before="60" w:after="60" w:line="200" w:lineRule="exact"/>
              <w:jc w:val="right"/>
              <w:rPr>
                <w:noProof/>
                <w:sz w:val="16"/>
                <w:szCs w:val="16"/>
              </w:rPr>
            </w:pPr>
          </w:p>
        </w:tc>
        <w:tc>
          <w:tcPr>
            <w:tcW w:w="1080" w:type="dxa"/>
            <w:vAlign w:val="center"/>
          </w:tcPr>
          <w:p w:rsidR="00E828EC" w:rsidRPr="00DC021E" w:rsidRDefault="00E828EC" w:rsidP="00977CF9">
            <w:pPr>
              <w:spacing w:before="60" w:after="60" w:line="200" w:lineRule="exact"/>
              <w:jc w:val="right"/>
              <w:rPr>
                <w:b/>
                <w:noProof/>
                <w:sz w:val="16"/>
                <w:szCs w:val="16"/>
              </w:rPr>
            </w:pPr>
          </w:p>
        </w:tc>
        <w:tc>
          <w:tcPr>
            <w:tcW w:w="1080" w:type="dxa"/>
            <w:vAlign w:val="center"/>
          </w:tcPr>
          <w:p w:rsidR="00E828EC" w:rsidRPr="00DC021E" w:rsidRDefault="00E828EC" w:rsidP="00977CF9">
            <w:pPr>
              <w:spacing w:before="60" w:after="60" w:line="200" w:lineRule="exact"/>
              <w:jc w:val="right"/>
              <w:rPr>
                <w:b/>
                <w:noProof/>
                <w:sz w:val="16"/>
                <w:szCs w:val="16"/>
              </w:rPr>
            </w:pPr>
            <w:r w:rsidRPr="00DC021E">
              <w:rPr>
                <w:noProof/>
                <w:sz w:val="20"/>
              </w:rPr>
              <w:t>0,060</w:t>
            </w:r>
          </w:p>
        </w:tc>
      </w:tr>
      <w:tr w:rsidR="00DC021E" w:rsidRPr="00DC021E" w:rsidTr="00977CF9">
        <w:trPr>
          <w:trHeight w:val="585"/>
        </w:trPr>
        <w:tc>
          <w:tcPr>
            <w:tcW w:w="1980" w:type="dxa"/>
            <w:shd w:val="clear" w:color="auto" w:fill="CCCCCC"/>
            <w:vAlign w:val="center"/>
          </w:tcPr>
          <w:p w:rsidR="00E828EC" w:rsidRPr="00DC021E" w:rsidRDefault="00E828EC" w:rsidP="00977CF9">
            <w:pPr>
              <w:spacing w:before="60" w:after="60" w:line="200" w:lineRule="exact"/>
              <w:jc w:val="center"/>
              <w:rPr>
                <w:b/>
                <w:noProof/>
                <w:sz w:val="16"/>
                <w:szCs w:val="16"/>
              </w:rPr>
            </w:pPr>
            <w:r w:rsidRPr="00DC021E">
              <w:rPr>
                <w:b/>
                <w:noProof/>
                <w:sz w:val="16"/>
              </w:rPr>
              <w:t>Subtotal HEADING 5</w:t>
            </w:r>
            <w:r w:rsidRPr="00DC021E">
              <w:rPr>
                <w:noProof/>
                <w:sz w:val="22"/>
              </w:rPr>
              <w:br/>
            </w:r>
            <w:r w:rsidRPr="00DC021E">
              <w:rPr>
                <w:b/>
                <w:noProof/>
                <w:sz w:val="16"/>
              </w:rPr>
              <w:t xml:space="preserve">of the multiannual financial framework </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b/>
                <w:noProof/>
                <w:sz w:val="20"/>
                <w:szCs w:val="20"/>
              </w:rPr>
              <w:t>0,283</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b/>
                <w:noProof/>
                <w:sz w:val="20"/>
                <w:szCs w:val="20"/>
              </w:rPr>
              <w:t>0,417</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b/>
                <w:noProof/>
                <w:sz w:val="20"/>
                <w:szCs w:val="20"/>
              </w:rPr>
              <w:t>0,417</w:t>
            </w:r>
          </w:p>
        </w:tc>
        <w:tc>
          <w:tcPr>
            <w:tcW w:w="1080" w:type="dxa"/>
            <w:vAlign w:val="center"/>
          </w:tcPr>
          <w:p w:rsidR="00E828EC" w:rsidRPr="00DC021E" w:rsidRDefault="00E828EC" w:rsidP="00977CF9">
            <w:pPr>
              <w:spacing w:before="60" w:after="60" w:line="200" w:lineRule="exact"/>
              <w:jc w:val="right"/>
              <w:rPr>
                <w:noProof/>
                <w:sz w:val="16"/>
                <w:szCs w:val="16"/>
              </w:rPr>
            </w:pPr>
            <w:r w:rsidRPr="00DC021E">
              <w:rPr>
                <w:b/>
                <w:noProof/>
                <w:sz w:val="20"/>
                <w:szCs w:val="20"/>
              </w:rPr>
              <w:t>0,551</w:t>
            </w:r>
          </w:p>
        </w:tc>
        <w:tc>
          <w:tcPr>
            <w:tcW w:w="1080" w:type="dxa"/>
            <w:vAlign w:val="center"/>
          </w:tcPr>
          <w:p w:rsidR="00E828EC" w:rsidRPr="00DC021E" w:rsidRDefault="00E828EC" w:rsidP="00977CF9">
            <w:pPr>
              <w:spacing w:before="60" w:after="60" w:line="200" w:lineRule="exact"/>
              <w:jc w:val="right"/>
              <w:rPr>
                <w:noProof/>
                <w:sz w:val="16"/>
                <w:szCs w:val="16"/>
              </w:rPr>
            </w:pPr>
          </w:p>
        </w:tc>
        <w:tc>
          <w:tcPr>
            <w:tcW w:w="1080" w:type="dxa"/>
            <w:vAlign w:val="center"/>
          </w:tcPr>
          <w:p w:rsidR="00E828EC" w:rsidRPr="00DC021E" w:rsidRDefault="00E828EC" w:rsidP="00977CF9">
            <w:pPr>
              <w:spacing w:before="60" w:after="60" w:line="200" w:lineRule="exact"/>
              <w:jc w:val="right"/>
              <w:rPr>
                <w:noProof/>
                <w:sz w:val="16"/>
                <w:szCs w:val="16"/>
              </w:rPr>
            </w:pPr>
          </w:p>
        </w:tc>
        <w:tc>
          <w:tcPr>
            <w:tcW w:w="1080" w:type="dxa"/>
            <w:vAlign w:val="center"/>
          </w:tcPr>
          <w:p w:rsidR="00E828EC" w:rsidRPr="00DC021E" w:rsidRDefault="00E828EC" w:rsidP="00977CF9">
            <w:pPr>
              <w:spacing w:before="60" w:after="60" w:line="200" w:lineRule="exact"/>
              <w:jc w:val="right"/>
              <w:rPr>
                <w:b/>
                <w:noProof/>
                <w:sz w:val="16"/>
                <w:szCs w:val="16"/>
              </w:rPr>
            </w:pPr>
          </w:p>
        </w:tc>
        <w:tc>
          <w:tcPr>
            <w:tcW w:w="1080" w:type="dxa"/>
            <w:vAlign w:val="center"/>
          </w:tcPr>
          <w:p w:rsidR="00E828EC" w:rsidRPr="00DC021E" w:rsidRDefault="00E828EC" w:rsidP="00977CF9">
            <w:pPr>
              <w:spacing w:before="60" w:after="60" w:line="200" w:lineRule="exact"/>
              <w:jc w:val="right"/>
              <w:rPr>
                <w:b/>
                <w:noProof/>
                <w:sz w:val="16"/>
                <w:szCs w:val="16"/>
              </w:rPr>
            </w:pPr>
            <w:r w:rsidRPr="00DC021E">
              <w:rPr>
                <w:b/>
                <w:noProof/>
                <w:sz w:val="20"/>
                <w:szCs w:val="20"/>
              </w:rPr>
              <w:t>1,668</w:t>
            </w:r>
          </w:p>
        </w:tc>
      </w:tr>
    </w:tbl>
    <w:p w:rsidR="00DC64CF" w:rsidRPr="00DC021E" w:rsidRDefault="00DC64CF" w:rsidP="00977CF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DC021E" w:rsidRPr="00DC021E" w:rsidTr="00977CF9">
        <w:trPr>
          <w:trHeight w:val="585"/>
        </w:trPr>
        <w:tc>
          <w:tcPr>
            <w:tcW w:w="1980" w:type="dxa"/>
            <w:shd w:val="clear" w:color="auto" w:fill="CCCCCC"/>
            <w:vAlign w:val="center"/>
          </w:tcPr>
          <w:p w:rsidR="00DC64CF" w:rsidRPr="00DC021E" w:rsidRDefault="00DC64CF" w:rsidP="00977CF9">
            <w:pPr>
              <w:spacing w:before="60" w:after="60" w:line="200" w:lineRule="exact"/>
              <w:jc w:val="center"/>
              <w:rPr>
                <w:noProof/>
                <w:sz w:val="16"/>
                <w:szCs w:val="16"/>
              </w:rPr>
            </w:pPr>
            <w:r w:rsidRPr="00DC021E">
              <w:rPr>
                <w:b/>
                <w:noProof/>
                <w:sz w:val="16"/>
              </w:rPr>
              <w:t>Outside HEADING 5</w:t>
            </w:r>
            <w:r w:rsidRPr="00DC021E">
              <w:rPr>
                <w:rStyle w:val="FootnoteReference"/>
                <w:b/>
                <w:noProof/>
                <w:sz w:val="16"/>
              </w:rPr>
              <w:footnoteReference w:id="21"/>
            </w:r>
            <w:r w:rsidRPr="00DC021E">
              <w:rPr>
                <w:noProof/>
                <w:sz w:val="22"/>
              </w:rPr>
              <w:br/>
            </w:r>
            <w:r w:rsidRPr="00DC021E">
              <w:rPr>
                <w:b/>
                <w:noProof/>
                <w:sz w:val="16"/>
              </w:rPr>
              <w:t xml:space="preserve">of the multiannual financial framework </w:t>
            </w:r>
          </w:p>
          <w:p w:rsidR="00DC64CF" w:rsidRPr="00DC021E" w:rsidRDefault="00DC64CF" w:rsidP="00977CF9">
            <w:pPr>
              <w:spacing w:before="0" w:after="0" w:line="200" w:lineRule="exact"/>
              <w:jc w:val="center"/>
              <w:rPr>
                <w:b/>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b/>
                <w:noProof/>
                <w:sz w:val="16"/>
                <w:szCs w:val="16"/>
              </w:rPr>
            </w:pPr>
          </w:p>
        </w:tc>
        <w:tc>
          <w:tcPr>
            <w:tcW w:w="1080" w:type="dxa"/>
            <w:vAlign w:val="center"/>
          </w:tcPr>
          <w:p w:rsidR="00DC64CF" w:rsidRPr="00DC021E" w:rsidRDefault="00DC64CF" w:rsidP="00977CF9">
            <w:pPr>
              <w:spacing w:before="60" w:after="60" w:line="200" w:lineRule="exact"/>
              <w:jc w:val="right"/>
              <w:rPr>
                <w:b/>
                <w:noProof/>
                <w:sz w:val="16"/>
                <w:szCs w:val="16"/>
              </w:rPr>
            </w:pPr>
          </w:p>
        </w:tc>
      </w:tr>
      <w:tr w:rsidR="00DC021E" w:rsidRPr="00DC021E" w:rsidTr="00977CF9">
        <w:trPr>
          <w:trHeight w:val="585"/>
        </w:trPr>
        <w:tc>
          <w:tcPr>
            <w:tcW w:w="1980" w:type="dxa"/>
            <w:vAlign w:val="center"/>
          </w:tcPr>
          <w:p w:rsidR="00DC64CF" w:rsidRPr="00DC021E" w:rsidRDefault="00DC64CF" w:rsidP="00977CF9">
            <w:pPr>
              <w:spacing w:before="60" w:after="60" w:line="200" w:lineRule="exact"/>
              <w:ind w:left="72"/>
              <w:jc w:val="left"/>
              <w:rPr>
                <w:noProof/>
                <w:sz w:val="16"/>
                <w:szCs w:val="16"/>
              </w:rPr>
            </w:pPr>
            <w:r w:rsidRPr="00DC021E">
              <w:rPr>
                <w:noProof/>
                <w:sz w:val="16"/>
              </w:rPr>
              <w:t xml:space="preserve">Human resources </w:t>
            </w: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b/>
                <w:noProof/>
                <w:sz w:val="16"/>
                <w:szCs w:val="16"/>
              </w:rPr>
            </w:pPr>
          </w:p>
        </w:tc>
        <w:tc>
          <w:tcPr>
            <w:tcW w:w="1080" w:type="dxa"/>
            <w:vAlign w:val="center"/>
          </w:tcPr>
          <w:p w:rsidR="00DC64CF" w:rsidRPr="00DC021E" w:rsidRDefault="00DC64CF" w:rsidP="00977CF9">
            <w:pPr>
              <w:spacing w:before="60" w:after="60" w:line="200" w:lineRule="exact"/>
              <w:jc w:val="right"/>
              <w:rPr>
                <w:b/>
                <w:noProof/>
                <w:sz w:val="16"/>
                <w:szCs w:val="16"/>
              </w:rPr>
            </w:pPr>
          </w:p>
        </w:tc>
      </w:tr>
      <w:tr w:rsidR="00DC021E" w:rsidRPr="00DC021E" w:rsidTr="00977CF9">
        <w:trPr>
          <w:trHeight w:val="585"/>
        </w:trPr>
        <w:tc>
          <w:tcPr>
            <w:tcW w:w="1980" w:type="dxa"/>
            <w:vAlign w:val="center"/>
          </w:tcPr>
          <w:p w:rsidR="00DC64CF" w:rsidRPr="00DC021E" w:rsidRDefault="00DC64CF" w:rsidP="00977CF9">
            <w:pPr>
              <w:spacing w:before="60" w:after="60" w:line="200" w:lineRule="exact"/>
              <w:ind w:left="72"/>
              <w:jc w:val="left"/>
              <w:rPr>
                <w:noProof/>
                <w:sz w:val="16"/>
                <w:szCs w:val="16"/>
              </w:rPr>
            </w:pPr>
            <w:r w:rsidRPr="00DC021E">
              <w:rPr>
                <w:noProof/>
                <w:sz w:val="16"/>
              </w:rPr>
              <w:t xml:space="preserve">Other expenditure </w:t>
            </w:r>
            <w:r w:rsidRPr="00DC021E">
              <w:rPr>
                <w:noProof/>
                <w:sz w:val="22"/>
              </w:rPr>
              <w:br/>
            </w:r>
            <w:r w:rsidRPr="00DC021E">
              <w:rPr>
                <w:noProof/>
                <w:sz w:val="16"/>
              </w:rPr>
              <w:t>of an administrative nature</w:t>
            </w: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b/>
                <w:noProof/>
                <w:sz w:val="16"/>
                <w:szCs w:val="16"/>
              </w:rPr>
            </w:pPr>
          </w:p>
        </w:tc>
        <w:tc>
          <w:tcPr>
            <w:tcW w:w="1080" w:type="dxa"/>
            <w:vAlign w:val="center"/>
          </w:tcPr>
          <w:p w:rsidR="00DC64CF" w:rsidRPr="00DC021E" w:rsidRDefault="00DC64CF" w:rsidP="00977CF9">
            <w:pPr>
              <w:spacing w:before="60" w:after="60" w:line="200" w:lineRule="exact"/>
              <w:jc w:val="right"/>
              <w:rPr>
                <w:b/>
                <w:noProof/>
                <w:sz w:val="16"/>
                <w:szCs w:val="16"/>
              </w:rPr>
            </w:pPr>
          </w:p>
        </w:tc>
      </w:tr>
      <w:tr w:rsidR="00DC021E" w:rsidRPr="00DC021E" w:rsidTr="00977CF9">
        <w:trPr>
          <w:trHeight w:val="585"/>
        </w:trPr>
        <w:tc>
          <w:tcPr>
            <w:tcW w:w="1980" w:type="dxa"/>
            <w:shd w:val="clear" w:color="auto" w:fill="CCCCCC"/>
            <w:vAlign w:val="center"/>
          </w:tcPr>
          <w:p w:rsidR="00DC64CF" w:rsidRPr="00DC021E" w:rsidRDefault="00DC64CF" w:rsidP="00977CF9">
            <w:pPr>
              <w:spacing w:before="60" w:after="60" w:line="200" w:lineRule="exact"/>
              <w:jc w:val="center"/>
              <w:rPr>
                <w:b/>
                <w:noProof/>
                <w:sz w:val="16"/>
                <w:szCs w:val="16"/>
              </w:rPr>
            </w:pPr>
            <w:r w:rsidRPr="00DC021E">
              <w:rPr>
                <w:b/>
                <w:noProof/>
                <w:sz w:val="16"/>
              </w:rPr>
              <w:t xml:space="preserve">Subtotal </w:t>
            </w:r>
            <w:r w:rsidRPr="00DC021E">
              <w:rPr>
                <w:noProof/>
                <w:sz w:val="22"/>
              </w:rPr>
              <w:br/>
            </w:r>
            <w:r w:rsidRPr="00DC021E">
              <w:rPr>
                <w:b/>
                <w:noProof/>
                <w:sz w:val="16"/>
              </w:rPr>
              <w:t>outside HEADING 5</w:t>
            </w:r>
            <w:r w:rsidRPr="00DC021E">
              <w:rPr>
                <w:noProof/>
                <w:sz w:val="22"/>
              </w:rPr>
              <w:br/>
            </w:r>
            <w:r w:rsidRPr="00DC021E">
              <w:rPr>
                <w:b/>
                <w:noProof/>
                <w:sz w:val="16"/>
              </w:rPr>
              <w:t xml:space="preserve">of the multiannual financial framework </w:t>
            </w: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noProof/>
                <w:sz w:val="16"/>
                <w:szCs w:val="16"/>
              </w:rPr>
            </w:pPr>
          </w:p>
        </w:tc>
        <w:tc>
          <w:tcPr>
            <w:tcW w:w="1080" w:type="dxa"/>
            <w:vAlign w:val="center"/>
          </w:tcPr>
          <w:p w:rsidR="00DC64CF" w:rsidRPr="00DC021E" w:rsidRDefault="00DC64CF" w:rsidP="00977CF9">
            <w:pPr>
              <w:spacing w:before="60" w:after="60" w:line="200" w:lineRule="exact"/>
              <w:jc w:val="right"/>
              <w:rPr>
                <w:b/>
                <w:noProof/>
                <w:sz w:val="16"/>
                <w:szCs w:val="16"/>
              </w:rPr>
            </w:pPr>
          </w:p>
        </w:tc>
        <w:tc>
          <w:tcPr>
            <w:tcW w:w="1080" w:type="dxa"/>
            <w:vAlign w:val="center"/>
          </w:tcPr>
          <w:p w:rsidR="00DC64CF" w:rsidRPr="00DC021E" w:rsidRDefault="00DC64CF" w:rsidP="00977CF9">
            <w:pPr>
              <w:spacing w:before="60" w:after="60" w:line="200" w:lineRule="exact"/>
              <w:jc w:val="right"/>
              <w:rPr>
                <w:b/>
                <w:noProof/>
                <w:sz w:val="16"/>
                <w:szCs w:val="16"/>
              </w:rPr>
            </w:pPr>
          </w:p>
        </w:tc>
      </w:tr>
    </w:tbl>
    <w:p w:rsidR="00DC64CF" w:rsidRPr="00DC021E" w:rsidRDefault="00DC64CF" w:rsidP="00977CF9">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DC021E" w:rsidRPr="00DC021E" w:rsidTr="00D47E8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828EC" w:rsidRPr="00DC021E" w:rsidRDefault="00E828EC" w:rsidP="00977CF9">
            <w:pPr>
              <w:spacing w:before="60" w:after="60" w:line="200" w:lineRule="exact"/>
              <w:jc w:val="center"/>
              <w:rPr>
                <w:noProof/>
                <w:sz w:val="16"/>
                <w:szCs w:val="16"/>
              </w:rPr>
            </w:pPr>
            <w:r w:rsidRPr="00DC021E">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828EC" w:rsidRPr="00DC021E" w:rsidRDefault="00E828EC" w:rsidP="00977CF9">
            <w:pPr>
              <w:spacing w:before="60" w:after="60" w:line="200" w:lineRule="exact"/>
              <w:jc w:val="right"/>
              <w:rPr>
                <w:b/>
                <w:noProof/>
                <w:sz w:val="16"/>
                <w:szCs w:val="16"/>
              </w:rPr>
            </w:pPr>
            <w:r w:rsidRPr="00DC021E">
              <w:rPr>
                <w:b/>
                <w:noProof/>
                <w:sz w:val="20"/>
                <w:szCs w:val="20"/>
              </w:rPr>
              <w:t>0,283</w:t>
            </w:r>
          </w:p>
        </w:tc>
        <w:tc>
          <w:tcPr>
            <w:tcW w:w="1080" w:type="dxa"/>
            <w:tcBorders>
              <w:top w:val="single" w:sz="12" w:space="0" w:color="auto"/>
              <w:left w:val="single" w:sz="2" w:space="0" w:color="auto"/>
              <w:bottom w:val="single" w:sz="12" w:space="0" w:color="auto"/>
              <w:right w:val="single" w:sz="2" w:space="0" w:color="auto"/>
            </w:tcBorders>
            <w:vAlign w:val="center"/>
          </w:tcPr>
          <w:p w:rsidR="00E828EC" w:rsidRPr="00DC021E" w:rsidRDefault="00E828EC" w:rsidP="00977CF9">
            <w:pPr>
              <w:spacing w:before="60" w:after="60" w:line="200" w:lineRule="exact"/>
              <w:jc w:val="right"/>
              <w:rPr>
                <w:b/>
                <w:noProof/>
                <w:sz w:val="16"/>
                <w:szCs w:val="16"/>
              </w:rPr>
            </w:pPr>
            <w:r w:rsidRPr="00DC021E">
              <w:rPr>
                <w:b/>
                <w:noProof/>
                <w:sz w:val="20"/>
                <w:szCs w:val="20"/>
              </w:rPr>
              <w:t>0,417</w:t>
            </w:r>
          </w:p>
        </w:tc>
        <w:tc>
          <w:tcPr>
            <w:tcW w:w="1080" w:type="dxa"/>
            <w:tcBorders>
              <w:top w:val="single" w:sz="12" w:space="0" w:color="auto"/>
              <w:left w:val="single" w:sz="2" w:space="0" w:color="auto"/>
              <w:bottom w:val="single" w:sz="12" w:space="0" w:color="auto"/>
              <w:right w:val="single" w:sz="2" w:space="0" w:color="auto"/>
            </w:tcBorders>
            <w:vAlign w:val="center"/>
          </w:tcPr>
          <w:p w:rsidR="00E828EC" w:rsidRPr="00DC021E" w:rsidRDefault="00E828EC" w:rsidP="00977CF9">
            <w:pPr>
              <w:spacing w:before="60" w:after="60" w:line="200" w:lineRule="exact"/>
              <w:jc w:val="right"/>
              <w:rPr>
                <w:b/>
                <w:noProof/>
                <w:sz w:val="16"/>
                <w:szCs w:val="16"/>
              </w:rPr>
            </w:pPr>
            <w:r w:rsidRPr="00DC021E">
              <w:rPr>
                <w:b/>
                <w:noProof/>
                <w:sz w:val="20"/>
                <w:szCs w:val="20"/>
              </w:rPr>
              <w:t>0,417</w:t>
            </w:r>
          </w:p>
        </w:tc>
        <w:tc>
          <w:tcPr>
            <w:tcW w:w="1080" w:type="dxa"/>
            <w:tcBorders>
              <w:top w:val="single" w:sz="12" w:space="0" w:color="auto"/>
              <w:left w:val="single" w:sz="2" w:space="0" w:color="auto"/>
              <w:bottom w:val="single" w:sz="12" w:space="0" w:color="auto"/>
              <w:right w:val="single" w:sz="2" w:space="0" w:color="auto"/>
            </w:tcBorders>
            <w:vAlign w:val="center"/>
          </w:tcPr>
          <w:p w:rsidR="00E828EC" w:rsidRPr="00DC021E" w:rsidRDefault="00E828EC" w:rsidP="00977CF9">
            <w:pPr>
              <w:spacing w:before="60" w:after="60" w:line="200" w:lineRule="exact"/>
              <w:jc w:val="right"/>
              <w:rPr>
                <w:b/>
                <w:noProof/>
                <w:sz w:val="16"/>
                <w:szCs w:val="16"/>
              </w:rPr>
            </w:pPr>
            <w:r w:rsidRPr="00DC021E">
              <w:rPr>
                <w:b/>
                <w:noProof/>
                <w:sz w:val="20"/>
                <w:szCs w:val="20"/>
              </w:rPr>
              <w:t>0,551</w:t>
            </w:r>
          </w:p>
        </w:tc>
        <w:tc>
          <w:tcPr>
            <w:tcW w:w="1080" w:type="dxa"/>
            <w:tcBorders>
              <w:top w:val="single" w:sz="12" w:space="0" w:color="auto"/>
              <w:left w:val="single" w:sz="2" w:space="0" w:color="auto"/>
              <w:bottom w:val="single" w:sz="12" w:space="0" w:color="auto"/>
              <w:right w:val="single" w:sz="2" w:space="0" w:color="auto"/>
            </w:tcBorders>
            <w:vAlign w:val="center"/>
          </w:tcPr>
          <w:p w:rsidR="00E828EC" w:rsidRPr="00DC021E" w:rsidRDefault="00E828EC" w:rsidP="00977CF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828EC" w:rsidRPr="00DC021E" w:rsidRDefault="00E828EC" w:rsidP="00977CF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828EC" w:rsidRPr="00DC021E" w:rsidRDefault="00E828EC" w:rsidP="00977CF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828EC" w:rsidRPr="00DC021E" w:rsidRDefault="00E828EC" w:rsidP="00977CF9">
            <w:pPr>
              <w:spacing w:before="60" w:after="60" w:line="200" w:lineRule="exact"/>
              <w:jc w:val="right"/>
              <w:rPr>
                <w:b/>
                <w:noProof/>
                <w:sz w:val="20"/>
                <w:szCs w:val="20"/>
              </w:rPr>
            </w:pPr>
            <w:r w:rsidRPr="00DC021E">
              <w:rPr>
                <w:b/>
                <w:noProof/>
                <w:sz w:val="20"/>
                <w:szCs w:val="20"/>
              </w:rPr>
              <w:t>1,668</w:t>
            </w:r>
          </w:p>
        </w:tc>
      </w:tr>
    </w:tbl>
    <w:p w:rsidR="00DC64CF" w:rsidRPr="00DC021E" w:rsidRDefault="00DC64CF" w:rsidP="00977CF9">
      <w:pPr>
        <w:rPr>
          <w:noProof/>
          <w:sz w:val="18"/>
        </w:rPr>
        <w:sectPr w:rsidR="00DC64CF" w:rsidRPr="00DC021E" w:rsidSect="006A2759">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sidRPr="00DC021E">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DC64CF" w:rsidRPr="00DC021E" w:rsidRDefault="00DC64CF" w:rsidP="00977CF9">
      <w:pPr>
        <w:pStyle w:val="Heading4"/>
        <w:rPr>
          <w:bCs w:val="0"/>
          <w:noProof/>
          <w:szCs w:val="24"/>
        </w:rPr>
      </w:pPr>
      <w:r w:rsidRPr="00DC021E">
        <w:rPr>
          <w:noProof/>
        </w:rPr>
        <w:t>Estimated requirements of human resources</w:t>
      </w:r>
    </w:p>
    <w:p w:rsidR="00DC64CF" w:rsidRPr="00DC021E" w:rsidRDefault="00DC64CF" w:rsidP="00977CF9">
      <w:pPr>
        <w:pStyle w:val="ListDash1"/>
        <w:rPr>
          <w:noProof/>
        </w:rPr>
      </w:pPr>
      <w:r w:rsidRPr="00DC021E">
        <w:rPr>
          <w:noProof/>
        </w:rPr>
        <w:sym w:font="Wingdings" w:char="F0A8"/>
      </w:r>
      <w:r w:rsidRPr="00DC021E">
        <w:rPr>
          <w:noProof/>
        </w:rPr>
        <w:tab/>
        <w:t xml:space="preserve">The proposal/initiative does not require the use of human resources. </w:t>
      </w:r>
    </w:p>
    <w:p w:rsidR="00DC64CF" w:rsidRPr="00DC021E" w:rsidRDefault="00DC64CF" w:rsidP="00977CF9">
      <w:pPr>
        <w:pStyle w:val="ListDash1"/>
        <w:rPr>
          <w:noProof/>
        </w:rPr>
      </w:pPr>
      <w:r w:rsidRPr="00DC021E">
        <w:rPr>
          <w:strike/>
          <w:noProof/>
        </w:rPr>
        <w:sym w:font="Wingdings" w:char="F0A8"/>
      </w:r>
      <w:r w:rsidRPr="00DC021E">
        <w:rPr>
          <w:noProof/>
        </w:rPr>
        <w:tab/>
        <w:t>The proposal/initiative requires the use of human resources, as explained below:</w:t>
      </w:r>
    </w:p>
    <w:p w:rsidR="00DC64CF" w:rsidRPr="00DC021E" w:rsidRDefault="00DC64CF" w:rsidP="00977CF9">
      <w:pPr>
        <w:spacing w:after="60"/>
        <w:jc w:val="right"/>
        <w:rPr>
          <w:i/>
          <w:noProof/>
          <w:sz w:val="20"/>
        </w:rPr>
      </w:pPr>
      <w:r w:rsidRPr="00DC021E">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DC021E" w:rsidRPr="00DC021E" w:rsidTr="00977CF9">
        <w:trPr>
          <w:gridBefore w:val="1"/>
          <w:wBefore w:w="6" w:type="pct"/>
          <w:trHeight w:val="289"/>
          <w:jc w:val="center"/>
        </w:trPr>
        <w:tc>
          <w:tcPr>
            <w:tcW w:w="1897" w:type="pct"/>
            <w:gridSpan w:val="2"/>
            <w:shd w:val="clear" w:color="auto" w:fill="auto"/>
          </w:tcPr>
          <w:p w:rsidR="00252CAD" w:rsidRPr="00DC021E" w:rsidRDefault="00252CAD" w:rsidP="00977CF9">
            <w:pPr>
              <w:pStyle w:val="Text1"/>
              <w:spacing w:before="40" w:after="40"/>
              <w:ind w:left="0"/>
              <w:jc w:val="center"/>
              <w:rPr>
                <w:i/>
                <w:noProof/>
                <w:sz w:val="16"/>
                <w:szCs w:val="16"/>
              </w:rPr>
            </w:pPr>
          </w:p>
        </w:tc>
        <w:tc>
          <w:tcPr>
            <w:tcW w:w="318" w:type="pct"/>
            <w:shd w:val="clear" w:color="auto" w:fill="auto"/>
            <w:vAlign w:val="center"/>
          </w:tcPr>
          <w:p w:rsidR="00252CAD" w:rsidRPr="00DC021E" w:rsidRDefault="00252CAD" w:rsidP="00977CF9">
            <w:pPr>
              <w:spacing w:before="20" w:after="20"/>
              <w:jc w:val="center"/>
              <w:rPr>
                <w:noProof/>
                <w:sz w:val="16"/>
                <w:szCs w:val="16"/>
              </w:rPr>
            </w:pPr>
            <w:r w:rsidRPr="00DC021E">
              <w:rPr>
                <w:noProof/>
                <w:sz w:val="16"/>
              </w:rPr>
              <w:t>Year</w:t>
            </w:r>
            <w:r w:rsidRPr="00DC021E">
              <w:rPr>
                <w:noProof/>
                <w:sz w:val="22"/>
              </w:rPr>
              <w:br/>
            </w:r>
            <w:r w:rsidRPr="00DC021E">
              <w:rPr>
                <w:b/>
                <w:noProof/>
                <w:sz w:val="16"/>
              </w:rPr>
              <w:t>2017</w:t>
            </w:r>
          </w:p>
        </w:tc>
        <w:tc>
          <w:tcPr>
            <w:tcW w:w="318" w:type="pct"/>
            <w:shd w:val="clear" w:color="auto" w:fill="auto"/>
            <w:vAlign w:val="center"/>
          </w:tcPr>
          <w:p w:rsidR="00252CAD" w:rsidRPr="00DC021E" w:rsidRDefault="00252CAD" w:rsidP="00977CF9">
            <w:pPr>
              <w:spacing w:before="20" w:after="20"/>
              <w:jc w:val="center"/>
              <w:rPr>
                <w:noProof/>
                <w:sz w:val="16"/>
                <w:szCs w:val="16"/>
              </w:rPr>
            </w:pPr>
            <w:r w:rsidRPr="00DC021E">
              <w:rPr>
                <w:noProof/>
                <w:sz w:val="16"/>
              </w:rPr>
              <w:t>Year</w:t>
            </w:r>
            <w:r w:rsidRPr="00DC021E">
              <w:rPr>
                <w:noProof/>
                <w:sz w:val="22"/>
              </w:rPr>
              <w:br/>
            </w:r>
            <w:r w:rsidRPr="00DC021E">
              <w:rPr>
                <w:b/>
                <w:noProof/>
                <w:sz w:val="16"/>
              </w:rPr>
              <w:t>2018</w:t>
            </w:r>
          </w:p>
        </w:tc>
        <w:tc>
          <w:tcPr>
            <w:tcW w:w="1891" w:type="pct"/>
            <w:shd w:val="clear" w:color="auto" w:fill="auto"/>
            <w:vAlign w:val="center"/>
          </w:tcPr>
          <w:p w:rsidR="00252CAD" w:rsidRPr="00DC021E" w:rsidRDefault="00252CAD" w:rsidP="00977CF9">
            <w:pPr>
              <w:spacing w:before="20" w:after="20"/>
              <w:jc w:val="center"/>
              <w:rPr>
                <w:noProof/>
                <w:sz w:val="16"/>
                <w:szCs w:val="16"/>
              </w:rPr>
            </w:pPr>
            <w:r w:rsidRPr="00DC021E">
              <w:rPr>
                <w:noProof/>
                <w:sz w:val="16"/>
                <w:szCs w:val="16"/>
              </w:rPr>
              <w:t xml:space="preserve">Year </w:t>
            </w:r>
            <w:r w:rsidRPr="00DC021E">
              <w:rPr>
                <w:b/>
                <w:noProof/>
                <w:sz w:val="16"/>
                <w:szCs w:val="16"/>
              </w:rPr>
              <w:t>2019</w:t>
            </w:r>
          </w:p>
        </w:tc>
        <w:tc>
          <w:tcPr>
            <w:tcW w:w="226" w:type="pct"/>
            <w:shd w:val="clear" w:color="auto" w:fill="auto"/>
            <w:vAlign w:val="center"/>
          </w:tcPr>
          <w:p w:rsidR="00252CAD" w:rsidRPr="00DC021E" w:rsidRDefault="00252CAD" w:rsidP="00977CF9">
            <w:pPr>
              <w:spacing w:before="20" w:after="20"/>
              <w:jc w:val="center"/>
              <w:rPr>
                <w:noProof/>
                <w:sz w:val="16"/>
                <w:szCs w:val="16"/>
              </w:rPr>
            </w:pPr>
            <w:r w:rsidRPr="00DC021E">
              <w:rPr>
                <w:noProof/>
                <w:sz w:val="16"/>
                <w:szCs w:val="16"/>
              </w:rPr>
              <w:t xml:space="preserve">Year </w:t>
            </w:r>
            <w:r w:rsidRPr="00DC021E">
              <w:rPr>
                <w:b/>
                <w:noProof/>
                <w:sz w:val="16"/>
                <w:szCs w:val="16"/>
              </w:rPr>
              <w:t>2020</w:t>
            </w:r>
          </w:p>
        </w:tc>
        <w:tc>
          <w:tcPr>
            <w:tcW w:w="345" w:type="pct"/>
            <w:gridSpan w:val="3"/>
            <w:shd w:val="clear" w:color="auto" w:fill="auto"/>
            <w:vAlign w:val="center"/>
          </w:tcPr>
          <w:p w:rsidR="00252CAD" w:rsidRPr="00DC021E" w:rsidRDefault="00252CAD" w:rsidP="00977CF9">
            <w:pPr>
              <w:jc w:val="center"/>
              <w:rPr>
                <w:b/>
                <w:noProof/>
                <w:sz w:val="16"/>
                <w:szCs w:val="16"/>
              </w:rPr>
            </w:pPr>
          </w:p>
        </w:tc>
      </w:tr>
      <w:tr w:rsidR="00DC021E" w:rsidRPr="00DC021E" w:rsidTr="00977CF9">
        <w:trPr>
          <w:gridBefore w:val="1"/>
          <w:wBefore w:w="6" w:type="pct"/>
          <w:trHeight w:val="289"/>
          <w:jc w:val="center"/>
        </w:trPr>
        <w:tc>
          <w:tcPr>
            <w:tcW w:w="4424" w:type="pct"/>
            <w:gridSpan w:val="5"/>
            <w:shd w:val="clear" w:color="auto" w:fill="auto"/>
          </w:tcPr>
          <w:p w:rsidR="00DC64CF" w:rsidRPr="00DC021E" w:rsidRDefault="00DC64CF" w:rsidP="00977CF9">
            <w:pPr>
              <w:spacing w:before="20" w:after="20"/>
              <w:rPr>
                <w:noProof/>
                <w:sz w:val="16"/>
                <w:szCs w:val="16"/>
              </w:rPr>
            </w:pPr>
            <w:r w:rsidRPr="00DC021E">
              <w:rPr>
                <w:b/>
                <w:noProof/>
                <w:sz w:val="16"/>
              </w:rPr>
              <w:sym w:font="Wingdings" w:char="F09F"/>
            </w:r>
            <w:r w:rsidRPr="00DC021E">
              <w:rPr>
                <w:b/>
                <w:noProof/>
                <w:sz w:val="16"/>
              </w:rPr>
              <w:t xml:space="preserve"> Establishment plan posts (officials and temporary staff)</w:t>
            </w:r>
          </w:p>
        </w:tc>
        <w:tc>
          <w:tcPr>
            <w:tcW w:w="226" w:type="pct"/>
            <w:shd w:val="clear" w:color="auto" w:fill="auto"/>
            <w:vAlign w:val="center"/>
          </w:tcPr>
          <w:p w:rsidR="00DC64CF" w:rsidRPr="00DC021E" w:rsidRDefault="00DC64CF" w:rsidP="00977CF9">
            <w:pPr>
              <w:spacing w:before="20" w:after="20"/>
              <w:jc w:val="center"/>
              <w:rPr>
                <w:noProof/>
                <w:sz w:val="16"/>
                <w:szCs w:val="16"/>
              </w:rPr>
            </w:pPr>
          </w:p>
        </w:tc>
        <w:tc>
          <w:tcPr>
            <w:tcW w:w="345" w:type="pct"/>
            <w:gridSpan w:val="3"/>
            <w:shd w:val="clear" w:color="auto" w:fill="auto"/>
            <w:vAlign w:val="center"/>
          </w:tcPr>
          <w:p w:rsidR="00DC64CF" w:rsidRPr="00DC021E" w:rsidRDefault="00DC64CF" w:rsidP="00977CF9">
            <w:pPr>
              <w:jc w:val="center"/>
              <w:rPr>
                <w:noProof/>
                <w:sz w:val="16"/>
                <w:szCs w:val="16"/>
              </w:rPr>
            </w:pPr>
          </w:p>
        </w:tc>
      </w:tr>
      <w:tr w:rsidR="00DC021E" w:rsidRPr="00DC021E" w:rsidTr="00977CF9">
        <w:trPr>
          <w:gridBefore w:val="1"/>
          <w:wBefore w:w="6" w:type="pct"/>
          <w:trHeight w:val="289"/>
          <w:jc w:val="center"/>
        </w:trPr>
        <w:tc>
          <w:tcPr>
            <w:tcW w:w="1897" w:type="pct"/>
            <w:gridSpan w:val="2"/>
            <w:shd w:val="clear" w:color="auto" w:fill="auto"/>
            <w:vAlign w:val="center"/>
          </w:tcPr>
          <w:p w:rsidR="00252CAD" w:rsidRPr="00DC021E" w:rsidRDefault="00252CAD" w:rsidP="00977CF9">
            <w:pPr>
              <w:pStyle w:val="Text1"/>
              <w:spacing w:beforeLines="20" w:before="48" w:afterLines="20" w:after="48"/>
              <w:ind w:left="134"/>
              <w:jc w:val="left"/>
              <w:rPr>
                <w:b/>
                <w:noProof/>
                <w:sz w:val="16"/>
                <w:szCs w:val="16"/>
              </w:rPr>
            </w:pPr>
            <w:r w:rsidRPr="00DC021E">
              <w:rPr>
                <w:noProof/>
                <w:sz w:val="16"/>
              </w:rPr>
              <w:t>XX 01 01 01 (Headquarters and Commission’s Representation Offices)</w:t>
            </w:r>
          </w:p>
        </w:tc>
        <w:tc>
          <w:tcPr>
            <w:tcW w:w="318" w:type="pct"/>
            <w:shd w:val="clear" w:color="auto" w:fill="auto"/>
            <w:vAlign w:val="center"/>
          </w:tcPr>
          <w:p w:rsidR="00252CAD" w:rsidRPr="00DC021E" w:rsidRDefault="00252CAD" w:rsidP="00977CF9">
            <w:pPr>
              <w:spacing w:beforeLines="20" w:before="48" w:afterLines="20" w:after="48"/>
              <w:jc w:val="center"/>
              <w:rPr>
                <w:noProof/>
                <w:sz w:val="16"/>
                <w:szCs w:val="16"/>
              </w:rPr>
            </w:pPr>
            <w:r w:rsidRPr="00DC021E">
              <w:rPr>
                <w:noProof/>
                <w:sz w:val="16"/>
                <w:szCs w:val="16"/>
              </w:rPr>
              <w:t>2</w:t>
            </w:r>
          </w:p>
        </w:tc>
        <w:tc>
          <w:tcPr>
            <w:tcW w:w="318" w:type="pct"/>
            <w:shd w:val="clear" w:color="auto" w:fill="auto"/>
            <w:vAlign w:val="center"/>
          </w:tcPr>
          <w:p w:rsidR="00252CAD" w:rsidRPr="00DC021E" w:rsidRDefault="00252CAD" w:rsidP="00977CF9">
            <w:pPr>
              <w:spacing w:beforeLines="20" w:before="48" w:afterLines="20" w:after="48"/>
              <w:jc w:val="center"/>
              <w:rPr>
                <w:noProof/>
                <w:sz w:val="16"/>
                <w:szCs w:val="16"/>
              </w:rPr>
            </w:pPr>
            <w:r w:rsidRPr="00DC021E">
              <w:rPr>
                <w:noProof/>
                <w:sz w:val="16"/>
                <w:szCs w:val="16"/>
              </w:rPr>
              <w:t>3</w:t>
            </w:r>
          </w:p>
        </w:tc>
        <w:tc>
          <w:tcPr>
            <w:tcW w:w="1891" w:type="pct"/>
            <w:shd w:val="clear" w:color="auto" w:fill="auto"/>
            <w:vAlign w:val="center"/>
          </w:tcPr>
          <w:p w:rsidR="00252CAD" w:rsidRPr="00DC021E" w:rsidRDefault="00252CAD" w:rsidP="00977CF9">
            <w:pPr>
              <w:spacing w:beforeLines="20" w:before="48" w:afterLines="20" w:after="48"/>
              <w:jc w:val="center"/>
              <w:rPr>
                <w:noProof/>
                <w:sz w:val="16"/>
                <w:szCs w:val="16"/>
              </w:rPr>
            </w:pPr>
            <w:r w:rsidRPr="00DC021E">
              <w:rPr>
                <w:noProof/>
                <w:sz w:val="16"/>
                <w:szCs w:val="16"/>
              </w:rPr>
              <w:t>3</w:t>
            </w:r>
          </w:p>
        </w:tc>
        <w:tc>
          <w:tcPr>
            <w:tcW w:w="226" w:type="pct"/>
            <w:shd w:val="clear" w:color="auto" w:fill="auto"/>
            <w:vAlign w:val="center"/>
          </w:tcPr>
          <w:p w:rsidR="00252CAD" w:rsidRPr="00DC021E" w:rsidRDefault="00252CAD" w:rsidP="00977CF9">
            <w:pPr>
              <w:spacing w:beforeLines="20" w:before="48" w:afterLines="20" w:after="48"/>
              <w:jc w:val="center"/>
              <w:rPr>
                <w:noProof/>
                <w:sz w:val="16"/>
                <w:szCs w:val="16"/>
              </w:rPr>
            </w:pPr>
            <w:r w:rsidRPr="00DC021E">
              <w:rPr>
                <w:noProof/>
                <w:sz w:val="16"/>
                <w:szCs w:val="16"/>
              </w:rPr>
              <w:t>4</w:t>
            </w:r>
          </w:p>
        </w:tc>
        <w:tc>
          <w:tcPr>
            <w:tcW w:w="115" w:type="pct"/>
            <w:shd w:val="clear" w:color="auto" w:fill="auto"/>
            <w:vAlign w:val="center"/>
          </w:tcPr>
          <w:p w:rsidR="00252CAD" w:rsidRPr="00DC021E" w:rsidRDefault="00252CAD" w:rsidP="00977CF9">
            <w:pPr>
              <w:spacing w:beforeLines="20" w:before="48" w:afterLines="20" w:after="48"/>
              <w:jc w:val="center"/>
              <w:rPr>
                <w:noProof/>
                <w:sz w:val="16"/>
                <w:szCs w:val="16"/>
              </w:rPr>
            </w:pPr>
          </w:p>
        </w:tc>
        <w:tc>
          <w:tcPr>
            <w:tcW w:w="115" w:type="pct"/>
            <w:shd w:val="clear" w:color="auto" w:fill="auto"/>
            <w:vAlign w:val="center"/>
          </w:tcPr>
          <w:p w:rsidR="00252CAD" w:rsidRPr="00DC021E" w:rsidRDefault="00252CAD" w:rsidP="00977CF9">
            <w:pPr>
              <w:spacing w:beforeLines="20" w:before="48" w:afterLines="20" w:after="48"/>
              <w:jc w:val="center"/>
              <w:rPr>
                <w:noProof/>
                <w:sz w:val="16"/>
                <w:szCs w:val="16"/>
              </w:rPr>
            </w:pPr>
          </w:p>
        </w:tc>
        <w:tc>
          <w:tcPr>
            <w:tcW w:w="115" w:type="pct"/>
            <w:shd w:val="clear" w:color="auto" w:fill="auto"/>
            <w:vAlign w:val="center"/>
          </w:tcPr>
          <w:p w:rsidR="00252CAD" w:rsidRPr="00DC021E" w:rsidRDefault="00252CAD" w:rsidP="00977CF9">
            <w:pPr>
              <w:spacing w:beforeLines="20" w:before="48" w:afterLines="20" w:after="48"/>
              <w:jc w:val="center"/>
              <w:rPr>
                <w:noProof/>
                <w:sz w:val="16"/>
                <w:szCs w:val="16"/>
              </w:rPr>
            </w:pPr>
          </w:p>
        </w:tc>
      </w:tr>
      <w:tr w:rsidR="00DC021E" w:rsidRPr="00DC021E" w:rsidTr="00977CF9">
        <w:trPr>
          <w:gridBefore w:val="1"/>
          <w:wBefore w:w="6" w:type="pct"/>
          <w:trHeight w:val="289"/>
          <w:jc w:val="center"/>
        </w:trPr>
        <w:tc>
          <w:tcPr>
            <w:tcW w:w="1897" w:type="pct"/>
            <w:gridSpan w:val="2"/>
            <w:shd w:val="clear" w:color="auto" w:fill="auto"/>
            <w:vAlign w:val="center"/>
          </w:tcPr>
          <w:p w:rsidR="00DC64CF" w:rsidRPr="00DC021E" w:rsidRDefault="00DC64CF" w:rsidP="00977CF9">
            <w:pPr>
              <w:pStyle w:val="Text1"/>
              <w:spacing w:beforeLines="20" w:before="48" w:afterLines="20" w:after="48"/>
              <w:ind w:left="134"/>
              <w:jc w:val="left"/>
              <w:rPr>
                <w:noProof/>
                <w:sz w:val="16"/>
                <w:szCs w:val="16"/>
              </w:rPr>
            </w:pPr>
            <w:r w:rsidRPr="00DC021E">
              <w:rPr>
                <w:noProof/>
                <w:sz w:val="16"/>
              </w:rPr>
              <w:t>XX 01 01 02 (Delegations)</w:t>
            </w: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891"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226"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r>
      <w:tr w:rsidR="00DC021E" w:rsidRPr="00DC021E" w:rsidTr="00977CF9">
        <w:trPr>
          <w:gridBefore w:val="1"/>
          <w:wBefore w:w="6" w:type="pct"/>
          <w:trHeight w:val="289"/>
          <w:jc w:val="center"/>
        </w:trPr>
        <w:tc>
          <w:tcPr>
            <w:tcW w:w="1897" w:type="pct"/>
            <w:gridSpan w:val="2"/>
            <w:shd w:val="clear" w:color="auto" w:fill="auto"/>
            <w:vAlign w:val="center"/>
          </w:tcPr>
          <w:p w:rsidR="00DC64CF" w:rsidRPr="00DC021E" w:rsidRDefault="00DC64CF" w:rsidP="00977CF9">
            <w:pPr>
              <w:pStyle w:val="Text1"/>
              <w:spacing w:beforeLines="20" w:before="48" w:afterLines="20" w:after="48"/>
              <w:ind w:left="134"/>
              <w:jc w:val="left"/>
              <w:rPr>
                <w:noProof/>
                <w:sz w:val="16"/>
                <w:szCs w:val="16"/>
              </w:rPr>
            </w:pPr>
            <w:r w:rsidRPr="00DC021E">
              <w:rPr>
                <w:noProof/>
                <w:sz w:val="16"/>
              </w:rPr>
              <w:t>XX 01 05 01 (Indirect research)</w:t>
            </w: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891"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226"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r>
      <w:tr w:rsidR="00DC021E" w:rsidRPr="00DC021E" w:rsidTr="00977CF9">
        <w:trPr>
          <w:gridBefore w:val="1"/>
          <w:wBefore w:w="6" w:type="pct"/>
          <w:trHeight w:val="289"/>
          <w:jc w:val="center"/>
        </w:trPr>
        <w:tc>
          <w:tcPr>
            <w:tcW w:w="1897" w:type="pct"/>
            <w:gridSpan w:val="2"/>
            <w:shd w:val="clear" w:color="auto" w:fill="auto"/>
            <w:vAlign w:val="center"/>
          </w:tcPr>
          <w:p w:rsidR="00DC64CF" w:rsidRPr="00DC021E" w:rsidRDefault="00DC64CF" w:rsidP="00977CF9">
            <w:pPr>
              <w:pStyle w:val="Text1"/>
              <w:spacing w:beforeLines="20" w:before="48" w:afterLines="20" w:after="48"/>
              <w:ind w:left="134"/>
              <w:jc w:val="left"/>
              <w:rPr>
                <w:noProof/>
                <w:sz w:val="16"/>
                <w:szCs w:val="16"/>
              </w:rPr>
            </w:pPr>
            <w:r w:rsidRPr="00DC021E">
              <w:rPr>
                <w:noProof/>
                <w:sz w:val="16"/>
              </w:rPr>
              <w:t>10 01 05 01 (Direct research)</w:t>
            </w: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891"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226"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r>
      <w:tr w:rsidR="00DC021E" w:rsidRPr="00DC021E" w:rsidTr="00252CAD">
        <w:trPr>
          <w:gridAfter w:val="4"/>
          <w:wAfter w:w="571" w:type="pct"/>
          <w:trHeight w:val="248"/>
          <w:jc w:val="center"/>
        </w:trPr>
        <w:tc>
          <w:tcPr>
            <w:tcW w:w="4429" w:type="pct"/>
            <w:gridSpan w:val="6"/>
            <w:shd w:val="clear" w:color="auto" w:fill="auto"/>
            <w:vAlign w:val="center"/>
          </w:tcPr>
          <w:p w:rsidR="00DC64CF" w:rsidRPr="00DC021E" w:rsidRDefault="00DC64CF" w:rsidP="00977CF9">
            <w:pPr>
              <w:pStyle w:val="Text1"/>
              <w:spacing w:before="60" w:after="60"/>
              <w:ind w:left="0"/>
              <w:jc w:val="left"/>
              <w:rPr>
                <w:b/>
                <w:noProof/>
                <w:sz w:val="16"/>
                <w:szCs w:val="16"/>
              </w:rPr>
            </w:pPr>
            <w:r w:rsidRPr="00DC021E">
              <w:rPr>
                <w:b/>
                <w:noProof/>
                <w:sz w:val="16"/>
              </w:rPr>
              <w:sym w:font="Wingdings" w:char="F09F"/>
            </w:r>
            <w:r w:rsidRPr="00DC021E">
              <w:rPr>
                <w:b/>
                <w:noProof/>
                <w:sz w:val="16"/>
              </w:rPr>
              <w:t xml:space="preserve"> External staff (in Full Time Equivalent unit: FTE)</w:t>
            </w:r>
            <w:r w:rsidRPr="00DC021E">
              <w:rPr>
                <w:rStyle w:val="FootnoteReference"/>
                <w:b/>
                <w:noProof/>
                <w:sz w:val="16"/>
              </w:rPr>
              <w:footnoteReference w:id="22"/>
            </w:r>
          </w:p>
          <w:p w:rsidR="00DC64CF" w:rsidRPr="00DC021E" w:rsidRDefault="00DC64CF" w:rsidP="00977CF9">
            <w:pPr>
              <w:pStyle w:val="Text1"/>
              <w:spacing w:before="0" w:after="0"/>
              <w:ind w:left="0"/>
              <w:jc w:val="left"/>
              <w:rPr>
                <w:noProof/>
                <w:sz w:val="16"/>
                <w:szCs w:val="16"/>
              </w:rPr>
            </w:pPr>
          </w:p>
        </w:tc>
      </w:tr>
      <w:tr w:rsidR="00DC021E" w:rsidRPr="00DC021E" w:rsidTr="00977CF9">
        <w:trPr>
          <w:gridBefore w:val="1"/>
          <w:wBefore w:w="6" w:type="pct"/>
          <w:trHeight w:val="289"/>
          <w:jc w:val="center"/>
        </w:trPr>
        <w:tc>
          <w:tcPr>
            <w:tcW w:w="1897" w:type="pct"/>
            <w:gridSpan w:val="2"/>
            <w:shd w:val="clear" w:color="auto" w:fill="auto"/>
            <w:vAlign w:val="center"/>
          </w:tcPr>
          <w:p w:rsidR="00DC64CF" w:rsidRPr="00DC021E" w:rsidRDefault="00DC64CF" w:rsidP="00977CF9">
            <w:pPr>
              <w:pStyle w:val="Text1"/>
              <w:spacing w:beforeLines="20" w:before="48" w:afterLines="20" w:after="48"/>
              <w:ind w:left="136"/>
              <w:jc w:val="left"/>
              <w:rPr>
                <w:b/>
                <w:noProof/>
                <w:sz w:val="16"/>
                <w:szCs w:val="16"/>
              </w:rPr>
            </w:pPr>
            <w:r w:rsidRPr="00DC021E">
              <w:rPr>
                <w:noProof/>
                <w:sz w:val="16"/>
              </w:rPr>
              <w:t>XX 01 02 01 (AC, END, INT from the ‘global envelope’)</w:t>
            </w: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891"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226"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r>
      <w:tr w:rsidR="00DC021E" w:rsidRPr="00DC021E" w:rsidTr="00977CF9">
        <w:trPr>
          <w:gridBefore w:val="1"/>
          <w:wBefore w:w="6" w:type="pct"/>
          <w:trHeight w:val="289"/>
          <w:jc w:val="center"/>
        </w:trPr>
        <w:tc>
          <w:tcPr>
            <w:tcW w:w="1897" w:type="pct"/>
            <w:gridSpan w:val="2"/>
            <w:shd w:val="clear" w:color="auto" w:fill="auto"/>
            <w:vAlign w:val="center"/>
          </w:tcPr>
          <w:p w:rsidR="00DC64CF" w:rsidRPr="00DC021E" w:rsidRDefault="00DC64CF" w:rsidP="00977CF9">
            <w:pPr>
              <w:pStyle w:val="Text1"/>
              <w:spacing w:beforeLines="20" w:before="48" w:afterLines="20" w:after="48"/>
              <w:ind w:left="136"/>
              <w:jc w:val="left"/>
              <w:rPr>
                <w:noProof/>
                <w:sz w:val="16"/>
                <w:szCs w:val="16"/>
              </w:rPr>
            </w:pPr>
            <w:r w:rsidRPr="00DC021E">
              <w:rPr>
                <w:noProof/>
                <w:sz w:val="16"/>
              </w:rPr>
              <w:t xml:space="preserve">XX 01 02 02 (AC, </w:t>
            </w:r>
            <w:smartTag w:uri="urn:schemas-microsoft-com:office:smarttags" w:element="State">
              <w:smartTag w:uri="urn:schemas-microsoft-com:office:smarttags" w:element="place">
                <w:r w:rsidRPr="00DC021E">
                  <w:rPr>
                    <w:noProof/>
                    <w:sz w:val="16"/>
                  </w:rPr>
                  <w:t>AL</w:t>
                </w:r>
              </w:smartTag>
            </w:smartTag>
            <w:r w:rsidRPr="00DC021E">
              <w:rPr>
                <w:noProof/>
                <w:sz w:val="16"/>
              </w:rPr>
              <w:t>, END, INT and JED in the delegations)</w:t>
            </w: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891"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226"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r>
      <w:tr w:rsidR="00DC021E" w:rsidRPr="00DC021E" w:rsidTr="00977CF9">
        <w:trPr>
          <w:gridBefore w:val="1"/>
          <w:wBefore w:w="6" w:type="pct"/>
          <w:trHeight w:val="289"/>
          <w:jc w:val="center"/>
        </w:trPr>
        <w:tc>
          <w:tcPr>
            <w:tcW w:w="948" w:type="pct"/>
            <w:vMerge w:val="restart"/>
            <w:shd w:val="clear" w:color="auto" w:fill="auto"/>
            <w:vAlign w:val="center"/>
          </w:tcPr>
          <w:p w:rsidR="00DC64CF" w:rsidRPr="00DC021E" w:rsidRDefault="00DC64CF" w:rsidP="00977CF9">
            <w:pPr>
              <w:pStyle w:val="Text1"/>
              <w:spacing w:beforeLines="20" w:before="48" w:afterLines="20" w:after="48"/>
              <w:ind w:left="136"/>
              <w:jc w:val="left"/>
              <w:rPr>
                <w:b/>
                <w:noProof/>
                <w:sz w:val="16"/>
                <w:szCs w:val="16"/>
              </w:rPr>
            </w:pPr>
            <w:r w:rsidRPr="00DC021E">
              <w:rPr>
                <w:b/>
                <w:noProof/>
                <w:sz w:val="16"/>
                <w:szCs w:val="16"/>
              </w:rPr>
              <w:t>XX</w:t>
            </w:r>
            <w:r w:rsidRPr="00DC021E">
              <w:rPr>
                <w:noProof/>
                <w:sz w:val="16"/>
                <w:szCs w:val="16"/>
              </w:rPr>
              <w:t xml:space="preserve"> 01 04 </w:t>
            </w:r>
            <w:r w:rsidRPr="00DC021E">
              <w:rPr>
                <w:b/>
                <w:noProof/>
                <w:sz w:val="16"/>
                <w:szCs w:val="16"/>
              </w:rPr>
              <w:t>yy</w:t>
            </w:r>
            <w:r w:rsidRPr="00DC021E">
              <w:rPr>
                <w:b/>
                <w:i/>
                <w:noProof/>
                <w:sz w:val="16"/>
              </w:rPr>
              <w:t xml:space="preserve"> </w:t>
            </w:r>
            <w:r w:rsidRPr="00DC021E">
              <w:rPr>
                <w:rStyle w:val="FootnoteReference"/>
                <w:b/>
                <w:i/>
                <w:noProof/>
                <w:sz w:val="16"/>
              </w:rPr>
              <w:footnoteReference w:id="23"/>
            </w:r>
          </w:p>
          <w:p w:rsidR="00DC64CF" w:rsidRPr="00DC021E" w:rsidRDefault="00DC64CF" w:rsidP="00977CF9">
            <w:pPr>
              <w:pStyle w:val="Text1"/>
              <w:spacing w:beforeLines="20" w:before="48" w:afterLines="20" w:after="48"/>
              <w:ind w:left="136"/>
              <w:jc w:val="left"/>
              <w:rPr>
                <w:b/>
                <w:noProof/>
                <w:sz w:val="16"/>
                <w:szCs w:val="16"/>
              </w:rPr>
            </w:pPr>
          </w:p>
        </w:tc>
        <w:tc>
          <w:tcPr>
            <w:tcW w:w="949" w:type="pct"/>
            <w:shd w:val="clear" w:color="auto" w:fill="auto"/>
            <w:vAlign w:val="center"/>
          </w:tcPr>
          <w:p w:rsidR="00DC64CF" w:rsidRPr="00DC021E" w:rsidRDefault="00DC64CF" w:rsidP="00977CF9">
            <w:pPr>
              <w:pStyle w:val="Text1"/>
              <w:spacing w:beforeLines="20" w:before="48" w:afterLines="20" w:after="48"/>
              <w:ind w:left="136"/>
              <w:jc w:val="left"/>
              <w:rPr>
                <w:b/>
                <w:noProof/>
                <w:sz w:val="16"/>
                <w:szCs w:val="16"/>
              </w:rPr>
            </w:pPr>
            <w:r w:rsidRPr="00DC021E">
              <w:rPr>
                <w:noProof/>
                <w:sz w:val="16"/>
              </w:rPr>
              <w:t>- at Headquarters</w:t>
            </w:r>
          </w:p>
          <w:p w:rsidR="00DC64CF" w:rsidRPr="00DC021E" w:rsidRDefault="00DC64CF" w:rsidP="00977CF9">
            <w:pPr>
              <w:pStyle w:val="Text1"/>
              <w:spacing w:beforeLines="20" w:before="48" w:afterLines="20" w:after="48"/>
              <w:ind w:left="136"/>
              <w:jc w:val="left"/>
              <w:rPr>
                <w:b/>
                <w:noProof/>
                <w:sz w:val="16"/>
                <w:szCs w:val="16"/>
              </w:rPr>
            </w:pPr>
          </w:p>
        </w:tc>
        <w:tc>
          <w:tcPr>
            <w:tcW w:w="318" w:type="pct"/>
            <w:shd w:val="clear" w:color="auto" w:fill="auto"/>
            <w:vAlign w:val="center"/>
          </w:tcPr>
          <w:p w:rsidR="00DC64CF" w:rsidRPr="00DC021E" w:rsidRDefault="00DC64CF" w:rsidP="00977CF9">
            <w:pPr>
              <w:pStyle w:val="Text1"/>
              <w:spacing w:beforeLines="20" w:before="48" w:afterLines="20" w:after="48"/>
              <w:ind w:left="0"/>
              <w:rPr>
                <w:noProof/>
                <w:sz w:val="16"/>
                <w:szCs w:val="16"/>
              </w:rPr>
            </w:pP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891"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226"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r>
      <w:tr w:rsidR="00DC021E" w:rsidRPr="00DC021E" w:rsidTr="00977CF9">
        <w:trPr>
          <w:gridBefore w:val="1"/>
          <w:wBefore w:w="6" w:type="pct"/>
          <w:trHeight w:val="289"/>
          <w:jc w:val="center"/>
        </w:trPr>
        <w:tc>
          <w:tcPr>
            <w:tcW w:w="948" w:type="pct"/>
            <w:vMerge/>
            <w:shd w:val="clear" w:color="auto" w:fill="auto"/>
            <w:vAlign w:val="center"/>
          </w:tcPr>
          <w:p w:rsidR="00DC64CF" w:rsidRPr="00DC021E" w:rsidRDefault="00DC64CF" w:rsidP="00977CF9">
            <w:pPr>
              <w:pStyle w:val="Text1"/>
              <w:spacing w:beforeLines="20" w:before="48" w:afterLines="20" w:after="48"/>
              <w:ind w:left="136"/>
              <w:jc w:val="left"/>
              <w:rPr>
                <w:b/>
                <w:noProof/>
                <w:sz w:val="16"/>
                <w:szCs w:val="16"/>
              </w:rPr>
            </w:pPr>
          </w:p>
        </w:tc>
        <w:tc>
          <w:tcPr>
            <w:tcW w:w="949" w:type="pct"/>
            <w:shd w:val="clear" w:color="auto" w:fill="auto"/>
            <w:vAlign w:val="center"/>
          </w:tcPr>
          <w:p w:rsidR="00DC64CF" w:rsidRPr="00DC021E" w:rsidRDefault="00DC64CF" w:rsidP="00977CF9">
            <w:pPr>
              <w:pStyle w:val="Text1"/>
              <w:spacing w:beforeLines="20" w:before="48" w:afterLines="20" w:after="48"/>
              <w:ind w:left="136"/>
              <w:jc w:val="left"/>
              <w:rPr>
                <w:b/>
                <w:noProof/>
                <w:sz w:val="16"/>
                <w:szCs w:val="16"/>
              </w:rPr>
            </w:pPr>
            <w:r w:rsidRPr="00DC021E">
              <w:rPr>
                <w:noProof/>
                <w:sz w:val="16"/>
              </w:rPr>
              <w:t xml:space="preserve">- in Delegations </w:t>
            </w:r>
          </w:p>
        </w:tc>
        <w:tc>
          <w:tcPr>
            <w:tcW w:w="318" w:type="pct"/>
            <w:shd w:val="clear" w:color="auto" w:fill="auto"/>
            <w:vAlign w:val="center"/>
          </w:tcPr>
          <w:p w:rsidR="00DC64CF" w:rsidRPr="00DC021E" w:rsidRDefault="00DC64CF" w:rsidP="00977CF9">
            <w:pPr>
              <w:pStyle w:val="Text1"/>
              <w:spacing w:beforeLines="20" w:before="48" w:afterLines="20" w:after="48"/>
              <w:ind w:left="0"/>
              <w:rPr>
                <w:noProof/>
                <w:sz w:val="16"/>
                <w:szCs w:val="16"/>
              </w:rPr>
            </w:pP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891"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226"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r>
      <w:tr w:rsidR="00DC021E" w:rsidRPr="00DC021E" w:rsidTr="00977CF9">
        <w:trPr>
          <w:gridBefore w:val="1"/>
          <w:wBefore w:w="6" w:type="pct"/>
          <w:trHeight w:val="289"/>
          <w:jc w:val="center"/>
        </w:trPr>
        <w:tc>
          <w:tcPr>
            <w:tcW w:w="1897" w:type="pct"/>
            <w:gridSpan w:val="2"/>
            <w:shd w:val="clear" w:color="auto" w:fill="auto"/>
            <w:vAlign w:val="center"/>
          </w:tcPr>
          <w:p w:rsidR="00DC64CF" w:rsidRPr="00DC021E" w:rsidRDefault="00DC64CF" w:rsidP="00977CF9">
            <w:pPr>
              <w:pStyle w:val="Text1"/>
              <w:spacing w:beforeLines="20" w:before="48" w:afterLines="20" w:after="48"/>
              <w:ind w:left="136"/>
              <w:jc w:val="left"/>
              <w:rPr>
                <w:noProof/>
                <w:sz w:val="16"/>
                <w:szCs w:val="16"/>
              </w:rPr>
            </w:pPr>
            <w:r w:rsidRPr="00DC021E">
              <w:rPr>
                <w:b/>
                <w:noProof/>
                <w:sz w:val="16"/>
                <w:szCs w:val="16"/>
              </w:rPr>
              <w:t>XX</w:t>
            </w:r>
            <w:r w:rsidRPr="00DC021E">
              <w:rPr>
                <w:noProof/>
                <w:sz w:val="16"/>
                <w:szCs w:val="16"/>
              </w:rPr>
              <w:t xml:space="preserve"> 01 05 02 (AC, END, INT - Indirect research)</w:t>
            </w: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891"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226"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r>
      <w:tr w:rsidR="00DC021E" w:rsidRPr="00DC021E" w:rsidTr="00977CF9">
        <w:trPr>
          <w:gridBefore w:val="1"/>
          <w:wBefore w:w="6" w:type="pct"/>
          <w:trHeight w:val="289"/>
          <w:jc w:val="center"/>
        </w:trPr>
        <w:tc>
          <w:tcPr>
            <w:tcW w:w="1897" w:type="pct"/>
            <w:gridSpan w:val="2"/>
            <w:shd w:val="clear" w:color="auto" w:fill="auto"/>
            <w:vAlign w:val="center"/>
          </w:tcPr>
          <w:p w:rsidR="00DC64CF" w:rsidRPr="00DC021E" w:rsidRDefault="00DC64CF" w:rsidP="00977CF9">
            <w:pPr>
              <w:pStyle w:val="Text1"/>
              <w:spacing w:beforeLines="20" w:before="48" w:afterLines="20" w:after="48"/>
              <w:ind w:left="136"/>
              <w:jc w:val="left"/>
              <w:rPr>
                <w:noProof/>
                <w:sz w:val="16"/>
                <w:szCs w:val="16"/>
              </w:rPr>
            </w:pPr>
            <w:r w:rsidRPr="00DC021E">
              <w:rPr>
                <w:noProof/>
                <w:sz w:val="16"/>
              </w:rPr>
              <w:t>10 01 05 02 (AC, END, INT - Direct research)</w:t>
            </w: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318"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891"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226"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shd w:val="clear" w:color="auto" w:fill="auto"/>
            <w:vAlign w:val="center"/>
          </w:tcPr>
          <w:p w:rsidR="00DC64CF" w:rsidRPr="00DC021E" w:rsidRDefault="00DC64CF" w:rsidP="00977CF9">
            <w:pPr>
              <w:spacing w:beforeLines="20" w:before="48" w:afterLines="20" w:after="48"/>
              <w:jc w:val="center"/>
              <w:rPr>
                <w:noProof/>
                <w:sz w:val="16"/>
                <w:szCs w:val="16"/>
              </w:rPr>
            </w:pPr>
          </w:p>
        </w:tc>
      </w:tr>
      <w:tr w:rsidR="00DC021E" w:rsidRPr="00DC021E" w:rsidTr="00977CF9">
        <w:trPr>
          <w:gridBefore w:val="1"/>
          <w:wBefore w:w="6" w:type="pct"/>
          <w:trHeight w:val="289"/>
          <w:jc w:val="center"/>
        </w:trPr>
        <w:tc>
          <w:tcPr>
            <w:tcW w:w="1897" w:type="pct"/>
            <w:gridSpan w:val="2"/>
            <w:tcBorders>
              <w:bottom w:val="double" w:sz="4" w:space="0" w:color="auto"/>
            </w:tcBorders>
            <w:shd w:val="clear" w:color="auto" w:fill="auto"/>
            <w:vAlign w:val="center"/>
          </w:tcPr>
          <w:p w:rsidR="00DC64CF" w:rsidRPr="00DC021E" w:rsidRDefault="00DC64CF" w:rsidP="00977CF9">
            <w:pPr>
              <w:pStyle w:val="Text1"/>
              <w:spacing w:beforeLines="20" w:before="48" w:afterLines="20" w:after="48"/>
              <w:ind w:left="134"/>
              <w:jc w:val="left"/>
              <w:rPr>
                <w:noProof/>
                <w:sz w:val="16"/>
                <w:szCs w:val="16"/>
              </w:rPr>
            </w:pPr>
            <w:r w:rsidRPr="00DC021E">
              <w:rPr>
                <w:noProof/>
                <w:sz w:val="16"/>
              </w:rPr>
              <w:t>Other budget lines (specify)</w:t>
            </w:r>
          </w:p>
        </w:tc>
        <w:tc>
          <w:tcPr>
            <w:tcW w:w="318" w:type="pct"/>
            <w:tcBorders>
              <w:bottom w:val="double" w:sz="4" w:space="0" w:color="auto"/>
            </w:tcBorders>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DC64CF" w:rsidRPr="00DC021E" w:rsidRDefault="00DC64CF" w:rsidP="00977CF9">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DC64CF" w:rsidRPr="00DC021E" w:rsidRDefault="00DC64CF" w:rsidP="00977CF9">
            <w:pPr>
              <w:spacing w:beforeLines="20" w:before="48" w:afterLines="20" w:after="48"/>
              <w:jc w:val="center"/>
              <w:rPr>
                <w:noProof/>
                <w:sz w:val="16"/>
                <w:szCs w:val="16"/>
              </w:rPr>
            </w:pPr>
          </w:p>
        </w:tc>
      </w:tr>
      <w:tr w:rsidR="00DC021E" w:rsidRPr="00DC021E" w:rsidTr="00977CF9">
        <w:trPr>
          <w:gridBefore w:val="1"/>
          <w:wBefore w:w="6" w:type="pct"/>
          <w:trHeight w:val="289"/>
          <w:jc w:val="center"/>
        </w:trPr>
        <w:tc>
          <w:tcPr>
            <w:tcW w:w="1897" w:type="pct"/>
            <w:gridSpan w:val="2"/>
            <w:tcBorders>
              <w:top w:val="double" w:sz="4" w:space="0" w:color="auto"/>
            </w:tcBorders>
            <w:shd w:val="clear" w:color="auto" w:fill="auto"/>
            <w:vAlign w:val="center"/>
          </w:tcPr>
          <w:p w:rsidR="00587F4B" w:rsidRPr="00DC021E" w:rsidRDefault="00587F4B" w:rsidP="00977CF9">
            <w:pPr>
              <w:pStyle w:val="Text1"/>
              <w:spacing w:beforeLines="20" w:before="48" w:afterLines="20" w:after="48"/>
              <w:ind w:left="136"/>
              <w:jc w:val="left"/>
              <w:rPr>
                <w:noProof/>
                <w:sz w:val="16"/>
                <w:szCs w:val="16"/>
              </w:rPr>
            </w:pPr>
            <w:r w:rsidRPr="00DC021E">
              <w:rPr>
                <w:b/>
                <w:noProof/>
                <w:sz w:val="16"/>
              </w:rPr>
              <w:t>TOTAL</w:t>
            </w:r>
          </w:p>
        </w:tc>
        <w:tc>
          <w:tcPr>
            <w:tcW w:w="318" w:type="pct"/>
            <w:tcBorders>
              <w:top w:val="double" w:sz="4" w:space="0" w:color="auto"/>
            </w:tcBorders>
            <w:shd w:val="clear" w:color="auto" w:fill="auto"/>
            <w:vAlign w:val="center"/>
          </w:tcPr>
          <w:p w:rsidR="00587F4B" w:rsidRPr="00DC021E" w:rsidRDefault="00587F4B" w:rsidP="00977CF9">
            <w:pPr>
              <w:spacing w:beforeLines="20" w:before="48" w:afterLines="20" w:after="48"/>
              <w:jc w:val="center"/>
              <w:rPr>
                <w:b/>
                <w:noProof/>
                <w:sz w:val="16"/>
                <w:szCs w:val="16"/>
              </w:rPr>
            </w:pPr>
            <w:r w:rsidRPr="00DC021E">
              <w:rPr>
                <w:noProof/>
                <w:sz w:val="16"/>
                <w:szCs w:val="16"/>
              </w:rPr>
              <w:t>2</w:t>
            </w:r>
          </w:p>
        </w:tc>
        <w:tc>
          <w:tcPr>
            <w:tcW w:w="318" w:type="pct"/>
            <w:tcBorders>
              <w:top w:val="double" w:sz="4" w:space="0" w:color="auto"/>
            </w:tcBorders>
            <w:shd w:val="clear" w:color="auto" w:fill="auto"/>
            <w:vAlign w:val="center"/>
          </w:tcPr>
          <w:p w:rsidR="00587F4B" w:rsidRPr="00DC021E" w:rsidRDefault="00587F4B" w:rsidP="00977CF9">
            <w:pPr>
              <w:spacing w:beforeLines="20" w:before="48" w:afterLines="20" w:after="48"/>
              <w:jc w:val="center"/>
              <w:rPr>
                <w:b/>
                <w:noProof/>
                <w:sz w:val="16"/>
                <w:szCs w:val="16"/>
              </w:rPr>
            </w:pPr>
            <w:r w:rsidRPr="00DC021E">
              <w:rPr>
                <w:noProof/>
                <w:sz w:val="16"/>
                <w:szCs w:val="16"/>
              </w:rPr>
              <w:t>3</w:t>
            </w:r>
          </w:p>
        </w:tc>
        <w:tc>
          <w:tcPr>
            <w:tcW w:w="1891" w:type="pct"/>
            <w:tcBorders>
              <w:top w:val="double" w:sz="4" w:space="0" w:color="auto"/>
            </w:tcBorders>
            <w:shd w:val="clear" w:color="auto" w:fill="auto"/>
            <w:vAlign w:val="center"/>
          </w:tcPr>
          <w:p w:rsidR="00587F4B" w:rsidRPr="00DC021E" w:rsidRDefault="00587F4B" w:rsidP="00977CF9">
            <w:pPr>
              <w:spacing w:beforeLines="20" w:before="48" w:afterLines="20" w:after="48"/>
              <w:jc w:val="center"/>
              <w:rPr>
                <w:b/>
                <w:noProof/>
                <w:sz w:val="16"/>
                <w:szCs w:val="16"/>
              </w:rPr>
            </w:pPr>
            <w:r w:rsidRPr="00DC021E">
              <w:rPr>
                <w:noProof/>
                <w:sz w:val="16"/>
                <w:szCs w:val="16"/>
              </w:rPr>
              <w:t>3</w:t>
            </w:r>
          </w:p>
        </w:tc>
        <w:tc>
          <w:tcPr>
            <w:tcW w:w="226" w:type="pct"/>
            <w:tcBorders>
              <w:top w:val="double" w:sz="4" w:space="0" w:color="auto"/>
            </w:tcBorders>
            <w:shd w:val="clear" w:color="auto" w:fill="auto"/>
            <w:vAlign w:val="center"/>
          </w:tcPr>
          <w:p w:rsidR="00587F4B" w:rsidRPr="00DC021E" w:rsidRDefault="00587F4B" w:rsidP="00977CF9">
            <w:pPr>
              <w:spacing w:beforeLines="20" w:before="48" w:afterLines="20" w:after="48"/>
              <w:jc w:val="center"/>
              <w:rPr>
                <w:b/>
                <w:noProof/>
                <w:sz w:val="16"/>
                <w:szCs w:val="16"/>
              </w:rPr>
            </w:pPr>
            <w:r w:rsidRPr="00DC021E">
              <w:rPr>
                <w:noProof/>
                <w:sz w:val="16"/>
                <w:szCs w:val="16"/>
              </w:rPr>
              <w:t>4</w:t>
            </w:r>
          </w:p>
        </w:tc>
        <w:tc>
          <w:tcPr>
            <w:tcW w:w="115" w:type="pct"/>
            <w:tcBorders>
              <w:top w:val="double" w:sz="4" w:space="0" w:color="auto"/>
            </w:tcBorders>
            <w:shd w:val="clear" w:color="auto" w:fill="auto"/>
            <w:vAlign w:val="center"/>
          </w:tcPr>
          <w:p w:rsidR="00587F4B" w:rsidRPr="00DC021E" w:rsidRDefault="00587F4B" w:rsidP="00977CF9">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587F4B" w:rsidRPr="00DC021E" w:rsidRDefault="00587F4B" w:rsidP="00977CF9">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587F4B" w:rsidRPr="00DC021E" w:rsidRDefault="00587F4B" w:rsidP="00977CF9">
            <w:pPr>
              <w:spacing w:beforeLines="20" w:before="48" w:afterLines="20" w:after="48"/>
              <w:jc w:val="center"/>
              <w:rPr>
                <w:b/>
                <w:noProof/>
                <w:sz w:val="16"/>
                <w:szCs w:val="16"/>
              </w:rPr>
            </w:pPr>
          </w:p>
        </w:tc>
      </w:tr>
    </w:tbl>
    <w:p w:rsidR="00DC64CF" w:rsidRPr="00DC021E" w:rsidRDefault="00587F4B" w:rsidP="00977CF9">
      <w:pPr>
        <w:pStyle w:val="Text1"/>
        <w:spacing w:before="60" w:after="60"/>
        <w:ind w:left="851"/>
        <w:rPr>
          <w:noProof/>
          <w:sz w:val="18"/>
          <w:szCs w:val="18"/>
        </w:rPr>
      </w:pPr>
      <w:r w:rsidRPr="00DC021E">
        <w:rPr>
          <w:b/>
          <w:noProof/>
          <w:sz w:val="18"/>
          <w:szCs w:val="18"/>
        </w:rPr>
        <w:t>34</w:t>
      </w:r>
      <w:r w:rsidR="00DC64CF" w:rsidRPr="00DC021E">
        <w:rPr>
          <w:noProof/>
          <w:sz w:val="18"/>
          <w:szCs w:val="18"/>
        </w:rPr>
        <w:t xml:space="preserve"> is the policy area or budget title concerned.</w:t>
      </w:r>
    </w:p>
    <w:p w:rsidR="00DC64CF" w:rsidRPr="00DC021E" w:rsidRDefault="00DC64CF" w:rsidP="00977CF9">
      <w:pPr>
        <w:pStyle w:val="Text1"/>
        <w:rPr>
          <w:noProof/>
          <w:sz w:val="18"/>
          <w:szCs w:val="18"/>
        </w:rPr>
      </w:pPr>
      <w:r w:rsidRPr="00DC021E">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DC64CF" w:rsidRPr="00DC021E" w:rsidRDefault="00DC64CF" w:rsidP="00977CF9">
      <w:pPr>
        <w:rPr>
          <w:noProof/>
          <w:sz w:val="20"/>
        </w:rPr>
      </w:pPr>
      <w:r w:rsidRPr="00DC021E">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DC021E" w:rsidRPr="00DC021E" w:rsidTr="00977CF9">
        <w:tc>
          <w:tcPr>
            <w:tcW w:w="3240" w:type="dxa"/>
          </w:tcPr>
          <w:p w:rsidR="00DC64CF" w:rsidRPr="00DC021E" w:rsidRDefault="00DC64CF" w:rsidP="00977CF9">
            <w:pPr>
              <w:rPr>
                <w:noProof/>
                <w:sz w:val="20"/>
              </w:rPr>
            </w:pPr>
            <w:r w:rsidRPr="00DC021E">
              <w:rPr>
                <w:noProof/>
                <w:sz w:val="20"/>
              </w:rPr>
              <w:t>Officials and temporary staff</w:t>
            </w:r>
          </w:p>
        </w:tc>
        <w:tc>
          <w:tcPr>
            <w:tcW w:w="7200" w:type="dxa"/>
          </w:tcPr>
          <w:p w:rsidR="00DC64CF" w:rsidRPr="00DC021E" w:rsidRDefault="007651A6" w:rsidP="00977CF9">
            <w:pPr>
              <w:rPr>
                <w:noProof/>
                <w:sz w:val="20"/>
              </w:rPr>
            </w:pPr>
            <w:r w:rsidRPr="00DC021E">
              <w:rPr>
                <w:noProof/>
                <w:sz w:val="20"/>
              </w:rPr>
              <w:t xml:space="preserve"> Current AD team will continue managing the LULUCF initiative. Additional AD required for managing the project of developing a new module in EU Registry system dedicated to LULUCF as from 2018 and one additional dealing AD with forestry measures and forest reference levels as from 2020</w:t>
            </w:r>
          </w:p>
        </w:tc>
      </w:tr>
      <w:tr w:rsidR="00DC021E" w:rsidRPr="00DC021E" w:rsidTr="00977CF9">
        <w:tc>
          <w:tcPr>
            <w:tcW w:w="3240" w:type="dxa"/>
          </w:tcPr>
          <w:p w:rsidR="00DC64CF" w:rsidRPr="00DC021E" w:rsidRDefault="00DC64CF" w:rsidP="00977CF9">
            <w:pPr>
              <w:spacing w:before="60" w:after="60"/>
              <w:rPr>
                <w:noProof/>
                <w:sz w:val="20"/>
              </w:rPr>
            </w:pPr>
            <w:r w:rsidRPr="00DC021E">
              <w:rPr>
                <w:noProof/>
                <w:sz w:val="20"/>
              </w:rPr>
              <w:t>External staff</w:t>
            </w:r>
          </w:p>
        </w:tc>
        <w:tc>
          <w:tcPr>
            <w:tcW w:w="7200" w:type="dxa"/>
          </w:tcPr>
          <w:p w:rsidR="00DC64CF" w:rsidRPr="00DC021E" w:rsidRDefault="00DC64CF" w:rsidP="00977CF9">
            <w:pPr>
              <w:rPr>
                <w:noProof/>
                <w:sz w:val="20"/>
              </w:rPr>
            </w:pPr>
          </w:p>
        </w:tc>
      </w:tr>
    </w:tbl>
    <w:p w:rsidR="00DC64CF" w:rsidRPr="00DC021E" w:rsidRDefault="00DC64CF" w:rsidP="00977CF9">
      <w:pPr>
        <w:rPr>
          <w:noProof/>
        </w:rPr>
        <w:sectPr w:rsidR="00DC64CF" w:rsidRPr="00DC021E" w:rsidSect="006A2759">
          <w:pgSz w:w="11907" w:h="16840"/>
          <w:pgMar w:top="1134" w:right="1418" w:bottom="1134" w:left="1418" w:header="709" w:footer="709" w:gutter="0"/>
          <w:cols w:space="708"/>
          <w:docGrid w:linePitch="360"/>
        </w:sectPr>
      </w:pPr>
    </w:p>
    <w:p w:rsidR="00DC64CF" w:rsidRPr="00DC021E" w:rsidRDefault="00DC64CF" w:rsidP="00977CF9">
      <w:pPr>
        <w:pStyle w:val="Heading3"/>
        <w:rPr>
          <w:bCs w:val="0"/>
          <w:noProof/>
          <w:szCs w:val="24"/>
        </w:rPr>
      </w:pPr>
      <w:r w:rsidRPr="00DC021E">
        <w:rPr>
          <w:noProof/>
        </w:rPr>
        <w:t xml:space="preserve">Compatibility with the current multiannual financial framework </w:t>
      </w:r>
    </w:p>
    <w:p w:rsidR="00DC64CF" w:rsidRPr="00DC021E" w:rsidRDefault="00DC64CF" w:rsidP="00977CF9">
      <w:pPr>
        <w:pStyle w:val="ListDash1"/>
        <w:rPr>
          <w:noProof/>
        </w:rPr>
      </w:pPr>
      <w:r w:rsidRPr="00DC021E">
        <w:rPr>
          <w:strike/>
          <w:noProof/>
        </w:rPr>
        <w:sym w:font="Wingdings" w:char="F0A8"/>
      </w:r>
      <w:r w:rsidRPr="00DC021E">
        <w:rPr>
          <w:noProof/>
        </w:rPr>
        <w:tab/>
        <w:t>The proposal/initiative is compatible the current multiannual financial framework.</w:t>
      </w:r>
    </w:p>
    <w:p w:rsidR="00DC64CF" w:rsidRPr="00DC021E" w:rsidRDefault="00DC64CF" w:rsidP="00977CF9">
      <w:pPr>
        <w:pStyle w:val="ListDash1"/>
        <w:rPr>
          <w:noProof/>
        </w:rPr>
      </w:pPr>
      <w:r w:rsidRPr="00DC021E">
        <w:rPr>
          <w:noProof/>
        </w:rPr>
        <w:sym w:font="Wingdings" w:char="F0A8"/>
      </w:r>
      <w:r w:rsidRPr="00DC021E">
        <w:rPr>
          <w:noProof/>
        </w:rPr>
        <w:tab/>
        <w:t>The proposal/initiative will entail reprogramming of the relevant heading in the multiannual financial framework.</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sz w:val="20"/>
        </w:rPr>
      </w:pPr>
      <w:r w:rsidRPr="00DC021E">
        <w:rPr>
          <w:noProof/>
          <w:sz w:val="20"/>
        </w:rPr>
        <w:t>Explain what reprogramming is required, specifying the budget lines concerned and the corresponding amounts.</w:t>
      </w:r>
    </w:p>
    <w:p w:rsidR="00DC64CF" w:rsidRPr="00DC021E" w:rsidRDefault="00D10773" w:rsidP="00977CF9">
      <w:pPr>
        <w:pStyle w:val="Text1"/>
        <w:pBdr>
          <w:top w:val="single" w:sz="4" w:space="1" w:color="auto"/>
          <w:left w:val="single" w:sz="4" w:space="4" w:color="auto"/>
          <w:bottom w:val="single" w:sz="4" w:space="1" w:color="auto"/>
          <w:right w:val="single" w:sz="4" w:space="4" w:color="auto"/>
        </w:pBdr>
        <w:rPr>
          <w:noProof/>
        </w:rPr>
      </w:pPr>
      <w:r w:rsidRPr="00E56AA3">
        <w:t>N/A</w:t>
      </w:r>
    </w:p>
    <w:p w:rsidR="00DC64CF" w:rsidRPr="00DC021E" w:rsidRDefault="00DC64CF" w:rsidP="00977CF9">
      <w:pPr>
        <w:pStyle w:val="ListDash1"/>
        <w:rPr>
          <w:noProof/>
        </w:rPr>
      </w:pPr>
      <w:r w:rsidRPr="00DC021E">
        <w:rPr>
          <w:noProof/>
        </w:rPr>
        <w:sym w:font="Wingdings" w:char="F0A8"/>
      </w:r>
      <w:r w:rsidRPr="00DC021E">
        <w:rPr>
          <w:noProof/>
        </w:rPr>
        <w:tab/>
        <w:t>The proposal/initiative requires application of the flexibility instrument or revision of the multiannual financial framework.</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sz w:val="20"/>
        </w:rPr>
      </w:pPr>
      <w:r w:rsidRPr="00DC021E">
        <w:rPr>
          <w:noProof/>
          <w:sz w:val="20"/>
        </w:rPr>
        <w:t>Explain what is required, specifying the headings and budget lines concerned and the corresponding amounts.</w:t>
      </w:r>
    </w:p>
    <w:p w:rsidR="00DC64CF" w:rsidRPr="00DC021E" w:rsidRDefault="00D10773" w:rsidP="00977CF9">
      <w:pPr>
        <w:pStyle w:val="Text1"/>
        <w:pBdr>
          <w:top w:val="single" w:sz="4" w:space="1" w:color="auto"/>
          <w:left w:val="single" w:sz="4" w:space="4" w:color="auto"/>
          <w:bottom w:val="single" w:sz="4" w:space="1" w:color="auto"/>
          <w:right w:val="single" w:sz="4" w:space="4" w:color="auto"/>
        </w:pBdr>
        <w:rPr>
          <w:noProof/>
        </w:rPr>
      </w:pPr>
      <w:r w:rsidRPr="00E56AA3">
        <w:t>N/A</w:t>
      </w:r>
    </w:p>
    <w:p w:rsidR="00DC64CF" w:rsidRPr="00DC021E" w:rsidRDefault="00DC64CF" w:rsidP="00977CF9">
      <w:pPr>
        <w:pStyle w:val="Heading3"/>
        <w:rPr>
          <w:bCs w:val="0"/>
          <w:noProof/>
          <w:szCs w:val="24"/>
        </w:rPr>
      </w:pPr>
      <w:r w:rsidRPr="00DC021E">
        <w:rPr>
          <w:noProof/>
        </w:rPr>
        <w:t xml:space="preserve">Third-party contributions </w:t>
      </w:r>
    </w:p>
    <w:p w:rsidR="00DC64CF" w:rsidRPr="00DC021E" w:rsidRDefault="00DC64CF" w:rsidP="00977CF9">
      <w:pPr>
        <w:pStyle w:val="ListDash1"/>
        <w:rPr>
          <w:noProof/>
        </w:rPr>
      </w:pPr>
      <w:r w:rsidRPr="00DC021E">
        <w:rPr>
          <w:noProof/>
        </w:rPr>
        <w:t xml:space="preserve">The proposal/initiative does not provide for co-financing by third parties. </w:t>
      </w:r>
    </w:p>
    <w:p w:rsidR="00DC64CF" w:rsidRPr="00DC021E" w:rsidRDefault="00DC64CF" w:rsidP="00977CF9">
      <w:pPr>
        <w:pStyle w:val="ListDash1"/>
        <w:rPr>
          <w:noProof/>
        </w:rPr>
      </w:pPr>
      <w:r w:rsidRPr="00DC021E">
        <w:rPr>
          <w:noProof/>
        </w:rPr>
        <w:t>The proposal/initiative provides for the co-financing estimated below:</w:t>
      </w:r>
    </w:p>
    <w:p w:rsidR="00DC64CF" w:rsidRPr="00DC021E" w:rsidRDefault="00DC64CF" w:rsidP="00977CF9">
      <w:pPr>
        <w:jc w:val="right"/>
        <w:rPr>
          <w:noProof/>
          <w:sz w:val="20"/>
        </w:rPr>
      </w:pPr>
      <w:r w:rsidRPr="00DC021E">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DC021E" w:rsidRPr="00DC021E" w:rsidTr="00977CF9">
        <w:trPr>
          <w:cantSplit/>
        </w:trPr>
        <w:tc>
          <w:tcPr>
            <w:tcW w:w="2340" w:type="dxa"/>
          </w:tcPr>
          <w:p w:rsidR="00DC64CF" w:rsidRPr="00DC021E" w:rsidRDefault="00DC64CF" w:rsidP="00977CF9">
            <w:pPr>
              <w:spacing w:before="60" w:after="60"/>
              <w:rPr>
                <w:noProof/>
                <w:sz w:val="20"/>
              </w:rPr>
            </w:pPr>
          </w:p>
        </w:tc>
        <w:tc>
          <w:tcPr>
            <w:tcW w:w="964" w:type="dxa"/>
            <w:vAlign w:val="center"/>
          </w:tcPr>
          <w:p w:rsidR="00DC64CF" w:rsidRPr="00DC021E" w:rsidRDefault="00DC64CF" w:rsidP="00977CF9">
            <w:pPr>
              <w:jc w:val="center"/>
              <w:rPr>
                <w:noProof/>
                <w:sz w:val="20"/>
              </w:rPr>
            </w:pPr>
            <w:r w:rsidRPr="00DC021E">
              <w:rPr>
                <w:noProof/>
                <w:sz w:val="20"/>
              </w:rPr>
              <w:t>Year</w:t>
            </w:r>
            <w:r w:rsidRPr="00DC021E">
              <w:rPr>
                <w:noProof/>
                <w:sz w:val="22"/>
              </w:rPr>
              <w:br/>
            </w:r>
            <w:r w:rsidRPr="00DC021E">
              <w:rPr>
                <w:b/>
                <w:noProof/>
                <w:sz w:val="20"/>
              </w:rPr>
              <w:t>N</w:t>
            </w:r>
          </w:p>
        </w:tc>
        <w:tc>
          <w:tcPr>
            <w:tcW w:w="964" w:type="dxa"/>
            <w:vAlign w:val="center"/>
          </w:tcPr>
          <w:p w:rsidR="00DC64CF" w:rsidRPr="00DC021E" w:rsidRDefault="00DC64CF" w:rsidP="00977CF9">
            <w:pPr>
              <w:jc w:val="center"/>
              <w:rPr>
                <w:noProof/>
                <w:sz w:val="20"/>
              </w:rPr>
            </w:pPr>
            <w:r w:rsidRPr="00DC021E">
              <w:rPr>
                <w:noProof/>
                <w:sz w:val="20"/>
              </w:rPr>
              <w:t>Year</w:t>
            </w:r>
            <w:r w:rsidRPr="00DC021E">
              <w:rPr>
                <w:noProof/>
                <w:sz w:val="22"/>
              </w:rPr>
              <w:br/>
            </w:r>
            <w:r w:rsidRPr="00DC021E">
              <w:rPr>
                <w:b/>
                <w:noProof/>
                <w:sz w:val="20"/>
              </w:rPr>
              <w:t>N+1</w:t>
            </w:r>
          </w:p>
        </w:tc>
        <w:tc>
          <w:tcPr>
            <w:tcW w:w="964" w:type="dxa"/>
            <w:vAlign w:val="center"/>
          </w:tcPr>
          <w:p w:rsidR="00DC64CF" w:rsidRPr="00DC021E" w:rsidRDefault="00DC64CF" w:rsidP="00977CF9">
            <w:pPr>
              <w:jc w:val="center"/>
              <w:rPr>
                <w:noProof/>
                <w:sz w:val="20"/>
              </w:rPr>
            </w:pPr>
            <w:r w:rsidRPr="00DC021E">
              <w:rPr>
                <w:noProof/>
                <w:sz w:val="20"/>
              </w:rPr>
              <w:t>Year</w:t>
            </w:r>
            <w:r w:rsidRPr="00DC021E">
              <w:rPr>
                <w:noProof/>
                <w:sz w:val="22"/>
              </w:rPr>
              <w:br/>
            </w:r>
            <w:r w:rsidRPr="00DC021E">
              <w:rPr>
                <w:b/>
                <w:noProof/>
                <w:sz w:val="20"/>
              </w:rPr>
              <w:t>N+2</w:t>
            </w:r>
          </w:p>
        </w:tc>
        <w:tc>
          <w:tcPr>
            <w:tcW w:w="964" w:type="dxa"/>
            <w:vAlign w:val="center"/>
          </w:tcPr>
          <w:p w:rsidR="00DC64CF" w:rsidRPr="00DC021E" w:rsidRDefault="00DC64CF" w:rsidP="00977CF9">
            <w:pPr>
              <w:jc w:val="center"/>
              <w:rPr>
                <w:noProof/>
                <w:sz w:val="20"/>
              </w:rPr>
            </w:pPr>
            <w:r w:rsidRPr="00DC021E">
              <w:rPr>
                <w:noProof/>
                <w:sz w:val="20"/>
              </w:rPr>
              <w:t>Year</w:t>
            </w:r>
            <w:r w:rsidRPr="00DC021E">
              <w:rPr>
                <w:noProof/>
                <w:sz w:val="22"/>
              </w:rPr>
              <w:br/>
            </w:r>
            <w:r w:rsidRPr="00DC021E">
              <w:rPr>
                <w:b/>
                <w:noProof/>
                <w:sz w:val="20"/>
              </w:rPr>
              <w:t>N+3</w:t>
            </w:r>
          </w:p>
        </w:tc>
        <w:tc>
          <w:tcPr>
            <w:tcW w:w="2892" w:type="dxa"/>
            <w:gridSpan w:val="3"/>
            <w:vAlign w:val="center"/>
          </w:tcPr>
          <w:p w:rsidR="00DC64CF" w:rsidRPr="00DC021E" w:rsidRDefault="00DC64CF" w:rsidP="00977CF9">
            <w:pPr>
              <w:jc w:val="center"/>
              <w:rPr>
                <w:b/>
                <w:noProof/>
                <w:sz w:val="20"/>
              </w:rPr>
            </w:pPr>
            <w:r w:rsidRPr="00DC021E">
              <w:rPr>
                <w:noProof/>
                <w:sz w:val="20"/>
              </w:rPr>
              <w:t>Enter as many years as necessary to show the duration of the impact (see point 1.6)</w:t>
            </w:r>
          </w:p>
        </w:tc>
        <w:tc>
          <w:tcPr>
            <w:tcW w:w="1158" w:type="dxa"/>
            <w:vAlign w:val="center"/>
          </w:tcPr>
          <w:p w:rsidR="00DC64CF" w:rsidRPr="00DC021E" w:rsidRDefault="00DC64CF" w:rsidP="00977CF9">
            <w:pPr>
              <w:spacing w:before="60" w:after="60"/>
              <w:jc w:val="center"/>
              <w:rPr>
                <w:noProof/>
                <w:sz w:val="20"/>
              </w:rPr>
            </w:pPr>
            <w:r w:rsidRPr="00DC021E">
              <w:rPr>
                <w:noProof/>
                <w:sz w:val="20"/>
              </w:rPr>
              <w:t>Total</w:t>
            </w:r>
          </w:p>
        </w:tc>
      </w:tr>
      <w:tr w:rsidR="00DC021E" w:rsidRPr="00DC021E" w:rsidTr="00977CF9">
        <w:trPr>
          <w:cantSplit/>
        </w:trPr>
        <w:tc>
          <w:tcPr>
            <w:tcW w:w="2340" w:type="dxa"/>
          </w:tcPr>
          <w:p w:rsidR="00DC64CF" w:rsidRPr="00DC021E" w:rsidRDefault="00DC64CF" w:rsidP="00977CF9">
            <w:pPr>
              <w:rPr>
                <w:noProof/>
                <w:sz w:val="22"/>
              </w:rPr>
            </w:pPr>
            <w:r w:rsidRPr="00DC021E">
              <w:rPr>
                <w:noProof/>
                <w:sz w:val="20"/>
              </w:rPr>
              <w:t>Specify the co-financing body</w:t>
            </w:r>
            <w:r w:rsidRPr="00DC021E">
              <w:rPr>
                <w:i/>
                <w:noProof/>
                <w:sz w:val="20"/>
              </w:rPr>
              <w:t xml:space="preserve"> </w:t>
            </w: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1158" w:type="dxa"/>
            <w:vAlign w:val="center"/>
          </w:tcPr>
          <w:p w:rsidR="00DC64CF" w:rsidRPr="00DC021E" w:rsidRDefault="00DC64CF" w:rsidP="00977CF9">
            <w:pPr>
              <w:spacing w:before="60" w:after="60"/>
              <w:jc w:val="center"/>
              <w:rPr>
                <w:noProof/>
                <w:sz w:val="20"/>
              </w:rPr>
            </w:pPr>
          </w:p>
        </w:tc>
      </w:tr>
      <w:tr w:rsidR="00DC021E" w:rsidRPr="00DC021E" w:rsidTr="00977CF9">
        <w:trPr>
          <w:cantSplit/>
        </w:trPr>
        <w:tc>
          <w:tcPr>
            <w:tcW w:w="2340" w:type="dxa"/>
          </w:tcPr>
          <w:p w:rsidR="00DC64CF" w:rsidRPr="00DC021E" w:rsidRDefault="00DC64CF" w:rsidP="00977CF9">
            <w:pPr>
              <w:spacing w:before="60" w:after="60"/>
              <w:jc w:val="left"/>
              <w:rPr>
                <w:noProof/>
                <w:sz w:val="20"/>
              </w:rPr>
            </w:pPr>
            <w:r w:rsidRPr="00DC021E">
              <w:rPr>
                <w:noProof/>
                <w:sz w:val="20"/>
              </w:rPr>
              <w:t xml:space="preserve">TOTAL appropriations co-financed </w:t>
            </w: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964" w:type="dxa"/>
            <w:vAlign w:val="center"/>
          </w:tcPr>
          <w:p w:rsidR="00DC64CF" w:rsidRPr="00DC021E" w:rsidRDefault="00DC64CF" w:rsidP="00977CF9">
            <w:pPr>
              <w:spacing w:before="60" w:after="60"/>
              <w:jc w:val="center"/>
              <w:rPr>
                <w:noProof/>
                <w:sz w:val="20"/>
              </w:rPr>
            </w:pPr>
          </w:p>
        </w:tc>
        <w:tc>
          <w:tcPr>
            <w:tcW w:w="1158" w:type="dxa"/>
            <w:vAlign w:val="center"/>
          </w:tcPr>
          <w:p w:rsidR="00DC64CF" w:rsidRPr="00DC021E" w:rsidRDefault="00DC64CF" w:rsidP="00977CF9">
            <w:pPr>
              <w:spacing w:before="60" w:after="60"/>
              <w:jc w:val="center"/>
              <w:rPr>
                <w:noProof/>
                <w:sz w:val="20"/>
              </w:rPr>
            </w:pPr>
          </w:p>
        </w:tc>
      </w:tr>
    </w:tbl>
    <w:p w:rsidR="00DC64CF" w:rsidRPr="00DC021E" w:rsidRDefault="00DC64CF" w:rsidP="00977CF9">
      <w:pPr>
        <w:rPr>
          <w:noProof/>
        </w:rPr>
      </w:pPr>
      <w:r w:rsidRPr="00DC021E">
        <w:rPr>
          <w:noProof/>
        </w:rPr>
        <w:br/>
      </w:r>
    </w:p>
    <w:p w:rsidR="00DC64CF" w:rsidRPr="00DC021E" w:rsidRDefault="00DC64CF" w:rsidP="00977CF9">
      <w:pPr>
        <w:pStyle w:val="Heading2"/>
        <w:rPr>
          <w:bCs w:val="0"/>
          <w:noProof/>
          <w:szCs w:val="24"/>
        </w:rPr>
      </w:pPr>
      <w:r w:rsidRPr="00DC021E">
        <w:rPr>
          <w:noProof/>
        </w:rPr>
        <w:br w:type="page"/>
        <w:t xml:space="preserve">Estimated impact on revenue </w:t>
      </w:r>
    </w:p>
    <w:p w:rsidR="00DC64CF" w:rsidRPr="00DC021E" w:rsidRDefault="00DC64CF" w:rsidP="00977CF9">
      <w:pPr>
        <w:pStyle w:val="ListDash1"/>
        <w:rPr>
          <w:noProof/>
        </w:rPr>
      </w:pPr>
      <w:r w:rsidRPr="00DC021E">
        <w:rPr>
          <w:strike/>
          <w:noProof/>
        </w:rPr>
        <w:sym w:font="Wingdings" w:char="F0A8"/>
      </w:r>
      <w:r w:rsidRPr="00DC021E">
        <w:rPr>
          <w:noProof/>
        </w:rPr>
        <w:tab/>
        <w:t>The proposal/initiative has no financial impact on revenue.</w:t>
      </w:r>
    </w:p>
    <w:p w:rsidR="00DC64CF" w:rsidRPr="00DC021E" w:rsidRDefault="00DC64CF" w:rsidP="00977CF9">
      <w:pPr>
        <w:pStyle w:val="ListDash1"/>
        <w:rPr>
          <w:noProof/>
        </w:rPr>
      </w:pPr>
      <w:r w:rsidRPr="00DC021E">
        <w:rPr>
          <w:noProof/>
        </w:rPr>
        <w:sym w:font="Wingdings" w:char="F0A8"/>
      </w:r>
      <w:r w:rsidRPr="00DC021E">
        <w:rPr>
          <w:noProof/>
        </w:rPr>
        <w:tab/>
        <w:t>The proposal/initiative has the following financial impact:</w:t>
      </w:r>
    </w:p>
    <w:p w:rsidR="00DC64CF" w:rsidRPr="00DC021E" w:rsidRDefault="00DC64CF" w:rsidP="00977CF9">
      <w:pPr>
        <w:pStyle w:val="ListNumberLevel3"/>
        <w:rPr>
          <w:noProof/>
        </w:rPr>
      </w:pPr>
      <w:r w:rsidRPr="00DC021E">
        <w:rPr>
          <w:noProof/>
        </w:rPr>
        <w:sym w:font="Wingdings" w:char="F0A8"/>
      </w:r>
      <w:r w:rsidRPr="00DC021E">
        <w:rPr>
          <w:noProof/>
        </w:rPr>
        <w:tab/>
        <w:t xml:space="preserve">on own resources </w:t>
      </w:r>
    </w:p>
    <w:p w:rsidR="00DC64CF" w:rsidRPr="00DC021E" w:rsidRDefault="00DC64CF" w:rsidP="00977CF9">
      <w:pPr>
        <w:pStyle w:val="ListNumberLevel3"/>
        <w:rPr>
          <w:noProof/>
        </w:rPr>
      </w:pPr>
      <w:r w:rsidRPr="00DC021E">
        <w:rPr>
          <w:noProof/>
        </w:rPr>
        <w:sym w:font="Wingdings" w:char="F0A8"/>
      </w:r>
      <w:r w:rsidRPr="00DC021E">
        <w:rPr>
          <w:noProof/>
        </w:rPr>
        <w:tab/>
        <w:t xml:space="preserve">on miscellaneous revenue </w:t>
      </w:r>
    </w:p>
    <w:p w:rsidR="00DC64CF" w:rsidRPr="00DC021E" w:rsidRDefault="00DC64CF" w:rsidP="00977CF9">
      <w:pPr>
        <w:jc w:val="right"/>
        <w:rPr>
          <w:i/>
          <w:noProof/>
          <w:sz w:val="20"/>
        </w:rPr>
      </w:pPr>
      <w:r w:rsidRPr="00DC021E">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DC021E" w:rsidRPr="00DC021E" w:rsidTr="00977CF9">
        <w:trPr>
          <w:trHeight w:val="388"/>
        </w:trPr>
        <w:tc>
          <w:tcPr>
            <w:tcW w:w="2144" w:type="dxa"/>
            <w:vMerge w:val="restart"/>
            <w:vAlign w:val="center"/>
          </w:tcPr>
          <w:p w:rsidR="00DC64CF" w:rsidRPr="00DC021E" w:rsidRDefault="00DC64CF" w:rsidP="00977CF9">
            <w:pPr>
              <w:spacing w:before="40" w:after="40"/>
              <w:rPr>
                <w:noProof/>
                <w:sz w:val="18"/>
              </w:rPr>
            </w:pPr>
            <w:r w:rsidRPr="00DC021E">
              <w:rPr>
                <w:noProof/>
                <w:sz w:val="18"/>
              </w:rPr>
              <w:t>Budget revenue line:</w:t>
            </w:r>
          </w:p>
        </w:tc>
        <w:tc>
          <w:tcPr>
            <w:tcW w:w="1276" w:type="dxa"/>
            <w:vMerge w:val="restart"/>
            <w:vAlign w:val="center"/>
          </w:tcPr>
          <w:p w:rsidR="00DC64CF" w:rsidRPr="00DC021E" w:rsidRDefault="00DC64CF" w:rsidP="00977CF9">
            <w:pPr>
              <w:jc w:val="center"/>
              <w:rPr>
                <w:noProof/>
                <w:sz w:val="18"/>
              </w:rPr>
            </w:pPr>
            <w:r w:rsidRPr="00DC021E">
              <w:rPr>
                <w:noProof/>
                <w:sz w:val="18"/>
              </w:rPr>
              <w:t>Appropriations available for the current financial year</w:t>
            </w:r>
          </w:p>
        </w:tc>
        <w:tc>
          <w:tcPr>
            <w:tcW w:w="7200" w:type="dxa"/>
            <w:gridSpan w:val="7"/>
            <w:vAlign w:val="center"/>
          </w:tcPr>
          <w:p w:rsidR="00DC64CF" w:rsidRPr="00DC021E" w:rsidRDefault="00DC64CF" w:rsidP="00977CF9">
            <w:pPr>
              <w:jc w:val="center"/>
              <w:rPr>
                <w:noProof/>
                <w:sz w:val="18"/>
              </w:rPr>
            </w:pPr>
            <w:r w:rsidRPr="00DC021E">
              <w:rPr>
                <w:noProof/>
                <w:sz w:val="18"/>
              </w:rPr>
              <w:t>Impact of the proposal/initiative</w:t>
            </w:r>
            <w:r w:rsidRPr="00DC021E">
              <w:rPr>
                <w:rStyle w:val="FootnoteReference"/>
                <w:noProof/>
                <w:sz w:val="18"/>
              </w:rPr>
              <w:footnoteReference w:id="24"/>
            </w:r>
          </w:p>
        </w:tc>
      </w:tr>
      <w:tr w:rsidR="00DC021E" w:rsidRPr="00DC021E" w:rsidTr="00977CF9">
        <w:trPr>
          <w:trHeight w:val="388"/>
        </w:trPr>
        <w:tc>
          <w:tcPr>
            <w:tcW w:w="2144" w:type="dxa"/>
            <w:vMerge/>
          </w:tcPr>
          <w:p w:rsidR="00DC64CF" w:rsidRPr="00DC021E" w:rsidRDefault="00DC64CF" w:rsidP="00977CF9">
            <w:pPr>
              <w:spacing w:before="40" w:after="40"/>
              <w:rPr>
                <w:noProof/>
                <w:sz w:val="18"/>
              </w:rPr>
            </w:pPr>
          </w:p>
        </w:tc>
        <w:tc>
          <w:tcPr>
            <w:tcW w:w="1276" w:type="dxa"/>
            <w:vMerge/>
          </w:tcPr>
          <w:p w:rsidR="00DC64CF" w:rsidRPr="00DC021E" w:rsidRDefault="00DC64CF" w:rsidP="00977CF9">
            <w:pPr>
              <w:spacing w:beforeLines="40" w:before="96" w:afterLines="40" w:after="96"/>
              <w:rPr>
                <w:i/>
                <w:noProof/>
                <w:sz w:val="18"/>
              </w:rPr>
            </w:pPr>
          </w:p>
        </w:tc>
        <w:tc>
          <w:tcPr>
            <w:tcW w:w="1080" w:type="dxa"/>
            <w:vAlign w:val="center"/>
          </w:tcPr>
          <w:p w:rsidR="00DC64CF" w:rsidRPr="00DC021E" w:rsidRDefault="00DC64CF" w:rsidP="00977CF9">
            <w:pPr>
              <w:jc w:val="center"/>
              <w:rPr>
                <w:noProof/>
                <w:sz w:val="18"/>
              </w:rPr>
            </w:pPr>
            <w:r w:rsidRPr="00DC021E">
              <w:rPr>
                <w:noProof/>
                <w:sz w:val="18"/>
              </w:rPr>
              <w:t>Year</w:t>
            </w:r>
            <w:r w:rsidRPr="00DC021E">
              <w:rPr>
                <w:noProof/>
                <w:sz w:val="22"/>
              </w:rPr>
              <w:br/>
            </w:r>
            <w:r w:rsidRPr="00DC021E">
              <w:rPr>
                <w:b/>
                <w:noProof/>
                <w:sz w:val="18"/>
              </w:rPr>
              <w:t>N</w:t>
            </w:r>
          </w:p>
        </w:tc>
        <w:tc>
          <w:tcPr>
            <w:tcW w:w="900" w:type="dxa"/>
            <w:vAlign w:val="center"/>
          </w:tcPr>
          <w:p w:rsidR="00DC64CF" w:rsidRPr="00DC021E" w:rsidRDefault="00DC64CF" w:rsidP="00977CF9">
            <w:pPr>
              <w:jc w:val="center"/>
              <w:rPr>
                <w:noProof/>
                <w:sz w:val="18"/>
              </w:rPr>
            </w:pPr>
            <w:r w:rsidRPr="00DC021E">
              <w:rPr>
                <w:noProof/>
                <w:sz w:val="18"/>
              </w:rPr>
              <w:t>Year</w:t>
            </w:r>
            <w:r w:rsidRPr="00DC021E">
              <w:rPr>
                <w:noProof/>
                <w:sz w:val="22"/>
              </w:rPr>
              <w:br/>
            </w:r>
            <w:r w:rsidRPr="00DC021E">
              <w:rPr>
                <w:b/>
                <w:noProof/>
                <w:sz w:val="18"/>
              </w:rPr>
              <w:t>N+1</w:t>
            </w:r>
          </w:p>
        </w:tc>
        <w:tc>
          <w:tcPr>
            <w:tcW w:w="900" w:type="dxa"/>
            <w:vAlign w:val="center"/>
          </w:tcPr>
          <w:p w:rsidR="00DC64CF" w:rsidRPr="00DC021E" w:rsidRDefault="00DC64CF" w:rsidP="00977CF9">
            <w:pPr>
              <w:jc w:val="center"/>
              <w:rPr>
                <w:noProof/>
                <w:sz w:val="18"/>
              </w:rPr>
            </w:pPr>
            <w:r w:rsidRPr="00DC021E">
              <w:rPr>
                <w:noProof/>
                <w:sz w:val="18"/>
              </w:rPr>
              <w:t>Year</w:t>
            </w:r>
            <w:r w:rsidRPr="00DC021E">
              <w:rPr>
                <w:noProof/>
                <w:sz w:val="22"/>
              </w:rPr>
              <w:br/>
            </w:r>
            <w:r w:rsidRPr="00DC021E">
              <w:rPr>
                <w:b/>
                <w:noProof/>
                <w:sz w:val="18"/>
              </w:rPr>
              <w:t>N+2</w:t>
            </w:r>
          </w:p>
        </w:tc>
        <w:tc>
          <w:tcPr>
            <w:tcW w:w="1080" w:type="dxa"/>
            <w:vAlign w:val="center"/>
          </w:tcPr>
          <w:p w:rsidR="00DC64CF" w:rsidRPr="00DC021E" w:rsidRDefault="00DC64CF" w:rsidP="00977CF9">
            <w:pPr>
              <w:jc w:val="center"/>
              <w:rPr>
                <w:noProof/>
                <w:sz w:val="18"/>
              </w:rPr>
            </w:pPr>
            <w:r w:rsidRPr="00DC021E">
              <w:rPr>
                <w:noProof/>
                <w:sz w:val="18"/>
              </w:rPr>
              <w:t>Year</w:t>
            </w:r>
            <w:r w:rsidRPr="00DC021E">
              <w:rPr>
                <w:noProof/>
                <w:sz w:val="22"/>
              </w:rPr>
              <w:br/>
            </w:r>
            <w:r w:rsidRPr="00DC021E">
              <w:rPr>
                <w:b/>
                <w:noProof/>
                <w:sz w:val="18"/>
              </w:rPr>
              <w:t>N+3</w:t>
            </w:r>
          </w:p>
        </w:tc>
        <w:tc>
          <w:tcPr>
            <w:tcW w:w="3240" w:type="dxa"/>
            <w:gridSpan w:val="3"/>
            <w:vAlign w:val="center"/>
          </w:tcPr>
          <w:p w:rsidR="00DC64CF" w:rsidRPr="00DC021E" w:rsidRDefault="00DC64CF" w:rsidP="00977CF9">
            <w:pPr>
              <w:jc w:val="center"/>
              <w:rPr>
                <w:b/>
                <w:noProof/>
                <w:sz w:val="18"/>
              </w:rPr>
            </w:pPr>
            <w:r w:rsidRPr="00DC021E">
              <w:rPr>
                <w:noProof/>
                <w:sz w:val="18"/>
              </w:rPr>
              <w:t>Enter as many years as necessary to show the duration of the impact (see point 1.6)</w:t>
            </w:r>
          </w:p>
        </w:tc>
      </w:tr>
      <w:tr w:rsidR="00DC021E" w:rsidRPr="00DC021E" w:rsidTr="00977CF9">
        <w:trPr>
          <w:trHeight w:val="388"/>
        </w:trPr>
        <w:tc>
          <w:tcPr>
            <w:tcW w:w="2144" w:type="dxa"/>
            <w:vAlign w:val="center"/>
          </w:tcPr>
          <w:p w:rsidR="00DC64CF" w:rsidRPr="00DC021E" w:rsidRDefault="00DC64CF" w:rsidP="00977CF9">
            <w:pPr>
              <w:spacing w:before="40" w:after="40"/>
              <w:rPr>
                <w:noProof/>
                <w:sz w:val="18"/>
              </w:rPr>
            </w:pPr>
            <w:r w:rsidRPr="00DC021E">
              <w:rPr>
                <w:noProof/>
                <w:sz w:val="18"/>
              </w:rPr>
              <w:t>Article ………….</w:t>
            </w:r>
          </w:p>
        </w:tc>
        <w:tc>
          <w:tcPr>
            <w:tcW w:w="1276" w:type="dxa"/>
          </w:tcPr>
          <w:p w:rsidR="00DC64CF" w:rsidRPr="00DC021E" w:rsidRDefault="00DC64CF" w:rsidP="00977CF9">
            <w:pPr>
              <w:spacing w:beforeLines="40" w:before="96" w:afterLines="40" w:after="96"/>
              <w:jc w:val="center"/>
              <w:rPr>
                <w:i/>
                <w:noProof/>
                <w:sz w:val="18"/>
              </w:rPr>
            </w:pPr>
          </w:p>
        </w:tc>
        <w:tc>
          <w:tcPr>
            <w:tcW w:w="1080" w:type="dxa"/>
          </w:tcPr>
          <w:p w:rsidR="00DC64CF" w:rsidRPr="00DC021E" w:rsidRDefault="00DC64CF" w:rsidP="00977CF9">
            <w:pPr>
              <w:spacing w:beforeLines="40" w:before="96" w:afterLines="40" w:after="96"/>
              <w:jc w:val="center"/>
              <w:rPr>
                <w:noProof/>
                <w:sz w:val="18"/>
              </w:rPr>
            </w:pPr>
          </w:p>
        </w:tc>
        <w:tc>
          <w:tcPr>
            <w:tcW w:w="900" w:type="dxa"/>
          </w:tcPr>
          <w:p w:rsidR="00DC64CF" w:rsidRPr="00DC021E" w:rsidRDefault="00DC64CF" w:rsidP="00977CF9">
            <w:pPr>
              <w:spacing w:beforeLines="40" w:before="96" w:afterLines="40" w:after="96"/>
              <w:jc w:val="center"/>
              <w:rPr>
                <w:noProof/>
                <w:sz w:val="18"/>
              </w:rPr>
            </w:pPr>
          </w:p>
        </w:tc>
        <w:tc>
          <w:tcPr>
            <w:tcW w:w="900" w:type="dxa"/>
          </w:tcPr>
          <w:p w:rsidR="00DC64CF" w:rsidRPr="00DC021E" w:rsidRDefault="00DC64CF" w:rsidP="00977CF9">
            <w:pPr>
              <w:spacing w:beforeLines="40" w:before="96" w:afterLines="40" w:after="96"/>
              <w:jc w:val="center"/>
              <w:rPr>
                <w:noProof/>
                <w:sz w:val="18"/>
              </w:rPr>
            </w:pPr>
          </w:p>
        </w:tc>
        <w:tc>
          <w:tcPr>
            <w:tcW w:w="1080" w:type="dxa"/>
          </w:tcPr>
          <w:p w:rsidR="00DC64CF" w:rsidRPr="00DC021E" w:rsidRDefault="00DC64CF" w:rsidP="00977CF9">
            <w:pPr>
              <w:spacing w:beforeLines="40" w:before="96" w:afterLines="40" w:after="96"/>
              <w:jc w:val="center"/>
              <w:rPr>
                <w:noProof/>
                <w:sz w:val="18"/>
              </w:rPr>
            </w:pPr>
          </w:p>
        </w:tc>
        <w:tc>
          <w:tcPr>
            <w:tcW w:w="1080" w:type="dxa"/>
          </w:tcPr>
          <w:p w:rsidR="00DC64CF" w:rsidRPr="00DC021E" w:rsidRDefault="00DC64CF" w:rsidP="00977CF9">
            <w:pPr>
              <w:spacing w:beforeLines="40" w:before="96" w:afterLines="40" w:after="96"/>
              <w:jc w:val="center"/>
              <w:rPr>
                <w:noProof/>
                <w:sz w:val="18"/>
              </w:rPr>
            </w:pPr>
          </w:p>
        </w:tc>
        <w:tc>
          <w:tcPr>
            <w:tcW w:w="1080" w:type="dxa"/>
          </w:tcPr>
          <w:p w:rsidR="00DC64CF" w:rsidRPr="00DC021E" w:rsidRDefault="00DC64CF" w:rsidP="00977CF9">
            <w:pPr>
              <w:spacing w:beforeLines="40" w:before="96" w:afterLines="40" w:after="96"/>
              <w:jc w:val="center"/>
              <w:rPr>
                <w:noProof/>
                <w:sz w:val="18"/>
              </w:rPr>
            </w:pPr>
          </w:p>
        </w:tc>
        <w:tc>
          <w:tcPr>
            <w:tcW w:w="1080" w:type="dxa"/>
          </w:tcPr>
          <w:p w:rsidR="00DC64CF" w:rsidRPr="00DC021E" w:rsidRDefault="00DC64CF" w:rsidP="00977CF9">
            <w:pPr>
              <w:spacing w:beforeLines="40" w:before="96" w:afterLines="40" w:after="96"/>
              <w:jc w:val="center"/>
              <w:rPr>
                <w:noProof/>
                <w:sz w:val="18"/>
              </w:rPr>
            </w:pPr>
          </w:p>
        </w:tc>
      </w:tr>
    </w:tbl>
    <w:p w:rsidR="00DC64CF" w:rsidRPr="00DC021E" w:rsidRDefault="00DC64CF" w:rsidP="00977CF9">
      <w:pPr>
        <w:pStyle w:val="Text1"/>
        <w:rPr>
          <w:noProof/>
          <w:sz w:val="20"/>
        </w:rPr>
      </w:pPr>
      <w:r w:rsidRPr="00DC021E">
        <w:rPr>
          <w:noProof/>
          <w:sz w:val="20"/>
        </w:rPr>
        <w:t>For miscellaneous ‘assigned’ revenue, specify the budget expenditure line(s) affected.</w:t>
      </w:r>
    </w:p>
    <w:p w:rsidR="00DC64CF" w:rsidRPr="00DC021E" w:rsidRDefault="00DC64CF" w:rsidP="00977CF9">
      <w:pPr>
        <w:pStyle w:val="Text1"/>
        <w:pBdr>
          <w:top w:val="single" w:sz="4" w:space="1" w:color="auto"/>
          <w:left w:val="single" w:sz="4" w:space="4" w:color="auto"/>
          <w:bottom w:val="single" w:sz="4" w:space="1" w:color="auto"/>
          <w:right w:val="single" w:sz="4" w:space="4" w:color="auto"/>
        </w:pBdr>
        <w:rPr>
          <w:noProof/>
        </w:rPr>
      </w:pPr>
      <w:r w:rsidRPr="00E56AA3">
        <w:t>[…]</w:t>
      </w:r>
    </w:p>
    <w:p w:rsidR="00DC64CF" w:rsidRPr="00DC021E" w:rsidRDefault="00DC64CF" w:rsidP="00977CF9">
      <w:pPr>
        <w:pStyle w:val="Text1"/>
        <w:rPr>
          <w:noProof/>
          <w:sz w:val="20"/>
        </w:rPr>
      </w:pPr>
      <w:r w:rsidRPr="00DC021E">
        <w:rPr>
          <w:noProof/>
          <w:sz w:val="20"/>
        </w:rPr>
        <w:t>Specify the method for calculating the impact on revenue.</w:t>
      </w:r>
    </w:p>
    <w:p w:rsidR="00DC64CF" w:rsidRPr="00E56AA3" w:rsidRDefault="00DC64CF" w:rsidP="00977CF9">
      <w:pPr>
        <w:pStyle w:val="Text1"/>
        <w:pBdr>
          <w:top w:val="single" w:sz="4" w:space="1" w:color="auto"/>
          <w:left w:val="single" w:sz="4" w:space="4" w:color="auto"/>
          <w:bottom w:val="single" w:sz="4" w:space="1" w:color="auto"/>
          <w:right w:val="single" w:sz="4" w:space="4" w:color="auto"/>
        </w:pBdr>
      </w:pPr>
      <w:r w:rsidRPr="00E56AA3">
        <w:t>[…]</w:t>
      </w:r>
    </w:p>
    <w:sectPr w:rsidR="00DC64CF" w:rsidRPr="00E56AA3" w:rsidSect="006A275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E5" w:rsidRDefault="003206E5" w:rsidP="004E45D7">
      <w:pPr>
        <w:spacing w:before="0" w:after="0"/>
      </w:pPr>
      <w:r>
        <w:separator/>
      </w:r>
    </w:p>
  </w:endnote>
  <w:endnote w:type="continuationSeparator" w:id="0">
    <w:p w:rsidR="003206E5" w:rsidRDefault="003206E5" w:rsidP="004E45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12" w:rsidRDefault="009A7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59" w:rsidRPr="006A2759" w:rsidRDefault="006A2759" w:rsidP="006A2759">
    <w:pPr>
      <w:pStyle w:val="Footer"/>
      <w:rPr>
        <w:rFonts w:ascii="Arial" w:hAnsi="Arial" w:cs="Arial"/>
        <w:b/>
        <w:sz w:val="48"/>
      </w:rPr>
    </w:pPr>
    <w:r w:rsidRPr="006A2759">
      <w:rPr>
        <w:rFonts w:ascii="Arial" w:hAnsi="Arial" w:cs="Arial"/>
        <w:b/>
        <w:sz w:val="48"/>
      </w:rPr>
      <w:t>EN</w:t>
    </w:r>
    <w:r w:rsidRPr="006A2759">
      <w:rPr>
        <w:rFonts w:ascii="Arial" w:hAnsi="Arial" w:cs="Arial"/>
        <w:b/>
        <w:sz w:val="48"/>
      </w:rPr>
      <w:tab/>
    </w:r>
    <w:r w:rsidRPr="006A2759">
      <w:rPr>
        <w:rFonts w:ascii="Arial" w:hAnsi="Arial" w:cs="Arial"/>
        <w:b/>
        <w:sz w:val="48"/>
      </w:rPr>
      <w:tab/>
    </w:r>
    <w:r w:rsidR="009A7912">
      <w:fldChar w:fldCharType="begin"/>
    </w:r>
    <w:r w:rsidR="009A7912">
      <w:instrText xml:space="preserve"> DOCVARIABLE "LW_Confidence" \* MERGEFORMAT </w:instrText>
    </w:r>
    <w:r w:rsidR="009A7912">
      <w:fldChar w:fldCharType="separate"/>
    </w:r>
    <w:r>
      <w:t xml:space="preserve"> </w:t>
    </w:r>
    <w:r w:rsidR="009A7912">
      <w:fldChar w:fldCharType="end"/>
    </w:r>
    <w:r w:rsidRPr="006A2759">
      <w:tab/>
    </w:r>
    <w:proofErr w:type="spellStart"/>
    <w:r w:rsidRPr="006A2759">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12" w:rsidRDefault="009A79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59" w:rsidRPr="006A2759" w:rsidRDefault="006A2759" w:rsidP="006A2759">
    <w:pPr>
      <w:pStyle w:val="Footer"/>
      <w:rPr>
        <w:rFonts w:ascii="Arial" w:hAnsi="Arial" w:cs="Arial"/>
        <w:b/>
        <w:sz w:val="48"/>
      </w:rPr>
    </w:pPr>
    <w:r w:rsidRPr="006A2759">
      <w:rPr>
        <w:rFonts w:ascii="Arial" w:hAnsi="Arial" w:cs="Arial"/>
        <w:b/>
        <w:sz w:val="48"/>
      </w:rPr>
      <w:t>EN</w:t>
    </w:r>
    <w:r w:rsidRPr="006A2759">
      <w:rPr>
        <w:rFonts w:ascii="Arial" w:hAnsi="Arial" w:cs="Arial"/>
        <w:b/>
        <w:sz w:val="48"/>
      </w:rPr>
      <w:tab/>
    </w:r>
    <w:r>
      <w:fldChar w:fldCharType="begin"/>
    </w:r>
    <w:r>
      <w:instrText xml:space="preserve"> PAGE  \* MERGEFORMAT </w:instrText>
    </w:r>
    <w:r>
      <w:fldChar w:fldCharType="separate"/>
    </w:r>
    <w:r w:rsidR="009A7912">
      <w:rPr>
        <w:noProof/>
      </w:rPr>
      <w:t>18</w:t>
    </w:r>
    <w:r>
      <w:fldChar w:fldCharType="end"/>
    </w:r>
    <w:r>
      <w:tab/>
    </w:r>
    <w:r w:rsidR="009A7912">
      <w:fldChar w:fldCharType="begin"/>
    </w:r>
    <w:r w:rsidR="009A7912">
      <w:instrText xml:space="preserve"> DOCVARIABLE "LW_Confidence" \* MERGEFORMAT </w:instrText>
    </w:r>
    <w:r w:rsidR="009A7912">
      <w:fldChar w:fldCharType="separate"/>
    </w:r>
    <w:r>
      <w:t xml:space="preserve"> </w:t>
    </w:r>
    <w:r w:rsidR="009A7912">
      <w:fldChar w:fldCharType="end"/>
    </w:r>
    <w:r w:rsidRPr="006A2759">
      <w:tab/>
    </w:r>
    <w:r w:rsidRPr="006A2759">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59" w:rsidRPr="006A2759" w:rsidRDefault="006A2759" w:rsidP="006A27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1B" w:rsidRPr="006A2759" w:rsidRDefault="006A2759" w:rsidP="006A2759">
    <w:pPr>
      <w:pStyle w:val="FooterLandscape"/>
      <w:rPr>
        <w:rFonts w:ascii="Arial" w:hAnsi="Arial" w:cs="Arial"/>
        <w:b/>
        <w:sz w:val="48"/>
      </w:rPr>
    </w:pPr>
    <w:r w:rsidRPr="006A2759">
      <w:rPr>
        <w:rFonts w:ascii="Arial" w:hAnsi="Arial" w:cs="Arial"/>
        <w:b/>
        <w:sz w:val="48"/>
      </w:rPr>
      <w:t>EN</w:t>
    </w:r>
    <w:r w:rsidRPr="006A2759">
      <w:rPr>
        <w:rFonts w:ascii="Arial" w:hAnsi="Arial" w:cs="Arial"/>
        <w:b/>
        <w:sz w:val="48"/>
      </w:rPr>
      <w:tab/>
    </w:r>
    <w:r>
      <w:fldChar w:fldCharType="begin"/>
    </w:r>
    <w:r>
      <w:instrText xml:space="preserve"> PAGE  \* MERGEFORMAT </w:instrText>
    </w:r>
    <w:r>
      <w:fldChar w:fldCharType="separate"/>
    </w:r>
    <w:r w:rsidR="009A7912">
      <w:rPr>
        <w:noProof/>
      </w:rPr>
      <w:t>33</w:t>
    </w:r>
    <w:r>
      <w:fldChar w:fldCharType="end"/>
    </w:r>
    <w:r>
      <w:tab/>
    </w:r>
    <w:r w:rsidR="009A7912">
      <w:fldChar w:fldCharType="begin"/>
    </w:r>
    <w:r w:rsidR="009A7912">
      <w:instrText xml:space="preserve"> DOCVARIABLE "LW_Confidence" \* MERGEFORMAT </w:instrText>
    </w:r>
    <w:r w:rsidR="009A7912">
      <w:fldChar w:fldCharType="separate"/>
    </w:r>
    <w:r>
      <w:t xml:space="preserve"> </w:t>
    </w:r>
    <w:r w:rsidR="009A7912">
      <w:fldChar w:fldCharType="end"/>
    </w:r>
    <w:r w:rsidRPr="006A2759">
      <w:tab/>
    </w:r>
    <w:r w:rsidRPr="006A2759">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59" w:rsidRPr="006A2759" w:rsidRDefault="006A2759" w:rsidP="006A2759">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1B" w:rsidRPr="006A2759" w:rsidRDefault="006A2759" w:rsidP="006A2759">
    <w:pPr>
      <w:pStyle w:val="Footer"/>
      <w:rPr>
        <w:rFonts w:ascii="Arial" w:hAnsi="Arial" w:cs="Arial"/>
        <w:b/>
        <w:sz w:val="48"/>
      </w:rPr>
    </w:pPr>
    <w:r w:rsidRPr="006A2759">
      <w:rPr>
        <w:rFonts w:ascii="Arial" w:hAnsi="Arial" w:cs="Arial"/>
        <w:b/>
        <w:sz w:val="48"/>
      </w:rPr>
      <w:t>EN</w:t>
    </w:r>
    <w:r w:rsidRPr="006A2759">
      <w:rPr>
        <w:rFonts w:ascii="Arial" w:hAnsi="Arial" w:cs="Arial"/>
        <w:b/>
        <w:sz w:val="48"/>
      </w:rPr>
      <w:tab/>
    </w:r>
    <w:r>
      <w:fldChar w:fldCharType="begin"/>
    </w:r>
    <w:r>
      <w:instrText xml:space="preserve"> PAGE  \* MERGEFORMAT </w:instrText>
    </w:r>
    <w:r>
      <w:fldChar w:fldCharType="separate"/>
    </w:r>
    <w:r w:rsidR="009A7912">
      <w:rPr>
        <w:noProof/>
      </w:rPr>
      <w:t>37</w:t>
    </w:r>
    <w:r>
      <w:fldChar w:fldCharType="end"/>
    </w:r>
    <w:r>
      <w:tab/>
    </w:r>
    <w:r w:rsidR="009A7912">
      <w:fldChar w:fldCharType="begin"/>
    </w:r>
    <w:r w:rsidR="009A7912">
      <w:instrText xml:space="preserve"> DOCVARIABLE "LW_Confidence" \* MERGEFORMAT </w:instrText>
    </w:r>
    <w:r w:rsidR="009A7912">
      <w:fldChar w:fldCharType="separate"/>
    </w:r>
    <w:r>
      <w:t xml:space="preserve"> </w:t>
    </w:r>
    <w:r w:rsidR="009A7912">
      <w:fldChar w:fldCharType="end"/>
    </w:r>
    <w:r w:rsidRPr="006A2759">
      <w:tab/>
    </w:r>
    <w:r w:rsidRPr="006A2759">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59" w:rsidRPr="006A2759" w:rsidRDefault="006A2759" w:rsidP="006A2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E5" w:rsidRDefault="003206E5" w:rsidP="004E45D7">
      <w:pPr>
        <w:spacing w:before="0" w:after="0"/>
      </w:pPr>
      <w:r>
        <w:separator/>
      </w:r>
    </w:p>
  </w:footnote>
  <w:footnote w:type="continuationSeparator" w:id="0">
    <w:p w:rsidR="003206E5" w:rsidRDefault="003206E5" w:rsidP="004E45D7">
      <w:pPr>
        <w:spacing w:before="0" w:after="0"/>
      </w:pPr>
      <w:r>
        <w:continuationSeparator/>
      </w:r>
    </w:p>
  </w:footnote>
  <w:footnote w:id="1">
    <w:p w:rsidR="003206E5" w:rsidRPr="001678EE" w:rsidRDefault="003206E5" w:rsidP="005A48A9">
      <w:pPr>
        <w:pStyle w:val="FootnoteText"/>
      </w:pPr>
      <w:r w:rsidRPr="009A5B42">
        <w:rPr>
          <w:rStyle w:val="FootnoteReference"/>
        </w:rPr>
        <w:footnoteRef/>
      </w:r>
      <w:r>
        <w:tab/>
      </w:r>
      <w:r w:rsidRPr="001678EE">
        <w:t>The new long term goal was defined as achieving "a balance between anthropogenic emissions by sources and removals by sinks of greenhouse gases in the second half of this century."</w:t>
      </w:r>
      <w:r>
        <w:t xml:space="preserve"> </w:t>
      </w:r>
      <w:proofErr w:type="gramStart"/>
      <w:r>
        <w:t>Paris Agreement, Art.</w:t>
      </w:r>
      <w:proofErr w:type="gramEnd"/>
      <w:r>
        <w:t xml:space="preserve"> 4 (1)</w:t>
      </w:r>
    </w:p>
  </w:footnote>
  <w:footnote w:id="2">
    <w:p w:rsidR="003206E5" w:rsidRDefault="003206E5" w:rsidP="004E49BC">
      <w:pPr>
        <w:pStyle w:val="FootnoteText"/>
      </w:pPr>
      <w:r w:rsidRPr="00683E3D">
        <w:rPr>
          <w:rStyle w:val="FootnoteReference"/>
        </w:rPr>
        <w:footnoteRef/>
      </w:r>
      <w:r>
        <w:tab/>
        <w:t xml:space="preserve">Proposal for a COUNCIL DECISION on the conclusion on behalf of the European Union of the Paris Agreement adopted under the United Nations Framework Convention on Climate Change, COM/2016/0395 final </w:t>
      </w:r>
    </w:p>
  </w:footnote>
  <w:footnote w:id="3">
    <w:p w:rsidR="003206E5" w:rsidRDefault="003206E5" w:rsidP="004E49BC">
      <w:pPr>
        <w:pStyle w:val="FootnoteText"/>
      </w:pPr>
      <w:r w:rsidRPr="00683E3D">
        <w:rPr>
          <w:rStyle w:val="FootnoteReference"/>
        </w:rPr>
        <w:footnoteRef/>
      </w:r>
      <w:r>
        <w:tab/>
        <w:t xml:space="preserve">Communication from the Commission to the European Parliament and the Council: The Road from Paris: assessing the implications of the Paris Agreement and accompanying the proposal for a Council decision on the signing, on behalf of the European Union, of the Paris agreement adopted under the United Nations Framework Convention on Climate Change, COM/2016/0110 final </w:t>
      </w:r>
    </w:p>
  </w:footnote>
  <w:footnote w:id="4">
    <w:p w:rsidR="003206E5" w:rsidRPr="00EF39F8" w:rsidRDefault="003206E5" w:rsidP="005A48A9">
      <w:pPr>
        <w:pStyle w:val="FootnoteText"/>
      </w:pPr>
      <w:r w:rsidRPr="009A5B42">
        <w:rPr>
          <w:rStyle w:val="FootnoteReference"/>
        </w:rPr>
        <w:footnoteRef/>
      </w:r>
      <w:r>
        <w:tab/>
      </w:r>
      <w:r w:rsidRPr="00EF39F8">
        <w:t>Intended Nationally Determined Contribution of the EU and its Member States, 6 March 2015, http://www4.unfccc.int/submissions/INDC/Published%20Documents/Latvia/1/LV-03-06-EU%20INDC.pdf</w:t>
      </w:r>
    </w:p>
  </w:footnote>
  <w:footnote w:id="5">
    <w:p w:rsidR="003206E5" w:rsidRPr="00CC01BE" w:rsidRDefault="003206E5" w:rsidP="005A48A9">
      <w:pPr>
        <w:pStyle w:val="FootnoteText"/>
      </w:pPr>
      <w:r w:rsidRPr="009A5B42">
        <w:rPr>
          <w:rStyle w:val="FootnoteReference"/>
        </w:rPr>
        <w:footnoteRef/>
      </w:r>
      <w:r>
        <w:tab/>
        <w:t>T</w:t>
      </w:r>
      <w:r w:rsidRPr="00693442">
        <w:t xml:space="preserve">he so-called "non-ETS" with more than 55% of the EU’s total emissions </w:t>
      </w:r>
      <w:r w:rsidRPr="00CC01BE">
        <w:t>e.g. CO</w:t>
      </w:r>
      <w:r w:rsidRPr="00D67D2C">
        <w:rPr>
          <w:vertAlign w:val="subscript"/>
        </w:rPr>
        <w:t>2</w:t>
      </w:r>
      <w:r w:rsidRPr="00CC01BE">
        <w:t xml:space="preserve"> emissions from transport, heating of buildings, non-CO</w:t>
      </w:r>
      <w:r w:rsidRPr="00D67D2C">
        <w:rPr>
          <w:vertAlign w:val="subscript"/>
        </w:rPr>
        <w:t>2</w:t>
      </w:r>
      <w:r w:rsidRPr="00CC01BE">
        <w:t xml:space="preserve"> emissions from agriculture and </w:t>
      </w:r>
      <w:r>
        <w:t>waste</w:t>
      </w:r>
    </w:p>
  </w:footnote>
  <w:footnote w:id="6">
    <w:p w:rsidR="003206E5" w:rsidRPr="001678EE" w:rsidRDefault="003206E5" w:rsidP="005A48A9">
      <w:pPr>
        <w:pStyle w:val="FootnoteText"/>
      </w:pPr>
      <w:r w:rsidRPr="009A5B42">
        <w:rPr>
          <w:rStyle w:val="FootnoteReference"/>
        </w:rPr>
        <w:footnoteRef/>
      </w:r>
      <w:r>
        <w:tab/>
        <w:t xml:space="preserve">Regulation 525/2013/EC </w:t>
      </w:r>
      <w:r w:rsidRPr="00DD361F">
        <w:t>on a mechanism for monitoring and reporting greenhouse gas emissions and for reporting other information at national and Union level relevant to climate change and repealing Decision No 280/2004/EC</w:t>
      </w:r>
    </w:p>
  </w:footnote>
  <w:footnote w:id="7">
    <w:p w:rsidR="003206E5" w:rsidRPr="001678EE" w:rsidRDefault="003206E5" w:rsidP="005A48A9">
      <w:pPr>
        <w:pStyle w:val="FootnoteText"/>
      </w:pPr>
      <w:r w:rsidRPr="009A5B42">
        <w:rPr>
          <w:rStyle w:val="FootnoteReference"/>
        </w:rPr>
        <w:footnoteRef/>
      </w:r>
      <w:r>
        <w:tab/>
      </w:r>
      <w:r w:rsidRPr="00D67D2C">
        <w:t xml:space="preserve">When </w:t>
      </w:r>
      <w:r>
        <w:t>CO</w:t>
      </w:r>
      <w:r w:rsidRPr="00D67D2C">
        <w:rPr>
          <w:vertAlign w:val="subscript"/>
        </w:rPr>
        <w:t>2</w:t>
      </w:r>
      <w:r>
        <w:t xml:space="preserve"> is absorbed from the atmosphere, for example when trees and plants grow, this is termed "removal", in contrast to an emission which occurs when the biomass is burnt or decays.</w:t>
      </w:r>
    </w:p>
  </w:footnote>
  <w:footnote w:id="8">
    <w:p w:rsidR="003206E5" w:rsidRPr="00D47E80" w:rsidRDefault="003206E5" w:rsidP="00886695">
      <w:pPr>
        <w:pStyle w:val="FootnoteText"/>
        <w:rPr>
          <w:lang w:val="pl-PL"/>
        </w:rPr>
      </w:pPr>
      <w:r>
        <w:rPr>
          <w:rStyle w:val="FootnoteReference"/>
        </w:rPr>
        <w:footnoteRef/>
      </w:r>
      <w:r w:rsidRPr="00D47E80">
        <w:rPr>
          <w:lang w:val="pl-PL"/>
        </w:rPr>
        <w:tab/>
        <w:t xml:space="preserve">OJ C </w:t>
      </w:r>
      <w:r w:rsidRPr="00D47E80">
        <w:rPr>
          <w:rStyle w:val="Marker"/>
          <w:lang w:val="pl-PL"/>
        </w:rPr>
        <w:t>[…]</w:t>
      </w:r>
      <w:r w:rsidRPr="00D47E80">
        <w:rPr>
          <w:lang w:val="pl-PL"/>
        </w:rPr>
        <w:t xml:space="preserve">, </w:t>
      </w:r>
      <w:r w:rsidRPr="00D47E80">
        <w:rPr>
          <w:rStyle w:val="Marker"/>
          <w:lang w:val="pl-PL"/>
        </w:rPr>
        <w:t>[…]</w:t>
      </w:r>
      <w:r w:rsidRPr="00D47E80">
        <w:rPr>
          <w:lang w:val="pl-PL"/>
        </w:rPr>
        <w:t xml:space="preserve">, p. </w:t>
      </w:r>
      <w:r w:rsidRPr="00D47E80">
        <w:rPr>
          <w:rStyle w:val="Marker"/>
          <w:lang w:val="pl-PL"/>
        </w:rPr>
        <w:t>[…]</w:t>
      </w:r>
      <w:r w:rsidRPr="00D47E80">
        <w:rPr>
          <w:lang w:val="pl-PL"/>
        </w:rPr>
        <w:t>.</w:t>
      </w:r>
    </w:p>
  </w:footnote>
  <w:footnote w:id="9">
    <w:p w:rsidR="003206E5" w:rsidRPr="00D47E80" w:rsidRDefault="003206E5" w:rsidP="00886695">
      <w:pPr>
        <w:pStyle w:val="FootnoteText"/>
        <w:rPr>
          <w:lang w:val="pl-PL"/>
        </w:rPr>
      </w:pPr>
      <w:r>
        <w:rPr>
          <w:rStyle w:val="FootnoteReference"/>
        </w:rPr>
        <w:footnoteRef/>
      </w:r>
      <w:r w:rsidRPr="00D47E80">
        <w:rPr>
          <w:lang w:val="pl-PL"/>
        </w:rPr>
        <w:tab/>
        <w:t xml:space="preserve">OJ C </w:t>
      </w:r>
      <w:r w:rsidRPr="00D47E80">
        <w:rPr>
          <w:rStyle w:val="Marker"/>
          <w:lang w:val="pl-PL"/>
        </w:rPr>
        <w:t>[…]</w:t>
      </w:r>
      <w:r w:rsidRPr="00D47E80">
        <w:rPr>
          <w:lang w:val="pl-PL"/>
        </w:rPr>
        <w:t xml:space="preserve">, </w:t>
      </w:r>
      <w:r w:rsidRPr="00D47E80">
        <w:rPr>
          <w:rStyle w:val="Marker"/>
          <w:lang w:val="pl-PL"/>
        </w:rPr>
        <w:t>[…]</w:t>
      </w:r>
      <w:r w:rsidRPr="00D47E80">
        <w:rPr>
          <w:lang w:val="pl-PL"/>
        </w:rPr>
        <w:t xml:space="preserve">, p. </w:t>
      </w:r>
      <w:r w:rsidRPr="00D47E80">
        <w:rPr>
          <w:rStyle w:val="Marker"/>
          <w:lang w:val="pl-PL"/>
        </w:rPr>
        <w:t>[…]</w:t>
      </w:r>
      <w:r w:rsidRPr="00D47E80">
        <w:rPr>
          <w:lang w:val="pl-PL"/>
        </w:rPr>
        <w:t>.</w:t>
      </w:r>
    </w:p>
  </w:footnote>
  <w:footnote w:id="10">
    <w:p w:rsidR="003206E5" w:rsidRPr="00D47E80" w:rsidRDefault="003206E5" w:rsidP="00D67833">
      <w:pPr>
        <w:pStyle w:val="FootnoteText"/>
        <w:rPr>
          <w:lang w:val="pl-PL"/>
        </w:rPr>
      </w:pPr>
      <w:r>
        <w:rPr>
          <w:rStyle w:val="FootnoteReference"/>
        </w:rPr>
        <w:footnoteRef/>
      </w:r>
      <w:r w:rsidRPr="00D47E80">
        <w:rPr>
          <w:lang w:val="pl-PL"/>
        </w:rPr>
        <w:tab/>
        <w:t>http</w:t>
      </w:r>
      <w:proofErr w:type="gramStart"/>
      <w:r w:rsidRPr="00D47E80">
        <w:rPr>
          <w:lang w:val="pl-PL"/>
        </w:rPr>
        <w:t>://www</w:t>
      </w:r>
      <w:proofErr w:type="gramEnd"/>
      <w:r w:rsidRPr="00D47E80">
        <w:rPr>
          <w:lang w:val="pl-PL"/>
        </w:rPr>
        <w:t>4.</w:t>
      </w:r>
      <w:proofErr w:type="gramStart"/>
      <w:r w:rsidRPr="00D47E80">
        <w:rPr>
          <w:lang w:val="pl-PL"/>
        </w:rPr>
        <w:t>unfccc</w:t>
      </w:r>
      <w:proofErr w:type="gramEnd"/>
      <w:r w:rsidRPr="00D47E80">
        <w:rPr>
          <w:lang w:val="pl-PL"/>
        </w:rPr>
        <w:t>.</w:t>
      </w:r>
      <w:proofErr w:type="gramStart"/>
      <w:r w:rsidRPr="00D47E80">
        <w:rPr>
          <w:lang w:val="pl-PL"/>
        </w:rPr>
        <w:t>int</w:t>
      </w:r>
      <w:proofErr w:type="gramEnd"/>
      <w:r w:rsidRPr="00D47E80">
        <w:rPr>
          <w:lang w:val="pl-PL"/>
        </w:rPr>
        <w:t>/submissions/indc/Submission%20Pages/submissions.</w:t>
      </w:r>
      <w:proofErr w:type="gramStart"/>
      <w:r w:rsidRPr="00D47E80">
        <w:rPr>
          <w:lang w:val="pl-PL"/>
        </w:rPr>
        <w:t>aspx</w:t>
      </w:r>
      <w:proofErr w:type="gramEnd"/>
      <w:r w:rsidRPr="00D47E80">
        <w:rPr>
          <w:lang w:val="pl-PL"/>
        </w:rPr>
        <w:t xml:space="preserve"> </w:t>
      </w:r>
    </w:p>
  </w:footnote>
  <w:footnote w:id="11">
    <w:p w:rsidR="003206E5" w:rsidRDefault="003206E5" w:rsidP="00B70B4D">
      <w:pPr>
        <w:pStyle w:val="FootnoteText"/>
      </w:pPr>
      <w:r w:rsidRPr="00CA6731">
        <w:rPr>
          <w:rStyle w:val="FootnoteReference"/>
        </w:rPr>
        <w:footnoteRef/>
      </w:r>
      <w:r>
        <w:tab/>
        <w:t>Decision No 529/2013/EU of the European Parliament and of the Council of 21 May 2013 on accounting rules on greenhouse gas emissions and removals resulting from activities relating to land use, land-use change and forestry and on information concerning actions relating to those activities (OJ L 165, 18.6.2013, p. 80)</w:t>
      </w:r>
    </w:p>
  </w:footnote>
  <w:footnote w:id="12">
    <w:p w:rsidR="003206E5" w:rsidRPr="0089716F" w:rsidRDefault="003206E5" w:rsidP="00977CF9">
      <w:pPr>
        <w:pStyle w:val="FootnoteText"/>
        <w:rPr>
          <w:szCs w:val="24"/>
        </w:rPr>
      </w:pPr>
      <w:r w:rsidRPr="00947D95">
        <w:rPr>
          <w:rStyle w:val="FootnoteReference"/>
        </w:rPr>
        <w:footnoteRef/>
      </w:r>
      <w:r>
        <w:tab/>
        <w:t>ABM: activity-based management; ABB: activity-based budgeting.</w:t>
      </w:r>
    </w:p>
  </w:footnote>
  <w:footnote w:id="13">
    <w:p w:rsidR="003206E5" w:rsidRDefault="003206E5" w:rsidP="00977CF9">
      <w:pPr>
        <w:pStyle w:val="FootnoteText"/>
        <w:rPr>
          <w:szCs w:val="24"/>
        </w:rPr>
      </w:pPr>
      <w:r w:rsidRPr="00947D95">
        <w:rPr>
          <w:rStyle w:val="FootnoteReference"/>
        </w:rPr>
        <w:footnoteRef/>
      </w:r>
      <w:r>
        <w:tab/>
        <w:t>As referred to in Article 54(2</w:t>
      </w:r>
      <w:proofErr w:type="gramStart"/>
      <w:r>
        <w:t>)(</w:t>
      </w:r>
      <w:proofErr w:type="gramEnd"/>
      <w:r>
        <w:t>a) or (b) of the Financial Regulation.</w:t>
      </w:r>
    </w:p>
  </w:footnote>
  <w:footnote w:id="14">
    <w:p w:rsidR="003206E5" w:rsidRDefault="003206E5" w:rsidP="00977CF9">
      <w:pPr>
        <w:pStyle w:val="FootnoteText"/>
        <w:rPr>
          <w:szCs w:val="24"/>
        </w:rPr>
      </w:pPr>
      <w:r w:rsidRPr="00947D95">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1" w:history="1">
        <w:r>
          <w:rPr>
            <w:rStyle w:val="Hyperlink"/>
            <w:sz w:val="18"/>
          </w:rPr>
          <w:t>http://www.cc.cec/budg/man/budgmanag/budgmanag_en.html</w:t>
        </w:r>
      </w:hyperlink>
    </w:p>
  </w:footnote>
  <w:footnote w:id="15">
    <w:p w:rsidR="003206E5" w:rsidRDefault="003206E5" w:rsidP="00977CF9">
      <w:pPr>
        <w:pStyle w:val="FootnoteText"/>
        <w:rPr>
          <w:szCs w:val="24"/>
        </w:rPr>
      </w:pPr>
      <w:r w:rsidRPr="00947D95">
        <w:rPr>
          <w:rStyle w:val="FootnoteReference"/>
        </w:rPr>
        <w:footnoteRef/>
      </w:r>
      <w:r>
        <w:tab/>
        <w:t>Diff. = Differentiated appropriations / Non-diff. = Non-differentiated appropriations.</w:t>
      </w:r>
    </w:p>
  </w:footnote>
  <w:footnote w:id="16">
    <w:p w:rsidR="003206E5" w:rsidRDefault="003206E5" w:rsidP="00977CF9">
      <w:pPr>
        <w:pStyle w:val="FootnoteText"/>
        <w:rPr>
          <w:szCs w:val="24"/>
        </w:rPr>
      </w:pPr>
      <w:r w:rsidRPr="00947D95">
        <w:rPr>
          <w:rStyle w:val="FootnoteReference"/>
        </w:rPr>
        <w:footnoteRef/>
      </w:r>
      <w:r>
        <w:tab/>
        <w:t xml:space="preserve">EFTA: European Free Trade Association. </w:t>
      </w:r>
    </w:p>
  </w:footnote>
  <w:footnote w:id="17">
    <w:p w:rsidR="003206E5" w:rsidRDefault="003206E5" w:rsidP="00977CF9">
      <w:pPr>
        <w:pStyle w:val="FootnoteText"/>
        <w:rPr>
          <w:szCs w:val="24"/>
        </w:rPr>
      </w:pPr>
      <w:r w:rsidRPr="00947D95">
        <w:rPr>
          <w:rStyle w:val="FootnoteReference"/>
        </w:rPr>
        <w:footnoteRef/>
      </w:r>
      <w:r>
        <w:tab/>
      </w:r>
      <w:proofErr w:type="gramStart"/>
      <w:r>
        <w:t>Candidate countries and, where applicable, potential candidate countries from the Western Balkans.</w:t>
      </w:r>
      <w:proofErr w:type="gramEnd"/>
    </w:p>
  </w:footnote>
  <w:footnote w:id="18">
    <w:p w:rsidR="003206E5" w:rsidRDefault="003206E5" w:rsidP="00977CF9">
      <w:pPr>
        <w:pStyle w:val="FootnoteText"/>
        <w:rPr>
          <w:szCs w:val="24"/>
        </w:rPr>
      </w:pPr>
      <w:r w:rsidRPr="00947D95">
        <w:rPr>
          <w:rStyle w:val="FootnoteReference"/>
        </w:rPr>
        <w:footnoteRef/>
      </w:r>
      <w:r>
        <w:tab/>
        <w:t>Technical and/or administrative assistance and expenditure in support of the implementation of EU programmes: using the financial envelope for LIFE as agreed under the MFF 2014-</w:t>
      </w:r>
      <w:proofErr w:type="gramStart"/>
      <w:r>
        <w:t>2020 .</w:t>
      </w:r>
      <w:proofErr w:type="gramEnd"/>
    </w:p>
  </w:footnote>
  <w:footnote w:id="19">
    <w:p w:rsidR="003206E5" w:rsidRDefault="003206E5" w:rsidP="00977CF9">
      <w:pPr>
        <w:pStyle w:val="FootnoteText"/>
        <w:rPr>
          <w:szCs w:val="24"/>
        </w:rPr>
      </w:pPr>
      <w:r w:rsidRPr="00947D95">
        <w:rPr>
          <w:rStyle w:val="FootnoteReference"/>
        </w:rPr>
        <w:footnoteRef/>
      </w:r>
      <w:r>
        <w:tab/>
        <w:t>Outputs are products and services to be supplied (e.g.: number of student exchanges financed, number of km of roads built, etc.).</w:t>
      </w:r>
    </w:p>
  </w:footnote>
  <w:footnote w:id="20">
    <w:p w:rsidR="003206E5" w:rsidRDefault="003206E5" w:rsidP="00977CF9">
      <w:pPr>
        <w:pStyle w:val="FootnoteText"/>
        <w:rPr>
          <w:szCs w:val="24"/>
        </w:rPr>
      </w:pPr>
      <w:r w:rsidRPr="00947D95">
        <w:rPr>
          <w:rStyle w:val="FootnoteReference"/>
        </w:rPr>
        <w:footnoteRef/>
      </w:r>
      <w:r>
        <w:tab/>
        <w:t xml:space="preserve">As described in point 1.4.2. ‘Specific objective(s)…’ </w:t>
      </w:r>
    </w:p>
  </w:footnote>
  <w:footnote w:id="21">
    <w:p w:rsidR="003206E5" w:rsidRDefault="003206E5" w:rsidP="00977CF9">
      <w:pPr>
        <w:pStyle w:val="FootnoteText"/>
        <w:rPr>
          <w:szCs w:val="24"/>
        </w:rPr>
      </w:pPr>
      <w:r w:rsidRPr="00947D95">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22">
    <w:p w:rsidR="003206E5" w:rsidRDefault="003206E5" w:rsidP="00977CF9">
      <w:pPr>
        <w:pStyle w:val="FootnoteText"/>
        <w:rPr>
          <w:szCs w:val="24"/>
        </w:rPr>
      </w:pPr>
      <w:r w:rsidRPr="00947D95">
        <w:rPr>
          <w:rStyle w:val="FootnoteReference"/>
        </w:rPr>
        <w:footnoteRef/>
      </w:r>
      <w:r>
        <w:tab/>
        <w:t xml:space="preserve">AC= Contract Staff; AL = Local Staff; END= Seconded National Expert; INT = agency staff; JED= Junior Experts in Delegations. </w:t>
      </w:r>
    </w:p>
  </w:footnote>
  <w:footnote w:id="23">
    <w:p w:rsidR="003206E5" w:rsidRDefault="003206E5" w:rsidP="00977CF9">
      <w:pPr>
        <w:pStyle w:val="FootnoteText"/>
        <w:rPr>
          <w:szCs w:val="24"/>
        </w:rPr>
      </w:pPr>
      <w:r w:rsidRPr="00947D95">
        <w:rPr>
          <w:rStyle w:val="FootnoteReference"/>
        </w:rPr>
        <w:footnoteRef/>
      </w:r>
      <w:r>
        <w:tab/>
      </w:r>
      <w:proofErr w:type="gramStart"/>
      <w:r>
        <w:t>Sub-ceiling for external staff covered by operational appropriations (former ‘BA’ lines).</w:t>
      </w:r>
      <w:proofErr w:type="gramEnd"/>
    </w:p>
  </w:footnote>
  <w:footnote w:id="24">
    <w:p w:rsidR="003206E5" w:rsidRDefault="003206E5" w:rsidP="00977CF9">
      <w:pPr>
        <w:pStyle w:val="FootnoteText"/>
        <w:rPr>
          <w:szCs w:val="24"/>
        </w:rPr>
      </w:pPr>
      <w:r w:rsidRPr="00947D95">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12" w:rsidRDefault="009A7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12" w:rsidRDefault="009A7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12" w:rsidRDefault="009A79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1B" w:rsidRPr="0041191B" w:rsidRDefault="0041191B" w:rsidP="006A2759">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59" w:rsidRPr="006A2759" w:rsidRDefault="006A2759" w:rsidP="006A2759">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1B" w:rsidRPr="0041191B" w:rsidRDefault="0041191B" w:rsidP="006A27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59" w:rsidRPr="006A2759" w:rsidRDefault="006A2759" w:rsidP="006A2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FEFE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C464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889F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56D3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68E7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0C81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3A0A1E3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4"/>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16"/>
  </w:num>
  <w:num w:numId="13">
    <w:abstractNumId w:val="1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23"/>
  </w:num>
  <w:num w:numId="19">
    <w:abstractNumId w:val="11"/>
  </w:num>
  <w:num w:numId="20">
    <w:abstractNumId w:val="14"/>
  </w:num>
  <w:num w:numId="21">
    <w:abstractNumId w:val="9"/>
  </w:num>
  <w:num w:numId="22">
    <w:abstractNumId w:val="22"/>
  </w:num>
  <w:num w:numId="23">
    <w:abstractNumId w:val="8"/>
  </w:num>
  <w:num w:numId="24">
    <w:abstractNumId w:val="15"/>
  </w:num>
  <w:num w:numId="25">
    <w:abstractNumId w:val="19"/>
  </w:num>
  <w:num w:numId="26">
    <w:abstractNumId w:val="20"/>
  </w:num>
  <w:num w:numId="27">
    <w:abstractNumId w:val="10"/>
  </w:num>
  <w:num w:numId="28">
    <w:abstractNumId w:val="18"/>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proofState w:spelling="clean" w:grammar="clean"/>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0 15:42: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
    <w:docVar w:name="DQCResult_ModifiedMarkers" w:val="0;0"/>
    <w:docVar w:name="DQCResult_ModifiedNumbering" w:val="0;0"/>
    <w:docVar w:name="DQCResult_Objects" w:val="0;0"/>
    <w:docVar w:name="DQCResult_Sections" w:val="0;0"/>
    <w:docVar w:name="DQCResult_StructureCheck" w:val="0;0"/>
    <w:docVar w:name="DQCResult_SuperfluousWhitespace" w:val="0;62"/>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8979FF87066D4C87A18129FBF3F641C1"/>
    <w:docVar w:name="LW_CROSSREFERENCE" w:val="{SWD(2016) 246  final}_x000a_{SWD(2016) 249 final}"/>
    <w:docVar w:name="LW_DocType" w:val="COM"/>
    <w:docVar w:name="LW_EMISSION" w:val="20.7.2016"/>
    <w:docVar w:name="LW_EMISSION_ISODATE" w:val="2016-07-2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30"/>
    <w:docVar w:name="LW_REF.II.NEW.CP_YEAR" w:val="2016"/>
    <w:docVar w:name="LW_REF.INST.NEW" w:val="COM"/>
    <w:docVar w:name="LW_REF.INST.NEW_ADOPTED" w:val="final"/>
    <w:docVar w:name="LW_REF.INST.NEW_TEXT" w:val="(2016) 479"/>
    <w:docVar w:name="LW_REF.INTERNE" w:val="&lt;UNUSED&gt;"/>
    <w:docVar w:name="LW_SOUS.TITRE.OBJ.CP" w:val="&lt;UNUSED&gt;"/>
    <w:docVar w:name="LW_STATUT.CP" w:val="Proposal for a"/>
    <w:docVar w:name="LW_SUPERTITRE" w:val="&lt;UNUSED&gt;"/>
    <w:docVar w:name="LW_TITRE.OBJ.CP" w:val="on the inclusion of greenhouse gas emissions and removals from land use, land use change and forestry into the 2030 climate and energy framework and amending Regulation No 525/2013 of the European Parliament and the Council on a mechanism for monitoring and reporting greenhouse gas emissions and other information relevant to climate change"/>
    <w:docVar w:name="LW_TYPE.DOC.CP" w:val="REGULATION OF THE EUROPEAN PARLIAMENT AND OF THE COUNCIL"/>
  </w:docVars>
  <w:rsids>
    <w:rsidRoot w:val="004E45D7"/>
    <w:rsid w:val="00000E4E"/>
    <w:rsid w:val="00002E41"/>
    <w:rsid w:val="00003913"/>
    <w:rsid w:val="00005337"/>
    <w:rsid w:val="00007568"/>
    <w:rsid w:val="000146F5"/>
    <w:rsid w:val="000205F3"/>
    <w:rsid w:val="000231FA"/>
    <w:rsid w:val="00032B4A"/>
    <w:rsid w:val="00032EDF"/>
    <w:rsid w:val="00034BB3"/>
    <w:rsid w:val="00036766"/>
    <w:rsid w:val="00036BBC"/>
    <w:rsid w:val="000439CE"/>
    <w:rsid w:val="00046B80"/>
    <w:rsid w:val="00050C20"/>
    <w:rsid w:val="0005253E"/>
    <w:rsid w:val="000528BA"/>
    <w:rsid w:val="00052FEB"/>
    <w:rsid w:val="000552D0"/>
    <w:rsid w:val="000576E6"/>
    <w:rsid w:val="00065B7E"/>
    <w:rsid w:val="000704EB"/>
    <w:rsid w:val="000714FC"/>
    <w:rsid w:val="000729F0"/>
    <w:rsid w:val="000729FF"/>
    <w:rsid w:val="0007350D"/>
    <w:rsid w:val="00074CC7"/>
    <w:rsid w:val="00084AD0"/>
    <w:rsid w:val="00087F74"/>
    <w:rsid w:val="00095B66"/>
    <w:rsid w:val="00097AB2"/>
    <w:rsid w:val="000A0388"/>
    <w:rsid w:val="000A3644"/>
    <w:rsid w:val="000A3C9E"/>
    <w:rsid w:val="000A3DBC"/>
    <w:rsid w:val="000A4D92"/>
    <w:rsid w:val="000A5626"/>
    <w:rsid w:val="000A5BB1"/>
    <w:rsid w:val="000B27B0"/>
    <w:rsid w:val="000B3474"/>
    <w:rsid w:val="000C0066"/>
    <w:rsid w:val="000C21C6"/>
    <w:rsid w:val="000C3985"/>
    <w:rsid w:val="000C415A"/>
    <w:rsid w:val="000C47EC"/>
    <w:rsid w:val="000C5771"/>
    <w:rsid w:val="000D0D3C"/>
    <w:rsid w:val="000D2D09"/>
    <w:rsid w:val="000D3B73"/>
    <w:rsid w:val="000D43CE"/>
    <w:rsid w:val="000D7BA6"/>
    <w:rsid w:val="000E3E5B"/>
    <w:rsid w:val="000E7369"/>
    <w:rsid w:val="000F4448"/>
    <w:rsid w:val="000F4FA9"/>
    <w:rsid w:val="001019B4"/>
    <w:rsid w:val="00105D7A"/>
    <w:rsid w:val="00110641"/>
    <w:rsid w:val="001139D9"/>
    <w:rsid w:val="001151FD"/>
    <w:rsid w:val="001214EA"/>
    <w:rsid w:val="001215C6"/>
    <w:rsid w:val="00121DE6"/>
    <w:rsid w:val="001225AE"/>
    <w:rsid w:val="0013012C"/>
    <w:rsid w:val="00130FBD"/>
    <w:rsid w:val="00150393"/>
    <w:rsid w:val="001503EF"/>
    <w:rsid w:val="00156218"/>
    <w:rsid w:val="00156D9B"/>
    <w:rsid w:val="0015714E"/>
    <w:rsid w:val="001611AC"/>
    <w:rsid w:val="00162463"/>
    <w:rsid w:val="001637FE"/>
    <w:rsid w:val="00171119"/>
    <w:rsid w:val="00171635"/>
    <w:rsid w:val="00172A7D"/>
    <w:rsid w:val="00175087"/>
    <w:rsid w:val="00181F6A"/>
    <w:rsid w:val="00183F09"/>
    <w:rsid w:val="001876ED"/>
    <w:rsid w:val="00190DCE"/>
    <w:rsid w:val="00190F21"/>
    <w:rsid w:val="001942E7"/>
    <w:rsid w:val="00197082"/>
    <w:rsid w:val="001A0E4E"/>
    <w:rsid w:val="001A1F07"/>
    <w:rsid w:val="001A2C22"/>
    <w:rsid w:val="001A33C6"/>
    <w:rsid w:val="001A5D7F"/>
    <w:rsid w:val="001B5163"/>
    <w:rsid w:val="001B7557"/>
    <w:rsid w:val="001C08C2"/>
    <w:rsid w:val="001C452C"/>
    <w:rsid w:val="001C5BA7"/>
    <w:rsid w:val="001D188D"/>
    <w:rsid w:val="001D3124"/>
    <w:rsid w:val="001D325E"/>
    <w:rsid w:val="001D47D9"/>
    <w:rsid w:val="001D6A5B"/>
    <w:rsid w:val="001D7598"/>
    <w:rsid w:val="001D7875"/>
    <w:rsid w:val="001E0760"/>
    <w:rsid w:val="001E0780"/>
    <w:rsid w:val="001E1DB1"/>
    <w:rsid w:val="001E7E9B"/>
    <w:rsid w:val="001F0B98"/>
    <w:rsid w:val="001F0F22"/>
    <w:rsid w:val="001F3AAF"/>
    <w:rsid w:val="0020053C"/>
    <w:rsid w:val="00205E76"/>
    <w:rsid w:val="002069F9"/>
    <w:rsid w:val="0021172B"/>
    <w:rsid w:val="002134D7"/>
    <w:rsid w:val="00215039"/>
    <w:rsid w:val="0021599E"/>
    <w:rsid w:val="002202A0"/>
    <w:rsid w:val="0022193A"/>
    <w:rsid w:val="00225C77"/>
    <w:rsid w:val="00231356"/>
    <w:rsid w:val="00232285"/>
    <w:rsid w:val="00232330"/>
    <w:rsid w:val="0023250E"/>
    <w:rsid w:val="00241012"/>
    <w:rsid w:val="00241FDD"/>
    <w:rsid w:val="00245D36"/>
    <w:rsid w:val="00252CAD"/>
    <w:rsid w:val="002649F1"/>
    <w:rsid w:val="002664E9"/>
    <w:rsid w:val="002671F5"/>
    <w:rsid w:val="002709B5"/>
    <w:rsid w:val="002710E2"/>
    <w:rsid w:val="0027130B"/>
    <w:rsid w:val="00274213"/>
    <w:rsid w:val="002758F0"/>
    <w:rsid w:val="00276359"/>
    <w:rsid w:val="00283BA2"/>
    <w:rsid w:val="00284906"/>
    <w:rsid w:val="00284E57"/>
    <w:rsid w:val="00286B2C"/>
    <w:rsid w:val="00291526"/>
    <w:rsid w:val="0029201E"/>
    <w:rsid w:val="00292F8A"/>
    <w:rsid w:val="00296DF0"/>
    <w:rsid w:val="002A18F9"/>
    <w:rsid w:val="002A342F"/>
    <w:rsid w:val="002A4617"/>
    <w:rsid w:val="002A4F1A"/>
    <w:rsid w:val="002A5B23"/>
    <w:rsid w:val="002A61FB"/>
    <w:rsid w:val="002A6D51"/>
    <w:rsid w:val="002A77CE"/>
    <w:rsid w:val="002B312A"/>
    <w:rsid w:val="002B7556"/>
    <w:rsid w:val="002C0CCA"/>
    <w:rsid w:val="002C14A3"/>
    <w:rsid w:val="002C224E"/>
    <w:rsid w:val="002C4E9F"/>
    <w:rsid w:val="002C6C77"/>
    <w:rsid w:val="002D2EDA"/>
    <w:rsid w:val="002E0D75"/>
    <w:rsid w:val="002E2AB8"/>
    <w:rsid w:val="002E60C4"/>
    <w:rsid w:val="002E6A71"/>
    <w:rsid w:val="002F2E23"/>
    <w:rsid w:val="002F7B43"/>
    <w:rsid w:val="00300993"/>
    <w:rsid w:val="00301ACA"/>
    <w:rsid w:val="00303D62"/>
    <w:rsid w:val="00304A00"/>
    <w:rsid w:val="00306996"/>
    <w:rsid w:val="00306FD2"/>
    <w:rsid w:val="0031200E"/>
    <w:rsid w:val="00315D22"/>
    <w:rsid w:val="00320139"/>
    <w:rsid w:val="003206E5"/>
    <w:rsid w:val="00322D84"/>
    <w:rsid w:val="00323775"/>
    <w:rsid w:val="003244CF"/>
    <w:rsid w:val="00326FA1"/>
    <w:rsid w:val="00333EC3"/>
    <w:rsid w:val="003368BD"/>
    <w:rsid w:val="0034445E"/>
    <w:rsid w:val="00350DC0"/>
    <w:rsid w:val="00351418"/>
    <w:rsid w:val="003519B3"/>
    <w:rsid w:val="00353456"/>
    <w:rsid w:val="00355659"/>
    <w:rsid w:val="00355E21"/>
    <w:rsid w:val="00365079"/>
    <w:rsid w:val="00367BE0"/>
    <w:rsid w:val="00373B09"/>
    <w:rsid w:val="0037402F"/>
    <w:rsid w:val="003756CB"/>
    <w:rsid w:val="00376095"/>
    <w:rsid w:val="003819DE"/>
    <w:rsid w:val="0038450F"/>
    <w:rsid w:val="00384C1E"/>
    <w:rsid w:val="00385856"/>
    <w:rsid w:val="00385897"/>
    <w:rsid w:val="003927CD"/>
    <w:rsid w:val="00396E6A"/>
    <w:rsid w:val="00397BD0"/>
    <w:rsid w:val="003A1AC4"/>
    <w:rsid w:val="003A25DA"/>
    <w:rsid w:val="003A2E44"/>
    <w:rsid w:val="003A6EED"/>
    <w:rsid w:val="003B343F"/>
    <w:rsid w:val="003B3FC4"/>
    <w:rsid w:val="003B49FB"/>
    <w:rsid w:val="003B4E66"/>
    <w:rsid w:val="003C33DE"/>
    <w:rsid w:val="003C38D0"/>
    <w:rsid w:val="003C6AC1"/>
    <w:rsid w:val="003C7D2F"/>
    <w:rsid w:val="003C7F60"/>
    <w:rsid w:val="003D2F9E"/>
    <w:rsid w:val="003D4350"/>
    <w:rsid w:val="003D51EE"/>
    <w:rsid w:val="003E0C01"/>
    <w:rsid w:val="003E0F03"/>
    <w:rsid w:val="003E1E21"/>
    <w:rsid w:val="003E72AF"/>
    <w:rsid w:val="003E7740"/>
    <w:rsid w:val="003F13BC"/>
    <w:rsid w:val="003F16E3"/>
    <w:rsid w:val="003F7347"/>
    <w:rsid w:val="0040210D"/>
    <w:rsid w:val="0040414B"/>
    <w:rsid w:val="0041191B"/>
    <w:rsid w:val="00412514"/>
    <w:rsid w:val="00413BCD"/>
    <w:rsid w:val="004201FB"/>
    <w:rsid w:val="00422F3B"/>
    <w:rsid w:val="00425F87"/>
    <w:rsid w:val="00426127"/>
    <w:rsid w:val="0043053F"/>
    <w:rsid w:val="00433705"/>
    <w:rsid w:val="00436987"/>
    <w:rsid w:val="00437B23"/>
    <w:rsid w:val="00437E09"/>
    <w:rsid w:val="004461A6"/>
    <w:rsid w:val="00447309"/>
    <w:rsid w:val="0045514B"/>
    <w:rsid w:val="00455848"/>
    <w:rsid w:val="00455AE7"/>
    <w:rsid w:val="0045772C"/>
    <w:rsid w:val="00462B50"/>
    <w:rsid w:val="00470FC0"/>
    <w:rsid w:val="0047112E"/>
    <w:rsid w:val="0047137E"/>
    <w:rsid w:val="00474965"/>
    <w:rsid w:val="004779E6"/>
    <w:rsid w:val="00481A34"/>
    <w:rsid w:val="00484A2A"/>
    <w:rsid w:val="00485D39"/>
    <w:rsid w:val="00485F18"/>
    <w:rsid w:val="00490D30"/>
    <w:rsid w:val="0049132A"/>
    <w:rsid w:val="00492741"/>
    <w:rsid w:val="00495F23"/>
    <w:rsid w:val="0049614C"/>
    <w:rsid w:val="0049697B"/>
    <w:rsid w:val="004969DD"/>
    <w:rsid w:val="004A1E95"/>
    <w:rsid w:val="004A6272"/>
    <w:rsid w:val="004A642B"/>
    <w:rsid w:val="004A76AD"/>
    <w:rsid w:val="004B0DA6"/>
    <w:rsid w:val="004B1AED"/>
    <w:rsid w:val="004B2602"/>
    <w:rsid w:val="004B2891"/>
    <w:rsid w:val="004B4461"/>
    <w:rsid w:val="004B4C02"/>
    <w:rsid w:val="004B51A5"/>
    <w:rsid w:val="004C04D0"/>
    <w:rsid w:val="004C0E22"/>
    <w:rsid w:val="004D0587"/>
    <w:rsid w:val="004D0F67"/>
    <w:rsid w:val="004D1F4C"/>
    <w:rsid w:val="004D298E"/>
    <w:rsid w:val="004D3A0E"/>
    <w:rsid w:val="004D3AA4"/>
    <w:rsid w:val="004D3B3F"/>
    <w:rsid w:val="004D5964"/>
    <w:rsid w:val="004D5B03"/>
    <w:rsid w:val="004E0AA1"/>
    <w:rsid w:val="004E10DA"/>
    <w:rsid w:val="004E3231"/>
    <w:rsid w:val="004E45D7"/>
    <w:rsid w:val="004E49BC"/>
    <w:rsid w:val="004F53EB"/>
    <w:rsid w:val="004F7C7B"/>
    <w:rsid w:val="00502013"/>
    <w:rsid w:val="005025AE"/>
    <w:rsid w:val="005067FA"/>
    <w:rsid w:val="00514423"/>
    <w:rsid w:val="00514B35"/>
    <w:rsid w:val="00516170"/>
    <w:rsid w:val="005211C3"/>
    <w:rsid w:val="00521E37"/>
    <w:rsid w:val="00522CD1"/>
    <w:rsid w:val="005232A3"/>
    <w:rsid w:val="0052391B"/>
    <w:rsid w:val="00523E9F"/>
    <w:rsid w:val="00524237"/>
    <w:rsid w:val="00525751"/>
    <w:rsid w:val="00531646"/>
    <w:rsid w:val="00540059"/>
    <w:rsid w:val="00543F3E"/>
    <w:rsid w:val="00545E70"/>
    <w:rsid w:val="00553332"/>
    <w:rsid w:val="0055399F"/>
    <w:rsid w:val="005562E3"/>
    <w:rsid w:val="00560777"/>
    <w:rsid w:val="00562B75"/>
    <w:rsid w:val="00564BF5"/>
    <w:rsid w:val="0057459F"/>
    <w:rsid w:val="00574685"/>
    <w:rsid w:val="0057556F"/>
    <w:rsid w:val="0057575A"/>
    <w:rsid w:val="00584D54"/>
    <w:rsid w:val="005850B3"/>
    <w:rsid w:val="00585E3F"/>
    <w:rsid w:val="00587F4B"/>
    <w:rsid w:val="005908A3"/>
    <w:rsid w:val="00592990"/>
    <w:rsid w:val="0059561C"/>
    <w:rsid w:val="005A2E8E"/>
    <w:rsid w:val="005A351F"/>
    <w:rsid w:val="005A48A9"/>
    <w:rsid w:val="005A48AC"/>
    <w:rsid w:val="005A492B"/>
    <w:rsid w:val="005A723E"/>
    <w:rsid w:val="005A7AEA"/>
    <w:rsid w:val="005B14B7"/>
    <w:rsid w:val="005B78B5"/>
    <w:rsid w:val="005C2B37"/>
    <w:rsid w:val="005C49AC"/>
    <w:rsid w:val="005D3394"/>
    <w:rsid w:val="005D410B"/>
    <w:rsid w:val="005E0BC3"/>
    <w:rsid w:val="005E3B3F"/>
    <w:rsid w:val="005E57A6"/>
    <w:rsid w:val="005F2FF1"/>
    <w:rsid w:val="005F3F7B"/>
    <w:rsid w:val="005F48A9"/>
    <w:rsid w:val="005F5655"/>
    <w:rsid w:val="005F6140"/>
    <w:rsid w:val="005F72DD"/>
    <w:rsid w:val="005F7A79"/>
    <w:rsid w:val="00611918"/>
    <w:rsid w:val="00616D37"/>
    <w:rsid w:val="00616E08"/>
    <w:rsid w:val="00622431"/>
    <w:rsid w:val="0062310C"/>
    <w:rsid w:val="006231E0"/>
    <w:rsid w:val="00623383"/>
    <w:rsid w:val="00635DE8"/>
    <w:rsid w:val="00636586"/>
    <w:rsid w:val="00637213"/>
    <w:rsid w:val="006374DB"/>
    <w:rsid w:val="00640C8E"/>
    <w:rsid w:val="006416A7"/>
    <w:rsid w:val="00647145"/>
    <w:rsid w:val="00655E42"/>
    <w:rsid w:val="006571C8"/>
    <w:rsid w:val="006620C2"/>
    <w:rsid w:val="00664A36"/>
    <w:rsid w:val="00670B2F"/>
    <w:rsid w:val="00673264"/>
    <w:rsid w:val="006765FE"/>
    <w:rsid w:val="00677F23"/>
    <w:rsid w:val="00683E3D"/>
    <w:rsid w:val="00685207"/>
    <w:rsid w:val="00685684"/>
    <w:rsid w:val="006863D1"/>
    <w:rsid w:val="0068739F"/>
    <w:rsid w:val="006900E4"/>
    <w:rsid w:val="00690C19"/>
    <w:rsid w:val="00694548"/>
    <w:rsid w:val="00695B16"/>
    <w:rsid w:val="00695C29"/>
    <w:rsid w:val="006A1888"/>
    <w:rsid w:val="006A264D"/>
    <w:rsid w:val="006A2759"/>
    <w:rsid w:val="006A388E"/>
    <w:rsid w:val="006A68FF"/>
    <w:rsid w:val="006B21F4"/>
    <w:rsid w:val="006B31AE"/>
    <w:rsid w:val="006B3634"/>
    <w:rsid w:val="006B4AAE"/>
    <w:rsid w:val="006B5C33"/>
    <w:rsid w:val="006C002F"/>
    <w:rsid w:val="006C5324"/>
    <w:rsid w:val="006C6C4C"/>
    <w:rsid w:val="006D3511"/>
    <w:rsid w:val="006D7067"/>
    <w:rsid w:val="006D7B81"/>
    <w:rsid w:val="006E2053"/>
    <w:rsid w:val="006F1658"/>
    <w:rsid w:val="006F4A27"/>
    <w:rsid w:val="006F5EA7"/>
    <w:rsid w:val="006F77A1"/>
    <w:rsid w:val="0070478A"/>
    <w:rsid w:val="007063CE"/>
    <w:rsid w:val="00713338"/>
    <w:rsid w:val="00715D61"/>
    <w:rsid w:val="00723EE3"/>
    <w:rsid w:val="007248F1"/>
    <w:rsid w:val="00726081"/>
    <w:rsid w:val="00731E8C"/>
    <w:rsid w:val="00732424"/>
    <w:rsid w:val="0073274D"/>
    <w:rsid w:val="00734424"/>
    <w:rsid w:val="007347CC"/>
    <w:rsid w:val="00735C40"/>
    <w:rsid w:val="007364A3"/>
    <w:rsid w:val="0074074B"/>
    <w:rsid w:val="00741881"/>
    <w:rsid w:val="00742EFC"/>
    <w:rsid w:val="007464E6"/>
    <w:rsid w:val="00750252"/>
    <w:rsid w:val="00750C70"/>
    <w:rsid w:val="00762CFA"/>
    <w:rsid w:val="007651A6"/>
    <w:rsid w:val="00765BBD"/>
    <w:rsid w:val="007672B4"/>
    <w:rsid w:val="00771BDC"/>
    <w:rsid w:val="00776FA2"/>
    <w:rsid w:val="00777351"/>
    <w:rsid w:val="0077771F"/>
    <w:rsid w:val="00780CED"/>
    <w:rsid w:val="007815A4"/>
    <w:rsid w:val="00783037"/>
    <w:rsid w:val="00784081"/>
    <w:rsid w:val="00784A76"/>
    <w:rsid w:val="00784E0A"/>
    <w:rsid w:val="00785004"/>
    <w:rsid w:val="00785766"/>
    <w:rsid w:val="00790906"/>
    <w:rsid w:val="00795FAC"/>
    <w:rsid w:val="00797134"/>
    <w:rsid w:val="007A02F0"/>
    <w:rsid w:val="007A0A57"/>
    <w:rsid w:val="007A251B"/>
    <w:rsid w:val="007A5237"/>
    <w:rsid w:val="007A672B"/>
    <w:rsid w:val="007B1733"/>
    <w:rsid w:val="007B6197"/>
    <w:rsid w:val="007C3975"/>
    <w:rsid w:val="007C3F26"/>
    <w:rsid w:val="007C41F2"/>
    <w:rsid w:val="007C4262"/>
    <w:rsid w:val="007C4FAF"/>
    <w:rsid w:val="007C627D"/>
    <w:rsid w:val="007D0792"/>
    <w:rsid w:val="007D0F0D"/>
    <w:rsid w:val="007D146F"/>
    <w:rsid w:val="007D1FA8"/>
    <w:rsid w:val="007D53B6"/>
    <w:rsid w:val="007E0513"/>
    <w:rsid w:val="007E122C"/>
    <w:rsid w:val="007E28B7"/>
    <w:rsid w:val="007E4121"/>
    <w:rsid w:val="007E607F"/>
    <w:rsid w:val="007F0026"/>
    <w:rsid w:val="007F16AB"/>
    <w:rsid w:val="007F28FB"/>
    <w:rsid w:val="007F3EF9"/>
    <w:rsid w:val="00801792"/>
    <w:rsid w:val="0080214C"/>
    <w:rsid w:val="00804E01"/>
    <w:rsid w:val="00804E59"/>
    <w:rsid w:val="00807158"/>
    <w:rsid w:val="0080783F"/>
    <w:rsid w:val="0081190B"/>
    <w:rsid w:val="00820B97"/>
    <w:rsid w:val="00820EC6"/>
    <w:rsid w:val="0082511F"/>
    <w:rsid w:val="00825123"/>
    <w:rsid w:val="00825EA5"/>
    <w:rsid w:val="00827BDE"/>
    <w:rsid w:val="00835482"/>
    <w:rsid w:val="0083571C"/>
    <w:rsid w:val="008374B3"/>
    <w:rsid w:val="008379BC"/>
    <w:rsid w:val="0084301F"/>
    <w:rsid w:val="00844C3D"/>
    <w:rsid w:val="00847046"/>
    <w:rsid w:val="00847721"/>
    <w:rsid w:val="00852074"/>
    <w:rsid w:val="00852B2D"/>
    <w:rsid w:val="00853CCB"/>
    <w:rsid w:val="00856D08"/>
    <w:rsid w:val="00857A1A"/>
    <w:rsid w:val="0086061B"/>
    <w:rsid w:val="0086650F"/>
    <w:rsid w:val="008702D8"/>
    <w:rsid w:val="0087355C"/>
    <w:rsid w:val="00881406"/>
    <w:rsid w:val="00881C4A"/>
    <w:rsid w:val="00884AC3"/>
    <w:rsid w:val="00886695"/>
    <w:rsid w:val="008907D6"/>
    <w:rsid w:val="00893D37"/>
    <w:rsid w:val="00895544"/>
    <w:rsid w:val="00897FE0"/>
    <w:rsid w:val="008A065A"/>
    <w:rsid w:val="008A1269"/>
    <w:rsid w:val="008A1B0B"/>
    <w:rsid w:val="008A36E4"/>
    <w:rsid w:val="008A68F2"/>
    <w:rsid w:val="008A6C5C"/>
    <w:rsid w:val="008A7FD4"/>
    <w:rsid w:val="008B0CAE"/>
    <w:rsid w:val="008B1410"/>
    <w:rsid w:val="008B4028"/>
    <w:rsid w:val="008B6FB7"/>
    <w:rsid w:val="008C33BB"/>
    <w:rsid w:val="008C719C"/>
    <w:rsid w:val="008D0948"/>
    <w:rsid w:val="008D5084"/>
    <w:rsid w:val="008D6436"/>
    <w:rsid w:val="008E1462"/>
    <w:rsid w:val="008E3F41"/>
    <w:rsid w:val="008E6B29"/>
    <w:rsid w:val="008F29CD"/>
    <w:rsid w:val="008F561E"/>
    <w:rsid w:val="008F6357"/>
    <w:rsid w:val="008F74A9"/>
    <w:rsid w:val="009104E1"/>
    <w:rsid w:val="00911926"/>
    <w:rsid w:val="009151A4"/>
    <w:rsid w:val="00921E95"/>
    <w:rsid w:val="009232DE"/>
    <w:rsid w:val="00926413"/>
    <w:rsid w:val="00932178"/>
    <w:rsid w:val="00932A24"/>
    <w:rsid w:val="00936BED"/>
    <w:rsid w:val="00944BDD"/>
    <w:rsid w:val="0094701F"/>
    <w:rsid w:val="009502DA"/>
    <w:rsid w:val="00950FDC"/>
    <w:rsid w:val="00953B35"/>
    <w:rsid w:val="009547EC"/>
    <w:rsid w:val="00956513"/>
    <w:rsid w:val="00960DAA"/>
    <w:rsid w:val="0096404B"/>
    <w:rsid w:val="00964172"/>
    <w:rsid w:val="009667E8"/>
    <w:rsid w:val="00966945"/>
    <w:rsid w:val="00970165"/>
    <w:rsid w:val="00971B2F"/>
    <w:rsid w:val="00974092"/>
    <w:rsid w:val="009759F9"/>
    <w:rsid w:val="00977786"/>
    <w:rsid w:val="00977CF9"/>
    <w:rsid w:val="009840E7"/>
    <w:rsid w:val="009841B4"/>
    <w:rsid w:val="00986F59"/>
    <w:rsid w:val="009871E5"/>
    <w:rsid w:val="009908BD"/>
    <w:rsid w:val="00994F97"/>
    <w:rsid w:val="00996193"/>
    <w:rsid w:val="009967AE"/>
    <w:rsid w:val="00997C69"/>
    <w:rsid w:val="009A3EAC"/>
    <w:rsid w:val="009A5B42"/>
    <w:rsid w:val="009A7912"/>
    <w:rsid w:val="009B1855"/>
    <w:rsid w:val="009C0CEF"/>
    <w:rsid w:val="009C23B1"/>
    <w:rsid w:val="009C3441"/>
    <w:rsid w:val="009C5177"/>
    <w:rsid w:val="009C7818"/>
    <w:rsid w:val="009D3548"/>
    <w:rsid w:val="009D3733"/>
    <w:rsid w:val="009D65B7"/>
    <w:rsid w:val="009D6EA3"/>
    <w:rsid w:val="009E5037"/>
    <w:rsid w:val="009E5B4D"/>
    <w:rsid w:val="009F0DA8"/>
    <w:rsid w:val="009F1EF0"/>
    <w:rsid w:val="009F226E"/>
    <w:rsid w:val="009F47B4"/>
    <w:rsid w:val="009F5727"/>
    <w:rsid w:val="009F7D96"/>
    <w:rsid w:val="00A00DEF"/>
    <w:rsid w:val="00A017C0"/>
    <w:rsid w:val="00A06AA7"/>
    <w:rsid w:val="00A06E95"/>
    <w:rsid w:val="00A0745C"/>
    <w:rsid w:val="00A202AE"/>
    <w:rsid w:val="00A216D9"/>
    <w:rsid w:val="00A21BED"/>
    <w:rsid w:val="00A230A8"/>
    <w:rsid w:val="00A26068"/>
    <w:rsid w:val="00A27BD3"/>
    <w:rsid w:val="00A33831"/>
    <w:rsid w:val="00A33E57"/>
    <w:rsid w:val="00A56C8F"/>
    <w:rsid w:val="00A57877"/>
    <w:rsid w:val="00A628CA"/>
    <w:rsid w:val="00A62A62"/>
    <w:rsid w:val="00A62C70"/>
    <w:rsid w:val="00A632A4"/>
    <w:rsid w:val="00A6409B"/>
    <w:rsid w:val="00A74B36"/>
    <w:rsid w:val="00A801AC"/>
    <w:rsid w:val="00A843AD"/>
    <w:rsid w:val="00A8681B"/>
    <w:rsid w:val="00A91296"/>
    <w:rsid w:val="00A926D2"/>
    <w:rsid w:val="00A92783"/>
    <w:rsid w:val="00AA0200"/>
    <w:rsid w:val="00AA2E52"/>
    <w:rsid w:val="00AA6149"/>
    <w:rsid w:val="00AB1394"/>
    <w:rsid w:val="00AB3482"/>
    <w:rsid w:val="00AB501B"/>
    <w:rsid w:val="00AB676E"/>
    <w:rsid w:val="00AC4E61"/>
    <w:rsid w:val="00AC5A45"/>
    <w:rsid w:val="00AC5F1A"/>
    <w:rsid w:val="00AC6E98"/>
    <w:rsid w:val="00AD0710"/>
    <w:rsid w:val="00AD50B9"/>
    <w:rsid w:val="00AD5EB3"/>
    <w:rsid w:val="00AD7654"/>
    <w:rsid w:val="00AD7A33"/>
    <w:rsid w:val="00AE0657"/>
    <w:rsid w:val="00AE42FE"/>
    <w:rsid w:val="00AE6A5B"/>
    <w:rsid w:val="00AF2E6F"/>
    <w:rsid w:val="00AF494E"/>
    <w:rsid w:val="00AF759E"/>
    <w:rsid w:val="00B014CA"/>
    <w:rsid w:val="00B04164"/>
    <w:rsid w:val="00B045B4"/>
    <w:rsid w:val="00B04DCA"/>
    <w:rsid w:val="00B06BE4"/>
    <w:rsid w:val="00B10A61"/>
    <w:rsid w:val="00B12178"/>
    <w:rsid w:val="00B16AF1"/>
    <w:rsid w:val="00B17365"/>
    <w:rsid w:val="00B17ED3"/>
    <w:rsid w:val="00B20A52"/>
    <w:rsid w:val="00B20C14"/>
    <w:rsid w:val="00B26DDC"/>
    <w:rsid w:val="00B3208E"/>
    <w:rsid w:val="00B3506D"/>
    <w:rsid w:val="00B36764"/>
    <w:rsid w:val="00B43533"/>
    <w:rsid w:val="00B442DE"/>
    <w:rsid w:val="00B44CFD"/>
    <w:rsid w:val="00B44E0A"/>
    <w:rsid w:val="00B44F09"/>
    <w:rsid w:val="00B466F7"/>
    <w:rsid w:val="00B47352"/>
    <w:rsid w:val="00B50819"/>
    <w:rsid w:val="00B530F0"/>
    <w:rsid w:val="00B54EFE"/>
    <w:rsid w:val="00B566CB"/>
    <w:rsid w:val="00B56D6F"/>
    <w:rsid w:val="00B572E7"/>
    <w:rsid w:val="00B611A0"/>
    <w:rsid w:val="00B63825"/>
    <w:rsid w:val="00B673A3"/>
    <w:rsid w:val="00B701BD"/>
    <w:rsid w:val="00B70B4D"/>
    <w:rsid w:val="00B70B8E"/>
    <w:rsid w:val="00B714B0"/>
    <w:rsid w:val="00B73170"/>
    <w:rsid w:val="00B7675A"/>
    <w:rsid w:val="00B7729C"/>
    <w:rsid w:val="00B80D4E"/>
    <w:rsid w:val="00B81AB0"/>
    <w:rsid w:val="00B86412"/>
    <w:rsid w:val="00B90CDC"/>
    <w:rsid w:val="00B910F7"/>
    <w:rsid w:val="00B9252C"/>
    <w:rsid w:val="00B97EE0"/>
    <w:rsid w:val="00BA1ED4"/>
    <w:rsid w:val="00BA2792"/>
    <w:rsid w:val="00BA532F"/>
    <w:rsid w:val="00BB14FC"/>
    <w:rsid w:val="00BB1536"/>
    <w:rsid w:val="00BB5511"/>
    <w:rsid w:val="00BB623A"/>
    <w:rsid w:val="00BC4538"/>
    <w:rsid w:val="00BC4FBB"/>
    <w:rsid w:val="00BC6F92"/>
    <w:rsid w:val="00BC7FED"/>
    <w:rsid w:val="00BD0CC7"/>
    <w:rsid w:val="00BD240F"/>
    <w:rsid w:val="00BD5C0A"/>
    <w:rsid w:val="00BE095A"/>
    <w:rsid w:val="00BE0CEA"/>
    <w:rsid w:val="00BE0DCE"/>
    <w:rsid w:val="00BE252B"/>
    <w:rsid w:val="00BE3237"/>
    <w:rsid w:val="00BE387A"/>
    <w:rsid w:val="00BE6C55"/>
    <w:rsid w:val="00BF00A5"/>
    <w:rsid w:val="00BF4DE6"/>
    <w:rsid w:val="00BF6772"/>
    <w:rsid w:val="00BF73B7"/>
    <w:rsid w:val="00C002B4"/>
    <w:rsid w:val="00C06DC6"/>
    <w:rsid w:val="00C1167B"/>
    <w:rsid w:val="00C120E1"/>
    <w:rsid w:val="00C1414B"/>
    <w:rsid w:val="00C14B6A"/>
    <w:rsid w:val="00C14EC4"/>
    <w:rsid w:val="00C170A6"/>
    <w:rsid w:val="00C17A74"/>
    <w:rsid w:val="00C2114F"/>
    <w:rsid w:val="00C2395D"/>
    <w:rsid w:val="00C248AF"/>
    <w:rsid w:val="00C26AF9"/>
    <w:rsid w:val="00C26CDD"/>
    <w:rsid w:val="00C26D81"/>
    <w:rsid w:val="00C27073"/>
    <w:rsid w:val="00C34A1F"/>
    <w:rsid w:val="00C35266"/>
    <w:rsid w:val="00C4328D"/>
    <w:rsid w:val="00C45546"/>
    <w:rsid w:val="00C45595"/>
    <w:rsid w:val="00C46CAF"/>
    <w:rsid w:val="00C47BCA"/>
    <w:rsid w:val="00C513D8"/>
    <w:rsid w:val="00C54022"/>
    <w:rsid w:val="00C6409B"/>
    <w:rsid w:val="00C65B1C"/>
    <w:rsid w:val="00C73748"/>
    <w:rsid w:val="00C76513"/>
    <w:rsid w:val="00C77EE2"/>
    <w:rsid w:val="00C83C9D"/>
    <w:rsid w:val="00C871F7"/>
    <w:rsid w:val="00C90675"/>
    <w:rsid w:val="00C9397A"/>
    <w:rsid w:val="00C967E7"/>
    <w:rsid w:val="00C96ECB"/>
    <w:rsid w:val="00CA0F3C"/>
    <w:rsid w:val="00CA198B"/>
    <w:rsid w:val="00CA206A"/>
    <w:rsid w:val="00CA6731"/>
    <w:rsid w:val="00CA716D"/>
    <w:rsid w:val="00CB3FAE"/>
    <w:rsid w:val="00CB6088"/>
    <w:rsid w:val="00CB76D9"/>
    <w:rsid w:val="00CC61E0"/>
    <w:rsid w:val="00CC799A"/>
    <w:rsid w:val="00CD1638"/>
    <w:rsid w:val="00CD4EB0"/>
    <w:rsid w:val="00CE7A13"/>
    <w:rsid w:val="00CF2A90"/>
    <w:rsid w:val="00CF2AE4"/>
    <w:rsid w:val="00CF3FFA"/>
    <w:rsid w:val="00CF70C6"/>
    <w:rsid w:val="00D034CF"/>
    <w:rsid w:val="00D035B2"/>
    <w:rsid w:val="00D062FC"/>
    <w:rsid w:val="00D07059"/>
    <w:rsid w:val="00D1017F"/>
    <w:rsid w:val="00D10773"/>
    <w:rsid w:val="00D10DCB"/>
    <w:rsid w:val="00D1156E"/>
    <w:rsid w:val="00D1761B"/>
    <w:rsid w:val="00D2272A"/>
    <w:rsid w:val="00D2284B"/>
    <w:rsid w:val="00D24F33"/>
    <w:rsid w:val="00D30280"/>
    <w:rsid w:val="00D30FD2"/>
    <w:rsid w:val="00D3268F"/>
    <w:rsid w:val="00D33196"/>
    <w:rsid w:val="00D3381C"/>
    <w:rsid w:val="00D36917"/>
    <w:rsid w:val="00D36EBA"/>
    <w:rsid w:val="00D41926"/>
    <w:rsid w:val="00D42E7F"/>
    <w:rsid w:val="00D42FB0"/>
    <w:rsid w:val="00D47E80"/>
    <w:rsid w:val="00D511FD"/>
    <w:rsid w:val="00D53DD5"/>
    <w:rsid w:val="00D53E4B"/>
    <w:rsid w:val="00D54B71"/>
    <w:rsid w:val="00D5684A"/>
    <w:rsid w:val="00D57D07"/>
    <w:rsid w:val="00D60631"/>
    <w:rsid w:val="00D64C96"/>
    <w:rsid w:val="00D67833"/>
    <w:rsid w:val="00D700A2"/>
    <w:rsid w:val="00D70EF9"/>
    <w:rsid w:val="00D737CE"/>
    <w:rsid w:val="00D74AAB"/>
    <w:rsid w:val="00D75832"/>
    <w:rsid w:val="00D75F65"/>
    <w:rsid w:val="00D772B2"/>
    <w:rsid w:val="00D77690"/>
    <w:rsid w:val="00D8128C"/>
    <w:rsid w:val="00D812E2"/>
    <w:rsid w:val="00D8328C"/>
    <w:rsid w:val="00D8587F"/>
    <w:rsid w:val="00D85CB1"/>
    <w:rsid w:val="00D86CD7"/>
    <w:rsid w:val="00D87766"/>
    <w:rsid w:val="00D90309"/>
    <w:rsid w:val="00D92107"/>
    <w:rsid w:val="00D92533"/>
    <w:rsid w:val="00D97005"/>
    <w:rsid w:val="00DA0129"/>
    <w:rsid w:val="00DA06B6"/>
    <w:rsid w:val="00DA17D1"/>
    <w:rsid w:val="00DA1BDA"/>
    <w:rsid w:val="00DA2490"/>
    <w:rsid w:val="00DB0F47"/>
    <w:rsid w:val="00DB2A17"/>
    <w:rsid w:val="00DB531D"/>
    <w:rsid w:val="00DC021E"/>
    <w:rsid w:val="00DC44C8"/>
    <w:rsid w:val="00DC56EE"/>
    <w:rsid w:val="00DC5BEE"/>
    <w:rsid w:val="00DC64CF"/>
    <w:rsid w:val="00DC6DF6"/>
    <w:rsid w:val="00DD143B"/>
    <w:rsid w:val="00DD1985"/>
    <w:rsid w:val="00DD5939"/>
    <w:rsid w:val="00DD61E9"/>
    <w:rsid w:val="00DD7C9A"/>
    <w:rsid w:val="00DE2168"/>
    <w:rsid w:val="00DE372F"/>
    <w:rsid w:val="00DE480C"/>
    <w:rsid w:val="00DE659B"/>
    <w:rsid w:val="00DF33CB"/>
    <w:rsid w:val="00DF3E14"/>
    <w:rsid w:val="00E04AB5"/>
    <w:rsid w:val="00E12A25"/>
    <w:rsid w:val="00E12BC2"/>
    <w:rsid w:val="00E219CA"/>
    <w:rsid w:val="00E2444B"/>
    <w:rsid w:val="00E333A7"/>
    <w:rsid w:val="00E367C2"/>
    <w:rsid w:val="00E36C21"/>
    <w:rsid w:val="00E36C40"/>
    <w:rsid w:val="00E4424A"/>
    <w:rsid w:val="00E44BDF"/>
    <w:rsid w:val="00E54758"/>
    <w:rsid w:val="00E54DB3"/>
    <w:rsid w:val="00E55136"/>
    <w:rsid w:val="00E56AA3"/>
    <w:rsid w:val="00E57380"/>
    <w:rsid w:val="00E57A80"/>
    <w:rsid w:val="00E57C08"/>
    <w:rsid w:val="00E60B10"/>
    <w:rsid w:val="00E62B08"/>
    <w:rsid w:val="00E62D5C"/>
    <w:rsid w:val="00E65C73"/>
    <w:rsid w:val="00E73F46"/>
    <w:rsid w:val="00E74003"/>
    <w:rsid w:val="00E80BD6"/>
    <w:rsid w:val="00E82227"/>
    <w:rsid w:val="00E828EC"/>
    <w:rsid w:val="00E829CB"/>
    <w:rsid w:val="00E82E25"/>
    <w:rsid w:val="00E84C06"/>
    <w:rsid w:val="00E90388"/>
    <w:rsid w:val="00E959A6"/>
    <w:rsid w:val="00EA1638"/>
    <w:rsid w:val="00EA164A"/>
    <w:rsid w:val="00EA2E16"/>
    <w:rsid w:val="00EA36AE"/>
    <w:rsid w:val="00EA3EDA"/>
    <w:rsid w:val="00EA7864"/>
    <w:rsid w:val="00EB3AA9"/>
    <w:rsid w:val="00EB5A70"/>
    <w:rsid w:val="00EB7175"/>
    <w:rsid w:val="00EB7BAA"/>
    <w:rsid w:val="00EC0C63"/>
    <w:rsid w:val="00EC11F6"/>
    <w:rsid w:val="00EC22AA"/>
    <w:rsid w:val="00ED05D6"/>
    <w:rsid w:val="00ED222A"/>
    <w:rsid w:val="00ED2CA4"/>
    <w:rsid w:val="00ED48C6"/>
    <w:rsid w:val="00ED4983"/>
    <w:rsid w:val="00ED58B2"/>
    <w:rsid w:val="00ED591D"/>
    <w:rsid w:val="00ED6D44"/>
    <w:rsid w:val="00EE57D7"/>
    <w:rsid w:val="00EE6993"/>
    <w:rsid w:val="00EE7662"/>
    <w:rsid w:val="00EE7A78"/>
    <w:rsid w:val="00EE7C2B"/>
    <w:rsid w:val="00EE7F47"/>
    <w:rsid w:val="00EF1ED6"/>
    <w:rsid w:val="00EF3846"/>
    <w:rsid w:val="00EF6DE1"/>
    <w:rsid w:val="00EF7F14"/>
    <w:rsid w:val="00F115B6"/>
    <w:rsid w:val="00F11B55"/>
    <w:rsid w:val="00F17C48"/>
    <w:rsid w:val="00F20538"/>
    <w:rsid w:val="00F24AEC"/>
    <w:rsid w:val="00F25A00"/>
    <w:rsid w:val="00F27010"/>
    <w:rsid w:val="00F345BE"/>
    <w:rsid w:val="00F35710"/>
    <w:rsid w:val="00F35C36"/>
    <w:rsid w:val="00F36FA3"/>
    <w:rsid w:val="00F417DE"/>
    <w:rsid w:val="00F55C83"/>
    <w:rsid w:val="00F57552"/>
    <w:rsid w:val="00F6043E"/>
    <w:rsid w:val="00F60894"/>
    <w:rsid w:val="00F61BD2"/>
    <w:rsid w:val="00F61E05"/>
    <w:rsid w:val="00F7233E"/>
    <w:rsid w:val="00F727A8"/>
    <w:rsid w:val="00F74D7A"/>
    <w:rsid w:val="00F75015"/>
    <w:rsid w:val="00F758B7"/>
    <w:rsid w:val="00F81F85"/>
    <w:rsid w:val="00F82AB7"/>
    <w:rsid w:val="00F83FB6"/>
    <w:rsid w:val="00F87183"/>
    <w:rsid w:val="00F87E8F"/>
    <w:rsid w:val="00F91FFF"/>
    <w:rsid w:val="00F93B8D"/>
    <w:rsid w:val="00F93CF7"/>
    <w:rsid w:val="00F955E3"/>
    <w:rsid w:val="00F97067"/>
    <w:rsid w:val="00FA1F23"/>
    <w:rsid w:val="00FA21CC"/>
    <w:rsid w:val="00FA4D6E"/>
    <w:rsid w:val="00FA7BA9"/>
    <w:rsid w:val="00FB32A1"/>
    <w:rsid w:val="00FC13FC"/>
    <w:rsid w:val="00FC3932"/>
    <w:rsid w:val="00FD0DDE"/>
    <w:rsid w:val="00FD198D"/>
    <w:rsid w:val="00FD5B56"/>
    <w:rsid w:val="00FD7997"/>
    <w:rsid w:val="00FD79CE"/>
    <w:rsid w:val="00FE2AF6"/>
    <w:rsid w:val="00FE2D67"/>
    <w:rsid w:val="00FE3293"/>
    <w:rsid w:val="00FE3DB3"/>
    <w:rsid w:val="00FE7FE8"/>
    <w:rsid w:val="00FF2420"/>
    <w:rsid w:val="00FF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5D7"/>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rsid w:val="00B36764"/>
    <w:pPr>
      <w:numPr>
        <w:numId w:val="1"/>
      </w:numPr>
      <w:contextualSpacing/>
    </w:pPr>
  </w:style>
  <w:style w:type="paragraph" w:styleId="ListBullet2">
    <w:name w:val="List Bullet 2"/>
    <w:basedOn w:val="Normal"/>
    <w:uiPriority w:val="99"/>
    <w:semiHidden/>
    <w:unhideWhenUsed/>
    <w:rsid w:val="00B36764"/>
    <w:pPr>
      <w:numPr>
        <w:numId w:val="2"/>
      </w:numPr>
      <w:contextualSpacing/>
    </w:pPr>
  </w:style>
  <w:style w:type="paragraph" w:styleId="ListBullet3">
    <w:name w:val="List Bullet 3"/>
    <w:basedOn w:val="Normal"/>
    <w:uiPriority w:val="99"/>
    <w:semiHidden/>
    <w:unhideWhenUsed/>
    <w:rsid w:val="00B36764"/>
    <w:pPr>
      <w:numPr>
        <w:numId w:val="3"/>
      </w:numPr>
      <w:contextualSpacing/>
    </w:pPr>
  </w:style>
  <w:style w:type="paragraph" w:styleId="ListBullet4">
    <w:name w:val="List Bullet 4"/>
    <w:basedOn w:val="Normal"/>
    <w:unhideWhenUsed/>
    <w:rsid w:val="00B36764"/>
    <w:pPr>
      <w:numPr>
        <w:numId w:val="4"/>
      </w:numPr>
      <w:contextualSpacing/>
    </w:pPr>
  </w:style>
  <w:style w:type="paragraph" w:styleId="BalloonText">
    <w:name w:val="Balloon Text"/>
    <w:basedOn w:val="Normal"/>
    <w:link w:val="BalloonTextChar"/>
    <w:uiPriority w:val="99"/>
    <w:semiHidden/>
    <w:unhideWhenUsed/>
    <w:rsid w:val="004261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27"/>
    <w:rPr>
      <w:rFonts w:ascii="Tahoma" w:hAnsi="Tahoma" w:cs="Tahoma"/>
      <w:sz w:val="16"/>
      <w:szCs w:val="16"/>
      <w:lang w:val="en-GB"/>
    </w:rPr>
  </w:style>
  <w:style w:type="paragraph" w:customStyle="1" w:styleId="CM4">
    <w:name w:val="CM4"/>
    <w:basedOn w:val="Normal"/>
    <w:next w:val="Normal"/>
    <w:uiPriority w:val="99"/>
    <w:rsid w:val="007F16AB"/>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nhideWhenUsed/>
    <w:rsid w:val="00BF4DE6"/>
    <w:rPr>
      <w:color w:val="0000FF" w:themeColor="hyperlink"/>
      <w:u w:val="single"/>
    </w:rPr>
  </w:style>
  <w:style w:type="paragraph" w:customStyle="1" w:styleId="modref">
    <w:name w:val="modref"/>
    <w:basedOn w:val="Normal"/>
    <w:rsid w:val="00BF4DE6"/>
    <w:pPr>
      <w:spacing w:after="0"/>
      <w:jc w:val="left"/>
    </w:pPr>
    <w:rPr>
      <w:rFonts w:eastAsia="Times New Roman"/>
      <w:b/>
      <w:bCs/>
      <w:szCs w:val="24"/>
      <w:lang w:eastAsia="en-GB"/>
    </w:rPr>
  </w:style>
  <w:style w:type="paragraph" w:customStyle="1" w:styleId="tbl-norm">
    <w:name w:val="tbl-norm"/>
    <w:basedOn w:val="Normal"/>
    <w:rsid w:val="00BF4DE6"/>
    <w:pPr>
      <w:spacing w:before="60" w:after="60"/>
    </w:pPr>
    <w:rPr>
      <w:rFonts w:eastAsia="Times New Roman"/>
      <w:szCs w:val="24"/>
      <w:lang w:eastAsia="en-GB"/>
    </w:rPr>
  </w:style>
  <w:style w:type="paragraph" w:customStyle="1" w:styleId="title-table">
    <w:name w:val="title-table"/>
    <w:basedOn w:val="Normal"/>
    <w:rsid w:val="00BF4DE6"/>
    <w:pPr>
      <w:spacing w:before="0"/>
      <w:jc w:val="center"/>
    </w:pPr>
    <w:rPr>
      <w:rFonts w:eastAsia="Times New Roman"/>
      <w:b/>
      <w:bCs/>
      <w:szCs w:val="24"/>
      <w:lang w:eastAsia="en-GB"/>
    </w:rPr>
  </w:style>
  <w:style w:type="character" w:customStyle="1" w:styleId="boldface">
    <w:name w:val="boldface"/>
    <w:basedOn w:val="DefaultParagraphFont"/>
    <w:rsid w:val="00BF4DE6"/>
    <w:rPr>
      <w:b/>
      <w:bCs/>
    </w:rPr>
  </w:style>
  <w:style w:type="paragraph" w:customStyle="1" w:styleId="Normal1">
    <w:name w:val="Normal1"/>
    <w:basedOn w:val="Normal"/>
    <w:rsid w:val="00BF4DE6"/>
    <w:pPr>
      <w:spacing w:before="100" w:beforeAutospacing="1" w:after="100" w:afterAutospacing="1"/>
      <w:jc w:val="left"/>
    </w:pPr>
    <w:rPr>
      <w:rFonts w:eastAsia="Times New Roman"/>
      <w:szCs w:val="24"/>
      <w:lang w:eastAsia="en-GB"/>
    </w:rPr>
  </w:style>
  <w:style w:type="paragraph" w:styleId="Revision">
    <w:name w:val="Revision"/>
    <w:hidden/>
    <w:uiPriority w:val="99"/>
    <w:semiHidden/>
    <w:rsid w:val="001A5D7F"/>
    <w:pPr>
      <w:spacing w:after="0" w:line="240" w:lineRule="auto"/>
    </w:pPr>
    <w:rPr>
      <w:rFonts w:ascii="Times New Roman" w:hAnsi="Times New Roman" w:cs="Times New Roman"/>
      <w:sz w:val="24"/>
      <w:lang w:val="en-GB"/>
    </w:rPr>
  </w:style>
  <w:style w:type="paragraph" w:styleId="ListNumber">
    <w:name w:val="List Number"/>
    <w:basedOn w:val="Normal"/>
    <w:rsid w:val="00172A7D"/>
    <w:pPr>
      <w:numPr>
        <w:numId w:val="5"/>
      </w:numPr>
    </w:pPr>
    <w:rPr>
      <w:rFonts w:eastAsia="Times New Roman"/>
      <w:lang w:eastAsia="de-DE"/>
    </w:rPr>
  </w:style>
  <w:style w:type="paragraph" w:customStyle="1" w:styleId="ListNumberLevel2">
    <w:name w:val="List Number (Level 2)"/>
    <w:basedOn w:val="Normal"/>
    <w:rsid w:val="00172A7D"/>
    <w:pPr>
      <w:numPr>
        <w:ilvl w:val="1"/>
        <w:numId w:val="5"/>
      </w:numPr>
    </w:pPr>
    <w:rPr>
      <w:rFonts w:eastAsia="Times New Roman"/>
      <w:lang w:eastAsia="de-DE"/>
    </w:rPr>
  </w:style>
  <w:style w:type="paragraph" w:customStyle="1" w:styleId="ListNumberLevel3">
    <w:name w:val="List Number (Level 3)"/>
    <w:basedOn w:val="Normal"/>
    <w:rsid w:val="00172A7D"/>
    <w:pPr>
      <w:numPr>
        <w:ilvl w:val="2"/>
        <w:numId w:val="5"/>
      </w:numPr>
    </w:pPr>
    <w:rPr>
      <w:rFonts w:eastAsia="Times New Roman"/>
      <w:lang w:eastAsia="de-DE"/>
    </w:rPr>
  </w:style>
  <w:style w:type="paragraph" w:customStyle="1" w:styleId="ListNumberLevel4">
    <w:name w:val="List Number (Level 4)"/>
    <w:basedOn w:val="Normal"/>
    <w:rsid w:val="00172A7D"/>
    <w:pPr>
      <w:numPr>
        <w:ilvl w:val="3"/>
        <w:numId w:val="5"/>
      </w:numPr>
    </w:pPr>
    <w:rPr>
      <w:rFonts w:eastAsia="Times New Roman"/>
      <w:lang w:eastAsia="de-DE"/>
    </w:rPr>
  </w:style>
  <w:style w:type="character" w:styleId="CommentReference">
    <w:name w:val="annotation reference"/>
    <w:basedOn w:val="DefaultParagraphFont"/>
    <w:uiPriority w:val="99"/>
    <w:semiHidden/>
    <w:unhideWhenUsed/>
    <w:rsid w:val="00F7233E"/>
    <w:rPr>
      <w:sz w:val="16"/>
      <w:szCs w:val="16"/>
    </w:rPr>
  </w:style>
  <w:style w:type="paragraph" w:styleId="CommentText">
    <w:name w:val="annotation text"/>
    <w:basedOn w:val="Normal"/>
    <w:link w:val="CommentTextChar"/>
    <w:uiPriority w:val="99"/>
    <w:semiHidden/>
    <w:unhideWhenUsed/>
    <w:rsid w:val="00F7233E"/>
    <w:rPr>
      <w:sz w:val="20"/>
      <w:szCs w:val="20"/>
    </w:rPr>
  </w:style>
  <w:style w:type="character" w:customStyle="1" w:styleId="CommentTextChar">
    <w:name w:val="Comment Text Char"/>
    <w:basedOn w:val="DefaultParagraphFont"/>
    <w:link w:val="CommentText"/>
    <w:uiPriority w:val="99"/>
    <w:semiHidden/>
    <w:rsid w:val="00F7233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7233E"/>
    <w:rPr>
      <w:b/>
      <w:bCs/>
    </w:rPr>
  </w:style>
  <w:style w:type="character" w:customStyle="1" w:styleId="CommentSubjectChar">
    <w:name w:val="Comment Subject Char"/>
    <w:basedOn w:val="CommentTextChar"/>
    <w:link w:val="CommentSubject"/>
    <w:uiPriority w:val="99"/>
    <w:semiHidden/>
    <w:rsid w:val="00F7233E"/>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rsid w:val="00795FAC"/>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795FAC"/>
    <w:pPr>
      <w:spacing w:after="0"/>
    </w:pPr>
  </w:style>
  <w:style w:type="paragraph" w:styleId="ListNumber2">
    <w:name w:val="List Number 2"/>
    <w:basedOn w:val="Normal"/>
    <w:unhideWhenUsed/>
    <w:rsid w:val="00795FAC"/>
    <w:pPr>
      <w:numPr>
        <w:numId w:val="6"/>
      </w:numPr>
      <w:contextualSpacing/>
    </w:pPr>
  </w:style>
  <w:style w:type="paragraph" w:styleId="ListNumber3">
    <w:name w:val="List Number 3"/>
    <w:basedOn w:val="Normal"/>
    <w:uiPriority w:val="99"/>
    <w:semiHidden/>
    <w:unhideWhenUsed/>
    <w:rsid w:val="00795FAC"/>
    <w:pPr>
      <w:numPr>
        <w:numId w:val="7"/>
      </w:numPr>
      <w:contextualSpacing/>
    </w:pPr>
  </w:style>
  <w:style w:type="paragraph" w:styleId="ListNumber4">
    <w:name w:val="List Number 4"/>
    <w:basedOn w:val="Normal"/>
    <w:uiPriority w:val="99"/>
    <w:semiHidden/>
    <w:unhideWhenUsed/>
    <w:rsid w:val="00795FAC"/>
    <w:pPr>
      <w:numPr>
        <w:numId w:val="8"/>
      </w:numPr>
      <w:contextualSpacing/>
    </w:pPr>
  </w:style>
  <w:style w:type="paragraph" w:customStyle="1" w:styleId="Foo">
    <w:name w:val="Foo"/>
    <w:basedOn w:val="CommentText"/>
    <w:rsid w:val="00F24AEC"/>
  </w:style>
  <w:style w:type="paragraph" w:customStyle="1" w:styleId="ListBullet1">
    <w:name w:val="List Bullet 1"/>
    <w:basedOn w:val="Normal"/>
    <w:rsid w:val="00DC64CF"/>
    <w:pPr>
      <w:numPr>
        <w:numId w:val="10"/>
      </w:numPr>
    </w:pPr>
    <w:rPr>
      <w:rFonts w:eastAsia="Times New Roman"/>
      <w:lang w:eastAsia="de-DE"/>
    </w:rPr>
  </w:style>
  <w:style w:type="paragraph" w:customStyle="1" w:styleId="ListDash1">
    <w:name w:val="List Dash 1"/>
    <w:basedOn w:val="Normal"/>
    <w:rsid w:val="00DC64CF"/>
    <w:pPr>
      <w:numPr>
        <w:numId w:val="11"/>
      </w:numPr>
    </w:pPr>
    <w:rPr>
      <w:rFonts w:eastAsia="Times New Roman"/>
      <w:lang w:eastAsia="de-DE"/>
    </w:rPr>
  </w:style>
  <w:style w:type="paragraph" w:customStyle="1" w:styleId="ListDash2">
    <w:name w:val="List Dash 2"/>
    <w:basedOn w:val="Normal"/>
    <w:rsid w:val="00DC64CF"/>
    <w:pPr>
      <w:numPr>
        <w:numId w:val="12"/>
      </w:numPr>
    </w:pPr>
    <w:rPr>
      <w:rFonts w:eastAsia="Times New Roman"/>
      <w:lang w:eastAsia="de-DE"/>
    </w:rPr>
  </w:style>
  <w:style w:type="paragraph" w:customStyle="1" w:styleId="ListDash4">
    <w:name w:val="List Dash 4"/>
    <w:basedOn w:val="Normal"/>
    <w:rsid w:val="00DC64CF"/>
    <w:pPr>
      <w:numPr>
        <w:numId w:val="13"/>
      </w:numPr>
    </w:pPr>
    <w:rPr>
      <w:rFonts w:eastAsia="Times New Roman"/>
      <w:lang w:val="fr-FR" w:eastAsia="en-GB"/>
    </w:rPr>
  </w:style>
  <w:style w:type="paragraph" w:customStyle="1" w:styleId="ListNumber2Level2">
    <w:name w:val="List Number 2 (Level 2)"/>
    <w:basedOn w:val="Text2"/>
    <w:rsid w:val="00DC64CF"/>
    <w:pPr>
      <w:tabs>
        <w:tab w:val="num" w:pos="2268"/>
      </w:tabs>
      <w:ind w:left="2268" w:hanging="708"/>
    </w:pPr>
    <w:rPr>
      <w:rFonts w:eastAsia="Times New Roman"/>
      <w:lang w:val="fr-FR" w:eastAsia="en-GB"/>
    </w:rPr>
  </w:style>
  <w:style w:type="paragraph" w:customStyle="1" w:styleId="ListNumber2Level3">
    <w:name w:val="List Number 2 (Level 3)"/>
    <w:basedOn w:val="Text2"/>
    <w:rsid w:val="00DC64CF"/>
    <w:pPr>
      <w:tabs>
        <w:tab w:val="num" w:pos="2977"/>
      </w:tabs>
      <w:ind w:left="2977" w:hanging="709"/>
    </w:pPr>
    <w:rPr>
      <w:rFonts w:eastAsia="Times New Roman"/>
      <w:lang w:val="fr-FR" w:eastAsia="en-GB"/>
    </w:rPr>
  </w:style>
  <w:style w:type="paragraph" w:customStyle="1" w:styleId="ListNumber2Level4">
    <w:name w:val="List Number 2 (Level 4)"/>
    <w:basedOn w:val="Text2"/>
    <w:rsid w:val="00DC64CF"/>
    <w:pPr>
      <w:tabs>
        <w:tab w:val="num" w:pos="3686"/>
      </w:tabs>
      <w:ind w:left="3686" w:hanging="709"/>
    </w:pPr>
    <w:rPr>
      <w:rFonts w:eastAsia="Times New Roman"/>
      <w:lang w:val="fr-FR" w:eastAsia="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5D7"/>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rsid w:val="00B36764"/>
    <w:pPr>
      <w:numPr>
        <w:numId w:val="1"/>
      </w:numPr>
      <w:contextualSpacing/>
    </w:pPr>
  </w:style>
  <w:style w:type="paragraph" w:styleId="ListBullet2">
    <w:name w:val="List Bullet 2"/>
    <w:basedOn w:val="Normal"/>
    <w:uiPriority w:val="99"/>
    <w:semiHidden/>
    <w:unhideWhenUsed/>
    <w:rsid w:val="00B36764"/>
    <w:pPr>
      <w:numPr>
        <w:numId w:val="2"/>
      </w:numPr>
      <w:contextualSpacing/>
    </w:pPr>
  </w:style>
  <w:style w:type="paragraph" w:styleId="ListBullet3">
    <w:name w:val="List Bullet 3"/>
    <w:basedOn w:val="Normal"/>
    <w:uiPriority w:val="99"/>
    <w:semiHidden/>
    <w:unhideWhenUsed/>
    <w:rsid w:val="00B36764"/>
    <w:pPr>
      <w:numPr>
        <w:numId w:val="3"/>
      </w:numPr>
      <w:contextualSpacing/>
    </w:pPr>
  </w:style>
  <w:style w:type="paragraph" w:styleId="ListBullet4">
    <w:name w:val="List Bullet 4"/>
    <w:basedOn w:val="Normal"/>
    <w:unhideWhenUsed/>
    <w:rsid w:val="00B36764"/>
    <w:pPr>
      <w:numPr>
        <w:numId w:val="4"/>
      </w:numPr>
      <w:contextualSpacing/>
    </w:pPr>
  </w:style>
  <w:style w:type="paragraph" w:styleId="BalloonText">
    <w:name w:val="Balloon Text"/>
    <w:basedOn w:val="Normal"/>
    <w:link w:val="BalloonTextChar"/>
    <w:uiPriority w:val="99"/>
    <w:semiHidden/>
    <w:unhideWhenUsed/>
    <w:rsid w:val="004261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27"/>
    <w:rPr>
      <w:rFonts w:ascii="Tahoma" w:hAnsi="Tahoma" w:cs="Tahoma"/>
      <w:sz w:val="16"/>
      <w:szCs w:val="16"/>
      <w:lang w:val="en-GB"/>
    </w:rPr>
  </w:style>
  <w:style w:type="paragraph" w:customStyle="1" w:styleId="CM4">
    <w:name w:val="CM4"/>
    <w:basedOn w:val="Normal"/>
    <w:next w:val="Normal"/>
    <w:uiPriority w:val="99"/>
    <w:rsid w:val="007F16AB"/>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nhideWhenUsed/>
    <w:rsid w:val="00BF4DE6"/>
    <w:rPr>
      <w:color w:val="0000FF" w:themeColor="hyperlink"/>
      <w:u w:val="single"/>
    </w:rPr>
  </w:style>
  <w:style w:type="paragraph" w:customStyle="1" w:styleId="modref">
    <w:name w:val="modref"/>
    <w:basedOn w:val="Normal"/>
    <w:rsid w:val="00BF4DE6"/>
    <w:pPr>
      <w:spacing w:after="0"/>
      <w:jc w:val="left"/>
    </w:pPr>
    <w:rPr>
      <w:rFonts w:eastAsia="Times New Roman"/>
      <w:b/>
      <w:bCs/>
      <w:szCs w:val="24"/>
      <w:lang w:eastAsia="en-GB"/>
    </w:rPr>
  </w:style>
  <w:style w:type="paragraph" w:customStyle="1" w:styleId="tbl-norm">
    <w:name w:val="tbl-norm"/>
    <w:basedOn w:val="Normal"/>
    <w:rsid w:val="00BF4DE6"/>
    <w:pPr>
      <w:spacing w:before="60" w:after="60"/>
    </w:pPr>
    <w:rPr>
      <w:rFonts w:eastAsia="Times New Roman"/>
      <w:szCs w:val="24"/>
      <w:lang w:eastAsia="en-GB"/>
    </w:rPr>
  </w:style>
  <w:style w:type="paragraph" w:customStyle="1" w:styleId="title-table">
    <w:name w:val="title-table"/>
    <w:basedOn w:val="Normal"/>
    <w:rsid w:val="00BF4DE6"/>
    <w:pPr>
      <w:spacing w:before="0"/>
      <w:jc w:val="center"/>
    </w:pPr>
    <w:rPr>
      <w:rFonts w:eastAsia="Times New Roman"/>
      <w:b/>
      <w:bCs/>
      <w:szCs w:val="24"/>
      <w:lang w:eastAsia="en-GB"/>
    </w:rPr>
  </w:style>
  <w:style w:type="character" w:customStyle="1" w:styleId="boldface">
    <w:name w:val="boldface"/>
    <w:basedOn w:val="DefaultParagraphFont"/>
    <w:rsid w:val="00BF4DE6"/>
    <w:rPr>
      <w:b/>
      <w:bCs/>
    </w:rPr>
  </w:style>
  <w:style w:type="paragraph" w:customStyle="1" w:styleId="Normal1">
    <w:name w:val="Normal1"/>
    <w:basedOn w:val="Normal"/>
    <w:rsid w:val="00BF4DE6"/>
    <w:pPr>
      <w:spacing w:before="100" w:beforeAutospacing="1" w:after="100" w:afterAutospacing="1"/>
      <w:jc w:val="left"/>
    </w:pPr>
    <w:rPr>
      <w:rFonts w:eastAsia="Times New Roman"/>
      <w:szCs w:val="24"/>
      <w:lang w:eastAsia="en-GB"/>
    </w:rPr>
  </w:style>
  <w:style w:type="paragraph" w:styleId="Revision">
    <w:name w:val="Revision"/>
    <w:hidden/>
    <w:uiPriority w:val="99"/>
    <w:semiHidden/>
    <w:rsid w:val="001A5D7F"/>
    <w:pPr>
      <w:spacing w:after="0" w:line="240" w:lineRule="auto"/>
    </w:pPr>
    <w:rPr>
      <w:rFonts w:ascii="Times New Roman" w:hAnsi="Times New Roman" w:cs="Times New Roman"/>
      <w:sz w:val="24"/>
      <w:lang w:val="en-GB"/>
    </w:rPr>
  </w:style>
  <w:style w:type="paragraph" w:styleId="ListNumber">
    <w:name w:val="List Number"/>
    <w:basedOn w:val="Normal"/>
    <w:rsid w:val="00172A7D"/>
    <w:pPr>
      <w:numPr>
        <w:numId w:val="5"/>
      </w:numPr>
    </w:pPr>
    <w:rPr>
      <w:rFonts w:eastAsia="Times New Roman"/>
      <w:lang w:eastAsia="de-DE"/>
    </w:rPr>
  </w:style>
  <w:style w:type="paragraph" w:customStyle="1" w:styleId="ListNumberLevel2">
    <w:name w:val="List Number (Level 2)"/>
    <w:basedOn w:val="Normal"/>
    <w:rsid w:val="00172A7D"/>
    <w:pPr>
      <w:numPr>
        <w:ilvl w:val="1"/>
        <w:numId w:val="5"/>
      </w:numPr>
    </w:pPr>
    <w:rPr>
      <w:rFonts w:eastAsia="Times New Roman"/>
      <w:lang w:eastAsia="de-DE"/>
    </w:rPr>
  </w:style>
  <w:style w:type="paragraph" w:customStyle="1" w:styleId="ListNumberLevel3">
    <w:name w:val="List Number (Level 3)"/>
    <w:basedOn w:val="Normal"/>
    <w:rsid w:val="00172A7D"/>
    <w:pPr>
      <w:numPr>
        <w:ilvl w:val="2"/>
        <w:numId w:val="5"/>
      </w:numPr>
    </w:pPr>
    <w:rPr>
      <w:rFonts w:eastAsia="Times New Roman"/>
      <w:lang w:eastAsia="de-DE"/>
    </w:rPr>
  </w:style>
  <w:style w:type="paragraph" w:customStyle="1" w:styleId="ListNumberLevel4">
    <w:name w:val="List Number (Level 4)"/>
    <w:basedOn w:val="Normal"/>
    <w:rsid w:val="00172A7D"/>
    <w:pPr>
      <w:numPr>
        <w:ilvl w:val="3"/>
        <w:numId w:val="5"/>
      </w:numPr>
    </w:pPr>
    <w:rPr>
      <w:rFonts w:eastAsia="Times New Roman"/>
      <w:lang w:eastAsia="de-DE"/>
    </w:rPr>
  </w:style>
  <w:style w:type="character" w:styleId="CommentReference">
    <w:name w:val="annotation reference"/>
    <w:basedOn w:val="DefaultParagraphFont"/>
    <w:uiPriority w:val="99"/>
    <w:semiHidden/>
    <w:unhideWhenUsed/>
    <w:rsid w:val="00F7233E"/>
    <w:rPr>
      <w:sz w:val="16"/>
      <w:szCs w:val="16"/>
    </w:rPr>
  </w:style>
  <w:style w:type="paragraph" w:styleId="CommentText">
    <w:name w:val="annotation text"/>
    <w:basedOn w:val="Normal"/>
    <w:link w:val="CommentTextChar"/>
    <w:uiPriority w:val="99"/>
    <w:semiHidden/>
    <w:unhideWhenUsed/>
    <w:rsid w:val="00F7233E"/>
    <w:rPr>
      <w:sz w:val="20"/>
      <w:szCs w:val="20"/>
    </w:rPr>
  </w:style>
  <w:style w:type="character" w:customStyle="1" w:styleId="CommentTextChar">
    <w:name w:val="Comment Text Char"/>
    <w:basedOn w:val="DefaultParagraphFont"/>
    <w:link w:val="CommentText"/>
    <w:uiPriority w:val="99"/>
    <w:semiHidden/>
    <w:rsid w:val="00F7233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7233E"/>
    <w:rPr>
      <w:b/>
      <w:bCs/>
    </w:rPr>
  </w:style>
  <w:style w:type="character" w:customStyle="1" w:styleId="CommentSubjectChar">
    <w:name w:val="Comment Subject Char"/>
    <w:basedOn w:val="CommentTextChar"/>
    <w:link w:val="CommentSubject"/>
    <w:uiPriority w:val="99"/>
    <w:semiHidden/>
    <w:rsid w:val="00F7233E"/>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rsid w:val="00795FAC"/>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795FAC"/>
    <w:pPr>
      <w:spacing w:after="0"/>
    </w:pPr>
  </w:style>
  <w:style w:type="paragraph" w:styleId="ListNumber2">
    <w:name w:val="List Number 2"/>
    <w:basedOn w:val="Normal"/>
    <w:unhideWhenUsed/>
    <w:rsid w:val="00795FAC"/>
    <w:pPr>
      <w:numPr>
        <w:numId w:val="6"/>
      </w:numPr>
      <w:contextualSpacing/>
    </w:pPr>
  </w:style>
  <w:style w:type="paragraph" w:styleId="ListNumber3">
    <w:name w:val="List Number 3"/>
    <w:basedOn w:val="Normal"/>
    <w:uiPriority w:val="99"/>
    <w:semiHidden/>
    <w:unhideWhenUsed/>
    <w:rsid w:val="00795FAC"/>
    <w:pPr>
      <w:numPr>
        <w:numId w:val="7"/>
      </w:numPr>
      <w:contextualSpacing/>
    </w:pPr>
  </w:style>
  <w:style w:type="paragraph" w:styleId="ListNumber4">
    <w:name w:val="List Number 4"/>
    <w:basedOn w:val="Normal"/>
    <w:uiPriority w:val="99"/>
    <w:semiHidden/>
    <w:unhideWhenUsed/>
    <w:rsid w:val="00795FAC"/>
    <w:pPr>
      <w:numPr>
        <w:numId w:val="8"/>
      </w:numPr>
      <w:contextualSpacing/>
    </w:pPr>
  </w:style>
  <w:style w:type="paragraph" w:customStyle="1" w:styleId="Foo">
    <w:name w:val="Foo"/>
    <w:basedOn w:val="CommentText"/>
    <w:rsid w:val="00F24AEC"/>
  </w:style>
  <w:style w:type="paragraph" w:customStyle="1" w:styleId="ListBullet1">
    <w:name w:val="List Bullet 1"/>
    <w:basedOn w:val="Normal"/>
    <w:rsid w:val="00DC64CF"/>
    <w:pPr>
      <w:numPr>
        <w:numId w:val="10"/>
      </w:numPr>
    </w:pPr>
    <w:rPr>
      <w:rFonts w:eastAsia="Times New Roman"/>
      <w:lang w:eastAsia="de-DE"/>
    </w:rPr>
  </w:style>
  <w:style w:type="paragraph" w:customStyle="1" w:styleId="ListDash1">
    <w:name w:val="List Dash 1"/>
    <w:basedOn w:val="Normal"/>
    <w:rsid w:val="00DC64CF"/>
    <w:pPr>
      <w:numPr>
        <w:numId w:val="11"/>
      </w:numPr>
    </w:pPr>
    <w:rPr>
      <w:rFonts w:eastAsia="Times New Roman"/>
      <w:lang w:eastAsia="de-DE"/>
    </w:rPr>
  </w:style>
  <w:style w:type="paragraph" w:customStyle="1" w:styleId="ListDash2">
    <w:name w:val="List Dash 2"/>
    <w:basedOn w:val="Normal"/>
    <w:rsid w:val="00DC64CF"/>
    <w:pPr>
      <w:numPr>
        <w:numId w:val="12"/>
      </w:numPr>
    </w:pPr>
    <w:rPr>
      <w:rFonts w:eastAsia="Times New Roman"/>
      <w:lang w:eastAsia="de-DE"/>
    </w:rPr>
  </w:style>
  <w:style w:type="paragraph" w:customStyle="1" w:styleId="ListDash4">
    <w:name w:val="List Dash 4"/>
    <w:basedOn w:val="Normal"/>
    <w:rsid w:val="00DC64CF"/>
    <w:pPr>
      <w:numPr>
        <w:numId w:val="13"/>
      </w:numPr>
    </w:pPr>
    <w:rPr>
      <w:rFonts w:eastAsia="Times New Roman"/>
      <w:lang w:val="fr-FR" w:eastAsia="en-GB"/>
    </w:rPr>
  </w:style>
  <w:style w:type="paragraph" w:customStyle="1" w:styleId="ListNumber2Level2">
    <w:name w:val="List Number 2 (Level 2)"/>
    <w:basedOn w:val="Text2"/>
    <w:rsid w:val="00DC64CF"/>
    <w:pPr>
      <w:tabs>
        <w:tab w:val="num" w:pos="2268"/>
      </w:tabs>
      <w:ind w:left="2268" w:hanging="708"/>
    </w:pPr>
    <w:rPr>
      <w:rFonts w:eastAsia="Times New Roman"/>
      <w:lang w:val="fr-FR" w:eastAsia="en-GB"/>
    </w:rPr>
  </w:style>
  <w:style w:type="paragraph" w:customStyle="1" w:styleId="ListNumber2Level3">
    <w:name w:val="List Number 2 (Level 3)"/>
    <w:basedOn w:val="Text2"/>
    <w:rsid w:val="00DC64CF"/>
    <w:pPr>
      <w:tabs>
        <w:tab w:val="num" w:pos="2977"/>
      </w:tabs>
      <w:ind w:left="2977" w:hanging="709"/>
    </w:pPr>
    <w:rPr>
      <w:rFonts w:eastAsia="Times New Roman"/>
      <w:lang w:val="fr-FR" w:eastAsia="en-GB"/>
    </w:rPr>
  </w:style>
  <w:style w:type="paragraph" w:customStyle="1" w:styleId="ListNumber2Level4">
    <w:name w:val="List Number 2 (Level 4)"/>
    <w:basedOn w:val="Text2"/>
    <w:rsid w:val="00DC64CF"/>
    <w:pPr>
      <w:tabs>
        <w:tab w:val="num" w:pos="3686"/>
      </w:tabs>
      <w:ind w:left="3686" w:hanging="709"/>
    </w:pPr>
    <w:rPr>
      <w:rFonts w:eastAsia="Times New Roman"/>
      <w:lang w:val="fr-FR" w:eastAsia="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926">
      <w:bodyDiv w:val="1"/>
      <w:marLeft w:val="0"/>
      <w:marRight w:val="0"/>
      <w:marTop w:val="0"/>
      <w:marBottom w:val="0"/>
      <w:divBdr>
        <w:top w:val="none" w:sz="0" w:space="0" w:color="auto"/>
        <w:left w:val="none" w:sz="0" w:space="0" w:color="auto"/>
        <w:bottom w:val="none" w:sz="0" w:space="0" w:color="auto"/>
        <w:right w:val="none" w:sz="0" w:space="0" w:color="auto"/>
      </w:divBdr>
    </w:div>
    <w:div w:id="209264642">
      <w:bodyDiv w:val="1"/>
      <w:marLeft w:val="0"/>
      <w:marRight w:val="0"/>
      <w:marTop w:val="0"/>
      <w:marBottom w:val="0"/>
      <w:divBdr>
        <w:top w:val="none" w:sz="0" w:space="0" w:color="auto"/>
        <w:left w:val="none" w:sz="0" w:space="0" w:color="auto"/>
        <w:bottom w:val="none" w:sz="0" w:space="0" w:color="auto"/>
        <w:right w:val="none" w:sz="0" w:space="0" w:color="auto"/>
      </w:divBdr>
    </w:div>
    <w:div w:id="238104157">
      <w:bodyDiv w:val="1"/>
      <w:marLeft w:val="390"/>
      <w:marRight w:val="390"/>
      <w:marTop w:val="390"/>
      <w:marBottom w:val="0"/>
      <w:divBdr>
        <w:top w:val="none" w:sz="0" w:space="0" w:color="auto"/>
        <w:left w:val="none" w:sz="0" w:space="0" w:color="auto"/>
        <w:bottom w:val="none" w:sz="0" w:space="0" w:color="auto"/>
        <w:right w:val="none" w:sz="0" w:space="0" w:color="auto"/>
      </w:divBdr>
    </w:div>
    <w:div w:id="367612511">
      <w:bodyDiv w:val="1"/>
      <w:marLeft w:val="0"/>
      <w:marRight w:val="0"/>
      <w:marTop w:val="0"/>
      <w:marBottom w:val="0"/>
      <w:divBdr>
        <w:top w:val="none" w:sz="0" w:space="0" w:color="auto"/>
        <w:left w:val="none" w:sz="0" w:space="0" w:color="auto"/>
        <w:bottom w:val="none" w:sz="0" w:space="0" w:color="auto"/>
        <w:right w:val="none" w:sz="0" w:space="0" w:color="auto"/>
      </w:divBdr>
    </w:div>
    <w:div w:id="668799392">
      <w:bodyDiv w:val="1"/>
      <w:marLeft w:val="0"/>
      <w:marRight w:val="0"/>
      <w:marTop w:val="0"/>
      <w:marBottom w:val="0"/>
      <w:divBdr>
        <w:top w:val="none" w:sz="0" w:space="0" w:color="auto"/>
        <w:left w:val="none" w:sz="0" w:space="0" w:color="auto"/>
        <w:bottom w:val="none" w:sz="0" w:space="0" w:color="auto"/>
        <w:right w:val="none" w:sz="0" w:space="0" w:color="auto"/>
      </w:divBdr>
    </w:div>
    <w:div w:id="741176593">
      <w:bodyDiv w:val="1"/>
      <w:marLeft w:val="0"/>
      <w:marRight w:val="0"/>
      <w:marTop w:val="0"/>
      <w:marBottom w:val="0"/>
      <w:divBdr>
        <w:top w:val="none" w:sz="0" w:space="0" w:color="auto"/>
        <w:left w:val="none" w:sz="0" w:space="0" w:color="auto"/>
        <w:bottom w:val="none" w:sz="0" w:space="0" w:color="auto"/>
        <w:right w:val="none" w:sz="0" w:space="0" w:color="auto"/>
      </w:divBdr>
    </w:div>
    <w:div w:id="783696579">
      <w:bodyDiv w:val="1"/>
      <w:marLeft w:val="390"/>
      <w:marRight w:val="390"/>
      <w:marTop w:val="390"/>
      <w:marBottom w:val="0"/>
      <w:divBdr>
        <w:top w:val="none" w:sz="0" w:space="0" w:color="auto"/>
        <w:left w:val="none" w:sz="0" w:space="0" w:color="auto"/>
        <w:bottom w:val="none" w:sz="0" w:space="0" w:color="auto"/>
        <w:right w:val="none" w:sz="0" w:space="0" w:color="auto"/>
      </w:divBdr>
    </w:div>
    <w:div w:id="852112518">
      <w:bodyDiv w:val="1"/>
      <w:marLeft w:val="0"/>
      <w:marRight w:val="0"/>
      <w:marTop w:val="0"/>
      <w:marBottom w:val="0"/>
      <w:divBdr>
        <w:top w:val="none" w:sz="0" w:space="0" w:color="auto"/>
        <w:left w:val="none" w:sz="0" w:space="0" w:color="auto"/>
        <w:bottom w:val="none" w:sz="0" w:space="0" w:color="auto"/>
        <w:right w:val="none" w:sz="0" w:space="0" w:color="auto"/>
      </w:divBdr>
    </w:div>
    <w:div w:id="883643274">
      <w:bodyDiv w:val="1"/>
      <w:marLeft w:val="390"/>
      <w:marRight w:val="390"/>
      <w:marTop w:val="390"/>
      <w:marBottom w:val="0"/>
      <w:divBdr>
        <w:top w:val="none" w:sz="0" w:space="0" w:color="auto"/>
        <w:left w:val="none" w:sz="0" w:space="0" w:color="auto"/>
        <w:bottom w:val="none" w:sz="0" w:space="0" w:color="auto"/>
        <w:right w:val="none" w:sz="0" w:space="0" w:color="auto"/>
      </w:divBdr>
    </w:div>
    <w:div w:id="898786856">
      <w:bodyDiv w:val="1"/>
      <w:marLeft w:val="0"/>
      <w:marRight w:val="0"/>
      <w:marTop w:val="0"/>
      <w:marBottom w:val="0"/>
      <w:divBdr>
        <w:top w:val="none" w:sz="0" w:space="0" w:color="auto"/>
        <w:left w:val="none" w:sz="0" w:space="0" w:color="auto"/>
        <w:bottom w:val="none" w:sz="0" w:space="0" w:color="auto"/>
        <w:right w:val="none" w:sz="0" w:space="0" w:color="auto"/>
      </w:divBdr>
    </w:div>
    <w:div w:id="1178738533">
      <w:bodyDiv w:val="1"/>
      <w:marLeft w:val="390"/>
      <w:marRight w:val="390"/>
      <w:marTop w:val="390"/>
      <w:marBottom w:val="0"/>
      <w:divBdr>
        <w:top w:val="none" w:sz="0" w:space="0" w:color="auto"/>
        <w:left w:val="none" w:sz="0" w:space="0" w:color="auto"/>
        <w:bottom w:val="none" w:sz="0" w:space="0" w:color="auto"/>
        <w:right w:val="none" w:sz="0" w:space="0" w:color="auto"/>
      </w:divBdr>
    </w:div>
    <w:div w:id="1228103317">
      <w:bodyDiv w:val="1"/>
      <w:marLeft w:val="0"/>
      <w:marRight w:val="0"/>
      <w:marTop w:val="0"/>
      <w:marBottom w:val="0"/>
      <w:divBdr>
        <w:top w:val="none" w:sz="0" w:space="0" w:color="auto"/>
        <w:left w:val="none" w:sz="0" w:space="0" w:color="auto"/>
        <w:bottom w:val="none" w:sz="0" w:space="0" w:color="auto"/>
        <w:right w:val="none" w:sz="0" w:space="0" w:color="auto"/>
      </w:divBdr>
    </w:div>
    <w:div w:id="1287659168">
      <w:bodyDiv w:val="1"/>
      <w:marLeft w:val="0"/>
      <w:marRight w:val="0"/>
      <w:marTop w:val="0"/>
      <w:marBottom w:val="0"/>
      <w:divBdr>
        <w:top w:val="none" w:sz="0" w:space="0" w:color="auto"/>
        <w:left w:val="none" w:sz="0" w:space="0" w:color="auto"/>
        <w:bottom w:val="none" w:sz="0" w:space="0" w:color="auto"/>
        <w:right w:val="none" w:sz="0" w:space="0" w:color="auto"/>
      </w:divBdr>
    </w:div>
    <w:div w:id="1412386952">
      <w:bodyDiv w:val="1"/>
      <w:marLeft w:val="0"/>
      <w:marRight w:val="0"/>
      <w:marTop w:val="0"/>
      <w:marBottom w:val="0"/>
      <w:divBdr>
        <w:top w:val="none" w:sz="0" w:space="0" w:color="auto"/>
        <w:left w:val="none" w:sz="0" w:space="0" w:color="auto"/>
        <w:bottom w:val="none" w:sz="0" w:space="0" w:color="auto"/>
        <w:right w:val="none" w:sz="0" w:space="0" w:color="auto"/>
      </w:divBdr>
    </w:div>
    <w:div w:id="1611164703">
      <w:bodyDiv w:val="1"/>
      <w:marLeft w:val="0"/>
      <w:marRight w:val="0"/>
      <w:marTop w:val="0"/>
      <w:marBottom w:val="0"/>
      <w:divBdr>
        <w:top w:val="none" w:sz="0" w:space="0" w:color="auto"/>
        <w:left w:val="none" w:sz="0" w:space="0" w:color="auto"/>
        <w:bottom w:val="none" w:sz="0" w:space="0" w:color="auto"/>
        <w:right w:val="none" w:sz="0" w:space="0" w:color="auto"/>
      </w:divBdr>
    </w:div>
    <w:div w:id="16603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53C0-1EB9-428C-BD9D-D29348F0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11715</Words>
  <Characters>64841</Characters>
  <Application>Microsoft Office Word</Application>
  <DocSecurity>0</DocSecurity>
  <Lines>2020</Lines>
  <Paragraphs>728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HASZNOS Erika Zsuzsanna (CLIMA)</dc:creator>
  <cp:lastModifiedBy>Stefanie Heilemann</cp:lastModifiedBy>
  <cp:revision>3</cp:revision>
  <cp:lastPrinted>2016-06-30T12:44:00Z</cp:lastPrinted>
  <dcterms:created xsi:type="dcterms:W3CDTF">2016-07-20T13:41:00Z</dcterms:created>
  <dcterms:modified xsi:type="dcterms:W3CDTF">2016-07-20T13:42:00Z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