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B2" w:rsidRDefault="005D55C5" w:rsidP="00577E8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1A6B7B1782F4672A3BE0829B4142390" style="width:450.75pt;height:520.5pt">
            <v:imagedata r:id="rId9" o:title=""/>
          </v:shape>
        </w:pict>
      </w:r>
    </w:p>
    <w:p w:rsidR="007800B2" w:rsidRDefault="007800B2">
      <w:pPr>
        <w:rPr>
          <w:noProof/>
        </w:rPr>
        <w:sectPr w:rsidR="007800B2" w:rsidSect="007124D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800B2" w:rsidRDefault="00C71DE9">
      <w:pPr>
        <w:spacing w:before="100" w:beforeAutospacing="1" w:after="100" w:afterAutospacing="1"/>
        <w:jc w:val="center"/>
        <w:rPr>
          <w:b/>
          <w:noProof/>
          <w:szCs w:val="24"/>
        </w:rPr>
      </w:pPr>
      <w:r>
        <w:rPr>
          <w:b/>
          <w:noProof/>
          <w:szCs w:val="24"/>
        </w:rPr>
        <w:lastRenderedPageBreak/>
        <w:t>Annex I: Greenhouse gases and carbon pools</w:t>
      </w:r>
    </w:p>
    <w:p w:rsidR="007800B2" w:rsidRDefault="00C71DE9">
      <w:pPr>
        <w:spacing w:before="100" w:beforeAutospacing="1" w:after="100" w:afterAutospacing="1"/>
        <w:rPr>
          <w:rFonts w:eastAsia="Times New Roman"/>
          <w:noProof/>
          <w:szCs w:val="24"/>
          <w:lang w:eastAsia="en-GB"/>
        </w:rPr>
      </w:pPr>
      <w:r>
        <w:rPr>
          <w:rFonts w:eastAsia="Times New Roman"/>
          <w:noProof/>
          <w:szCs w:val="24"/>
          <w:lang w:eastAsia="en-GB"/>
        </w:rPr>
        <w:t xml:space="preserve">A. Greenhouse gases pursuant to Article 2: </w:t>
      </w:r>
    </w:p>
    <w:p w:rsidR="007800B2" w:rsidRDefault="00C71DE9">
      <w:pPr>
        <w:pStyle w:val="Point0letter"/>
        <w:numPr>
          <w:ilvl w:val="1"/>
          <w:numId w:val="18"/>
        </w:numPr>
        <w:rPr>
          <w:noProof/>
          <w:lang w:eastAsia="en-GB"/>
        </w:rPr>
      </w:pPr>
      <w:r>
        <w:rPr>
          <w:noProof/>
          <w:lang w:eastAsia="en-GB"/>
        </w:rPr>
        <w:t>carbon dioxide (CO</w:t>
      </w:r>
      <w:r>
        <w:rPr>
          <w:noProof/>
          <w:vertAlign w:val="subscript"/>
          <w:lang w:eastAsia="en-GB"/>
        </w:rPr>
        <w:t>2</w:t>
      </w:r>
      <w:r>
        <w:rPr>
          <w:noProof/>
          <w:lang w:eastAsia="en-GB"/>
        </w:rPr>
        <w:t>);</w:t>
      </w:r>
    </w:p>
    <w:p w:rsidR="007800B2" w:rsidRDefault="00C71DE9">
      <w:pPr>
        <w:pStyle w:val="Point0letter"/>
        <w:rPr>
          <w:noProof/>
          <w:lang w:eastAsia="en-GB"/>
        </w:rPr>
      </w:pPr>
      <w:r>
        <w:rPr>
          <w:noProof/>
          <w:lang w:eastAsia="en-GB"/>
        </w:rPr>
        <w:t>methane (CH</w:t>
      </w:r>
      <w:r>
        <w:rPr>
          <w:noProof/>
          <w:vertAlign w:val="subscript"/>
          <w:lang w:eastAsia="en-GB"/>
        </w:rPr>
        <w:t>4</w:t>
      </w:r>
      <w:r>
        <w:rPr>
          <w:noProof/>
          <w:lang w:eastAsia="en-GB"/>
        </w:rPr>
        <w:t>);</w:t>
      </w:r>
    </w:p>
    <w:p w:rsidR="007800B2" w:rsidRDefault="00C71DE9">
      <w:pPr>
        <w:pStyle w:val="Point0letter"/>
        <w:rPr>
          <w:noProof/>
          <w:lang w:eastAsia="en-GB"/>
        </w:rPr>
      </w:pPr>
      <w:r>
        <w:rPr>
          <w:noProof/>
          <w:lang w:eastAsia="en-GB"/>
        </w:rPr>
        <w:t>nitrous oxide (N</w:t>
      </w:r>
      <w:r>
        <w:rPr>
          <w:noProof/>
          <w:vertAlign w:val="subscript"/>
          <w:lang w:eastAsia="en-GB"/>
        </w:rPr>
        <w:t>2</w:t>
      </w:r>
      <w:r>
        <w:rPr>
          <w:noProof/>
          <w:lang w:eastAsia="en-GB"/>
        </w:rPr>
        <w:t>O)</w:t>
      </w:r>
    </w:p>
    <w:p w:rsidR="007800B2" w:rsidRDefault="00C71DE9">
      <w:pPr>
        <w:spacing w:before="100" w:beforeAutospacing="1" w:after="100" w:afterAutospacing="1"/>
        <w:rPr>
          <w:rFonts w:eastAsia="Times New Roman"/>
          <w:noProof/>
          <w:szCs w:val="24"/>
          <w:lang w:eastAsia="en-GB"/>
        </w:rPr>
      </w:pPr>
      <w:r>
        <w:rPr>
          <w:rFonts w:eastAsia="Times New Roman"/>
          <w:noProof/>
          <w:szCs w:val="24"/>
          <w:lang w:eastAsia="en-GB"/>
        </w:rPr>
        <w:t>expressed in terms of tonnes of CO</w:t>
      </w:r>
      <w:r>
        <w:rPr>
          <w:rFonts w:eastAsia="Times New Roman"/>
          <w:noProof/>
          <w:szCs w:val="24"/>
          <w:vertAlign w:val="subscript"/>
          <w:lang w:eastAsia="en-GB"/>
        </w:rPr>
        <w:t>2</w:t>
      </w:r>
      <w:r>
        <w:rPr>
          <w:rFonts w:eastAsia="Times New Roman"/>
          <w:noProof/>
          <w:szCs w:val="24"/>
          <w:lang w:eastAsia="en-GB"/>
        </w:rPr>
        <w:t xml:space="preserve"> equivalent determined pursuant to Regulation (EU) No 525/2013.</w:t>
      </w:r>
    </w:p>
    <w:p w:rsidR="007800B2" w:rsidRDefault="00C71DE9">
      <w:pPr>
        <w:spacing w:before="100" w:beforeAutospacing="1" w:after="100" w:afterAutospacing="1"/>
        <w:rPr>
          <w:rFonts w:eastAsia="Times New Roman"/>
          <w:noProof/>
          <w:szCs w:val="24"/>
          <w:lang w:eastAsia="en-GB"/>
        </w:rPr>
      </w:pPr>
      <w:r>
        <w:rPr>
          <w:rFonts w:eastAsia="Times New Roman"/>
          <w:noProof/>
          <w:szCs w:val="24"/>
          <w:lang w:eastAsia="en-GB"/>
        </w:rPr>
        <w:t>B. Carbon pools pursuant to Article 5(4):</w:t>
      </w:r>
    </w:p>
    <w:p w:rsidR="007800B2" w:rsidRDefault="00C71DE9">
      <w:pPr>
        <w:pStyle w:val="Point0letter"/>
        <w:numPr>
          <w:ilvl w:val="1"/>
          <w:numId w:val="21"/>
        </w:numPr>
        <w:rPr>
          <w:noProof/>
          <w:lang w:eastAsia="en-GB"/>
        </w:rPr>
      </w:pPr>
      <w:r>
        <w:rPr>
          <w:noProof/>
          <w:lang w:eastAsia="en-GB"/>
        </w:rPr>
        <w:t>above-ground biomass;</w:t>
      </w:r>
    </w:p>
    <w:p w:rsidR="007800B2" w:rsidRDefault="00C71DE9">
      <w:pPr>
        <w:pStyle w:val="Point0letter"/>
        <w:rPr>
          <w:rFonts w:eastAsia="Times New Roman"/>
          <w:noProof/>
          <w:szCs w:val="24"/>
          <w:lang w:eastAsia="en-GB"/>
        </w:rPr>
      </w:pPr>
      <w:r>
        <w:rPr>
          <w:noProof/>
          <w:lang w:eastAsia="en-GB"/>
        </w:rPr>
        <w:t>below-ground biomass</w:t>
      </w:r>
      <w:r>
        <w:rPr>
          <w:rFonts w:eastAsia="Times New Roman"/>
          <w:noProof/>
          <w:szCs w:val="24"/>
          <w:lang w:eastAsia="en-GB"/>
        </w:rPr>
        <w:t>;</w:t>
      </w:r>
    </w:p>
    <w:p w:rsidR="007800B2" w:rsidRDefault="00C71DE9">
      <w:pPr>
        <w:pStyle w:val="Point0letter"/>
        <w:rPr>
          <w:noProof/>
          <w:lang w:eastAsia="en-GB"/>
        </w:rPr>
      </w:pPr>
      <w:r>
        <w:rPr>
          <w:noProof/>
          <w:lang w:eastAsia="en-GB"/>
        </w:rPr>
        <w:t>litter;</w:t>
      </w:r>
    </w:p>
    <w:p w:rsidR="007800B2" w:rsidRDefault="00C71DE9">
      <w:pPr>
        <w:pStyle w:val="Point0letter"/>
        <w:rPr>
          <w:noProof/>
          <w:lang w:eastAsia="en-GB"/>
        </w:rPr>
      </w:pPr>
      <w:r>
        <w:rPr>
          <w:noProof/>
          <w:lang w:eastAsia="en-GB"/>
        </w:rPr>
        <w:t>dead wood;</w:t>
      </w:r>
    </w:p>
    <w:p w:rsidR="007800B2" w:rsidRDefault="00C71DE9">
      <w:pPr>
        <w:pStyle w:val="Point0letter"/>
        <w:rPr>
          <w:noProof/>
          <w:lang w:eastAsia="en-GB"/>
        </w:rPr>
      </w:pPr>
      <w:r>
        <w:rPr>
          <w:noProof/>
          <w:lang w:eastAsia="en-GB"/>
        </w:rPr>
        <w:t>soil organic carbon;</w:t>
      </w:r>
    </w:p>
    <w:p w:rsidR="007800B2" w:rsidRDefault="00C71DE9">
      <w:pPr>
        <w:pStyle w:val="Point0letter"/>
        <w:rPr>
          <w:noProof/>
          <w:lang w:eastAsia="en-GB"/>
        </w:rPr>
      </w:pPr>
      <w:r>
        <w:rPr>
          <w:noProof/>
          <w:lang w:eastAsia="en-GB"/>
        </w:rPr>
        <w:t xml:space="preserve">for afforested land and managed forest land:  harvested wood products. </w:t>
      </w:r>
    </w:p>
    <w:p w:rsidR="007800B2" w:rsidRDefault="00C71DE9">
      <w:pPr>
        <w:pStyle w:val="ListParagraph"/>
        <w:jc w:val="center"/>
        <w:rPr>
          <w:rFonts w:ascii="Times New Roman" w:eastAsia="Arial Unicode MS" w:hAnsi="Times New Roman" w:cs="Times New Roman"/>
          <w:noProof/>
          <w:color w:val="000000"/>
          <w:sz w:val="24"/>
          <w:szCs w:val="24"/>
        </w:rPr>
      </w:pPr>
      <w:r>
        <w:rPr>
          <w:rFonts w:ascii="Times New Roman" w:hAnsi="Times New Roman" w:cs="Times New Roman"/>
          <w:b/>
          <w:noProof/>
          <w:sz w:val="24"/>
          <w:szCs w:val="24"/>
        </w:rPr>
        <w:t>Annex II: Minimum values for area size, tree crown cover and tree height and forest reference levels</w:t>
      </w:r>
    </w:p>
    <w:tbl>
      <w:tblPr>
        <w:tblW w:w="8241" w:type="dxa"/>
        <w:jc w:val="center"/>
        <w:tblCellSpacing w:w="0" w:type="dxa"/>
        <w:tblInd w:w="-19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2243"/>
        <w:gridCol w:w="1310"/>
        <w:gridCol w:w="2552"/>
        <w:gridCol w:w="2136"/>
      </w:tblGrid>
      <w:tr w:rsidR="007800B2">
        <w:trPr>
          <w:tblCellSpacing w:w="0" w:type="dxa"/>
          <w:jc w:val="center"/>
        </w:trPr>
        <w:tc>
          <w:tcPr>
            <w:tcW w:w="8241" w:type="dxa"/>
            <w:gridSpan w:val="4"/>
          </w:tcPr>
          <w:p w:rsidR="007800B2" w:rsidRDefault="00C71DE9">
            <w:pPr>
              <w:pStyle w:val="tbl-norm"/>
              <w:rPr>
                <w:rFonts w:eastAsia="Arial Unicode MS"/>
                <w:b/>
                <w:bCs/>
                <w:noProof/>
                <w:color w:val="000000"/>
              </w:rPr>
            </w:pPr>
            <w:r>
              <w:rPr>
                <w:b/>
                <w:noProof/>
              </w:rPr>
              <w:t xml:space="preserve">Minimum values for area size, tree crown cover and tree height </w:t>
            </w:r>
          </w:p>
        </w:tc>
      </w:tr>
      <w:tr w:rsidR="007800B2">
        <w:trPr>
          <w:tblCellSpacing w:w="0" w:type="dxa"/>
          <w:jc w:val="center"/>
        </w:trPr>
        <w:tc>
          <w:tcPr>
            <w:tcW w:w="2243" w:type="dxa"/>
            <w:hideMark/>
          </w:tcPr>
          <w:p w:rsidR="007800B2" w:rsidRDefault="00C71DE9">
            <w:pPr>
              <w:pStyle w:val="tbl-norm"/>
              <w:rPr>
                <w:rFonts w:eastAsia="Arial Unicode MS"/>
                <w:b/>
                <w:bCs/>
                <w:noProof/>
                <w:color w:val="000000"/>
              </w:rPr>
            </w:pPr>
            <w:r>
              <w:rPr>
                <w:rFonts w:eastAsia="Arial Unicode MS"/>
                <w:b/>
                <w:bCs/>
                <w:noProof/>
                <w:color w:val="000000"/>
              </w:rPr>
              <w:t>Member State</w:t>
            </w:r>
          </w:p>
        </w:tc>
        <w:tc>
          <w:tcPr>
            <w:tcW w:w="1310" w:type="dxa"/>
            <w:hideMark/>
          </w:tcPr>
          <w:p w:rsidR="007800B2" w:rsidRDefault="00C71DE9">
            <w:pPr>
              <w:pStyle w:val="tbl-norm"/>
              <w:rPr>
                <w:rFonts w:eastAsia="Arial Unicode MS"/>
                <w:b/>
                <w:bCs/>
                <w:noProof/>
                <w:color w:val="000000"/>
              </w:rPr>
            </w:pPr>
            <w:r>
              <w:rPr>
                <w:rFonts w:eastAsia="Arial Unicode MS"/>
                <w:b/>
                <w:bCs/>
                <w:noProof/>
                <w:color w:val="000000"/>
              </w:rPr>
              <w:t>Area (ha)</w:t>
            </w:r>
          </w:p>
        </w:tc>
        <w:tc>
          <w:tcPr>
            <w:tcW w:w="2552" w:type="dxa"/>
            <w:hideMark/>
          </w:tcPr>
          <w:p w:rsidR="007800B2" w:rsidRDefault="00C71DE9">
            <w:pPr>
              <w:pStyle w:val="tbl-norm"/>
              <w:rPr>
                <w:rFonts w:eastAsia="Arial Unicode MS"/>
                <w:b/>
                <w:bCs/>
                <w:noProof/>
                <w:color w:val="000000"/>
              </w:rPr>
            </w:pPr>
            <w:r>
              <w:rPr>
                <w:rFonts w:eastAsia="Arial Unicode MS"/>
                <w:b/>
                <w:bCs/>
                <w:noProof/>
                <w:color w:val="000000"/>
              </w:rPr>
              <w:t>Tree crown cover (%)</w:t>
            </w:r>
          </w:p>
        </w:tc>
        <w:tc>
          <w:tcPr>
            <w:tcW w:w="2136" w:type="dxa"/>
            <w:hideMark/>
          </w:tcPr>
          <w:p w:rsidR="007800B2" w:rsidRDefault="00C71DE9">
            <w:pPr>
              <w:pStyle w:val="tbl-norm"/>
              <w:rPr>
                <w:rFonts w:eastAsia="Arial Unicode MS"/>
                <w:b/>
                <w:bCs/>
                <w:noProof/>
                <w:color w:val="000000"/>
              </w:rPr>
            </w:pPr>
            <w:r>
              <w:rPr>
                <w:rFonts w:eastAsia="Arial Unicode MS"/>
                <w:b/>
                <w:bCs/>
                <w:noProof/>
                <w:color w:val="000000"/>
              </w:rPr>
              <w:t>Tree height (m)</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Belgium</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20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Bulgaria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0,1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Croatia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0,1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2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Czech Republic</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30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2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Denmark</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Germany</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0,1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Estonia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30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2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Ireland</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0,1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20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Greece</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0,3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25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2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Spain</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20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3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France</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Italy</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Cyprus</w:t>
            </w:r>
          </w:p>
        </w:tc>
        <w:tc>
          <w:tcPr>
            <w:tcW w:w="1310" w:type="dxa"/>
            <w:hideMark/>
          </w:tcPr>
          <w:p w:rsidR="007800B2" w:rsidRDefault="00C71DE9">
            <w:pPr>
              <w:pStyle w:val="Normal1"/>
              <w:rPr>
                <w:rFonts w:eastAsia="Arial Unicode MS"/>
                <w:noProof/>
                <w:color w:val="000000"/>
              </w:rPr>
            </w:pPr>
            <w:r>
              <w:rPr>
                <w:rFonts w:eastAsia="Arial Unicode MS"/>
                <w:noProof/>
                <w:color w:val="000000"/>
              </w:rPr>
              <w:t> </w:t>
            </w:r>
          </w:p>
        </w:tc>
        <w:tc>
          <w:tcPr>
            <w:tcW w:w="2552" w:type="dxa"/>
            <w:hideMark/>
          </w:tcPr>
          <w:p w:rsidR="007800B2" w:rsidRDefault="00C71DE9">
            <w:pPr>
              <w:pStyle w:val="Normal1"/>
              <w:rPr>
                <w:rFonts w:eastAsia="Arial Unicode MS"/>
                <w:noProof/>
                <w:color w:val="000000"/>
              </w:rPr>
            </w:pPr>
            <w:r>
              <w:rPr>
                <w:rFonts w:eastAsia="Arial Unicode MS"/>
                <w:noProof/>
                <w:color w:val="000000"/>
              </w:rPr>
              <w:t> </w:t>
            </w:r>
          </w:p>
        </w:tc>
        <w:tc>
          <w:tcPr>
            <w:tcW w:w="2136" w:type="dxa"/>
            <w:hideMark/>
          </w:tcPr>
          <w:p w:rsidR="007800B2" w:rsidRDefault="00C71DE9">
            <w:pPr>
              <w:pStyle w:val="Normal1"/>
              <w:rPr>
                <w:rFonts w:eastAsia="Arial Unicode MS"/>
                <w:noProof/>
                <w:color w:val="000000"/>
              </w:rPr>
            </w:pPr>
            <w:r>
              <w:rPr>
                <w:rFonts w:eastAsia="Arial Unicode MS"/>
                <w:noProof/>
                <w:color w:val="000000"/>
              </w:rPr>
              <w:t>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lastRenderedPageBreak/>
              <w:t>Latvia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0,1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20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Lithuania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0,1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30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Luxembourg</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Hungary</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30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Malta</w:t>
            </w:r>
          </w:p>
        </w:tc>
        <w:tc>
          <w:tcPr>
            <w:tcW w:w="1310" w:type="dxa"/>
            <w:hideMark/>
          </w:tcPr>
          <w:p w:rsidR="007800B2" w:rsidRDefault="00C71DE9">
            <w:pPr>
              <w:pStyle w:val="Normal1"/>
              <w:rPr>
                <w:rFonts w:eastAsia="Arial Unicode MS"/>
                <w:noProof/>
                <w:color w:val="000000"/>
              </w:rPr>
            </w:pPr>
            <w:r>
              <w:rPr>
                <w:rFonts w:eastAsia="Arial Unicode MS"/>
                <w:noProof/>
                <w:color w:val="000000"/>
              </w:rPr>
              <w:t> </w:t>
            </w:r>
          </w:p>
        </w:tc>
        <w:tc>
          <w:tcPr>
            <w:tcW w:w="2552" w:type="dxa"/>
            <w:hideMark/>
          </w:tcPr>
          <w:p w:rsidR="007800B2" w:rsidRDefault="00C71DE9">
            <w:pPr>
              <w:pStyle w:val="Normal1"/>
              <w:rPr>
                <w:rFonts w:eastAsia="Arial Unicode MS"/>
                <w:noProof/>
                <w:color w:val="000000"/>
              </w:rPr>
            </w:pPr>
            <w:r>
              <w:rPr>
                <w:rFonts w:eastAsia="Arial Unicode MS"/>
                <w:noProof/>
                <w:color w:val="000000"/>
              </w:rPr>
              <w:t> </w:t>
            </w:r>
          </w:p>
        </w:tc>
        <w:tc>
          <w:tcPr>
            <w:tcW w:w="2136" w:type="dxa"/>
            <w:hideMark/>
          </w:tcPr>
          <w:p w:rsidR="007800B2" w:rsidRDefault="00C71DE9">
            <w:pPr>
              <w:pStyle w:val="Normal1"/>
              <w:rPr>
                <w:rFonts w:eastAsia="Arial Unicode MS"/>
                <w:noProof/>
                <w:color w:val="000000"/>
              </w:rPr>
            </w:pPr>
            <w:r>
              <w:rPr>
                <w:rFonts w:eastAsia="Arial Unicode MS"/>
                <w:noProof/>
                <w:color w:val="000000"/>
              </w:rPr>
              <w:t>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Netherlands</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20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Austria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30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2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Poland</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0,1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2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Portugal</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Romania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0,25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Slovenia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0,25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30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2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Slovakia</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0,3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20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Finland</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Sweden</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0,5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10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5 </w:t>
            </w:r>
          </w:p>
        </w:tc>
      </w:tr>
      <w:tr w:rsidR="007800B2">
        <w:trPr>
          <w:tblCellSpacing w:w="0" w:type="dxa"/>
          <w:jc w:val="center"/>
        </w:trPr>
        <w:tc>
          <w:tcPr>
            <w:tcW w:w="2243" w:type="dxa"/>
            <w:hideMark/>
          </w:tcPr>
          <w:p w:rsidR="007800B2" w:rsidRDefault="00C71DE9">
            <w:pPr>
              <w:pStyle w:val="tbl-norm"/>
              <w:rPr>
                <w:rFonts w:eastAsia="Arial Unicode MS"/>
                <w:noProof/>
                <w:color w:val="000000"/>
              </w:rPr>
            </w:pPr>
            <w:r>
              <w:rPr>
                <w:rFonts w:eastAsia="Arial Unicode MS"/>
                <w:noProof/>
                <w:color w:val="000000"/>
              </w:rPr>
              <w:t>United Kingdom</w:t>
            </w:r>
          </w:p>
        </w:tc>
        <w:tc>
          <w:tcPr>
            <w:tcW w:w="1310" w:type="dxa"/>
            <w:hideMark/>
          </w:tcPr>
          <w:p w:rsidR="007800B2" w:rsidRDefault="00C71DE9">
            <w:pPr>
              <w:pStyle w:val="tbl-norm"/>
              <w:rPr>
                <w:rFonts w:eastAsia="Arial Unicode MS"/>
                <w:noProof/>
                <w:color w:val="000000"/>
              </w:rPr>
            </w:pPr>
            <w:r>
              <w:rPr>
                <w:rFonts w:eastAsia="Arial Unicode MS"/>
                <w:noProof/>
                <w:color w:val="000000"/>
              </w:rPr>
              <w:t xml:space="preserve">0,1 </w:t>
            </w:r>
          </w:p>
        </w:tc>
        <w:tc>
          <w:tcPr>
            <w:tcW w:w="2552" w:type="dxa"/>
            <w:hideMark/>
          </w:tcPr>
          <w:p w:rsidR="007800B2" w:rsidRDefault="00C71DE9">
            <w:pPr>
              <w:pStyle w:val="tbl-norm"/>
              <w:rPr>
                <w:rFonts w:eastAsia="Arial Unicode MS"/>
                <w:noProof/>
                <w:color w:val="000000"/>
              </w:rPr>
            </w:pPr>
            <w:r>
              <w:rPr>
                <w:rFonts w:eastAsia="Arial Unicode MS"/>
                <w:noProof/>
                <w:color w:val="000000"/>
              </w:rPr>
              <w:t xml:space="preserve">20 </w:t>
            </w:r>
          </w:p>
        </w:tc>
        <w:tc>
          <w:tcPr>
            <w:tcW w:w="2136" w:type="dxa"/>
            <w:hideMark/>
          </w:tcPr>
          <w:p w:rsidR="007800B2" w:rsidRDefault="00C71DE9">
            <w:pPr>
              <w:pStyle w:val="tbl-norm"/>
              <w:rPr>
                <w:rFonts w:eastAsia="Arial Unicode MS"/>
                <w:noProof/>
                <w:color w:val="000000"/>
              </w:rPr>
            </w:pPr>
            <w:r>
              <w:rPr>
                <w:rFonts w:eastAsia="Arial Unicode MS"/>
                <w:noProof/>
                <w:color w:val="000000"/>
              </w:rPr>
              <w:t xml:space="preserve">2 </w:t>
            </w:r>
          </w:p>
        </w:tc>
      </w:tr>
    </w:tbl>
    <w:p w:rsidR="00577E8F" w:rsidRDefault="00577E8F">
      <w:pPr>
        <w:spacing w:before="100" w:beforeAutospacing="1" w:after="100" w:afterAutospacing="1"/>
        <w:rPr>
          <w:noProof/>
          <w:szCs w:val="24"/>
        </w:rPr>
      </w:pPr>
    </w:p>
    <w:p w:rsidR="007800B2" w:rsidRDefault="00577E8F">
      <w:pPr>
        <w:spacing w:before="100" w:beforeAutospacing="1" w:after="100" w:afterAutospacing="1"/>
        <w:rPr>
          <w:noProof/>
          <w:szCs w:val="24"/>
        </w:rPr>
      </w:pPr>
      <w:r>
        <w:rPr>
          <w:noProof/>
          <w:szCs w:val="24"/>
        </w:rPr>
        <w:br w:type="column"/>
      </w:r>
    </w:p>
    <w:tbl>
      <w:tblPr>
        <w:tblW w:w="4407" w:type="dxa"/>
        <w:jc w:val="center"/>
        <w:tblCellSpacing w:w="0" w:type="dxa"/>
        <w:tblInd w:w="-18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2012"/>
        <w:gridCol w:w="2395"/>
      </w:tblGrid>
      <w:tr w:rsidR="007800B2">
        <w:trPr>
          <w:tblCellSpacing w:w="0" w:type="dxa"/>
          <w:jc w:val="center"/>
        </w:trPr>
        <w:tc>
          <w:tcPr>
            <w:tcW w:w="4407" w:type="dxa"/>
            <w:gridSpan w:val="2"/>
          </w:tcPr>
          <w:p w:rsidR="007800B2" w:rsidRDefault="00C71DE9">
            <w:pPr>
              <w:spacing w:before="100" w:beforeAutospacing="1" w:after="100" w:afterAutospacing="1"/>
              <w:rPr>
                <w:b/>
                <w:bCs/>
                <w:noProof/>
                <w:szCs w:val="24"/>
              </w:rPr>
            </w:pPr>
            <w:r>
              <w:rPr>
                <w:b/>
                <w:bCs/>
                <w:noProof/>
                <w:szCs w:val="24"/>
              </w:rPr>
              <w:t>Member State forest reference levels including harvested wood products</w:t>
            </w:r>
          </w:p>
        </w:tc>
      </w:tr>
      <w:tr w:rsidR="007800B2">
        <w:trPr>
          <w:tblCellSpacing w:w="0" w:type="dxa"/>
          <w:jc w:val="center"/>
        </w:trPr>
        <w:tc>
          <w:tcPr>
            <w:tcW w:w="2012" w:type="dxa"/>
            <w:hideMark/>
          </w:tcPr>
          <w:p w:rsidR="007800B2" w:rsidRDefault="00C71DE9">
            <w:pPr>
              <w:spacing w:before="100" w:beforeAutospacing="1" w:after="100" w:afterAutospacing="1"/>
              <w:rPr>
                <w:b/>
                <w:bCs/>
                <w:noProof/>
                <w:szCs w:val="24"/>
              </w:rPr>
            </w:pPr>
            <w:r>
              <w:rPr>
                <w:b/>
                <w:bCs/>
                <w:noProof/>
                <w:szCs w:val="24"/>
              </w:rPr>
              <w:t>Member State</w:t>
            </w:r>
          </w:p>
        </w:tc>
        <w:tc>
          <w:tcPr>
            <w:tcW w:w="2395" w:type="dxa"/>
            <w:hideMark/>
          </w:tcPr>
          <w:p w:rsidR="007800B2" w:rsidRDefault="00C71DE9">
            <w:pPr>
              <w:spacing w:before="100" w:beforeAutospacing="1" w:after="100" w:afterAutospacing="1"/>
              <w:rPr>
                <w:b/>
                <w:bCs/>
                <w:noProof/>
                <w:szCs w:val="24"/>
              </w:rPr>
            </w:pPr>
            <w:r>
              <w:rPr>
                <w:b/>
                <w:bCs/>
                <w:noProof/>
                <w:szCs w:val="24"/>
              </w:rPr>
              <w:t>Gg carbon dioxide (CO</w:t>
            </w:r>
            <w:r>
              <w:rPr>
                <w:b/>
                <w:bCs/>
                <w:noProof/>
                <w:szCs w:val="24"/>
                <w:vertAlign w:val="subscript"/>
              </w:rPr>
              <w:t>2</w:t>
            </w:r>
            <w:r>
              <w:rPr>
                <w:b/>
                <w:bCs/>
                <w:noProof/>
                <w:szCs w:val="24"/>
              </w:rPr>
              <w:t>) equivalents per year</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Belgium</w:t>
            </w:r>
          </w:p>
        </w:tc>
        <w:tc>
          <w:tcPr>
            <w:tcW w:w="2395" w:type="dxa"/>
            <w:hideMark/>
          </w:tcPr>
          <w:p w:rsidR="007800B2" w:rsidRDefault="00C71DE9">
            <w:pPr>
              <w:spacing w:before="100" w:beforeAutospacing="1" w:after="100" w:afterAutospacing="1"/>
              <w:rPr>
                <w:noProof/>
                <w:szCs w:val="24"/>
              </w:rPr>
            </w:pPr>
            <w:r>
              <w:rPr>
                <w:noProof/>
                <w:szCs w:val="24"/>
              </w:rPr>
              <w:t xml:space="preserve">–2 499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Bulgaria</w:t>
            </w:r>
          </w:p>
        </w:tc>
        <w:tc>
          <w:tcPr>
            <w:tcW w:w="2395" w:type="dxa"/>
            <w:hideMark/>
          </w:tcPr>
          <w:p w:rsidR="007800B2" w:rsidRDefault="00C71DE9">
            <w:pPr>
              <w:spacing w:before="100" w:beforeAutospacing="1" w:after="100" w:afterAutospacing="1"/>
              <w:rPr>
                <w:noProof/>
                <w:szCs w:val="24"/>
              </w:rPr>
            </w:pPr>
            <w:r>
              <w:rPr>
                <w:noProof/>
                <w:szCs w:val="24"/>
              </w:rPr>
              <w:t xml:space="preserve">–7 950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Croatia</w:t>
            </w:r>
          </w:p>
        </w:tc>
        <w:tc>
          <w:tcPr>
            <w:tcW w:w="2395" w:type="dxa"/>
            <w:hideMark/>
          </w:tcPr>
          <w:p w:rsidR="007800B2" w:rsidRDefault="00C71DE9">
            <w:pPr>
              <w:spacing w:before="100" w:beforeAutospacing="1" w:after="100" w:afterAutospacing="1"/>
              <w:rPr>
                <w:noProof/>
                <w:szCs w:val="24"/>
              </w:rPr>
            </w:pPr>
            <w:r>
              <w:rPr>
                <w:noProof/>
                <w:szCs w:val="24"/>
              </w:rPr>
              <w:t xml:space="preserve">–6 289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Czech Republic</w:t>
            </w:r>
          </w:p>
        </w:tc>
        <w:tc>
          <w:tcPr>
            <w:tcW w:w="2395" w:type="dxa"/>
            <w:hideMark/>
          </w:tcPr>
          <w:p w:rsidR="007800B2" w:rsidRDefault="00C71DE9">
            <w:pPr>
              <w:spacing w:before="100" w:beforeAutospacing="1" w:after="100" w:afterAutospacing="1"/>
              <w:rPr>
                <w:noProof/>
                <w:szCs w:val="24"/>
              </w:rPr>
            </w:pPr>
            <w:r>
              <w:rPr>
                <w:noProof/>
                <w:szCs w:val="24"/>
              </w:rPr>
              <w:t xml:space="preserve">–4 686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Denmark</w:t>
            </w:r>
          </w:p>
        </w:tc>
        <w:tc>
          <w:tcPr>
            <w:tcW w:w="2395" w:type="dxa"/>
            <w:hideMark/>
          </w:tcPr>
          <w:p w:rsidR="007800B2" w:rsidRDefault="00C71DE9">
            <w:pPr>
              <w:spacing w:before="100" w:beforeAutospacing="1" w:after="100" w:afterAutospacing="1"/>
              <w:rPr>
                <w:noProof/>
                <w:szCs w:val="24"/>
              </w:rPr>
            </w:pPr>
            <w:r>
              <w:rPr>
                <w:noProof/>
                <w:szCs w:val="24"/>
              </w:rPr>
              <w:t xml:space="preserve">409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Germany</w:t>
            </w:r>
          </w:p>
        </w:tc>
        <w:tc>
          <w:tcPr>
            <w:tcW w:w="2395" w:type="dxa"/>
            <w:hideMark/>
          </w:tcPr>
          <w:p w:rsidR="007800B2" w:rsidRDefault="00C71DE9">
            <w:pPr>
              <w:spacing w:before="100" w:beforeAutospacing="1" w:after="100" w:afterAutospacing="1"/>
              <w:rPr>
                <w:noProof/>
                <w:szCs w:val="24"/>
              </w:rPr>
            </w:pPr>
            <w:r>
              <w:rPr>
                <w:noProof/>
                <w:szCs w:val="24"/>
              </w:rPr>
              <w:t xml:space="preserve">–22 418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Estonia</w:t>
            </w:r>
          </w:p>
        </w:tc>
        <w:tc>
          <w:tcPr>
            <w:tcW w:w="2395" w:type="dxa"/>
            <w:hideMark/>
          </w:tcPr>
          <w:p w:rsidR="007800B2" w:rsidRDefault="00C71DE9">
            <w:pPr>
              <w:spacing w:before="100" w:beforeAutospacing="1" w:after="100" w:afterAutospacing="1"/>
              <w:rPr>
                <w:noProof/>
                <w:szCs w:val="24"/>
              </w:rPr>
            </w:pPr>
            <w:r>
              <w:rPr>
                <w:noProof/>
                <w:szCs w:val="24"/>
              </w:rPr>
              <w:t xml:space="preserve">–2 741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Ireland</w:t>
            </w:r>
          </w:p>
        </w:tc>
        <w:tc>
          <w:tcPr>
            <w:tcW w:w="2395" w:type="dxa"/>
            <w:hideMark/>
          </w:tcPr>
          <w:p w:rsidR="007800B2" w:rsidRDefault="00C71DE9">
            <w:pPr>
              <w:spacing w:before="100" w:beforeAutospacing="1" w:after="100" w:afterAutospacing="1"/>
              <w:rPr>
                <w:noProof/>
                <w:szCs w:val="24"/>
              </w:rPr>
            </w:pPr>
            <w:r>
              <w:rPr>
                <w:noProof/>
                <w:szCs w:val="24"/>
              </w:rPr>
              <w:t xml:space="preserve">–142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Greece</w:t>
            </w:r>
          </w:p>
        </w:tc>
        <w:tc>
          <w:tcPr>
            <w:tcW w:w="2395" w:type="dxa"/>
            <w:hideMark/>
          </w:tcPr>
          <w:p w:rsidR="007800B2" w:rsidRDefault="00C71DE9">
            <w:pPr>
              <w:spacing w:before="100" w:beforeAutospacing="1" w:after="100" w:afterAutospacing="1"/>
              <w:rPr>
                <w:noProof/>
                <w:szCs w:val="24"/>
              </w:rPr>
            </w:pPr>
            <w:r>
              <w:rPr>
                <w:noProof/>
                <w:szCs w:val="24"/>
              </w:rPr>
              <w:t xml:space="preserve">–1 830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Spain</w:t>
            </w:r>
          </w:p>
        </w:tc>
        <w:tc>
          <w:tcPr>
            <w:tcW w:w="2395" w:type="dxa"/>
            <w:hideMark/>
          </w:tcPr>
          <w:p w:rsidR="007800B2" w:rsidRDefault="00C71DE9">
            <w:pPr>
              <w:spacing w:before="100" w:beforeAutospacing="1" w:after="100" w:afterAutospacing="1"/>
              <w:rPr>
                <w:noProof/>
                <w:szCs w:val="24"/>
              </w:rPr>
            </w:pPr>
            <w:r>
              <w:rPr>
                <w:noProof/>
                <w:szCs w:val="24"/>
              </w:rPr>
              <w:t xml:space="preserve">–23 100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France</w:t>
            </w:r>
          </w:p>
        </w:tc>
        <w:tc>
          <w:tcPr>
            <w:tcW w:w="2395" w:type="dxa"/>
            <w:hideMark/>
          </w:tcPr>
          <w:p w:rsidR="007800B2" w:rsidRDefault="00C71DE9">
            <w:pPr>
              <w:spacing w:before="100" w:beforeAutospacing="1" w:after="100" w:afterAutospacing="1"/>
              <w:rPr>
                <w:noProof/>
                <w:szCs w:val="24"/>
              </w:rPr>
            </w:pPr>
            <w:r>
              <w:rPr>
                <w:noProof/>
                <w:szCs w:val="24"/>
              </w:rPr>
              <w:t xml:space="preserve">–67 410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Italy</w:t>
            </w:r>
          </w:p>
        </w:tc>
        <w:tc>
          <w:tcPr>
            <w:tcW w:w="2395" w:type="dxa"/>
            <w:hideMark/>
          </w:tcPr>
          <w:p w:rsidR="007800B2" w:rsidRDefault="00C71DE9">
            <w:pPr>
              <w:spacing w:before="100" w:beforeAutospacing="1" w:after="100" w:afterAutospacing="1"/>
              <w:rPr>
                <w:noProof/>
                <w:szCs w:val="24"/>
              </w:rPr>
            </w:pPr>
            <w:r>
              <w:rPr>
                <w:noProof/>
                <w:szCs w:val="24"/>
              </w:rPr>
              <w:t xml:space="preserve">–22 166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Cyprus</w:t>
            </w:r>
          </w:p>
        </w:tc>
        <w:tc>
          <w:tcPr>
            <w:tcW w:w="2395" w:type="dxa"/>
            <w:hideMark/>
          </w:tcPr>
          <w:p w:rsidR="007800B2" w:rsidRDefault="00C71DE9">
            <w:pPr>
              <w:spacing w:before="100" w:beforeAutospacing="1" w:after="100" w:afterAutospacing="1"/>
              <w:rPr>
                <w:noProof/>
                <w:szCs w:val="24"/>
              </w:rPr>
            </w:pPr>
            <w:r>
              <w:rPr>
                <w:noProof/>
                <w:szCs w:val="24"/>
              </w:rPr>
              <w:t xml:space="preserve">–157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Latvia</w:t>
            </w:r>
          </w:p>
        </w:tc>
        <w:tc>
          <w:tcPr>
            <w:tcW w:w="2395" w:type="dxa"/>
            <w:hideMark/>
          </w:tcPr>
          <w:p w:rsidR="007800B2" w:rsidRDefault="00C71DE9">
            <w:pPr>
              <w:spacing w:before="100" w:beforeAutospacing="1" w:after="100" w:afterAutospacing="1"/>
              <w:rPr>
                <w:noProof/>
                <w:szCs w:val="24"/>
              </w:rPr>
            </w:pPr>
            <w:r>
              <w:rPr>
                <w:noProof/>
                <w:szCs w:val="24"/>
              </w:rPr>
              <w:t xml:space="preserve">–16 302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Lithuania</w:t>
            </w:r>
          </w:p>
        </w:tc>
        <w:tc>
          <w:tcPr>
            <w:tcW w:w="2395" w:type="dxa"/>
            <w:hideMark/>
          </w:tcPr>
          <w:p w:rsidR="007800B2" w:rsidRDefault="00C71DE9">
            <w:pPr>
              <w:spacing w:before="100" w:beforeAutospacing="1" w:after="100" w:afterAutospacing="1"/>
              <w:rPr>
                <w:noProof/>
                <w:szCs w:val="24"/>
              </w:rPr>
            </w:pPr>
            <w:r>
              <w:rPr>
                <w:noProof/>
                <w:szCs w:val="24"/>
              </w:rPr>
              <w:t xml:space="preserve">–4 552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Luxembourg</w:t>
            </w:r>
          </w:p>
        </w:tc>
        <w:tc>
          <w:tcPr>
            <w:tcW w:w="2395" w:type="dxa"/>
            <w:hideMark/>
          </w:tcPr>
          <w:p w:rsidR="007800B2" w:rsidRDefault="00C71DE9">
            <w:pPr>
              <w:spacing w:before="100" w:beforeAutospacing="1" w:after="100" w:afterAutospacing="1"/>
              <w:rPr>
                <w:noProof/>
                <w:szCs w:val="24"/>
              </w:rPr>
            </w:pPr>
            <w:r>
              <w:rPr>
                <w:noProof/>
                <w:szCs w:val="24"/>
              </w:rPr>
              <w:t xml:space="preserve">–418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Hungary</w:t>
            </w:r>
          </w:p>
        </w:tc>
        <w:tc>
          <w:tcPr>
            <w:tcW w:w="2395" w:type="dxa"/>
            <w:hideMark/>
          </w:tcPr>
          <w:p w:rsidR="007800B2" w:rsidRDefault="00C71DE9">
            <w:pPr>
              <w:spacing w:before="100" w:beforeAutospacing="1" w:after="100" w:afterAutospacing="1"/>
              <w:rPr>
                <w:noProof/>
                <w:szCs w:val="24"/>
              </w:rPr>
            </w:pPr>
            <w:r>
              <w:rPr>
                <w:noProof/>
                <w:szCs w:val="24"/>
              </w:rPr>
              <w:t xml:space="preserve">–1 000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Malta</w:t>
            </w:r>
          </w:p>
        </w:tc>
        <w:tc>
          <w:tcPr>
            <w:tcW w:w="2395" w:type="dxa"/>
            <w:hideMark/>
          </w:tcPr>
          <w:p w:rsidR="007800B2" w:rsidRDefault="00C71DE9">
            <w:pPr>
              <w:spacing w:before="100" w:beforeAutospacing="1" w:after="100" w:afterAutospacing="1"/>
              <w:rPr>
                <w:noProof/>
                <w:szCs w:val="24"/>
              </w:rPr>
            </w:pPr>
            <w:r>
              <w:rPr>
                <w:noProof/>
                <w:szCs w:val="24"/>
              </w:rPr>
              <w:t xml:space="preserve">–49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Netherlands</w:t>
            </w:r>
          </w:p>
        </w:tc>
        <w:tc>
          <w:tcPr>
            <w:tcW w:w="2395" w:type="dxa"/>
            <w:hideMark/>
          </w:tcPr>
          <w:p w:rsidR="007800B2" w:rsidRDefault="00C71DE9">
            <w:pPr>
              <w:spacing w:before="100" w:beforeAutospacing="1" w:after="100" w:afterAutospacing="1"/>
              <w:rPr>
                <w:noProof/>
                <w:szCs w:val="24"/>
              </w:rPr>
            </w:pPr>
            <w:r>
              <w:rPr>
                <w:noProof/>
                <w:szCs w:val="24"/>
              </w:rPr>
              <w:t xml:space="preserve">–1 425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Austria</w:t>
            </w:r>
          </w:p>
        </w:tc>
        <w:tc>
          <w:tcPr>
            <w:tcW w:w="2395" w:type="dxa"/>
            <w:hideMark/>
          </w:tcPr>
          <w:p w:rsidR="007800B2" w:rsidRDefault="00C71DE9">
            <w:pPr>
              <w:spacing w:before="100" w:beforeAutospacing="1" w:after="100" w:afterAutospacing="1"/>
              <w:rPr>
                <w:noProof/>
                <w:szCs w:val="24"/>
              </w:rPr>
            </w:pPr>
            <w:r>
              <w:rPr>
                <w:noProof/>
                <w:szCs w:val="24"/>
              </w:rPr>
              <w:t xml:space="preserve">–6 516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Poland</w:t>
            </w:r>
          </w:p>
        </w:tc>
        <w:tc>
          <w:tcPr>
            <w:tcW w:w="2395" w:type="dxa"/>
            <w:hideMark/>
          </w:tcPr>
          <w:p w:rsidR="007800B2" w:rsidRDefault="00C71DE9">
            <w:pPr>
              <w:spacing w:before="100" w:beforeAutospacing="1" w:after="100" w:afterAutospacing="1"/>
              <w:rPr>
                <w:noProof/>
                <w:szCs w:val="24"/>
              </w:rPr>
            </w:pPr>
            <w:r>
              <w:rPr>
                <w:noProof/>
                <w:szCs w:val="24"/>
              </w:rPr>
              <w:t xml:space="preserve">–27 133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Portugal</w:t>
            </w:r>
          </w:p>
        </w:tc>
        <w:tc>
          <w:tcPr>
            <w:tcW w:w="2395" w:type="dxa"/>
            <w:hideMark/>
          </w:tcPr>
          <w:p w:rsidR="007800B2" w:rsidRDefault="00C71DE9">
            <w:pPr>
              <w:spacing w:before="100" w:beforeAutospacing="1" w:after="100" w:afterAutospacing="1"/>
              <w:rPr>
                <w:noProof/>
                <w:szCs w:val="24"/>
              </w:rPr>
            </w:pPr>
            <w:r>
              <w:rPr>
                <w:noProof/>
                <w:szCs w:val="24"/>
              </w:rPr>
              <w:t xml:space="preserve">–6 830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Romania</w:t>
            </w:r>
          </w:p>
        </w:tc>
        <w:tc>
          <w:tcPr>
            <w:tcW w:w="2395" w:type="dxa"/>
            <w:hideMark/>
          </w:tcPr>
          <w:p w:rsidR="007800B2" w:rsidRDefault="00C71DE9">
            <w:pPr>
              <w:spacing w:before="100" w:beforeAutospacing="1" w:after="100" w:afterAutospacing="1"/>
              <w:rPr>
                <w:noProof/>
                <w:szCs w:val="24"/>
              </w:rPr>
            </w:pPr>
            <w:r>
              <w:rPr>
                <w:noProof/>
                <w:szCs w:val="24"/>
              </w:rPr>
              <w:t xml:space="preserve">–15 793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Slovenia</w:t>
            </w:r>
          </w:p>
        </w:tc>
        <w:tc>
          <w:tcPr>
            <w:tcW w:w="2395" w:type="dxa"/>
            <w:hideMark/>
          </w:tcPr>
          <w:p w:rsidR="007800B2" w:rsidRDefault="00C71DE9">
            <w:pPr>
              <w:spacing w:before="100" w:beforeAutospacing="1" w:after="100" w:afterAutospacing="1"/>
              <w:rPr>
                <w:noProof/>
                <w:szCs w:val="24"/>
              </w:rPr>
            </w:pPr>
            <w:r>
              <w:rPr>
                <w:noProof/>
                <w:szCs w:val="24"/>
              </w:rPr>
              <w:t xml:space="preserve">–3 171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Slovakia</w:t>
            </w:r>
          </w:p>
        </w:tc>
        <w:tc>
          <w:tcPr>
            <w:tcW w:w="2395" w:type="dxa"/>
            <w:hideMark/>
          </w:tcPr>
          <w:p w:rsidR="007800B2" w:rsidRDefault="00C71DE9">
            <w:pPr>
              <w:spacing w:before="100" w:beforeAutospacing="1" w:after="100" w:afterAutospacing="1"/>
              <w:rPr>
                <w:noProof/>
                <w:szCs w:val="24"/>
              </w:rPr>
            </w:pPr>
            <w:r>
              <w:rPr>
                <w:noProof/>
                <w:szCs w:val="24"/>
              </w:rPr>
              <w:t xml:space="preserve">–1 084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Finland</w:t>
            </w:r>
          </w:p>
        </w:tc>
        <w:tc>
          <w:tcPr>
            <w:tcW w:w="2395" w:type="dxa"/>
            <w:hideMark/>
          </w:tcPr>
          <w:p w:rsidR="007800B2" w:rsidRDefault="00C71DE9">
            <w:pPr>
              <w:spacing w:before="100" w:beforeAutospacing="1" w:after="100" w:afterAutospacing="1"/>
              <w:rPr>
                <w:noProof/>
                <w:szCs w:val="24"/>
              </w:rPr>
            </w:pPr>
            <w:r>
              <w:rPr>
                <w:noProof/>
                <w:szCs w:val="24"/>
              </w:rPr>
              <w:t xml:space="preserve">–20 466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Sweden</w:t>
            </w:r>
          </w:p>
        </w:tc>
        <w:tc>
          <w:tcPr>
            <w:tcW w:w="2395" w:type="dxa"/>
            <w:hideMark/>
          </w:tcPr>
          <w:p w:rsidR="007800B2" w:rsidRDefault="00C71DE9">
            <w:pPr>
              <w:spacing w:before="100" w:beforeAutospacing="1" w:after="100" w:afterAutospacing="1"/>
              <w:rPr>
                <w:noProof/>
                <w:szCs w:val="24"/>
              </w:rPr>
            </w:pPr>
            <w:r>
              <w:rPr>
                <w:noProof/>
                <w:szCs w:val="24"/>
              </w:rPr>
              <w:t xml:space="preserve">–41 336 </w:t>
            </w:r>
          </w:p>
        </w:tc>
      </w:tr>
      <w:tr w:rsidR="007800B2">
        <w:trPr>
          <w:tblCellSpacing w:w="0" w:type="dxa"/>
          <w:jc w:val="center"/>
        </w:trPr>
        <w:tc>
          <w:tcPr>
            <w:tcW w:w="2012" w:type="dxa"/>
            <w:hideMark/>
          </w:tcPr>
          <w:p w:rsidR="007800B2" w:rsidRDefault="00C71DE9">
            <w:pPr>
              <w:spacing w:before="100" w:beforeAutospacing="1" w:after="100" w:afterAutospacing="1"/>
              <w:rPr>
                <w:noProof/>
                <w:szCs w:val="24"/>
              </w:rPr>
            </w:pPr>
            <w:r>
              <w:rPr>
                <w:noProof/>
                <w:szCs w:val="24"/>
              </w:rPr>
              <w:t>United Kingdom</w:t>
            </w:r>
          </w:p>
        </w:tc>
        <w:tc>
          <w:tcPr>
            <w:tcW w:w="2395" w:type="dxa"/>
            <w:hideMark/>
          </w:tcPr>
          <w:p w:rsidR="007800B2" w:rsidRDefault="00C71DE9">
            <w:pPr>
              <w:spacing w:before="100" w:beforeAutospacing="1" w:after="100" w:afterAutospacing="1"/>
              <w:rPr>
                <w:noProof/>
                <w:szCs w:val="24"/>
              </w:rPr>
            </w:pPr>
            <w:r>
              <w:rPr>
                <w:noProof/>
                <w:szCs w:val="24"/>
              </w:rPr>
              <w:t xml:space="preserve">–8 268 </w:t>
            </w:r>
          </w:p>
        </w:tc>
      </w:tr>
    </w:tbl>
    <w:p w:rsidR="007800B2" w:rsidRDefault="007800B2">
      <w:pPr>
        <w:pStyle w:val="ListParagraph"/>
        <w:spacing w:before="100" w:beforeAutospacing="1" w:after="100" w:afterAutospacing="1" w:line="240" w:lineRule="auto"/>
        <w:jc w:val="center"/>
        <w:rPr>
          <w:rFonts w:ascii="Times New Roman" w:hAnsi="Times New Roman" w:cs="Times New Roman"/>
          <w:b/>
          <w:noProof/>
          <w:sz w:val="24"/>
          <w:szCs w:val="24"/>
        </w:rPr>
      </w:pPr>
    </w:p>
    <w:p w:rsidR="007800B2" w:rsidRDefault="00577E8F">
      <w:pPr>
        <w:pStyle w:val="ListParagraph"/>
        <w:spacing w:before="100" w:beforeAutospacing="1" w:after="100" w:afterAutospacing="1"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br w:type="column"/>
      </w:r>
      <w:r w:rsidR="00C71DE9">
        <w:rPr>
          <w:rFonts w:ascii="Times New Roman" w:hAnsi="Times New Roman" w:cs="Times New Roman"/>
          <w:b/>
          <w:noProof/>
          <w:sz w:val="24"/>
          <w:szCs w:val="24"/>
        </w:rPr>
        <w:t xml:space="preserve">Annex III: Base years for the purposes of calculating </w:t>
      </w:r>
    </w:p>
    <w:p w:rsidR="007800B2" w:rsidRDefault="00C71DE9">
      <w:pPr>
        <w:pStyle w:val="ListParagraph"/>
        <w:spacing w:before="100" w:beforeAutospacing="1" w:after="100" w:afterAutospacing="1"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the cap pursuant to Article 8(2)</w:t>
      </w:r>
    </w:p>
    <w:tbl>
      <w:tblPr>
        <w:tblW w:w="5916" w:type="dxa"/>
        <w:jc w:val="center"/>
        <w:tblCellSpacing w:w="0" w:type="dxa"/>
        <w:tblInd w:w="-20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3559"/>
        <w:gridCol w:w="2357"/>
      </w:tblGrid>
      <w:tr w:rsidR="007800B2">
        <w:trPr>
          <w:tblCellSpacing w:w="0" w:type="dxa"/>
          <w:jc w:val="center"/>
        </w:trPr>
        <w:tc>
          <w:tcPr>
            <w:tcW w:w="3559" w:type="dxa"/>
            <w:hideMark/>
          </w:tcPr>
          <w:p w:rsidR="007800B2" w:rsidRDefault="00C71DE9">
            <w:pPr>
              <w:pStyle w:val="tbl-norm"/>
              <w:rPr>
                <w:rFonts w:eastAsia="Arial Unicode MS"/>
                <w:b/>
                <w:bCs/>
                <w:noProof/>
                <w:color w:val="000000"/>
              </w:rPr>
            </w:pPr>
            <w:r>
              <w:rPr>
                <w:rFonts w:eastAsia="Arial Unicode MS"/>
                <w:b/>
                <w:bCs/>
                <w:noProof/>
                <w:color w:val="000000"/>
              </w:rPr>
              <w:t>Member State</w:t>
            </w:r>
          </w:p>
        </w:tc>
        <w:tc>
          <w:tcPr>
            <w:tcW w:w="2357" w:type="dxa"/>
            <w:hideMark/>
          </w:tcPr>
          <w:p w:rsidR="007800B2" w:rsidRDefault="00C71DE9">
            <w:pPr>
              <w:pStyle w:val="tbl-norm"/>
              <w:rPr>
                <w:rFonts w:eastAsia="Arial Unicode MS"/>
                <w:b/>
                <w:bCs/>
                <w:noProof/>
                <w:color w:val="000000"/>
              </w:rPr>
            </w:pPr>
            <w:r>
              <w:rPr>
                <w:rFonts w:eastAsia="Arial Unicode MS"/>
                <w:b/>
                <w:bCs/>
                <w:noProof/>
                <w:color w:val="000000"/>
              </w:rPr>
              <w:t>Base Year</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Belgium</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Bulgaria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1988</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Croatia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Czech Republic</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Denmark</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Germany</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Estonia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Ireland</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Greece</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Spain</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France</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Italy</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Cyprus</w:t>
            </w:r>
          </w:p>
        </w:tc>
        <w:tc>
          <w:tcPr>
            <w:tcW w:w="2357" w:type="dxa"/>
            <w:hideMark/>
          </w:tcPr>
          <w:p w:rsidR="007800B2" w:rsidRDefault="00C71DE9">
            <w:pPr>
              <w:pStyle w:val="Normal1"/>
              <w:rPr>
                <w:rFonts w:eastAsia="Arial Unicode MS"/>
                <w:noProof/>
                <w:color w:val="000000"/>
              </w:rPr>
            </w:pPr>
            <w:r>
              <w:rPr>
                <w:rFonts w:eastAsia="Arial Unicode MS"/>
                <w:noProof/>
                <w:color w:val="000000"/>
              </w:rPr>
              <w:t> </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Latvia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Lithuania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Luxembourg</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Hungary</w:t>
            </w:r>
          </w:p>
        </w:tc>
        <w:tc>
          <w:tcPr>
            <w:tcW w:w="2357" w:type="dxa"/>
            <w:hideMark/>
          </w:tcPr>
          <w:p w:rsidR="007800B2" w:rsidRDefault="00C71DE9">
            <w:pPr>
              <w:pStyle w:val="tbl-norm"/>
              <w:rPr>
                <w:rFonts w:eastAsia="Arial Unicode MS"/>
                <w:noProof/>
                <w:color w:val="000000"/>
              </w:rPr>
            </w:pPr>
            <w:r>
              <w:rPr>
                <w:rFonts w:eastAsia="Arial Unicode MS"/>
                <w:noProof/>
                <w:color w:val="000000"/>
              </w:rPr>
              <w:t>1985-87</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Malta</w:t>
            </w:r>
          </w:p>
        </w:tc>
        <w:tc>
          <w:tcPr>
            <w:tcW w:w="2357" w:type="dxa"/>
            <w:hideMark/>
          </w:tcPr>
          <w:p w:rsidR="007800B2" w:rsidRDefault="00C71DE9">
            <w:pPr>
              <w:pStyle w:val="Normal1"/>
              <w:rPr>
                <w:rFonts w:eastAsia="Arial Unicode MS"/>
                <w:noProof/>
                <w:color w:val="000000"/>
              </w:rPr>
            </w:pPr>
            <w:r>
              <w:rPr>
                <w:rFonts w:eastAsia="Arial Unicode MS"/>
                <w:noProof/>
                <w:color w:val="000000"/>
              </w:rPr>
              <w:t> </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Netherlands</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Austria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Poland</w:t>
            </w:r>
          </w:p>
        </w:tc>
        <w:tc>
          <w:tcPr>
            <w:tcW w:w="2357" w:type="dxa"/>
            <w:hideMark/>
          </w:tcPr>
          <w:p w:rsidR="007800B2" w:rsidRDefault="00C71DE9">
            <w:pPr>
              <w:pStyle w:val="tbl-norm"/>
              <w:rPr>
                <w:rFonts w:eastAsia="Arial Unicode MS"/>
                <w:noProof/>
                <w:color w:val="000000"/>
              </w:rPr>
            </w:pPr>
            <w:r>
              <w:rPr>
                <w:rFonts w:eastAsia="Arial Unicode MS"/>
                <w:noProof/>
                <w:color w:val="000000"/>
              </w:rPr>
              <w:t>1988</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Portugal</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Romania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1989</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Slovenia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1986</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Slovakia</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Finland</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Sweden</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r w:rsidR="007800B2">
        <w:trPr>
          <w:tblCellSpacing w:w="0" w:type="dxa"/>
          <w:jc w:val="center"/>
        </w:trPr>
        <w:tc>
          <w:tcPr>
            <w:tcW w:w="3559" w:type="dxa"/>
            <w:hideMark/>
          </w:tcPr>
          <w:p w:rsidR="007800B2" w:rsidRDefault="00C71DE9">
            <w:pPr>
              <w:pStyle w:val="tbl-norm"/>
              <w:rPr>
                <w:rFonts w:eastAsia="Arial Unicode MS"/>
                <w:noProof/>
                <w:color w:val="000000"/>
              </w:rPr>
            </w:pPr>
            <w:r>
              <w:rPr>
                <w:rFonts w:eastAsia="Arial Unicode MS"/>
                <w:noProof/>
                <w:color w:val="000000"/>
              </w:rPr>
              <w:t>United Kingdom</w:t>
            </w:r>
          </w:p>
        </w:tc>
        <w:tc>
          <w:tcPr>
            <w:tcW w:w="2357" w:type="dxa"/>
            <w:hideMark/>
          </w:tcPr>
          <w:p w:rsidR="007800B2" w:rsidRDefault="00C71DE9">
            <w:pPr>
              <w:pStyle w:val="tbl-norm"/>
              <w:rPr>
                <w:rFonts w:eastAsia="Arial Unicode MS"/>
                <w:noProof/>
                <w:color w:val="000000"/>
              </w:rPr>
            </w:pPr>
            <w:r>
              <w:rPr>
                <w:rFonts w:eastAsia="Arial Unicode MS"/>
                <w:noProof/>
                <w:color w:val="000000"/>
              </w:rPr>
              <w:t>1990</w:t>
            </w:r>
          </w:p>
        </w:tc>
      </w:tr>
    </w:tbl>
    <w:p w:rsidR="007800B2" w:rsidRDefault="00C71DE9">
      <w:pPr>
        <w:spacing w:before="100" w:beforeAutospacing="1" w:after="100" w:afterAutospacing="1"/>
        <w:jc w:val="center"/>
        <w:rPr>
          <w:b/>
          <w:noProof/>
          <w:szCs w:val="24"/>
        </w:rPr>
      </w:pPr>
      <w:r>
        <w:rPr>
          <w:b/>
          <w:noProof/>
          <w:szCs w:val="24"/>
        </w:rPr>
        <w:t xml:space="preserve">Annex IV: National forestry accounting plan containing a </w:t>
      </w:r>
      <w:r>
        <w:rPr>
          <w:rFonts w:eastAsia="Times New Roman"/>
          <w:b/>
          <w:noProof/>
          <w:szCs w:val="24"/>
          <w:lang w:eastAsia="en-GB"/>
        </w:rPr>
        <w:t>Member State's updated forest reference level</w:t>
      </w:r>
    </w:p>
    <w:p w:rsidR="007800B2" w:rsidRDefault="00C71DE9">
      <w:pPr>
        <w:rPr>
          <w:rFonts w:eastAsia="Times New Roman"/>
          <w:noProof/>
          <w:szCs w:val="24"/>
          <w:u w:val="single"/>
          <w:lang w:eastAsia="en-GB"/>
        </w:rPr>
      </w:pPr>
      <w:r>
        <w:rPr>
          <w:rFonts w:eastAsia="Times New Roman"/>
          <w:noProof/>
          <w:szCs w:val="24"/>
          <w:u w:val="single"/>
          <w:lang w:eastAsia="en-GB"/>
        </w:rPr>
        <w:t>A. Criteria for determining forest reference levels</w:t>
      </w:r>
    </w:p>
    <w:p w:rsidR="007800B2" w:rsidRDefault="00C71DE9">
      <w:pPr>
        <w:spacing w:before="100" w:beforeAutospacing="1" w:after="100" w:afterAutospacing="1"/>
        <w:rPr>
          <w:rFonts w:eastAsia="Times New Roman"/>
          <w:noProof/>
          <w:szCs w:val="24"/>
          <w:lang w:eastAsia="en-GB"/>
        </w:rPr>
      </w:pPr>
      <w:r>
        <w:rPr>
          <w:rFonts w:eastAsia="Times New Roman"/>
          <w:noProof/>
          <w:szCs w:val="24"/>
          <w:lang w:eastAsia="en-GB"/>
        </w:rPr>
        <w:t xml:space="preserve">Member State forest reference levels shall be determined in accordance with the following criteria: </w:t>
      </w:r>
    </w:p>
    <w:p w:rsidR="007800B2" w:rsidRDefault="00C71DE9">
      <w:pPr>
        <w:pStyle w:val="Point0letter"/>
        <w:numPr>
          <w:ilvl w:val="1"/>
          <w:numId w:val="20"/>
        </w:numPr>
        <w:rPr>
          <w:noProof/>
          <w:lang w:eastAsia="en-GB"/>
        </w:rPr>
      </w:pPr>
      <w:r>
        <w:rPr>
          <w:noProof/>
          <w:lang w:eastAsia="en-GB"/>
        </w:rPr>
        <w:t>Reference levels shall be consistent with the goal of achieving a balance between anthropogenic emissions by sources and removals by sinks of greenhouse gases in the second half of this century;</w:t>
      </w:r>
    </w:p>
    <w:p w:rsidR="007800B2" w:rsidRDefault="00C71DE9">
      <w:pPr>
        <w:pStyle w:val="Point0letter"/>
        <w:rPr>
          <w:noProof/>
          <w:lang w:eastAsia="en-GB"/>
        </w:rPr>
      </w:pPr>
      <w:r>
        <w:rPr>
          <w:noProof/>
          <w:lang w:eastAsia="en-GB"/>
        </w:rPr>
        <w:t>Reference levels shall ensure that the mere presence of carbon stocks is excluded from accounting;</w:t>
      </w:r>
    </w:p>
    <w:p w:rsidR="007800B2" w:rsidRDefault="00C71DE9">
      <w:pPr>
        <w:pStyle w:val="Point0letter"/>
        <w:rPr>
          <w:noProof/>
          <w:lang w:eastAsia="en-GB"/>
        </w:rPr>
      </w:pPr>
      <w:r>
        <w:rPr>
          <w:noProof/>
          <w:lang w:eastAsia="en-GB"/>
        </w:rPr>
        <w:t>Reference levels should ensure a robust and credible accounting, to guarantee that emissions and removals resulting from biomass use are properly accounted for;</w:t>
      </w:r>
    </w:p>
    <w:p w:rsidR="007800B2" w:rsidRDefault="00C71DE9">
      <w:pPr>
        <w:pStyle w:val="Point0letter"/>
        <w:rPr>
          <w:noProof/>
          <w:lang w:eastAsia="en-GB"/>
        </w:rPr>
      </w:pPr>
      <w:r>
        <w:rPr>
          <w:noProof/>
          <w:lang w:eastAsia="en-GB"/>
        </w:rPr>
        <w:t>Reference levels shall include the carbon pool of harvested wood products, providing a comparison between assuming instantaneous oxidation and applying the first-order decay function and half-life values;</w:t>
      </w:r>
    </w:p>
    <w:p w:rsidR="007800B2" w:rsidRDefault="00C71DE9">
      <w:pPr>
        <w:pStyle w:val="Point0letter"/>
        <w:rPr>
          <w:noProof/>
          <w:lang w:eastAsia="en-GB"/>
        </w:rPr>
      </w:pPr>
      <w:r>
        <w:rPr>
          <w:noProof/>
          <w:lang w:eastAsia="en-GB"/>
        </w:rPr>
        <w:t xml:space="preserve">Reference levels should take into account the objective of contributing to the conservation of biodiversity and the sustainable use of natural resources, as set out in the EU Forest Strategy, Member States' national forest policies, and the EU Biodiversity Strategy; </w:t>
      </w:r>
    </w:p>
    <w:p w:rsidR="007800B2" w:rsidRDefault="00C71DE9">
      <w:pPr>
        <w:pStyle w:val="Point0letter"/>
        <w:rPr>
          <w:noProof/>
        </w:rPr>
      </w:pPr>
      <w:r>
        <w:rPr>
          <w:noProof/>
          <w:lang w:eastAsia="en-GB"/>
        </w:rPr>
        <w:t>Reference levels shall be consistent with the national projections of anthropogenic greenhouse gas emissions by sources and removals by sinks reported under Regulation (EU) No 525/2013;</w:t>
      </w:r>
    </w:p>
    <w:p w:rsidR="007800B2" w:rsidRDefault="00C71DE9">
      <w:pPr>
        <w:pStyle w:val="Point0letter"/>
        <w:rPr>
          <w:noProof/>
        </w:rPr>
      </w:pPr>
      <w:r>
        <w:rPr>
          <w:noProof/>
          <w:lang w:eastAsia="en-GB"/>
        </w:rPr>
        <w:t>Reference levels shall be consistent with greenhouse gas inventories and relevant historical data and shall be based on transparent, complete, consistent, comparable and accurate information. In particular, the model used to construct the reference level shall be able to reproduce historical data from the national greenhouse gas inventory.</w:t>
      </w:r>
    </w:p>
    <w:p w:rsidR="007800B2" w:rsidRDefault="00C71DE9">
      <w:pPr>
        <w:spacing w:before="100" w:beforeAutospacing="1" w:after="100" w:afterAutospacing="1"/>
        <w:rPr>
          <w:noProof/>
          <w:szCs w:val="24"/>
          <w:u w:val="single"/>
        </w:rPr>
      </w:pPr>
      <w:r>
        <w:rPr>
          <w:noProof/>
          <w:szCs w:val="24"/>
          <w:u w:val="single"/>
        </w:rPr>
        <w:t xml:space="preserve">B. Elements of the national forestry accounting plan </w:t>
      </w:r>
    </w:p>
    <w:p w:rsidR="007800B2" w:rsidRDefault="00C71DE9">
      <w:pPr>
        <w:spacing w:before="100" w:beforeAutospacing="1" w:after="100" w:afterAutospacing="1"/>
        <w:ind w:left="360"/>
        <w:rPr>
          <w:noProof/>
          <w:szCs w:val="24"/>
        </w:rPr>
      </w:pPr>
      <w:r>
        <w:rPr>
          <w:noProof/>
          <w:szCs w:val="24"/>
        </w:rPr>
        <w:t xml:space="preserve">The national forestry accounting plan submitted pursuant to Article 8 of this Regulation shall contain the following elements: </w:t>
      </w:r>
    </w:p>
    <w:p w:rsidR="007800B2" w:rsidRDefault="00C71DE9">
      <w:pPr>
        <w:pStyle w:val="Point0letter"/>
        <w:numPr>
          <w:ilvl w:val="1"/>
          <w:numId w:val="13"/>
        </w:numPr>
        <w:rPr>
          <w:noProof/>
        </w:rPr>
      </w:pPr>
      <w:r>
        <w:rPr>
          <w:noProof/>
        </w:rPr>
        <w:t xml:space="preserve">A general description of the construction of the reference level and a description on how the criteria in this Regulation were taken into account; </w:t>
      </w:r>
    </w:p>
    <w:p w:rsidR="007800B2" w:rsidRDefault="00C71DE9">
      <w:pPr>
        <w:pStyle w:val="Point0letter"/>
        <w:numPr>
          <w:ilvl w:val="1"/>
          <w:numId w:val="13"/>
        </w:numPr>
        <w:rPr>
          <w:noProof/>
        </w:rPr>
      </w:pPr>
      <w:r>
        <w:rPr>
          <w:noProof/>
        </w:rPr>
        <w:t>Identification of the carbon pools and greenhouse gases which have been included in the reference level, reasons for omitting a carbon pool from the reference level construction, and demonstration of the consistency between the pools included in the reference level;</w:t>
      </w:r>
    </w:p>
    <w:p w:rsidR="007800B2" w:rsidRDefault="00C71DE9">
      <w:pPr>
        <w:pStyle w:val="Point0letter"/>
        <w:numPr>
          <w:ilvl w:val="1"/>
          <w:numId w:val="13"/>
        </w:numPr>
        <w:rPr>
          <w:noProof/>
        </w:rPr>
      </w:pPr>
      <w:r>
        <w:rPr>
          <w:noProof/>
        </w:rPr>
        <w:t xml:space="preserve">A description of approaches, methods and models, including quantitative information, used in the construction of the reference level, consistent with the most recently submitted national inventory report </w:t>
      </w:r>
      <w:r>
        <w:rPr>
          <w:noProof/>
          <w:szCs w:val="24"/>
        </w:rPr>
        <w:t>and documentary information on forest management practice and intensity</w:t>
      </w:r>
      <w:r>
        <w:rPr>
          <w:noProof/>
        </w:rPr>
        <w:t>;</w:t>
      </w:r>
    </w:p>
    <w:p w:rsidR="007800B2" w:rsidRDefault="00C71DE9">
      <w:pPr>
        <w:pStyle w:val="Point0letter"/>
        <w:numPr>
          <w:ilvl w:val="1"/>
          <w:numId w:val="13"/>
        </w:numPr>
        <w:rPr>
          <w:noProof/>
        </w:rPr>
      </w:pPr>
      <w:r>
        <w:rPr>
          <w:noProof/>
        </w:rPr>
        <w:t>A description of how stakeholders were consulted and how their views have been taken into account;</w:t>
      </w:r>
    </w:p>
    <w:p w:rsidR="007800B2" w:rsidRDefault="00C71DE9">
      <w:pPr>
        <w:pStyle w:val="Point0letter"/>
        <w:numPr>
          <w:ilvl w:val="1"/>
          <w:numId w:val="13"/>
        </w:numPr>
        <w:rPr>
          <w:noProof/>
        </w:rPr>
      </w:pPr>
      <w:r>
        <w:rPr>
          <w:noProof/>
        </w:rPr>
        <w:t>Information on how harvesting rates are expected to develop under different policy scenarios;</w:t>
      </w:r>
    </w:p>
    <w:p w:rsidR="007800B2" w:rsidRDefault="00C71DE9">
      <w:pPr>
        <w:pStyle w:val="Point0letter"/>
        <w:numPr>
          <w:ilvl w:val="1"/>
          <w:numId w:val="13"/>
        </w:numPr>
        <w:rPr>
          <w:noProof/>
        </w:rPr>
      </w:pPr>
      <w:r>
        <w:rPr>
          <w:noProof/>
        </w:rPr>
        <w:t>A description of how each of the following elements were considered in the construction of the reference level:</w:t>
      </w:r>
    </w:p>
    <w:p w:rsidR="007800B2" w:rsidRDefault="00C71DE9">
      <w:pPr>
        <w:pStyle w:val="Point1number"/>
        <w:rPr>
          <w:noProof/>
        </w:rPr>
      </w:pPr>
      <w:r>
        <w:rPr>
          <w:noProof/>
        </w:rPr>
        <w:t>Area under forest management;</w:t>
      </w:r>
    </w:p>
    <w:p w:rsidR="007800B2" w:rsidRDefault="00C71DE9">
      <w:pPr>
        <w:pStyle w:val="Point1number"/>
        <w:rPr>
          <w:noProof/>
        </w:rPr>
      </w:pPr>
      <w:r>
        <w:rPr>
          <w:noProof/>
        </w:rPr>
        <w:t xml:space="preserve">Emissions and removals from forests and harvested wood products as shown in greenhouse gas inventories and relevant historical data, </w:t>
      </w:r>
    </w:p>
    <w:p w:rsidR="007800B2" w:rsidRDefault="00C71DE9">
      <w:pPr>
        <w:pStyle w:val="Point1number"/>
        <w:rPr>
          <w:noProof/>
        </w:rPr>
      </w:pPr>
      <w:r>
        <w:rPr>
          <w:noProof/>
        </w:rPr>
        <w:t>Forest characteristics, including age-class structure, increments, rotation length and other information on forest management activities under ‘business as usual’;</w:t>
      </w:r>
    </w:p>
    <w:p w:rsidR="007800B2" w:rsidRDefault="00C71DE9">
      <w:pPr>
        <w:pStyle w:val="Point1number"/>
        <w:rPr>
          <w:noProof/>
        </w:rPr>
      </w:pPr>
      <w:r>
        <w:rPr>
          <w:noProof/>
        </w:rPr>
        <w:t xml:space="preserve">Historical and future harvesting rates disaggregated between energy and non-energy uses. </w:t>
      </w:r>
    </w:p>
    <w:p w:rsidR="007800B2" w:rsidRDefault="00C71DE9">
      <w:pPr>
        <w:spacing w:before="100" w:beforeAutospacing="1" w:after="100" w:afterAutospacing="1"/>
        <w:jc w:val="center"/>
        <w:rPr>
          <w:b/>
          <w:noProof/>
          <w:szCs w:val="24"/>
        </w:rPr>
      </w:pPr>
      <w:r>
        <w:rPr>
          <w:b/>
          <w:noProof/>
          <w:szCs w:val="24"/>
        </w:rPr>
        <w:t>Annex V: First order decay function and default half-life values for harvested wood products</w:t>
      </w:r>
    </w:p>
    <w:p w:rsidR="007800B2" w:rsidRDefault="00C71DE9">
      <w:pPr>
        <w:rPr>
          <w:rFonts w:eastAsia="Times New Roman"/>
          <w:noProof/>
          <w:szCs w:val="24"/>
          <w:lang w:eastAsia="en-GB"/>
        </w:rPr>
      </w:pPr>
      <w:r>
        <w:rPr>
          <w:rFonts w:eastAsia="Times New Roman"/>
          <w:noProof/>
          <w:szCs w:val="24"/>
          <w:lang w:eastAsia="en-GB"/>
        </w:rPr>
        <w:t>Methodological issues</w:t>
      </w:r>
    </w:p>
    <w:p w:rsidR="007800B2" w:rsidRDefault="00C71DE9">
      <w:pPr>
        <w:pStyle w:val="Tiret0"/>
        <w:numPr>
          <w:ilvl w:val="0"/>
          <w:numId w:val="19"/>
        </w:numPr>
        <w:rPr>
          <w:noProof/>
          <w:lang w:eastAsia="en-GB"/>
        </w:rPr>
      </w:pPr>
      <w:r>
        <w:rPr>
          <w:noProof/>
          <w:lang w:eastAsia="en-GB"/>
        </w:rPr>
        <w:t>If it is not possible to differentiate between harvested wood products on afforested land and on managed forest land, a Member State may choose to account for harvested wood products assuming that all emissions and removals occurred on managed forest land.</w:t>
      </w:r>
    </w:p>
    <w:p w:rsidR="007800B2" w:rsidRDefault="00C71DE9">
      <w:pPr>
        <w:pStyle w:val="Tiret0"/>
        <w:rPr>
          <w:noProof/>
          <w:lang w:eastAsia="en-GB"/>
        </w:rPr>
      </w:pPr>
      <w:r>
        <w:rPr>
          <w:noProof/>
          <w:lang w:eastAsia="en-GB"/>
        </w:rPr>
        <w:t>Harvested wood products in solid waste disposal sites and harvested wood products that were harvested for energy purposes shall be accounted for on the basis of instantaneous oxidation.</w:t>
      </w:r>
    </w:p>
    <w:p w:rsidR="007800B2" w:rsidRDefault="00C71DE9">
      <w:pPr>
        <w:pStyle w:val="Tiret0"/>
        <w:rPr>
          <w:noProof/>
          <w:lang w:eastAsia="en-GB"/>
        </w:rPr>
      </w:pPr>
      <w:r>
        <w:rPr>
          <w:noProof/>
          <w:lang w:eastAsia="en-GB"/>
        </w:rPr>
        <w:t xml:space="preserve">Imported harvested wood products, irrespective of their origin, are not accounted for by the importing Member State ("production approach"). </w:t>
      </w:r>
    </w:p>
    <w:p w:rsidR="007800B2" w:rsidRDefault="00C71DE9">
      <w:pPr>
        <w:pStyle w:val="Tiret0"/>
        <w:rPr>
          <w:noProof/>
          <w:lang w:eastAsia="en-GB"/>
        </w:rPr>
      </w:pPr>
      <w:r>
        <w:rPr>
          <w:noProof/>
          <w:lang w:eastAsia="en-GB"/>
        </w:rPr>
        <w:t>For exported harvested wood products, country-specific data refers to country-specific half-life values and harvested wood products usage in the importing country.</w:t>
      </w:r>
    </w:p>
    <w:p w:rsidR="007800B2" w:rsidRDefault="00C71DE9">
      <w:pPr>
        <w:pStyle w:val="Tiret0"/>
        <w:rPr>
          <w:noProof/>
          <w:lang w:eastAsia="en-GB"/>
        </w:rPr>
      </w:pPr>
      <w:r>
        <w:rPr>
          <w:noProof/>
          <w:lang w:eastAsia="en-GB"/>
        </w:rPr>
        <w:t>Country-specific half-life values for harvested wood products placed on the market in the Union should not deviate from those used by the importing Member State .</w:t>
      </w:r>
    </w:p>
    <w:p w:rsidR="007800B2" w:rsidRDefault="00C71DE9">
      <w:pPr>
        <w:pStyle w:val="Tiret0"/>
        <w:rPr>
          <w:noProof/>
          <w:lang w:eastAsia="en-GB"/>
        </w:rPr>
      </w:pPr>
      <w:r>
        <w:rPr>
          <w:noProof/>
          <w:lang w:eastAsia="en-GB"/>
        </w:rPr>
        <w:t>Member States may, for information purposes only, provide in their submission data on the share of wood used for energy purposes that was imported from outside the Union, and the countries of origin for such wood.</w:t>
      </w:r>
    </w:p>
    <w:p w:rsidR="007800B2" w:rsidRDefault="00C71DE9">
      <w:pPr>
        <w:spacing w:before="100" w:beforeAutospacing="1" w:after="100" w:afterAutospacing="1"/>
        <w:rPr>
          <w:b/>
          <w:noProof/>
          <w:szCs w:val="24"/>
        </w:rPr>
      </w:pPr>
      <w:r>
        <w:rPr>
          <w:noProof/>
          <w:lang w:eastAsia="en-GB"/>
        </w:rPr>
        <w:t xml:space="preserve">Member States may use country-specific methodologies and half-life values instead of the methodologies and default half-life values specified in this Annex, provided that those methodologies and values are determined on the basis of transparent and verifiable data and that the methods used are at least as detailed and accurate as those specified in this Annex. </w:t>
      </w:r>
      <w:r>
        <w:rPr>
          <w:b/>
          <w:noProof/>
          <w:szCs w:val="24"/>
        </w:rPr>
        <w:t xml:space="preserve"> </w:t>
      </w:r>
    </w:p>
    <w:p w:rsidR="007800B2" w:rsidRDefault="00C71DE9">
      <w:pPr>
        <w:rPr>
          <w:rFonts w:eastAsia="Times New Roman"/>
          <w:noProof/>
          <w:szCs w:val="24"/>
          <w:lang w:eastAsia="en-GB"/>
        </w:rPr>
      </w:pPr>
      <w:r>
        <w:rPr>
          <w:rFonts w:eastAsia="Times New Roman"/>
          <w:noProof/>
          <w:szCs w:val="24"/>
          <w:lang w:eastAsia="en-GB"/>
        </w:rPr>
        <w:t>First order decay function starting with i = 1900 and continuing to present year:</w:t>
      </w:r>
    </w:p>
    <w:tbl>
      <w:tblPr>
        <w:tblW w:w="5000" w:type="pct"/>
        <w:tblCellSpacing w:w="0" w:type="dxa"/>
        <w:tblCellMar>
          <w:left w:w="0" w:type="dxa"/>
          <w:right w:w="0" w:type="dxa"/>
        </w:tblCellMar>
        <w:tblLook w:val="04A0" w:firstRow="1" w:lastRow="0" w:firstColumn="1" w:lastColumn="0" w:noHBand="0" w:noVBand="1"/>
      </w:tblPr>
      <w:tblGrid>
        <w:gridCol w:w="292"/>
        <w:gridCol w:w="8781"/>
      </w:tblGrid>
      <w:tr w:rsidR="007800B2">
        <w:trPr>
          <w:tblCellSpacing w:w="0" w:type="dxa"/>
        </w:trPr>
        <w:tc>
          <w:tcPr>
            <w:tcW w:w="161" w:type="pct"/>
          </w:tcPr>
          <w:p w:rsidR="007800B2" w:rsidRDefault="007800B2">
            <w:pPr>
              <w:pStyle w:val="Point0letter"/>
              <w:numPr>
                <w:ilvl w:val="1"/>
                <w:numId w:val="22"/>
              </w:numPr>
              <w:rPr>
                <w:noProof/>
                <w:lang w:eastAsia="en-GB"/>
              </w:rPr>
            </w:pPr>
          </w:p>
        </w:tc>
        <w:tc>
          <w:tcPr>
            <w:tcW w:w="4839" w:type="pct"/>
          </w:tcPr>
          <w:p w:rsidR="007800B2" w:rsidRDefault="00C71DE9">
            <w:pPr>
              <w:spacing w:before="0" w:after="0"/>
              <w:rPr>
                <w:rFonts w:eastAsia="Times New Roman"/>
                <w:noProof/>
                <w:szCs w:val="24"/>
                <w:lang w:eastAsia="en-GB"/>
              </w:rPr>
            </w:pPr>
            <w:r>
              <w:rPr>
                <w:rFonts w:eastAsia="Times New Roman"/>
                <w:noProof/>
                <w:szCs w:val="24"/>
                <w:lang w:eastAsia="en-GB"/>
              </w:rPr>
              <w:t xml:space="preserve"> </w:t>
            </w:r>
            <m:oMath>
              <m:r>
                <m:rPr>
                  <m:sty m:val="p"/>
                </m:rPr>
                <w:rPr>
                  <w:rFonts w:ascii="Cambria Math" w:eastAsia="Times New Roman" w:hAnsi="Cambria Math"/>
                  <w:noProof/>
                  <w:szCs w:val="24"/>
                  <w:lang w:eastAsia="en-GB"/>
                </w:rPr>
                <w:br/>
              </m:r>
            </m:oMath>
            <m:oMathPara>
              <m:oMath>
                <m:r>
                  <w:rPr>
                    <w:rFonts w:ascii="Cambria Math" w:eastAsia="Times New Roman" w:hAnsi="Cambria Math"/>
                    <w:noProof/>
                    <w:szCs w:val="24"/>
                    <w:lang w:eastAsia="en-GB"/>
                  </w:rPr>
                  <m:t>C</m:t>
                </m:r>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i+1</m:t>
                    </m:r>
                  </m:e>
                </m:d>
                <m:r>
                  <w:rPr>
                    <w:rFonts w:ascii="Cambria Math" w:eastAsia="Times New Roman" w:hAnsi="Cambria Math"/>
                    <w:noProof/>
                    <w:szCs w:val="24"/>
                    <w:lang w:eastAsia="en-GB"/>
                  </w:rPr>
                  <m:t>=</m:t>
                </m:r>
                <m:sSup>
                  <m:sSupPr>
                    <m:ctrlPr>
                      <w:rPr>
                        <w:rFonts w:ascii="Cambria Math" w:eastAsia="Times New Roman" w:hAnsi="Cambria Math"/>
                        <w:i/>
                        <w:noProof/>
                        <w:szCs w:val="24"/>
                        <w:lang w:eastAsia="en-GB"/>
                      </w:rPr>
                    </m:ctrlPr>
                  </m:sSupPr>
                  <m:e>
                    <m:r>
                      <w:rPr>
                        <w:rFonts w:ascii="Cambria Math" w:eastAsia="Times New Roman" w:hAnsi="Cambria Math"/>
                        <w:noProof/>
                        <w:szCs w:val="24"/>
                        <w:lang w:eastAsia="en-GB"/>
                      </w:rPr>
                      <m:t>e</m:t>
                    </m:r>
                  </m:e>
                  <m:sup>
                    <m:r>
                      <w:rPr>
                        <w:rFonts w:ascii="Cambria Math" w:eastAsia="Times New Roman" w:hAnsi="Cambria Math"/>
                        <w:noProof/>
                        <w:szCs w:val="24"/>
                        <w:lang w:eastAsia="en-GB"/>
                      </w:rPr>
                      <m:t>-k</m:t>
                    </m:r>
                  </m:sup>
                </m:sSup>
                <m:r>
                  <w:rPr>
                    <w:rFonts w:ascii="Cambria Math" w:eastAsia="Times New Roman" w:hAnsi="Cambria Math"/>
                    <w:noProof/>
                    <w:szCs w:val="24"/>
                    <w:lang w:eastAsia="en-GB"/>
                  </w:rPr>
                  <m:t> ⋅C</m:t>
                </m:r>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i</m:t>
                    </m:r>
                  </m:e>
                </m:d>
                <m:r>
                  <w:rPr>
                    <w:rFonts w:ascii="Cambria Math" w:eastAsia="Times New Roman" w:hAnsi="Cambria Math"/>
                    <w:noProof/>
                    <w:szCs w:val="24"/>
                    <w:lang w:eastAsia="en-GB"/>
                  </w:rPr>
                  <m:t>+</m:t>
                </m:r>
                <m:d>
                  <m:dPr>
                    <m:ctrlPr>
                      <w:rPr>
                        <w:rFonts w:ascii="Cambria Math" w:eastAsia="Times New Roman" w:hAnsi="Cambria Math"/>
                        <w:i/>
                        <w:noProof/>
                        <w:szCs w:val="24"/>
                        <w:lang w:eastAsia="en-GB"/>
                      </w:rPr>
                    </m:ctrlPr>
                  </m:dPr>
                  <m:e>
                    <m:f>
                      <m:fPr>
                        <m:ctrlPr>
                          <w:rPr>
                            <w:rFonts w:ascii="Cambria Math" w:eastAsia="Times New Roman" w:hAnsi="Cambria Math"/>
                            <w:i/>
                            <w:noProof/>
                            <w:szCs w:val="24"/>
                            <w:lang w:eastAsia="en-GB"/>
                          </w:rPr>
                        </m:ctrlPr>
                      </m:fPr>
                      <m:num>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i-</m:t>
                            </m:r>
                            <m:sSup>
                              <m:sSupPr>
                                <m:ctrlPr>
                                  <w:rPr>
                                    <w:rFonts w:ascii="Cambria Math" w:eastAsia="Times New Roman" w:hAnsi="Cambria Math"/>
                                    <w:i/>
                                    <w:noProof/>
                                    <w:szCs w:val="24"/>
                                    <w:lang w:eastAsia="en-GB"/>
                                  </w:rPr>
                                </m:ctrlPr>
                              </m:sSupPr>
                              <m:e>
                                <m:r>
                                  <w:rPr>
                                    <w:rFonts w:ascii="Cambria Math" w:eastAsia="Times New Roman" w:hAnsi="Cambria Math"/>
                                    <w:noProof/>
                                    <w:szCs w:val="24"/>
                                    <w:lang w:eastAsia="en-GB"/>
                                  </w:rPr>
                                  <m:t>e</m:t>
                                </m:r>
                              </m:e>
                              <m:sup>
                                <m:r>
                                  <w:rPr>
                                    <w:rFonts w:ascii="Cambria Math" w:eastAsia="Times New Roman" w:hAnsi="Cambria Math"/>
                                    <w:noProof/>
                                    <w:szCs w:val="24"/>
                                    <w:lang w:eastAsia="en-GB"/>
                                  </w:rPr>
                                  <m:t>-k</m:t>
                                </m:r>
                              </m:sup>
                            </m:sSup>
                          </m:e>
                        </m:d>
                      </m:num>
                      <m:den>
                        <m:r>
                          <w:rPr>
                            <w:rFonts w:ascii="Cambria Math" w:eastAsia="Times New Roman" w:hAnsi="Cambria Math"/>
                            <w:noProof/>
                            <w:szCs w:val="24"/>
                            <w:lang w:eastAsia="en-GB"/>
                          </w:rPr>
                          <m:t>k</m:t>
                        </m:r>
                      </m:den>
                    </m:f>
                  </m:e>
                </m:d>
                <m:r>
                  <w:rPr>
                    <w:rFonts w:ascii="Cambria Math" w:eastAsia="Times New Roman" w:hAnsi="Cambria Math"/>
                    <w:noProof/>
                    <w:szCs w:val="24"/>
                    <w:lang w:eastAsia="en-GB"/>
                  </w:rPr>
                  <m:t>⋅I</m:t>
                </m:r>
                <m:r>
                  <w:rPr>
                    <w:rFonts w:ascii="Cambria Math" w:eastAsia="Times New Roman" w:hAnsi="Cambria Math"/>
                    <w:noProof/>
                    <w:szCs w:val="24"/>
                    <w:lang w:eastAsia="en-GB"/>
                  </w:rPr>
                  <m:t>nflow</m:t>
                </m:r>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i</m:t>
                    </m:r>
                  </m:e>
                </m:d>
              </m:oMath>
            </m:oMathPara>
          </w:p>
          <w:p w:rsidR="007800B2" w:rsidRDefault="00C71DE9">
            <w:pPr>
              <w:spacing w:before="0" w:after="0"/>
              <w:rPr>
                <w:rFonts w:eastAsia="Times New Roman"/>
                <w:noProof/>
                <w:szCs w:val="24"/>
                <w:lang w:eastAsia="en-GB"/>
              </w:rPr>
            </w:pPr>
            <w:r>
              <w:rPr>
                <w:rFonts w:eastAsia="Times New Roman"/>
                <w:noProof/>
                <w:szCs w:val="24"/>
                <w:lang w:eastAsia="en-GB"/>
              </w:rPr>
              <w:t xml:space="preserve">with </w:t>
            </w:r>
            <m:oMath>
              <m:r>
                <w:rPr>
                  <w:rFonts w:ascii="Cambria Math" w:eastAsia="Times New Roman" w:hAnsi="Cambria Math"/>
                  <w:noProof/>
                  <w:szCs w:val="24"/>
                  <w:lang w:eastAsia="en-GB"/>
                </w:rPr>
                <m:t>C</m:t>
              </m:r>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1900</m:t>
                  </m:r>
                </m:e>
              </m:d>
              <m:r>
                <w:rPr>
                  <w:rFonts w:ascii="Cambria Math" w:eastAsia="Times New Roman" w:hAnsi="Cambria Math"/>
                  <w:noProof/>
                  <w:szCs w:val="24"/>
                  <w:lang w:eastAsia="en-GB"/>
                </w:rPr>
                <m:t>=0</m:t>
              </m:r>
            </m:oMath>
            <w:r>
              <w:rPr>
                <w:rFonts w:eastAsia="Times New Roman"/>
                <w:noProof/>
                <w:szCs w:val="24"/>
                <w:lang w:eastAsia="en-GB"/>
              </w:rPr>
              <w:t xml:space="preserve">.0 </w:t>
            </w:r>
          </w:p>
        </w:tc>
      </w:tr>
      <w:tr w:rsidR="007800B2">
        <w:trPr>
          <w:tblCellSpacing w:w="0" w:type="dxa"/>
        </w:trPr>
        <w:tc>
          <w:tcPr>
            <w:tcW w:w="161" w:type="pct"/>
            <w:hideMark/>
          </w:tcPr>
          <w:p w:rsidR="007800B2" w:rsidRDefault="00C71DE9">
            <w:pPr>
              <w:rPr>
                <w:rFonts w:eastAsia="Times New Roman"/>
                <w:noProof/>
                <w:szCs w:val="24"/>
                <w:lang w:eastAsia="en-GB"/>
              </w:rPr>
            </w:pPr>
            <w:r>
              <w:rPr>
                <w:rFonts w:eastAsia="Times New Roman"/>
                <w:noProof/>
                <w:szCs w:val="24"/>
                <w:lang w:eastAsia="en-GB"/>
              </w:rPr>
              <w:t xml:space="preserve"> (b)</w:t>
            </w:r>
          </w:p>
        </w:tc>
        <w:tc>
          <w:tcPr>
            <w:tcW w:w="4839" w:type="pct"/>
            <w:hideMark/>
          </w:tcPr>
          <w:p w:rsidR="007800B2" w:rsidRDefault="00C71DE9">
            <w:pPr>
              <w:rPr>
                <w:rFonts w:eastAsia="Times New Roman"/>
                <w:noProof/>
                <w:szCs w:val="24"/>
                <w:lang w:eastAsia="en-GB"/>
              </w:rPr>
            </w:pPr>
            <w:r>
              <w:rPr>
                <w:rFonts w:eastAsia="Times New Roman"/>
                <w:noProof/>
                <w:szCs w:val="24"/>
                <w:lang w:eastAsia="en-GB"/>
              </w:rPr>
              <w:drawing>
                <wp:inline distT="0" distB="0" distL="0" distR="0" wp14:anchorId="7227527E" wp14:editId="6994B171">
                  <wp:extent cx="1628140" cy="244475"/>
                  <wp:effectExtent l="0" t="0" r="0" b="3175"/>
                  <wp:docPr id="2" name="Picture 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u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140" cy="244475"/>
                          </a:xfrm>
                          <a:prstGeom prst="rect">
                            <a:avLst/>
                          </a:prstGeom>
                          <a:noFill/>
                          <a:ln>
                            <a:noFill/>
                          </a:ln>
                        </pic:spPr>
                      </pic:pic>
                    </a:graphicData>
                  </a:graphic>
                </wp:inline>
              </w:drawing>
            </w:r>
          </w:p>
          <w:p w:rsidR="007800B2" w:rsidRDefault="00C71DE9">
            <w:pPr>
              <w:rPr>
                <w:rFonts w:eastAsia="Times New Roman"/>
                <w:noProof/>
                <w:szCs w:val="24"/>
                <w:lang w:eastAsia="en-GB"/>
              </w:rPr>
            </w:pPr>
            <m:oMathPara>
              <m:oMath>
                <m:r>
                  <m:rPr>
                    <m:sty m:val="p"/>
                  </m:rPr>
                  <w:rPr>
                    <w:rFonts w:ascii="Cambria Math" w:eastAsia="Times New Roman" w:hAnsi="Cambria Math" w:hint="eastAsia"/>
                    <w:noProof/>
                    <w:szCs w:val="24"/>
                    <w:lang w:eastAsia="en-GB"/>
                  </w:rPr>
                  <m:t>Δ</m:t>
                </m:r>
                <m:r>
                  <w:rPr>
                    <w:rFonts w:ascii="Cambria Math" w:eastAsia="Times New Roman" w:hAnsi="Cambria Math"/>
                    <w:noProof/>
                    <w:szCs w:val="24"/>
                    <w:lang w:eastAsia="en-GB"/>
                  </w:rPr>
                  <m:t>C</m:t>
                </m:r>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i</m:t>
                    </m:r>
                  </m:e>
                </m:d>
                <m:r>
                  <w:rPr>
                    <w:rFonts w:ascii="Cambria Math" w:eastAsia="Times New Roman" w:hAnsi="Cambria Math"/>
                    <w:noProof/>
                    <w:szCs w:val="24"/>
                    <w:lang w:eastAsia="en-GB"/>
                  </w:rPr>
                  <m:t>=C</m:t>
                </m:r>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i+1</m:t>
                    </m:r>
                  </m:e>
                </m:d>
                <m:r>
                  <w:rPr>
                    <w:rFonts w:ascii="Cambria Math" w:eastAsia="Times New Roman" w:hAnsi="Cambria Math"/>
                    <w:noProof/>
                    <w:szCs w:val="24"/>
                    <w:lang w:eastAsia="en-GB"/>
                  </w:rPr>
                  <m:t>-C</m:t>
                </m:r>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i</m:t>
                    </m:r>
                  </m:e>
                </m:d>
              </m:oMath>
            </m:oMathPara>
          </w:p>
          <w:p w:rsidR="007800B2" w:rsidRDefault="00C71DE9">
            <w:pPr>
              <w:rPr>
                <w:rFonts w:eastAsia="Times New Roman"/>
                <w:noProof/>
                <w:szCs w:val="24"/>
                <w:lang w:eastAsia="en-GB"/>
              </w:rPr>
            </w:pPr>
            <w:r>
              <w:rPr>
                <w:rFonts w:eastAsia="Times New Roman"/>
                <w:noProof/>
                <w:szCs w:val="24"/>
                <w:lang w:eastAsia="en-GB"/>
              </w:rPr>
              <w:t>where:</w:t>
            </w:r>
          </w:p>
          <w:p w:rsidR="007800B2" w:rsidRDefault="00C71DE9">
            <w:pPr>
              <w:rPr>
                <w:rFonts w:eastAsia="Times New Roman"/>
                <w:noProof/>
                <w:szCs w:val="24"/>
                <w:lang w:eastAsia="en-GB"/>
              </w:rPr>
            </w:pPr>
            <m:oMath>
              <m:r>
                <w:rPr>
                  <w:rFonts w:ascii="Cambria Math" w:eastAsia="Times New Roman" w:hAnsi="Cambria Math"/>
                  <w:noProof/>
                  <w:szCs w:val="24"/>
                  <w:lang w:eastAsia="en-GB"/>
                </w:rPr>
                <m:t>i</m:t>
              </m:r>
            </m:oMath>
            <w:r>
              <w:rPr>
                <w:rFonts w:eastAsia="Times New Roman"/>
                <w:noProof/>
                <w:szCs w:val="24"/>
                <w:lang w:eastAsia="en-GB"/>
              </w:rPr>
              <w:t>= year</w:t>
            </w:r>
          </w:p>
          <w:p w:rsidR="007800B2" w:rsidRDefault="00C71DE9">
            <w:pPr>
              <w:rPr>
                <w:rFonts w:ascii="Cambria Math" w:eastAsia="Times New Roman" w:hAnsi="Cambria Math"/>
                <w:noProof/>
                <w:szCs w:val="24"/>
                <w:lang w:eastAsia="en-GB"/>
                <w:oMath/>
              </w:rPr>
            </w:pPr>
            <m:oMath>
              <m:r>
                <w:rPr>
                  <w:rFonts w:ascii="Cambria Math" w:eastAsia="Times New Roman" w:hAnsi="Cambria Math"/>
                  <w:noProof/>
                  <w:szCs w:val="24"/>
                  <w:lang w:eastAsia="en-GB"/>
                </w:rPr>
                <m:t>C(i)</m:t>
              </m:r>
            </m:oMath>
            <w:r>
              <w:rPr>
                <w:rFonts w:eastAsia="Times New Roman"/>
                <w:noProof/>
                <w:szCs w:val="24"/>
                <w:lang w:eastAsia="en-GB"/>
              </w:rPr>
              <w:t xml:space="preserve">= the carbon stock of the harvested wood products pool in the beginning of year i,  in </w:t>
            </w:r>
            <m:oMath>
              <m:r>
                <w:rPr>
                  <w:rFonts w:ascii="Cambria Math" w:eastAsia="Times New Roman" w:hAnsi="Cambria Math"/>
                  <w:noProof/>
                  <w:szCs w:val="24"/>
                  <w:lang w:eastAsia="en-GB"/>
                </w:rPr>
                <m:t>Gg C</m:t>
              </m:r>
            </m:oMath>
          </w:p>
          <w:p w:rsidR="007800B2" w:rsidRDefault="00C71DE9">
            <w:pPr>
              <w:rPr>
                <w:rFonts w:eastAsia="Times New Roman"/>
                <w:noProof/>
                <w:szCs w:val="24"/>
                <w:lang w:eastAsia="en-GB"/>
              </w:rPr>
            </w:pPr>
            <m:oMath>
              <m:r>
                <w:rPr>
                  <w:rFonts w:ascii="Cambria Math" w:eastAsia="Times New Roman" w:hAnsi="Cambria Math"/>
                  <w:noProof/>
                  <w:szCs w:val="24"/>
                  <w:lang w:eastAsia="en-GB"/>
                </w:rPr>
                <m:t>k</m:t>
              </m:r>
            </m:oMath>
            <w:r>
              <w:rPr>
                <w:rFonts w:eastAsia="Times New Roman"/>
                <w:noProof/>
                <w:szCs w:val="24"/>
                <w:lang w:eastAsia="en-GB"/>
              </w:rPr>
              <w:t>= decay constant of first-order decay given in units of year-1 (</w:t>
            </w:r>
            <m:oMath>
              <m:r>
                <w:rPr>
                  <w:rFonts w:ascii="Cambria Math" w:eastAsia="Times New Roman" w:hAnsi="Cambria Math"/>
                  <w:noProof/>
                  <w:szCs w:val="24"/>
                  <w:lang w:eastAsia="en-GB"/>
                </w:rPr>
                <m:t>k=</m:t>
              </m:r>
              <m:func>
                <m:funcPr>
                  <m:ctrlPr>
                    <w:rPr>
                      <w:rFonts w:ascii="Cambria Math" w:eastAsia="Times New Roman" w:hAnsi="Cambria Math"/>
                      <w:i/>
                      <w:noProof/>
                      <w:szCs w:val="24"/>
                      <w:lang w:eastAsia="en-GB"/>
                    </w:rPr>
                  </m:ctrlPr>
                </m:funcPr>
                <m:fName>
                  <m:r>
                    <m:rPr>
                      <m:sty m:val="p"/>
                    </m:rPr>
                    <w:rPr>
                      <w:rFonts w:ascii="Cambria Math" w:eastAsia="Times New Roman" w:hAnsi="Cambria Math"/>
                      <w:noProof/>
                      <w:szCs w:val="24"/>
                      <w:lang w:eastAsia="en-GB"/>
                    </w:rPr>
                    <m:t>ln</m:t>
                  </m:r>
                </m:fName>
                <m:e>
                  <m:d>
                    <m:dPr>
                      <m:ctrlPr>
                        <w:rPr>
                          <w:rFonts w:ascii="Cambria Math" w:eastAsia="Times New Roman" w:hAnsi="Cambria Math"/>
                          <w:i/>
                          <w:noProof/>
                          <w:szCs w:val="24"/>
                          <w:lang w:eastAsia="en-GB"/>
                        </w:rPr>
                      </m:ctrlPr>
                    </m:dPr>
                    <m:e>
                      <m:r>
                        <w:rPr>
                          <w:rFonts w:ascii="Cambria Math" w:eastAsia="Times New Roman" w:hAnsi="Cambria Math"/>
                          <w:noProof/>
                          <w:szCs w:val="24"/>
                          <w:lang w:eastAsia="en-GB"/>
                        </w:rPr>
                        <m:t>2</m:t>
                      </m:r>
                    </m:e>
                  </m:d>
                  <m:r>
                    <w:rPr>
                      <w:rFonts w:ascii="Cambria Math" w:eastAsia="Times New Roman" w:hAnsi="Cambria Math"/>
                      <w:noProof/>
                      <w:szCs w:val="24"/>
                      <w:lang w:eastAsia="en-GB"/>
                    </w:rPr>
                    <m:t>/HL</m:t>
                  </m:r>
                </m:e>
              </m:func>
            </m:oMath>
            <w:r>
              <w:rPr>
                <w:rFonts w:eastAsia="Times New Roman"/>
                <w:noProof/>
                <w:szCs w:val="24"/>
                <w:lang w:eastAsia="en-GB"/>
              </w:rPr>
              <w:drawing>
                <wp:inline distT="0" distB="0" distL="0" distR="0" wp14:anchorId="08683E0E" wp14:editId="2221582F">
                  <wp:extent cx="885190" cy="244475"/>
                  <wp:effectExtent l="0" t="0" r="0" b="3175"/>
                  <wp:docPr id="1" name="Picture 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u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190" cy="244475"/>
                          </a:xfrm>
                          <a:prstGeom prst="rect">
                            <a:avLst/>
                          </a:prstGeom>
                          <a:noFill/>
                          <a:ln>
                            <a:noFill/>
                          </a:ln>
                        </pic:spPr>
                      </pic:pic>
                    </a:graphicData>
                  </a:graphic>
                </wp:inline>
              </w:drawing>
            </w:r>
            <w:r>
              <w:rPr>
                <w:rFonts w:eastAsia="Times New Roman"/>
                <w:noProof/>
                <w:szCs w:val="24"/>
                <w:lang w:eastAsia="en-GB"/>
              </w:rPr>
              <w:t xml:space="preserve">, where </w:t>
            </w:r>
            <m:oMath>
              <m:r>
                <w:rPr>
                  <w:rFonts w:ascii="Cambria Math" w:eastAsia="Times New Roman" w:hAnsi="Cambria Math"/>
                  <w:noProof/>
                  <w:szCs w:val="24"/>
                  <w:lang w:eastAsia="en-GB"/>
                </w:rPr>
                <m:t>HL</m:t>
              </m:r>
            </m:oMath>
            <w:r>
              <w:rPr>
                <w:rFonts w:eastAsia="Times New Roman"/>
                <w:noProof/>
                <w:szCs w:val="24"/>
                <w:lang w:eastAsia="en-GB"/>
              </w:rPr>
              <w:t xml:space="preserve"> is half-life of the harvested wood products pool in years.)</w:t>
            </w:r>
          </w:p>
          <w:p w:rsidR="007800B2" w:rsidRDefault="00C71DE9">
            <w:pPr>
              <w:rPr>
                <w:rFonts w:eastAsia="Times New Roman"/>
                <w:noProof/>
                <w:szCs w:val="24"/>
                <w:lang w:eastAsia="en-GB"/>
              </w:rPr>
            </w:pPr>
            <m:oMath>
              <m:r>
                <w:rPr>
                  <w:rFonts w:ascii="Cambria Math" w:eastAsia="Times New Roman" w:hAnsi="Cambria Math"/>
                  <w:noProof/>
                  <w:szCs w:val="24"/>
                  <w:lang w:eastAsia="en-GB"/>
                </w:rPr>
                <m:t>Inflow(i)</m:t>
              </m:r>
            </m:oMath>
            <w:r>
              <w:rPr>
                <w:rFonts w:eastAsia="Times New Roman"/>
                <w:noProof/>
                <w:szCs w:val="24"/>
                <w:lang w:eastAsia="en-GB"/>
              </w:rPr>
              <w:t xml:space="preserve">= the inflow to the harvested wood products pool during year </w:t>
            </w:r>
            <m:oMath>
              <m:r>
                <w:rPr>
                  <w:rFonts w:ascii="Cambria Math" w:eastAsia="Times New Roman" w:hAnsi="Cambria Math"/>
                  <w:noProof/>
                  <w:szCs w:val="24"/>
                  <w:lang w:eastAsia="en-GB"/>
                </w:rPr>
                <m:t>i</m:t>
              </m:r>
            </m:oMath>
            <w:r>
              <w:rPr>
                <w:rFonts w:eastAsia="Times New Roman"/>
                <w:noProof/>
                <w:szCs w:val="24"/>
                <w:lang w:eastAsia="en-GB"/>
              </w:rPr>
              <w:t>, Gg C year-1</w:t>
            </w:r>
          </w:p>
          <w:p w:rsidR="007800B2" w:rsidRDefault="00C71DE9">
            <w:pPr>
              <w:rPr>
                <w:rFonts w:eastAsia="Times New Roman"/>
                <w:noProof/>
                <w:szCs w:val="24"/>
                <w:lang w:eastAsia="en-GB"/>
              </w:rPr>
            </w:pPr>
            <m:oMath>
              <m:r>
                <w:rPr>
                  <w:rFonts w:ascii="Cambria Math" w:eastAsia="Times New Roman" w:hAnsi="Cambria Math"/>
                  <w:noProof/>
                  <w:szCs w:val="24"/>
                  <w:lang w:eastAsia="en-GB"/>
                </w:rPr>
                <m:t>ΔC(i)</m:t>
              </m:r>
            </m:oMath>
            <w:r>
              <w:rPr>
                <w:rFonts w:eastAsia="Times New Roman"/>
                <w:noProof/>
                <w:szCs w:val="24"/>
                <w:lang w:eastAsia="en-GB"/>
              </w:rPr>
              <w:t xml:space="preserve">= carbon stock change of the harvested wood products pool during year </w:t>
            </w:r>
            <m:oMath>
              <m:r>
                <w:rPr>
                  <w:rFonts w:ascii="Cambria Math" w:eastAsia="Times New Roman" w:hAnsi="Cambria Math"/>
                  <w:noProof/>
                  <w:szCs w:val="24"/>
                  <w:lang w:eastAsia="en-GB"/>
                </w:rPr>
                <m:t>i</m:t>
              </m:r>
            </m:oMath>
            <w:r>
              <w:rPr>
                <w:rFonts w:eastAsia="Times New Roman"/>
                <w:noProof/>
                <w:szCs w:val="24"/>
                <w:lang w:eastAsia="en-GB"/>
              </w:rPr>
              <w:t>, Gg C year-1,</w:t>
            </w:r>
          </w:p>
          <w:p w:rsidR="007800B2" w:rsidRDefault="00C71DE9">
            <w:pPr>
              <w:rPr>
                <w:rFonts w:eastAsia="Times New Roman"/>
                <w:noProof/>
                <w:szCs w:val="24"/>
                <w:lang w:eastAsia="en-GB"/>
              </w:rPr>
            </w:pPr>
            <w:r>
              <w:rPr>
                <w:rFonts w:eastAsia="Times New Roman"/>
                <w:noProof/>
                <w:szCs w:val="24"/>
                <w:lang w:eastAsia="en-GB"/>
              </w:rPr>
              <w:t>Default half-life values:</w:t>
            </w:r>
          </w:p>
          <w:p w:rsidR="007800B2" w:rsidRDefault="00C71DE9">
            <w:pPr>
              <w:rPr>
                <w:rFonts w:eastAsia="Times New Roman"/>
                <w:noProof/>
                <w:szCs w:val="24"/>
                <w:lang w:eastAsia="en-GB"/>
              </w:rPr>
            </w:pPr>
            <w:r>
              <w:rPr>
                <w:rFonts w:eastAsia="Times New Roman"/>
                <w:noProof/>
                <w:szCs w:val="24"/>
                <w:lang w:eastAsia="en-GB"/>
              </w:rPr>
              <w:t>Half-life value means the number of years it takes for the quantity of carbon stored in a harvested wood products category to decrease to one half of its initial value. Default half-life values (HL):</w:t>
            </w:r>
          </w:p>
          <w:tbl>
            <w:tblPr>
              <w:tblW w:w="5000" w:type="pct"/>
              <w:tblCellSpacing w:w="0" w:type="dxa"/>
              <w:tblCellMar>
                <w:left w:w="0" w:type="dxa"/>
                <w:right w:w="0" w:type="dxa"/>
              </w:tblCellMar>
              <w:tblLook w:val="04A0" w:firstRow="1" w:lastRow="0" w:firstColumn="1" w:lastColumn="0" w:noHBand="0" w:noVBand="1"/>
            </w:tblPr>
            <w:tblGrid>
              <w:gridCol w:w="15"/>
              <w:gridCol w:w="8766"/>
            </w:tblGrid>
            <w:tr w:rsidR="007800B2">
              <w:trPr>
                <w:tblCellSpacing w:w="0" w:type="dxa"/>
              </w:trPr>
              <w:tc>
                <w:tcPr>
                  <w:tcW w:w="0" w:type="auto"/>
                  <w:hideMark/>
                </w:tcPr>
                <w:p w:rsidR="007800B2" w:rsidRDefault="007800B2">
                  <w:pPr>
                    <w:pStyle w:val="ListParagraph"/>
                    <w:numPr>
                      <w:ilvl w:val="0"/>
                      <w:numId w:val="9"/>
                    </w:numPr>
                    <w:spacing w:before="120" w:after="120" w:line="240" w:lineRule="auto"/>
                    <w:rPr>
                      <w:rFonts w:ascii="Times New Roman" w:eastAsia="Times New Roman" w:hAnsi="Times New Roman" w:cs="Times New Roman"/>
                      <w:noProof/>
                      <w:sz w:val="24"/>
                      <w:szCs w:val="24"/>
                      <w:lang w:eastAsia="en-GB"/>
                    </w:rPr>
                  </w:pPr>
                </w:p>
              </w:tc>
              <w:tc>
                <w:tcPr>
                  <w:tcW w:w="0" w:type="auto"/>
                  <w:hideMark/>
                </w:tcPr>
                <w:p w:rsidR="007800B2" w:rsidRDefault="00C71DE9">
                  <w:pPr>
                    <w:pStyle w:val="ListParagraph"/>
                    <w:numPr>
                      <w:ilvl w:val="0"/>
                      <w:numId w:val="10"/>
                    </w:numPr>
                    <w:spacing w:before="120" w:after="12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years for paper</w:t>
                  </w:r>
                </w:p>
              </w:tc>
            </w:tr>
            <w:tr w:rsidR="007800B2">
              <w:trPr>
                <w:tblCellSpacing w:w="0" w:type="dxa"/>
              </w:trPr>
              <w:tc>
                <w:tcPr>
                  <w:tcW w:w="0" w:type="auto"/>
                  <w:hideMark/>
                </w:tcPr>
                <w:p w:rsidR="007800B2" w:rsidRDefault="007800B2">
                  <w:pPr>
                    <w:pStyle w:val="ListParagraph"/>
                    <w:numPr>
                      <w:ilvl w:val="0"/>
                      <w:numId w:val="10"/>
                    </w:numPr>
                    <w:spacing w:before="120" w:after="120" w:line="240" w:lineRule="auto"/>
                    <w:rPr>
                      <w:rFonts w:ascii="Times New Roman" w:eastAsia="Times New Roman" w:hAnsi="Times New Roman" w:cs="Times New Roman"/>
                      <w:noProof/>
                      <w:sz w:val="24"/>
                      <w:szCs w:val="24"/>
                      <w:lang w:eastAsia="en-GB"/>
                    </w:rPr>
                  </w:pPr>
                </w:p>
              </w:tc>
              <w:tc>
                <w:tcPr>
                  <w:tcW w:w="0" w:type="auto"/>
                  <w:hideMark/>
                </w:tcPr>
                <w:p w:rsidR="007800B2" w:rsidRDefault="00C71DE9">
                  <w:pPr>
                    <w:pStyle w:val="ListParagraph"/>
                    <w:numPr>
                      <w:ilvl w:val="0"/>
                      <w:numId w:val="11"/>
                    </w:numPr>
                    <w:spacing w:before="120" w:after="12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 years for wood panels</w:t>
                  </w:r>
                </w:p>
              </w:tc>
            </w:tr>
            <w:tr w:rsidR="007800B2">
              <w:trPr>
                <w:tblCellSpacing w:w="0" w:type="dxa"/>
              </w:trPr>
              <w:tc>
                <w:tcPr>
                  <w:tcW w:w="0" w:type="auto"/>
                  <w:hideMark/>
                </w:tcPr>
                <w:p w:rsidR="007800B2" w:rsidRDefault="007800B2">
                  <w:pPr>
                    <w:pStyle w:val="ListParagraph"/>
                    <w:numPr>
                      <w:ilvl w:val="0"/>
                      <w:numId w:val="11"/>
                    </w:numPr>
                    <w:spacing w:before="120" w:after="120" w:line="240" w:lineRule="auto"/>
                    <w:rPr>
                      <w:rFonts w:ascii="Times New Roman" w:eastAsia="Times New Roman" w:hAnsi="Times New Roman" w:cs="Times New Roman"/>
                      <w:noProof/>
                      <w:sz w:val="24"/>
                      <w:szCs w:val="24"/>
                      <w:lang w:eastAsia="en-GB"/>
                    </w:rPr>
                  </w:pPr>
                </w:p>
              </w:tc>
              <w:tc>
                <w:tcPr>
                  <w:tcW w:w="0" w:type="auto"/>
                  <w:hideMark/>
                </w:tcPr>
                <w:p w:rsidR="007800B2" w:rsidRDefault="00C71DE9">
                  <w:pPr>
                    <w:pStyle w:val="ListParagraph"/>
                    <w:numPr>
                      <w:ilvl w:val="0"/>
                      <w:numId w:val="12"/>
                    </w:numPr>
                    <w:spacing w:before="120" w:after="12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 years for sawn wood.</w:t>
                  </w:r>
                </w:p>
              </w:tc>
            </w:tr>
          </w:tbl>
          <w:p w:rsidR="007800B2" w:rsidRDefault="007800B2">
            <w:pPr>
              <w:rPr>
                <w:rFonts w:eastAsia="Times New Roman"/>
                <w:noProof/>
                <w:szCs w:val="24"/>
                <w:lang w:eastAsia="en-GB"/>
              </w:rPr>
            </w:pPr>
          </w:p>
        </w:tc>
      </w:tr>
    </w:tbl>
    <w:p w:rsidR="007800B2" w:rsidRDefault="00C71DE9">
      <w:pPr>
        <w:spacing w:before="100" w:beforeAutospacing="1" w:after="100" w:afterAutospacing="1"/>
        <w:rPr>
          <w:noProof/>
          <w:lang w:eastAsia="en-GB"/>
        </w:rPr>
      </w:pPr>
      <w:r>
        <w:rPr>
          <w:rFonts w:eastAsia="Times New Roman"/>
          <w:noProof/>
          <w:szCs w:val="24"/>
          <w:lang w:eastAsia="en-GB"/>
        </w:rPr>
        <w:t>Member States may supplement those categories with information on bark, provided that the available data is transparent and verifiable. Member States may also use country-specific sub-categories of any of those categories.</w:t>
      </w:r>
    </w:p>
    <w:p w:rsidR="007800B2" w:rsidRDefault="00C71DE9">
      <w:pPr>
        <w:spacing w:before="100" w:beforeAutospacing="1" w:after="100" w:afterAutospacing="1"/>
        <w:jc w:val="center"/>
        <w:rPr>
          <w:b/>
          <w:noProof/>
          <w:szCs w:val="24"/>
        </w:rPr>
      </w:pPr>
      <w:r>
        <w:rPr>
          <w:b/>
          <w:noProof/>
          <w:szCs w:val="24"/>
        </w:rPr>
        <w:t>Annex VI: Calculation of background levels for natural disturbances</w:t>
      </w:r>
    </w:p>
    <w:p w:rsidR="007800B2" w:rsidRDefault="00C71DE9">
      <w:pPr>
        <w:pStyle w:val="CM4"/>
        <w:spacing w:before="60" w:after="60"/>
        <w:jc w:val="both"/>
        <w:rPr>
          <w:rFonts w:ascii="Times New Roman" w:hAnsi="Times New Roman" w:cs="Times New Roman"/>
          <w:noProof/>
          <w:color w:val="000000"/>
        </w:rPr>
      </w:pPr>
      <w:r>
        <w:rPr>
          <w:rFonts w:ascii="Times New Roman" w:hAnsi="Times New Roman" w:cs="Times New Roman"/>
          <w:noProof/>
          <w:color w:val="000000"/>
        </w:rPr>
        <w:t xml:space="preserve">1. For the calculation of the background level, the following information shall be provided: </w:t>
      </w:r>
    </w:p>
    <w:p w:rsidR="007800B2" w:rsidRDefault="007800B2">
      <w:pPr>
        <w:pStyle w:val="CM4"/>
        <w:spacing w:before="60" w:after="60"/>
        <w:jc w:val="both"/>
        <w:rPr>
          <w:rFonts w:ascii="Times New Roman" w:hAnsi="Times New Roman" w:cs="Times New Roman"/>
          <w:noProof/>
          <w:color w:val="000000"/>
        </w:rPr>
      </w:pPr>
    </w:p>
    <w:p w:rsidR="007800B2" w:rsidRDefault="00C71DE9">
      <w:pPr>
        <w:pStyle w:val="Point0letter"/>
        <w:numPr>
          <w:ilvl w:val="1"/>
          <w:numId w:val="14"/>
        </w:numPr>
        <w:rPr>
          <w:noProof/>
        </w:rPr>
      </w:pPr>
      <w:r>
        <w:rPr>
          <w:noProof/>
        </w:rPr>
        <w:t xml:space="preserve">historic levels of emissions caused by natural disturbances; </w:t>
      </w:r>
    </w:p>
    <w:p w:rsidR="007800B2" w:rsidRDefault="00C71DE9">
      <w:pPr>
        <w:pStyle w:val="Point0letter"/>
        <w:rPr>
          <w:noProof/>
        </w:rPr>
      </w:pPr>
      <w:r>
        <w:rPr>
          <w:noProof/>
        </w:rPr>
        <w:t xml:space="preserve">the type(s) of natural disturbance included in the estimation; </w:t>
      </w:r>
    </w:p>
    <w:p w:rsidR="007800B2" w:rsidRDefault="00C71DE9">
      <w:pPr>
        <w:pStyle w:val="Point0letter"/>
        <w:rPr>
          <w:noProof/>
        </w:rPr>
      </w:pPr>
      <w:r>
        <w:rPr>
          <w:noProof/>
        </w:rPr>
        <w:t xml:space="preserve">total annual emissions estimations for those natural disturbance types for the period 2001-2020, listed by land accounting categories; </w:t>
      </w:r>
    </w:p>
    <w:p w:rsidR="007800B2" w:rsidRDefault="00C71DE9">
      <w:pPr>
        <w:pStyle w:val="Point0letter"/>
        <w:rPr>
          <w:noProof/>
        </w:rPr>
      </w:pPr>
      <w:r>
        <w:rPr>
          <w:noProof/>
        </w:rPr>
        <w:t xml:space="preserve">demonstration of the time series consistency in all relevant parameters, including minimum area, emission estimation methodologies, coverages of pools and gases. </w:t>
      </w:r>
    </w:p>
    <w:p w:rsidR="007800B2" w:rsidRDefault="007800B2">
      <w:pPr>
        <w:pStyle w:val="CM4"/>
        <w:spacing w:before="60" w:after="60"/>
        <w:jc w:val="both"/>
        <w:rPr>
          <w:rFonts w:ascii="Times New Roman" w:hAnsi="Times New Roman" w:cs="Times New Roman"/>
          <w:noProof/>
          <w:color w:val="000000"/>
        </w:rPr>
      </w:pPr>
    </w:p>
    <w:p w:rsidR="007800B2" w:rsidRDefault="00C71DE9">
      <w:pPr>
        <w:pStyle w:val="CM4"/>
        <w:spacing w:before="60" w:after="60"/>
        <w:jc w:val="both"/>
        <w:rPr>
          <w:rFonts w:ascii="Times New Roman" w:hAnsi="Times New Roman" w:cs="Times New Roman"/>
          <w:noProof/>
          <w:color w:val="000000"/>
        </w:rPr>
      </w:pPr>
      <w:r>
        <w:rPr>
          <w:rFonts w:ascii="Times New Roman" w:hAnsi="Times New Roman" w:cs="Times New Roman"/>
          <w:noProof/>
          <w:color w:val="000000"/>
        </w:rPr>
        <w:t xml:space="preserve">2. The background level is calculated as the average of the 2001-2020 time series excluding all years where abnormal levels of emissions were recorded, i.e. excluding all statistical outliers. The identification of statistical outliers shall happen as follows: </w:t>
      </w:r>
    </w:p>
    <w:p w:rsidR="007800B2" w:rsidRDefault="00C71DE9">
      <w:pPr>
        <w:pStyle w:val="Point0letter"/>
        <w:numPr>
          <w:ilvl w:val="1"/>
          <w:numId w:val="15"/>
        </w:numPr>
        <w:rPr>
          <w:noProof/>
        </w:rPr>
      </w:pPr>
      <w:r>
        <w:rPr>
          <w:noProof/>
        </w:rPr>
        <w:t xml:space="preserve">calculate the arithmetic average value and the standard deviation of the full time series 2001-2020; </w:t>
      </w:r>
    </w:p>
    <w:p w:rsidR="007800B2" w:rsidRDefault="00C71DE9">
      <w:pPr>
        <w:pStyle w:val="Point0letter"/>
        <w:numPr>
          <w:ilvl w:val="1"/>
          <w:numId w:val="15"/>
        </w:numPr>
        <w:rPr>
          <w:noProof/>
        </w:rPr>
      </w:pPr>
      <w:r>
        <w:rPr>
          <w:noProof/>
        </w:rPr>
        <w:t xml:space="preserve">exclude from the time series all years where the annual emissions are outside twice the standard deviation around the average; </w:t>
      </w:r>
    </w:p>
    <w:p w:rsidR="007800B2" w:rsidRDefault="00C71DE9">
      <w:pPr>
        <w:pStyle w:val="Point0letter"/>
        <w:numPr>
          <w:ilvl w:val="1"/>
          <w:numId w:val="15"/>
        </w:numPr>
        <w:rPr>
          <w:noProof/>
        </w:rPr>
      </w:pPr>
      <w:r>
        <w:rPr>
          <w:noProof/>
        </w:rPr>
        <w:t xml:space="preserve">calculate again the arithmetic average value and the standard deviation of the time series 2001-2020 minus the years excluded in (b); </w:t>
      </w:r>
    </w:p>
    <w:p w:rsidR="007800B2" w:rsidRDefault="00C71DE9">
      <w:pPr>
        <w:pStyle w:val="Point0letter"/>
        <w:numPr>
          <w:ilvl w:val="1"/>
          <w:numId w:val="15"/>
        </w:numPr>
        <w:rPr>
          <w:rFonts w:eastAsia="Times New Roman"/>
          <w:noProof/>
          <w:szCs w:val="24"/>
          <w:lang w:eastAsia="en-GB"/>
        </w:rPr>
      </w:pPr>
      <w:r>
        <w:rPr>
          <w:noProof/>
          <w:szCs w:val="24"/>
        </w:rPr>
        <w:t>repeat (b) and (c) until no outliers can be identified.</w:t>
      </w:r>
    </w:p>
    <w:p w:rsidR="007800B2" w:rsidRDefault="00C71DE9">
      <w:pPr>
        <w:spacing w:before="100" w:beforeAutospacing="1" w:after="100" w:afterAutospacing="1"/>
        <w:rPr>
          <w:rFonts w:eastAsia="Times New Roman"/>
          <w:noProof/>
          <w:szCs w:val="24"/>
          <w:lang w:eastAsia="en-GB"/>
        </w:rPr>
      </w:pPr>
      <w:r>
        <w:rPr>
          <w:rFonts w:eastAsia="Times New Roman"/>
          <w:noProof/>
          <w:szCs w:val="24"/>
          <w:lang w:eastAsia="en-GB"/>
        </w:rPr>
        <w:t xml:space="preserve">3. After calculating the background level pursuant to point 2 of this Annex, if emissions  in a particular year in the periods from 2021 to 2025 and from 2026 to 2030 exceed the background level plus a margin, the amount of emissions exceeding the background level may be excluded in accordance with Article 10. The margin shall be equal to a probability level of 95%. </w:t>
      </w:r>
    </w:p>
    <w:p w:rsidR="007800B2" w:rsidRDefault="00C71DE9">
      <w:pPr>
        <w:spacing w:before="100" w:beforeAutospacing="1" w:after="100" w:afterAutospacing="1"/>
        <w:rPr>
          <w:rFonts w:eastAsia="Times New Roman"/>
          <w:noProof/>
          <w:szCs w:val="24"/>
          <w:lang w:eastAsia="en-GB"/>
        </w:rPr>
      </w:pPr>
      <w:r>
        <w:rPr>
          <w:rFonts w:eastAsia="Times New Roman"/>
          <w:noProof/>
          <w:szCs w:val="24"/>
          <w:lang w:eastAsia="en-GB"/>
        </w:rPr>
        <w:t xml:space="preserve">4.   The following emissions cannot be excluded:  </w:t>
      </w:r>
    </w:p>
    <w:p w:rsidR="007800B2" w:rsidRDefault="00C71DE9">
      <w:pPr>
        <w:pStyle w:val="Point0letter"/>
        <w:numPr>
          <w:ilvl w:val="1"/>
          <w:numId w:val="16"/>
        </w:numPr>
        <w:rPr>
          <w:noProof/>
          <w:lang w:eastAsia="en-GB"/>
        </w:rPr>
      </w:pPr>
      <w:r>
        <w:rPr>
          <w:noProof/>
          <w:lang w:eastAsia="en-GB"/>
        </w:rPr>
        <w:t>emissions resulting from harvesting and salvage logging activities that took place on those lands following the occurrence of the natural disturbances;</w:t>
      </w:r>
    </w:p>
    <w:p w:rsidR="007800B2" w:rsidRDefault="00C71DE9">
      <w:pPr>
        <w:pStyle w:val="Point0letter"/>
        <w:numPr>
          <w:ilvl w:val="1"/>
          <w:numId w:val="16"/>
        </w:numPr>
        <w:rPr>
          <w:noProof/>
          <w:lang w:eastAsia="en-GB"/>
        </w:rPr>
      </w:pPr>
      <w:r>
        <w:rPr>
          <w:noProof/>
          <w:lang w:eastAsia="en-GB"/>
        </w:rPr>
        <w:t>emissions resulting from prescribed burning that took place on those lands in that particular year of the period from 2021 to 2025 or from 2026 to 2030 ;</w:t>
      </w:r>
    </w:p>
    <w:p w:rsidR="007800B2" w:rsidRDefault="00C71DE9">
      <w:pPr>
        <w:pStyle w:val="Point0letter"/>
        <w:numPr>
          <w:ilvl w:val="1"/>
          <w:numId w:val="16"/>
        </w:numPr>
        <w:rPr>
          <w:noProof/>
          <w:lang w:eastAsia="en-GB"/>
        </w:rPr>
      </w:pPr>
      <w:r>
        <w:rPr>
          <w:noProof/>
          <w:lang w:eastAsia="en-GB"/>
        </w:rPr>
        <w:t xml:space="preserve">emissions on lands that were subject to deforestation following the occurrence of natural disturbances. </w:t>
      </w:r>
    </w:p>
    <w:p w:rsidR="007800B2" w:rsidRDefault="00C71DE9">
      <w:pPr>
        <w:spacing w:before="100" w:beforeAutospacing="1" w:after="100" w:afterAutospacing="1"/>
        <w:rPr>
          <w:rFonts w:eastAsia="Times New Roman"/>
          <w:noProof/>
          <w:szCs w:val="24"/>
          <w:lang w:eastAsia="en-GB"/>
        </w:rPr>
      </w:pPr>
      <w:r>
        <w:rPr>
          <w:rFonts w:eastAsia="Times New Roman"/>
          <w:noProof/>
          <w:szCs w:val="24"/>
          <w:lang w:eastAsia="en-GB"/>
        </w:rPr>
        <w:t xml:space="preserve">5.  Information requirements pursuant to Article 10(2) include the following: </w:t>
      </w:r>
    </w:p>
    <w:p w:rsidR="007800B2" w:rsidRDefault="00C71DE9">
      <w:pPr>
        <w:pStyle w:val="Point0letter"/>
        <w:numPr>
          <w:ilvl w:val="1"/>
          <w:numId w:val="17"/>
        </w:numPr>
        <w:rPr>
          <w:noProof/>
          <w:lang w:eastAsia="en-GB"/>
        </w:rPr>
      </w:pPr>
      <w:r>
        <w:rPr>
          <w:noProof/>
          <w:lang w:eastAsia="en-GB"/>
        </w:rPr>
        <w:t>identification of all land areas affected by natural disturbances in that particular year, including their geographical location, the period and types of natural disturbances;</w:t>
      </w:r>
    </w:p>
    <w:p w:rsidR="007800B2" w:rsidRDefault="00C71DE9">
      <w:pPr>
        <w:pStyle w:val="Point0letter"/>
        <w:numPr>
          <w:ilvl w:val="1"/>
          <w:numId w:val="17"/>
        </w:numPr>
        <w:rPr>
          <w:noProof/>
          <w:lang w:eastAsia="en-GB"/>
        </w:rPr>
      </w:pPr>
      <w:r>
        <w:rPr>
          <w:noProof/>
          <w:lang w:eastAsia="en-GB"/>
        </w:rPr>
        <w:t>evidence that no deforestation has occurred during the rest of the period from 2021 to 2025 or from 2026 to 2030 on lands that were affected by natural disturbances and in respect of which emissions were excluded from accounting;</w:t>
      </w:r>
    </w:p>
    <w:p w:rsidR="007800B2" w:rsidRDefault="00C71DE9">
      <w:pPr>
        <w:pStyle w:val="Point0letter"/>
        <w:numPr>
          <w:ilvl w:val="1"/>
          <w:numId w:val="17"/>
        </w:numPr>
        <w:rPr>
          <w:noProof/>
          <w:lang w:eastAsia="en-GB"/>
        </w:rPr>
      </w:pPr>
      <w:r>
        <w:rPr>
          <w:noProof/>
          <w:lang w:eastAsia="en-GB"/>
        </w:rPr>
        <w:t>description of verifiable methods and criteria to be used to identify deforestation on those lands in the subsequent years of the period from 2021 to 2025 or from 2026 to 2030 ;</w:t>
      </w:r>
    </w:p>
    <w:p w:rsidR="007800B2" w:rsidRDefault="00C71DE9">
      <w:pPr>
        <w:pStyle w:val="Point0letter"/>
        <w:numPr>
          <w:ilvl w:val="1"/>
          <w:numId w:val="17"/>
        </w:numPr>
        <w:rPr>
          <w:noProof/>
        </w:rPr>
      </w:pPr>
      <w:r>
        <w:rPr>
          <w:noProof/>
          <w:lang w:eastAsia="en-GB"/>
        </w:rPr>
        <w:t>where feasible, description of measures the Member State undertook to prevent or limit the impact of those natural disturbances;</w:t>
      </w:r>
    </w:p>
    <w:p w:rsidR="007800B2" w:rsidRDefault="00C71DE9">
      <w:pPr>
        <w:pStyle w:val="Point0letter"/>
        <w:numPr>
          <w:ilvl w:val="1"/>
          <w:numId w:val="17"/>
        </w:numPr>
        <w:rPr>
          <w:noProof/>
        </w:rPr>
      </w:pPr>
      <w:r>
        <w:rPr>
          <w:noProof/>
          <w:lang w:eastAsia="en-GB"/>
        </w:rPr>
        <w:t>where feasible, description of measures the Member State undertook to rehabilitate the lands affected by those natural disturbances.</w:t>
      </w:r>
    </w:p>
    <w:p w:rsidR="007800B2" w:rsidRDefault="007800B2">
      <w:pPr>
        <w:pStyle w:val="ListParagraph"/>
        <w:spacing w:before="100" w:beforeAutospacing="1" w:after="100" w:afterAutospacing="1" w:line="240" w:lineRule="auto"/>
        <w:jc w:val="both"/>
        <w:rPr>
          <w:rFonts w:ascii="Times New Roman" w:eastAsia="Times New Roman" w:hAnsi="Times New Roman" w:cs="Times New Roman"/>
          <w:noProof/>
          <w:sz w:val="24"/>
          <w:szCs w:val="24"/>
          <w:lang w:eastAsia="en-GB"/>
        </w:rPr>
      </w:pPr>
    </w:p>
    <w:p w:rsidR="007800B2" w:rsidRDefault="007800B2">
      <w:pPr>
        <w:pStyle w:val="Personnequisigne"/>
        <w:jc w:val="both"/>
        <w:rPr>
          <w:noProof/>
          <w:szCs w:val="24"/>
        </w:rPr>
      </w:pPr>
    </w:p>
    <w:p w:rsidR="007800B2" w:rsidRDefault="007800B2">
      <w:pPr>
        <w:pStyle w:val="Typedudocument"/>
        <w:rPr>
          <w:noProof/>
        </w:rPr>
      </w:pPr>
    </w:p>
    <w:sectPr w:rsidR="007800B2" w:rsidSect="007124DF">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B2" w:rsidRDefault="00C71DE9">
      <w:pPr>
        <w:spacing w:before="0" w:after="0"/>
      </w:pPr>
      <w:r>
        <w:separator/>
      </w:r>
    </w:p>
  </w:endnote>
  <w:endnote w:type="continuationSeparator" w:id="0">
    <w:p w:rsidR="007800B2" w:rsidRDefault="00C71D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5" w:rsidRDefault="005D55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8F" w:rsidRPr="007124DF" w:rsidRDefault="007124DF" w:rsidP="007124DF">
    <w:pPr>
      <w:pStyle w:val="Footer"/>
      <w:rPr>
        <w:rFonts w:ascii="Arial" w:hAnsi="Arial" w:cs="Arial"/>
        <w:b/>
        <w:sz w:val="48"/>
      </w:rPr>
    </w:pPr>
    <w:r w:rsidRPr="007124DF">
      <w:rPr>
        <w:rFonts w:ascii="Arial" w:hAnsi="Arial" w:cs="Arial"/>
        <w:b/>
        <w:sz w:val="48"/>
      </w:rPr>
      <w:t>EN</w:t>
    </w:r>
    <w:r w:rsidRPr="007124DF">
      <w:rPr>
        <w:rFonts w:ascii="Arial" w:hAnsi="Arial" w:cs="Arial"/>
        <w:b/>
        <w:sz w:val="48"/>
      </w:rPr>
      <w:tab/>
    </w:r>
    <w:r w:rsidRPr="007124DF">
      <w:rPr>
        <w:rFonts w:ascii="Arial" w:hAnsi="Arial" w:cs="Arial"/>
        <w:b/>
        <w:sz w:val="48"/>
      </w:rPr>
      <w:tab/>
    </w:r>
    <w:r w:rsidR="005D55C5">
      <w:fldChar w:fldCharType="begin"/>
    </w:r>
    <w:r w:rsidR="005D55C5">
      <w:instrText xml:space="preserve"> DOCVARIABLE "LW_Confidence" \* MERGEFORMAT </w:instrText>
    </w:r>
    <w:r w:rsidR="005D55C5">
      <w:fldChar w:fldCharType="separate"/>
    </w:r>
    <w:r>
      <w:t xml:space="preserve"> </w:t>
    </w:r>
    <w:r w:rsidR="005D55C5">
      <w:fldChar w:fldCharType="end"/>
    </w:r>
    <w:r w:rsidRPr="007124DF">
      <w:tab/>
    </w:r>
    <w:proofErr w:type="spellStart"/>
    <w:r w:rsidRPr="007124DF">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5" w:rsidRDefault="005D55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DF" w:rsidRPr="007124DF" w:rsidRDefault="007124DF" w:rsidP="007124DF">
    <w:pPr>
      <w:pStyle w:val="Footer"/>
      <w:rPr>
        <w:rFonts w:ascii="Arial" w:hAnsi="Arial" w:cs="Arial"/>
        <w:b/>
        <w:sz w:val="48"/>
      </w:rPr>
    </w:pPr>
    <w:r w:rsidRPr="007124DF">
      <w:rPr>
        <w:rFonts w:ascii="Arial" w:hAnsi="Arial" w:cs="Arial"/>
        <w:b/>
        <w:sz w:val="48"/>
      </w:rPr>
      <w:t>EN</w:t>
    </w:r>
    <w:r w:rsidRPr="007124DF">
      <w:rPr>
        <w:rFonts w:ascii="Arial" w:hAnsi="Arial" w:cs="Arial"/>
        <w:b/>
        <w:sz w:val="48"/>
      </w:rPr>
      <w:tab/>
    </w:r>
    <w:r>
      <w:fldChar w:fldCharType="begin"/>
    </w:r>
    <w:r>
      <w:instrText xml:space="preserve"> PAGE  \* MERGEFORMAT </w:instrText>
    </w:r>
    <w:r>
      <w:fldChar w:fldCharType="separate"/>
    </w:r>
    <w:r w:rsidR="005D55C5">
      <w:rPr>
        <w:noProof/>
      </w:rPr>
      <w:t>3</w:t>
    </w:r>
    <w:r>
      <w:fldChar w:fldCharType="end"/>
    </w:r>
    <w:r>
      <w:tab/>
    </w:r>
    <w:r w:rsidR="005D55C5">
      <w:fldChar w:fldCharType="begin"/>
    </w:r>
    <w:r w:rsidR="005D55C5">
      <w:instrText xml:space="preserve"> DOCVARIABLE "LW_Confidence" \* MERGEFORMAT </w:instrText>
    </w:r>
    <w:r w:rsidR="005D55C5">
      <w:fldChar w:fldCharType="separate"/>
    </w:r>
    <w:r>
      <w:t xml:space="preserve"> </w:t>
    </w:r>
    <w:r w:rsidR="005D55C5">
      <w:fldChar w:fldCharType="end"/>
    </w:r>
    <w:r w:rsidRPr="007124DF">
      <w:tab/>
    </w:r>
    <w:r w:rsidRPr="007124DF">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DF" w:rsidRPr="007124DF" w:rsidRDefault="007124DF" w:rsidP="00712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B2" w:rsidRDefault="00C71DE9">
      <w:pPr>
        <w:spacing w:before="0" w:after="0"/>
      </w:pPr>
      <w:r>
        <w:separator/>
      </w:r>
    </w:p>
  </w:footnote>
  <w:footnote w:type="continuationSeparator" w:id="0">
    <w:p w:rsidR="007800B2" w:rsidRDefault="00C71DE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5" w:rsidRDefault="005D5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5" w:rsidRDefault="005D55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5" w:rsidRDefault="005D5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68D3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88253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EC3B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7029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EAA5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C65E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8A14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BE852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7036C9"/>
    <w:multiLevelType w:val="hybridMultilevel"/>
    <w:tmpl w:val="4CF2416A"/>
    <w:lvl w:ilvl="0" w:tplc="6CBAAE8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3E1722"/>
    <w:multiLevelType w:val="hybridMultilevel"/>
    <w:tmpl w:val="4CF2416A"/>
    <w:lvl w:ilvl="0" w:tplc="6CBAAE8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C24BA4"/>
    <w:multiLevelType w:val="hybridMultilevel"/>
    <w:tmpl w:val="18C25238"/>
    <w:lvl w:ilvl="0" w:tplc="6E2AAE38">
      <w:start w:val="3"/>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AF77D65"/>
    <w:multiLevelType w:val="hybridMultilevel"/>
    <w:tmpl w:val="B7245122"/>
    <w:lvl w:ilvl="0" w:tplc="0614A572">
      <w:start w:val="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8"/>
  </w:num>
  <w:num w:numId="11">
    <w:abstractNumId w:val="19"/>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5"/>
  </w:num>
  <w:num w:numId="25">
    <w:abstractNumId w:val="24"/>
  </w:num>
  <w:num w:numId="26">
    <w:abstractNumId w:val="14"/>
  </w:num>
  <w:num w:numId="27">
    <w:abstractNumId w:val="16"/>
  </w:num>
  <w:num w:numId="28">
    <w:abstractNumId w:val="12"/>
  </w:num>
  <w:num w:numId="29">
    <w:abstractNumId w:val="23"/>
  </w:num>
  <w:num w:numId="30">
    <w:abstractNumId w:val="11"/>
  </w:num>
  <w:num w:numId="31">
    <w:abstractNumId w:val="17"/>
  </w:num>
  <w:num w:numId="32">
    <w:abstractNumId w:val="20"/>
  </w:num>
  <w:num w:numId="33">
    <w:abstractNumId w:val="21"/>
  </w:num>
  <w:num w:numId="34">
    <w:abstractNumId w:val="13"/>
  </w:num>
  <w:num w:numId="35">
    <w:abstractNumId w:val="18"/>
  </w:num>
  <w:num w:numId="36">
    <w:abstractNumId w:val="25"/>
  </w:num>
  <w:num w:numId="37">
    <w:abstractNumId w:val="22"/>
  </w:num>
  <w:num w:numId="38">
    <w:abstractNumId w:val="15"/>
  </w:num>
  <w:num w:numId="39">
    <w:abstractNumId w:val="24"/>
  </w:num>
  <w:num w:numId="40">
    <w:abstractNumId w:val="14"/>
  </w:num>
  <w:num w:numId="41">
    <w:abstractNumId w:val="16"/>
  </w:num>
  <w:num w:numId="42">
    <w:abstractNumId w:val="12"/>
  </w:num>
  <w:num w:numId="43">
    <w:abstractNumId w:val="23"/>
  </w:num>
  <w:num w:numId="44">
    <w:abstractNumId w:val="11"/>
  </w:num>
  <w:num w:numId="45">
    <w:abstractNumId w:val="17"/>
  </w:num>
  <w:num w:numId="46">
    <w:abstractNumId w:val="20"/>
  </w:num>
  <w:num w:numId="47">
    <w:abstractNumId w:val="21"/>
  </w:num>
  <w:num w:numId="48">
    <w:abstractNumId w:val="13"/>
  </w:num>
  <w:num w:numId="49">
    <w:abstractNumId w:val="18"/>
  </w:num>
  <w:num w:numId="50">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0 09:49: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9"/>
    <w:docVar w:name="DQCStatus" w:val="Green"/>
    <w:docVar w:name="DQCVersion" w:val="3"/>
    <w:docVar w:name="DQCWithWarnings" w:val="0"/>
    <w:docVar w:name="LW_ACCOMPAGNANT.CP" w:val="to the"/>
    <w:docVar w:name="LW_ANNEX_NBR_FIRST" w:val="1"/>
    <w:docVar w:name="LW_ANNEX_NBR_LAST" w:val="6"/>
    <w:docVar w:name="LW_CONFIDENCE" w:val=" "/>
    <w:docVar w:name="LW_CONST_RESTREINT_UE" w:val="RESTREINT UE/EU RESTRICTED"/>
    <w:docVar w:name="LW_CORRIGENDUM" w:val="&lt;UNUSED&gt;"/>
    <w:docVar w:name="LW_COVERPAGE_GUID" w:val="81A6B7B1782F4672A3BE0829B4142390"/>
    <w:docVar w:name="LW_CROSSREFERENCE" w:val="{SWD(2016) 246 final}_x000b_{SWD(2016) 249 final}"/>
    <w:docVar w:name="LW_DocType" w:val="ANNEX"/>
    <w:docVar w:name="LW_EMISSION" w:val="20.7.2016"/>
    <w:docVar w:name="LW_EMISSION_ISODATE" w:val="2016-07-2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_x000b__x000b__x000b_"/>
    <w:docVar w:name="LW_PART_NBR" w:val="&lt;UNUSED&gt;"/>
    <w:docVar w:name="LW_PART_NBR_TOTAL" w:val="&lt;UNUSED&gt;"/>
    <w:docVar w:name="LW_REF.INST.NEW" w:val="COM"/>
    <w:docVar w:name="LW_REF.INST.NEW_ADOPTED" w:val="final"/>
    <w:docVar w:name="LW_REF.INST.NEW_TEXT" w:val="(2016) 479"/>
    <w:docVar w:name="LW_REF.INTERNE" w:val="&lt;UNUSED&gt;"/>
    <w:docVar w:name="LW_SUPERTITRE" w:val="&lt;UNUSED&gt;"/>
    <w:docVar w:name="LW_TITRE.OBJ.CP" w:val="&lt;UNUSED&gt;"/>
    <w:docVar w:name="LW_TYPE.DOC.CP" w:val="ANNEXES"/>
    <w:docVar w:name="LW_TYPEACTEPRINCIPAL.CP" w:val="Proposal for a_x000b_REGULATION OF THE EUROPEAN PARLIAMENT AND OF THE COUNCIL_x000b_"/>
  </w:docVars>
  <w:rsids>
    <w:rsidRoot w:val="007800B2"/>
    <w:rsid w:val="00577E8F"/>
    <w:rsid w:val="005D55C5"/>
    <w:rsid w:val="007124DF"/>
    <w:rsid w:val="007800B2"/>
    <w:rsid w:val="00C7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uiPriority w:val="99"/>
    <w:rPr>
      <w:sz w:val="16"/>
      <w:szCs w:val="16"/>
      <w:shd w:val="clear" w:color="auto" w:fill="FFFFFF"/>
    </w:rPr>
  </w:style>
  <w:style w:type="character" w:customStyle="1" w:styleId="Corpsdutexte6">
    <w:name w:val="Corps du texte (6)_"/>
    <w:basedOn w:val="DefaultParagraphFont"/>
    <w:uiPriority w:val="99"/>
    <w:rPr>
      <w:sz w:val="13"/>
      <w:szCs w:val="13"/>
      <w:shd w:val="clear" w:color="auto" w:fill="FFFFFF"/>
    </w:rPr>
  </w:style>
  <w:style w:type="character" w:customStyle="1" w:styleId="Corpsdutexte60">
    <w:name w:val="Corps du texte (6)"/>
    <w:basedOn w:val="Corpsdutexte6"/>
    <w:uiPriority w:val="99"/>
    <w:rPr>
      <w:color w:val="1A171C"/>
      <w:sz w:val="13"/>
      <w:szCs w:val="13"/>
      <w:shd w:val="clear" w:color="auto" w:fill="FFFFFF"/>
    </w:rPr>
  </w:style>
  <w:style w:type="character" w:customStyle="1" w:styleId="Corpsdutexte3">
    <w:name w:val="Corps du texte3"/>
    <w:basedOn w:val="Corpsdutexte"/>
    <w:uiPriority w:val="99"/>
    <w:rPr>
      <w:color w:val="1A171C"/>
      <w:sz w:val="16"/>
      <w:szCs w:val="16"/>
      <w:shd w:val="clear" w:color="auto" w:fill="FFFFFF"/>
    </w:rPr>
  </w:style>
  <w:style w:type="paragraph" w:customStyle="1" w:styleId="Corpsdutexte1">
    <w:name w:val="Corps du texte1"/>
    <w:basedOn w:val="Normal"/>
    <w:uiPriority w:val="99"/>
    <w:pPr>
      <w:widowControl w:val="0"/>
      <w:shd w:val="clear" w:color="auto" w:fill="FFFFFF"/>
      <w:spacing w:before="0" w:after="480" w:line="192" w:lineRule="exact"/>
      <w:ind w:hanging="500"/>
    </w:pPr>
    <w:rPr>
      <w:rFonts w:asciiTheme="minorHAnsi" w:hAnsiTheme="minorHAnsi" w:cstheme="minorBidi"/>
      <w:sz w:val="16"/>
      <w:szCs w:val="16"/>
      <w:lang w:val="en-US"/>
    </w:rPr>
  </w:style>
  <w:style w:type="paragraph" w:customStyle="1" w:styleId="Corpsdutexte61">
    <w:name w:val="Corps du texte (6)1"/>
    <w:basedOn w:val="Normal"/>
    <w:uiPriority w:val="99"/>
    <w:pPr>
      <w:widowControl w:val="0"/>
      <w:shd w:val="clear" w:color="auto" w:fill="FFFFFF"/>
      <w:spacing w:before="0" w:after="0" w:line="168" w:lineRule="exact"/>
      <w:jc w:val="center"/>
    </w:pPr>
    <w:rPr>
      <w:rFonts w:asciiTheme="minorHAnsi" w:hAnsiTheme="minorHAnsi" w:cstheme="minorBidi"/>
      <w:sz w:val="13"/>
      <w:szCs w:val="13"/>
      <w:lang w:val="en-US"/>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bl-norm">
    <w:name w:val="tbl-norm"/>
    <w:basedOn w:val="Normal"/>
    <w:pPr>
      <w:spacing w:before="60" w:after="60"/>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37"/>
      </w:numPr>
    </w:pPr>
  </w:style>
  <w:style w:type="paragraph" w:customStyle="1" w:styleId="Tiret1">
    <w:name w:val="Tiret 1"/>
    <w:basedOn w:val="Point1"/>
    <w:rsid w:val="0075503A"/>
    <w:pPr>
      <w:numPr>
        <w:numId w:val="38"/>
      </w:numPr>
    </w:pPr>
  </w:style>
  <w:style w:type="paragraph" w:customStyle="1" w:styleId="Tiret2">
    <w:name w:val="Tiret 2"/>
    <w:basedOn w:val="Point2"/>
    <w:rsid w:val="0075503A"/>
    <w:pPr>
      <w:numPr>
        <w:numId w:val="39"/>
      </w:numPr>
    </w:pPr>
  </w:style>
  <w:style w:type="paragraph" w:customStyle="1" w:styleId="Tiret3">
    <w:name w:val="Tiret 3"/>
    <w:basedOn w:val="Point3"/>
    <w:rsid w:val="0075503A"/>
    <w:pPr>
      <w:numPr>
        <w:numId w:val="40"/>
      </w:numPr>
    </w:pPr>
  </w:style>
  <w:style w:type="paragraph" w:customStyle="1" w:styleId="Tiret4">
    <w:name w:val="Tiret 4"/>
    <w:basedOn w:val="Point4"/>
    <w:rsid w:val="0075503A"/>
    <w:pPr>
      <w:numPr>
        <w:numId w:val="41"/>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42"/>
      </w:numPr>
    </w:pPr>
  </w:style>
  <w:style w:type="paragraph" w:customStyle="1" w:styleId="NumPar2">
    <w:name w:val="NumPar 2"/>
    <w:basedOn w:val="Normal"/>
    <w:next w:val="Text1"/>
    <w:rsid w:val="0075503A"/>
    <w:pPr>
      <w:numPr>
        <w:ilvl w:val="1"/>
        <w:numId w:val="42"/>
      </w:numPr>
    </w:pPr>
  </w:style>
  <w:style w:type="paragraph" w:customStyle="1" w:styleId="NumPar3">
    <w:name w:val="NumPar 3"/>
    <w:basedOn w:val="Normal"/>
    <w:next w:val="Text1"/>
    <w:rsid w:val="0075503A"/>
    <w:pPr>
      <w:numPr>
        <w:ilvl w:val="2"/>
        <w:numId w:val="42"/>
      </w:numPr>
    </w:pPr>
  </w:style>
  <w:style w:type="paragraph" w:customStyle="1" w:styleId="NumPar4">
    <w:name w:val="NumPar 4"/>
    <w:basedOn w:val="Normal"/>
    <w:next w:val="Text1"/>
    <w:rsid w:val="0075503A"/>
    <w:pPr>
      <w:numPr>
        <w:ilvl w:val="3"/>
        <w:numId w:val="42"/>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44"/>
      </w:numPr>
    </w:pPr>
  </w:style>
  <w:style w:type="paragraph" w:customStyle="1" w:styleId="Point1number">
    <w:name w:val="Point 1 (number)"/>
    <w:basedOn w:val="Normal"/>
    <w:rsid w:val="0075503A"/>
    <w:pPr>
      <w:numPr>
        <w:ilvl w:val="2"/>
        <w:numId w:val="44"/>
      </w:numPr>
    </w:pPr>
  </w:style>
  <w:style w:type="paragraph" w:customStyle="1" w:styleId="Point2number">
    <w:name w:val="Point 2 (number)"/>
    <w:basedOn w:val="Normal"/>
    <w:rsid w:val="0075503A"/>
    <w:pPr>
      <w:numPr>
        <w:ilvl w:val="4"/>
        <w:numId w:val="44"/>
      </w:numPr>
    </w:pPr>
  </w:style>
  <w:style w:type="paragraph" w:customStyle="1" w:styleId="Point3number">
    <w:name w:val="Point 3 (number)"/>
    <w:basedOn w:val="Normal"/>
    <w:rsid w:val="0075503A"/>
    <w:pPr>
      <w:numPr>
        <w:ilvl w:val="6"/>
        <w:numId w:val="44"/>
      </w:numPr>
    </w:pPr>
  </w:style>
  <w:style w:type="paragraph" w:customStyle="1" w:styleId="Point0letter">
    <w:name w:val="Point 0 (letter)"/>
    <w:basedOn w:val="Normal"/>
    <w:rsid w:val="0075503A"/>
    <w:pPr>
      <w:numPr>
        <w:ilvl w:val="1"/>
        <w:numId w:val="44"/>
      </w:numPr>
    </w:pPr>
  </w:style>
  <w:style w:type="paragraph" w:customStyle="1" w:styleId="Point1letter">
    <w:name w:val="Point 1 (letter)"/>
    <w:basedOn w:val="Normal"/>
    <w:rsid w:val="0075503A"/>
    <w:pPr>
      <w:numPr>
        <w:ilvl w:val="3"/>
        <w:numId w:val="44"/>
      </w:numPr>
    </w:pPr>
  </w:style>
  <w:style w:type="paragraph" w:customStyle="1" w:styleId="Point2letter">
    <w:name w:val="Point 2 (letter)"/>
    <w:basedOn w:val="Normal"/>
    <w:rsid w:val="0075503A"/>
    <w:pPr>
      <w:numPr>
        <w:ilvl w:val="5"/>
        <w:numId w:val="44"/>
      </w:numPr>
    </w:pPr>
  </w:style>
  <w:style w:type="paragraph" w:customStyle="1" w:styleId="Point3letter">
    <w:name w:val="Point 3 (letter)"/>
    <w:basedOn w:val="Normal"/>
    <w:rsid w:val="0075503A"/>
    <w:pPr>
      <w:numPr>
        <w:ilvl w:val="7"/>
        <w:numId w:val="44"/>
      </w:numPr>
    </w:pPr>
  </w:style>
  <w:style w:type="paragraph" w:customStyle="1" w:styleId="Point4letter">
    <w:name w:val="Point 4 (letter)"/>
    <w:basedOn w:val="Normal"/>
    <w:rsid w:val="0075503A"/>
    <w:pPr>
      <w:numPr>
        <w:ilvl w:val="8"/>
        <w:numId w:val="44"/>
      </w:numPr>
    </w:pPr>
  </w:style>
  <w:style w:type="paragraph" w:customStyle="1" w:styleId="Bullet0">
    <w:name w:val="Bullet 0"/>
    <w:basedOn w:val="Normal"/>
    <w:rsid w:val="0075503A"/>
    <w:pPr>
      <w:numPr>
        <w:numId w:val="45"/>
      </w:numPr>
    </w:pPr>
  </w:style>
  <w:style w:type="paragraph" w:customStyle="1" w:styleId="Bullet1">
    <w:name w:val="Bullet 1"/>
    <w:basedOn w:val="Normal"/>
    <w:rsid w:val="0075503A"/>
    <w:pPr>
      <w:numPr>
        <w:numId w:val="46"/>
      </w:numPr>
    </w:pPr>
  </w:style>
  <w:style w:type="paragraph" w:customStyle="1" w:styleId="Bullet2">
    <w:name w:val="Bullet 2"/>
    <w:basedOn w:val="Normal"/>
    <w:rsid w:val="0075503A"/>
    <w:pPr>
      <w:numPr>
        <w:numId w:val="47"/>
      </w:numPr>
    </w:pPr>
  </w:style>
  <w:style w:type="paragraph" w:customStyle="1" w:styleId="Bullet3">
    <w:name w:val="Bullet 3"/>
    <w:basedOn w:val="Normal"/>
    <w:rsid w:val="0075503A"/>
    <w:pPr>
      <w:numPr>
        <w:numId w:val="48"/>
      </w:numPr>
    </w:pPr>
  </w:style>
  <w:style w:type="paragraph" w:customStyle="1" w:styleId="Bullet4">
    <w:name w:val="Bullet 4"/>
    <w:basedOn w:val="Normal"/>
    <w:rsid w:val="0075503A"/>
    <w:pPr>
      <w:numPr>
        <w:numId w:val="49"/>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50"/>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uiPriority w:val="99"/>
    <w:rPr>
      <w:sz w:val="16"/>
      <w:szCs w:val="16"/>
      <w:shd w:val="clear" w:color="auto" w:fill="FFFFFF"/>
    </w:rPr>
  </w:style>
  <w:style w:type="character" w:customStyle="1" w:styleId="Corpsdutexte6">
    <w:name w:val="Corps du texte (6)_"/>
    <w:basedOn w:val="DefaultParagraphFont"/>
    <w:uiPriority w:val="99"/>
    <w:rPr>
      <w:sz w:val="13"/>
      <w:szCs w:val="13"/>
      <w:shd w:val="clear" w:color="auto" w:fill="FFFFFF"/>
    </w:rPr>
  </w:style>
  <w:style w:type="character" w:customStyle="1" w:styleId="Corpsdutexte60">
    <w:name w:val="Corps du texte (6)"/>
    <w:basedOn w:val="Corpsdutexte6"/>
    <w:uiPriority w:val="99"/>
    <w:rPr>
      <w:color w:val="1A171C"/>
      <w:sz w:val="13"/>
      <w:szCs w:val="13"/>
      <w:shd w:val="clear" w:color="auto" w:fill="FFFFFF"/>
    </w:rPr>
  </w:style>
  <w:style w:type="character" w:customStyle="1" w:styleId="Corpsdutexte3">
    <w:name w:val="Corps du texte3"/>
    <w:basedOn w:val="Corpsdutexte"/>
    <w:uiPriority w:val="99"/>
    <w:rPr>
      <w:color w:val="1A171C"/>
      <w:sz w:val="16"/>
      <w:szCs w:val="16"/>
      <w:shd w:val="clear" w:color="auto" w:fill="FFFFFF"/>
    </w:rPr>
  </w:style>
  <w:style w:type="paragraph" w:customStyle="1" w:styleId="Corpsdutexte1">
    <w:name w:val="Corps du texte1"/>
    <w:basedOn w:val="Normal"/>
    <w:uiPriority w:val="99"/>
    <w:pPr>
      <w:widowControl w:val="0"/>
      <w:shd w:val="clear" w:color="auto" w:fill="FFFFFF"/>
      <w:spacing w:before="0" w:after="480" w:line="192" w:lineRule="exact"/>
      <w:ind w:hanging="500"/>
    </w:pPr>
    <w:rPr>
      <w:rFonts w:asciiTheme="minorHAnsi" w:hAnsiTheme="minorHAnsi" w:cstheme="minorBidi"/>
      <w:sz w:val="16"/>
      <w:szCs w:val="16"/>
      <w:lang w:val="en-US"/>
    </w:rPr>
  </w:style>
  <w:style w:type="paragraph" w:customStyle="1" w:styleId="Corpsdutexte61">
    <w:name w:val="Corps du texte (6)1"/>
    <w:basedOn w:val="Normal"/>
    <w:uiPriority w:val="99"/>
    <w:pPr>
      <w:widowControl w:val="0"/>
      <w:shd w:val="clear" w:color="auto" w:fill="FFFFFF"/>
      <w:spacing w:before="0" w:after="0" w:line="168" w:lineRule="exact"/>
      <w:jc w:val="center"/>
    </w:pPr>
    <w:rPr>
      <w:rFonts w:asciiTheme="minorHAnsi" w:hAnsiTheme="minorHAnsi" w:cstheme="minorBidi"/>
      <w:sz w:val="13"/>
      <w:szCs w:val="13"/>
      <w:lang w:val="en-US"/>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bl-norm">
    <w:name w:val="tbl-norm"/>
    <w:basedOn w:val="Normal"/>
    <w:pPr>
      <w:spacing w:before="60" w:after="60"/>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37"/>
      </w:numPr>
    </w:pPr>
  </w:style>
  <w:style w:type="paragraph" w:customStyle="1" w:styleId="Tiret1">
    <w:name w:val="Tiret 1"/>
    <w:basedOn w:val="Point1"/>
    <w:rsid w:val="0075503A"/>
    <w:pPr>
      <w:numPr>
        <w:numId w:val="38"/>
      </w:numPr>
    </w:pPr>
  </w:style>
  <w:style w:type="paragraph" w:customStyle="1" w:styleId="Tiret2">
    <w:name w:val="Tiret 2"/>
    <w:basedOn w:val="Point2"/>
    <w:rsid w:val="0075503A"/>
    <w:pPr>
      <w:numPr>
        <w:numId w:val="39"/>
      </w:numPr>
    </w:pPr>
  </w:style>
  <w:style w:type="paragraph" w:customStyle="1" w:styleId="Tiret3">
    <w:name w:val="Tiret 3"/>
    <w:basedOn w:val="Point3"/>
    <w:rsid w:val="0075503A"/>
    <w:pPr>
      <w:numPr>
        <w:numId w:val="40"/>
      </w:numPr>
    </w:pPr>
  </w:style>
  <w:style w:type="paragraph" w:customStyle="1" w:styleId="Tiret4">
    <w:name w:val="Tiret 4"/>
    <w:basedOn w:val="Point4"/>
    <w:rsid w:val="0075503A"/>
    <w:pPr>
      <w:numPr>
        <w:numId w:val="41"/>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42"/>
      </w:numPr>
    </w:pPr>
  </w:style>
  <w:style w:type="paragraph" w:customStyle="1" w:styleId="NumPar2">
    <w:name w:val="NumPar 2"/>
    <w:basedOn w:val="Normal"/>
    <w:next w:val="Text1"/>
    <w:rsid w:val="0075503A"/>
    <w:pPr>
      <w:numPr>
        <w:ilvl w:val="1"/>
        <w:numId w:val="42"/>
      </w:numPr>
    </w:pPr>
  </w:style>
  <w:style w:type="paragraph" w:customStyle="1" w:styleId="NumPar3">
    <w:name w:val="NumPar 3"/>
    <w:basedOn w:val="Normal"/>
    <w:next w:val="Text1"/>
    <w:rsid w:val="0075503A"/>
    <w:pPr>
      <w:numPr>
        <w:ilvl w:val="2"/>
        <w:numId w:val="42"/>
      </w:numPr>
    </w:pPr>
  </w:style>
  <w:style w:type="paragraph" w:customStyle="1" w:styleId="NumPar4">
    <w:name w:val="NumPar 4"/>
    <w:basedOn w:val="Normal"/>
    <w:next w:val="Text1"/>
    <w:rsid w:val="0075503A"/>
    <w:pPr>
      <w:numPr>
        <w:ilvl w:val="3"/>
        <w:numId w:val="42"/>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44"/>
      </w:numPr>
    </w:pPr>
  </w:style>
  <w:style w:type="paragraph" w:customStyle="1" w:styleId="Point1number">
    <w:name w:val="Point 1 (number)"/>
    <w:basedOn w:val="Normal"/>
    <w:rsid w:val="0075503A"/>
    <w:pPr>
      <w:numPr>
        <w:ilvl w:val="2"/>
        <w:numId w:val="44"/>
      </w:numPr>
    </w:pPr>
  </w:style>
  <w:style w:type="paragraph" w:customStyle="1" w:styleId="Point2number">
    <w:name w:val="Point 2 (number)"/>
    <w:basedOn w:val="Normal"/>
    <w:rsid w:val="0075503A"/>
    <w:pPr>
      <w:numPr>
        <w:ilvl w:val="4"/>
        <w:numId w:val="44"/>
      </w:numPr>
    </w:pPr>
  </w:style>
  <w:style w:type="paragraph" w:customStyle="1" w:styleId="Point3number">
    <w:name w:val="Point 3 (number)"/>
    <w:basedOn w:val="Normal"/>
    <w:rsid w:val="0075503A"/>
    <w:pPr>
      <w:numPr>
        <w:ilvl w:val="6"/>
        <w:numId w:val="44"/>
      </w:numPr>
    </w:pPr>
  </w:style>
  <w:style w:type="paragraph" w:customStyle="1" w:styleId="Point0letter">
    <w:name w:val="Point 0 (letter)"/>
    <w:basedOn w:val="Normal"/>
    <w:rsid w:val="0075503A"/>
    <w:pPr>
      <w:numPr>
        <w:ilvl w:val="1"/>
        <w:numId w:val="44"/>
      </w:numPr>
    </w:pPr>
  </w:style>
  <w:style w:type="paragraph" w:customStyle="1" w:styleId="Point1letter">
    <w:name w:val="Point 1 (letter)"/>
    <w:basedOn w:val="Normal"/>
    <w:rsid w:val="0075503A"/>
    <w:pPr>
      <w:numPr>
        <w:ilvl w:val="3"/>
        <w:numId w:val="44"/>
      </w:numPr>
    </w:pPr>
  </w:style>
  <w:style w:type="paragraph" w:customStyle="1" w:styleId="Point2letter">
    <w:name w:val="Point 2 (letter)"/>
    <w:basedOn w:val="Normal"/>
    <w:rsid w:val="0075503A"/>
    <w:pPr>
      <w:numPr>
        <w:ilvl w:val="5"/>
        <w:numId w:val="44"/>
      </w:numPr>
    </w:pPr>
  </w:style>
  <w:style w:type="paragraph" w:customStyle="1" w:styleId="Point3letter">
    <w:name w:val="Point 3 (letter)"/>
    <w:basedOn w:val="Normal"/>
    <w:rsid w:val="0075503A"/>
    <w:pPr>
      <w:numPr>
        <w:ilvl w:val="7"/>
        <w:numId w:val="44"/>
      </w:numPr>
    </w:pPr>
  </w:style>
  <w:style w:type="paragraph" w:customStyle="1" w:styleId="Point4letter">
    <w:name w:val="Point 4 (letter)"/>
    <w:basedOn w:val="Normal"/>
    <w:rsid w:val="0075503A"/>
    <w:pPr>
      <w:numPr>
        <w:ilvl w:val="8"/>
        <w:numId w:val="44"/>
      </w:numPr>
    </w:pPr>
  </w:style>
  <w:style w:type="paragraph" w:customStyle="1" w:styleId="Bullet0">
    <w:name w:val="Bullet 0"/>
    <w:basedOn w:val="Normal"/>
    <w:rsid w:val="0075503A"/>
    <w:pPr>
      <w:numPr>
        <w:numId w:val="45"/>
      </w:numPr>
    </w:pPr>
  </w:style>
  <w:style w:type="paragraph" w:customStyle="1" w:styleId="Bullet1">
    <w:name w:val="Bullet 1"/>
    <w:basedOn w:val="Normal"/>
    <w:rsid w:val="0075503A"/>
    <w:pPr>
      <w:numPr>
        <w:numId w:val="46"/>
      </w:numPr>
    </w:pPr>
  </w:style>
  <w:style w:type="paragraph" w:customStyle="1" w:styleId="Bullet2">
    <w:name w:val="Bullet 2"/>
    <w:basedOn w:val="Normal"/>
    <w:rsid w:val="0075503A"/>
    <w:pPr>
      <w:numPr>
        <w:numId w:val="47"/>
      </w:numPr>
    </w:pPr>
  </w:style>
  <w:style w:type="paragraph" w:customStyle="1" w:styleId="Bullet3">
    <w:name w:val="Bullet 3"/>
    <w:basedOn w:val="Normal"/>
    <w:rsid w:val="0075503A"/>
    <w:pPr>
      <w:numPr>
        <w:numId w:val="48"/>
      </w:numPr>
    </w:pPr>
  </w:style>
  <w:style w:type="paragraph" w:customStyle="1" w:styleId="Bullet4">
    <w:name w:val="Bullet 4"/>
    <w:basedOn w:val="Normal"/>
    <w:rsid w:val="0075503A"/>
    <w:pPr>
      <w:numPr>
        <w:numId w:val="49"/>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50"/>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EB67-5696-4E81-A28D-F248081E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Pages>
  <Words>1787</Words>
  <Characters>9599</Characters>
  <Application>Microsoft Office Word</Application>
  <DocSecurity>0</DocSecurity>
  <Lines>418</Lines>
  <Paragraphs>316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BEAUPORT Helene (CLIMA)</dc:creator>
  <cp:lastModifiedBy>Stefanie Heilemann</cp:lastModifiedBy>
  <cp:revision>3</cp:revision>
  <cp:lastPrinted>2016-06-30T12:44:00Z</cp:lastPrinted>
  <dcterms:created xsi:type="dcterms:W3CDTF">2016-07-20T07:48:00Z</dcterms:created>
  <dcterms:modified xsi:type="dcterms:W3CDTF">2016-07-20T07:49:00Z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6</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