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99DEB1B365534B2B8C5D875D1EE0A6AC" style="width:450.75pt;height:506.25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spacing w:before="100" w:beforeAutospacing="1" w:after="100" w:afterAutospacing="1"/>
        <w:jc w:val="center"/>
        <w:rPr>
          <w:b/>
          <w:noProof/>
          <w:szCs w:val="24"/>
        </w:rPr>
      </w:pPr>
      <w:bookmarkStart w:id="0" w:name="_GoBack"/>
      <w:bookmarkEnd w:id="0"/>
      <w:r>
        <w:rPr>
          <w:b/>
          <w:noProof/>
        </w:rPr>
        <w:lastRenderedPageBreak/>
        <w:t>Приложение I: Парникови газове и въглеродни депа</w:t>
      </w:r>
    </w:p>
    <w:p>
      <w:pPr>
        <w:spacing w:before="100" w:beforeAutospacing="1" w:after="100" w:afterAutospacing="1"/>
        <w:rPr>
          <w:rFonts w:eastAsia="Times New Roman"/>
          <w:noProof/>
          <w:szCs w:val="24"/>
        </w:rPr>
      </w:pPr>
      <w:r>
        <w:rPr>
          <w:noProof/>
        </w:rPr>
        <w:t xml:space="preserve">А. Парникови газове съгласно член 2: </w:t>
      </w:r>
    </w:p>
    <w:p>
      <w:pPr>
        <w:pStyle w:val="Point0"/>
        <w:rPr>
          <w:noProof/>
        </w:rPr>
      </w:pPr>
      <w:r>
        <w:rPr>
          <w:noProof/>
        </w:rPr>
        <w:t>а)</w:t>
      </w:r>
      <w:r>
        <w:rPr>
          <w:noProof/>
        </w:rPr>
        <w:tab/>
        <w:t>въглероден диоксид (CO</w:t>
      </w:r>
      <w:r>
        <w:rPr>
          <w:noProof/>
          <w:vertAlign w:val="subscript"/>
        </w:rPr>
        <w:t>2</w:t>
      </w:r>
      <w:r>
        <w:rPr>
          <w:noProof/>
        </w:rPr>
        <w:t>);</w:t>
      </w:r>
    </w:p>
    <w:p>
      <w:pPr>
        <w:pStyle w:val="Point0"/>
        <w:rPr>
          <w:noProof/>
        </w:rPr>
      </w:pPr>
      <w:r>
        <w:rPr>
          <w:noProof/>
        </w:rPr>
        <w:t>б)</w:t>
      </w:r>
      <w:r>
        <w:rPr>
          <w:noProof/>
        </w:rPr>
        <w:tab/>
        <w:t>метан (CH</w:t>
      </w:r>
      <w:r>
        <w:rPr>
          <w:noProof/>
          <w:vertAlign w:val="subscript"/>
        </w:rPr>
        <w:t>4</w:t>
      </w:r>
      <w:r>
        <w:rPr>
          <w:noProof/>
        </w:rPr>
        <w:t>);</w:t>
      </w:r>
    </w:p>
    <w:p>
      <w:pPr>
        <w:pStyle w:val="Point0"/>
        <w:rPr>
          <w:noProof/>
        </w:rPr>
      </w:pPr>
      <w:r>
        <w:rPr>
          <w:noProof/>
        </w:rPr>
        <w:t>в)</w:t>
      </w:r>
      <w:r>
        <w:rPr>
          <w:noProof/>
        </w:rPr>
        <w:tab/>
        <w:t>двуазотен оксид (N</w:t>
      </w:r>
      <w:r>
        <w:rPr>
          <w:noProof/>
          <w:vertAlign w:val="subscript"/>
        </w:rPr>
        <w:t>2</w:t>
      </w:r>
      <w:r>
        <w:rPr>
          <w:noProof/>
        </w:rPr>
        <w:t>O)</w:t>
      </w:r>
    </w:p>
    <w:p>
      <w:pPr>
        <w:spacing w:before="100" w:beforeAutospacing="1" w:after="100" w:afterAutospacing="1"/>
        <w:rPr>
          <w:rFonts w:eastAsia="Times New Roman"/>
          <w:noProof/>
          <w:szCs w:val="24"/>
        </w:rPr>
      </w:pPr>
      <w:r>
        <w:rPr>
          <w:noProof/>
        </w:rPr>
        <w:t>изразени в тонове CO</w:t>
      </w:r>
      <w:r>
        <w:rPr>
          <w:noProof/>
          <w:vertAlign w:val="subscript"/>
        </w:rPr>
        <w:t>2</w:t>
      </w:r>
      <w:r>
        <w:rPr>
          <w:noProof/>
        </w:rPr>
        <w:t xml:space="preserve"> еквивалент, определени в съответствие с Регламент (ЕС) № 525/2013.</w:t>
      </w:r>
    </w:p>
    <w:p>
      <w:pPr>
        <w:spacing w:before="100" w:beforeAutospacing="1" w:after="100" w:afterAutospacing="1"/>
        <w:rPr>
          <w:rFonts w:eastAsia="Times New Roman"/>
          <w:noProof/>
          <w:szCs w:val="24"/>
        </w:rPr>
      </w:pPr>
      <w:r>
        <w:rPr>
          <w:noProof/>
        </w:rPr>
        <w:t>Б. Въглеродни депа съгласно член 5, параграф 4:</w:t>
      </w:r>
    </w:p>
    <w:p>
      <w:pPr>
        <w:pStyle w:val="Point0"/>
        <w:rPr>
          <w:noProof/>
        </w:rPr>
      </w:pPr>
      <w:r>
        <w:rPr>
          <w:noProof/>
        </w:rPr>
        <w:t>а)</w:t>
      </w:r>
      <w:r>
        <w:rPr>
          <w:noProof/>
        </w:rPr>
        <w:tab/>
        <w:t>надземна биомаса;</w:t>
      </w:r>
    </w:p>
    <w:p>
      <w:pPr>
        <w:pStyle w:val="Point0"/>
        <w:rPr>
          <w:rFonts w:eastAsia="Times New Roman"/>
          <w:noProof/>
          <w:szCs w:val="24"/>
        </w:rPr>
      </w:pPr>
      <w:r>
        <w:rPr>
          <w:noProof/>
        </w:rPr>
        <w:t>б)</w:t>
      </w:r>
      <w:r>
        <w:rPr>
          <w:noProof/>
        </w:rPr>
        <w:tab/>
        <w:t>подземна биомаса;</w:t>
      </w:r>
    </w:p>
    <w:p>
      <w:pPr>
        <w:pStyle w:val="Point0"/>
        <w:rPr>
          <w:noProof/>
        </w:rPr>
      </w:pPr>
      <w:r>
        <w:rPr>
          <w:noProof/>
        </w:rPr>
        <w:t>в)</w:t>
      </w:r>
      <w:r>
        <w:rPr>
          <w:noProof/>
        </w:rPr>
        <w:tab/>
        <w:t>паднала листна маса и клони;</w:t>
      </w:r>
    </w:p>
    <w:p>
      <w:pPr>
        <w:pStyle w:val="Point0"/>
        <w:rPr>
          <w:noProof/>
        </w:rPr>
      </w:pPr>
      <w:r>
        <w:rPr>
          <w:noProof/>
        </w:rPr>
        <w:t>г)</w:t>
      </w:r>
      <w:r>
        <w:rPr>
          <w:noProof/>
        </w:rPr>
        <w:tab/>
        <w:t>изсъхнала дървесина;</w:t>
      </w:r>
    </w:p>
    <w:p>
      <w:pPr>
        <w:pStyle w:val="Point0"/>
        <w:rPr>
          <w:noProof/>
        </w:rPr>
      </w:pPr>
      <w:r>
        <w:rPr>
          <w:noProof/>
        </w:rPr>
        <w:t>д)</w:t>
      </w:r>
      <w:r>
        <w:rPr>
          <w:noProof/>
        </w:rPr>
        <w:tab/>
        <w:t>органичен въглерод в почвата;</w:t>
      </w:r>
    </w:p>
    <w:p>
      <w:pPr>
        <w:pStyle w:val="Point0"/>
        <w:rPr>
          <w:noProof/>
        </w:rPr>
      </w:pPr>
      <w:r>
        <w:rPr>
          <w:noProof/>
        </w:rPr>
        <w:t>е)</w:t>
      </w:r>
      <w:r>
        <w:rPr>
          <w:noProof/>
        </w:rPr>
        <w:tab/>
        <w:t xml:space="preserve">за залесени площи и управлявани горски площи: продукти от добита дървесина. </w:t>
      </w:r>
    </w:p>
    <w:p>
      <w:pPr>
        <w:pStyle w:val="ListParagraph"/>
        <w:jc w:val="center"/>
        <w:rPr>
          <w:rFonts w:ascii="Times New Roman" w:eastAsia="Arial Unicode MS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Приложениe II: Минимални стойности за размера на площта, покритието от дървесни корони, височината на дърветата и референтните нива за горите</w:t>
      </w:r>
    </w:p>
    <w:tbl>
      <w:tblPr>
        <w:tblW w:w="8241" w:type="dxa"/>
        <w:jc w:val="center"/>
        <w:tblCellSpacing w:w="0" w:type="dxa"/>
        <w:tblInd w:w="-19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243"/>
        <w:gridCol w:w="1310"/>
        <w:gridCol w:w="2552"/>
        <w:gridCol w:w="2136"/>
      </w:tblGrid>
      <w:tr>
        <w:trPr>
          <w:tblCellSpacing w:w="0" w:type="dxa"/>
          <w:jc w:val="center"/>
        </w:trPr>
        <w:tc>
          <w:tcPr>
            <w:tcW w:w="8241" w:type="dxa"/>
            <w:gridSpan w:val="4"/>
          </w:tcPr>
          <w:p>
            <w:pPr>
              <w:pStyle w:val="tbl-norm"/>
              <w:rPr>
                <w:rFonts w:eastAsia="Arial Unicode MS"/>
                <w:b/>
                <w:bCs/>
                <w:noProof/>
                <w:color w:val="000000"/>
              </w:rPr>
            </w:pPr>
            <w:r>
              <w:rPr>
                <w:b/>
                <w:noProof/>
              </w:rPr>
              <w:t xml:space="preserve">Минимални стойности за размера на площта, покритието от дървесни корони и височината на дърветата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b/>
                <w:bCs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Държава членка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b/>
                <w:bCs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Площ (ha)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b/>
                <w:bCs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Покритие от дървесни корони (%)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jc w:val="left"/>
              <w:rPr>
                <w:rFonts w:eastAsia="Arial Unicode MS"/>
                <w:b/>
                <w:bCs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Височина на дърветата (m)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Белгия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0,5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20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5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България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0,1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10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5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Хърватия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0,1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10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2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Чешка република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0,05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30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2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Дания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0,5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10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5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Германия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0,1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10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5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Естония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0,5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30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2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Ирландия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0,1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20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5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Гърция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0,3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25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2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lastRenderedPageBreak/>
              <w:t>Испания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1,0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20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3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Франция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0,5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10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5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Италия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0,5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10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5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Кипър</w:t>
            </w:r>
          </w:p>
        </w:tc>
        <w:tc>
          <w:tcPr>
            <w:tcW w:w="1310" w:type="dxa"/>
            <w:hideMark/>
          </w:tcPr>
          <w:p>
            <w:pPr>
              <w:pStyle w:val="Normal1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 </w:t>
            </w:r>
          </w:p>
        </w:tc>
        <w:tc>
          <w:tcPr>
            <w:tcW w:w="2552" w:type="dxa"/>
            <w:hideMark/>
          </w:tcPr>
          <w:p>
            <w:pPr>
              <w:pStyle w:val="Normal1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 </w:t>
            </w:r>
          </w:p>
        </w:tc>
        <w:tc>
          <w:tcPr>
            <w:tcW w:w="2136" w:type="dxa"/>
            <w:hideMark/>
          </w:tcPr>
          <w:p>
            <w:pPr>
              <w:pStyle w:val="Normal1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 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Латвия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0,1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20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5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Литва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0,1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30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5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Люксембург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0,5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10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5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Унгария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0,5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30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5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Малта</w:t>
            </w:r>
          </w:p>
        </w:tc>
        <w:tc>
          <w:tcPr>
            <w:tcW w:w="1310" w:type="dxa"/>
            <w:hideMark/>
          </w:tcPr>
          <w:p>
            <w:pPr>
              <w:pStyle w:val="Normal1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 </w:t>
            </w:r>
          </w:p>
        </w:tc>
        <w:tc>
          <w:tcPr>
            <w:tcW w:w="2552" w:type="dxa"/>
            <w:hideMark/>
          </w:tcPr>
          <w:p>
            <w:pPr>
              <w:pStyle w:val="Normal1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 </w:t>
            </w:r>
          </w:p>
        </w:tc>
        <w:tc>
          <w:tcPr>
            <w:tcW w:w="2136" w:type="dxa"/>
            <w:hideMark/>
          </w:tcPr>
          <w:p>
            <w:pPr>
              <w:pStyle w:val="Normal1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 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Нидерландия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0,5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20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5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Австрия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0,05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30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2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Полша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0,1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10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2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Португалия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1,0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10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5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Румъния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0,25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10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5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Словения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0,25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30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2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Словакия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0,3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20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5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Финландия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0,5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10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5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Швеция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0,5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10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5 </w:t>
            </w:r>
          </w:p>
        </w:tc>
      </w:tr>
      <w:tr>
        <w:trPr>
          <w:tblCellSpacing w:w="0" w:type="dxa"/>
          <w:jc w:val="center"/>
        </w:trPr>
        <w:tc>
          <w:tcPr>
            <w:tcW w:w="2243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Обединено кралство</w:t>
            </w:r>
          </w:p>
        </w:tc>
        <w:tc>
          <w:tcPr>
            <w:tcW w:w="1310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0,1 </w:t>
            </w:r>
          </w:p>
        </w:tc>
        <w:tc>
          <w:tcPr>
            <w:tcW w:w="2552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20 </w:t>
            </w:r>
          </w:p>
        </w:tc>
        <w:tc>
          <w:tcPr>
            <w:tcW w:w="2136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2 </w:t>
            </w:r>
          </w:p>
        </w:tc>
      </w:tr>
    </w:tbl>
    <w:p>
      <w:pPr>
        <w:spacing w:before="100" w:beforeAutospacing="1" w:after="100" w:afterAutospacing="1"/>
        <w:rPr>
          <w:noProof/>
          <w:szCs w:val="24"/>
        </w:rPr>
      </w:pPr>
    </w:p>
    <w:p>
      <w:pPr>
        <w:spacing w:before="100" w:beforeAutospacing="1" w:after="100" w:afterAutospacing="1"/>
        <w:rPr>
          <w:noProof/>
          <w:szCs w:val="24"/>
        </w:rPr>
      </w:pPr>
      <w:r>
        <w:rPr>
          <w:noProof/>
          <w:szCs w:val="24"/>
        </w:rPr>
        <w:br w:type="column"/>
      </w:r>
    </w:p>
    <w:tbl>
      <w:tblPr>
        <w:tblW w:w="4407" w:type="dxa"/>
        <w:jc w:val="center"/>
        <w:tblCellSpacing w:w="0" w:type="dxa"/>
        <w:tblInd w:w="-18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012"/>
        <w:gridCol w:w="2395"/>
      </w:tblGrid>
      <w:tr>
        <w:trPr>
          <w:tblCellSpacing w:w="0" w:type="dxa"/>
          <w:jc w:val="center"/>
        </w:trPr>
        <w:tc>
          <w:tcPr>
            <w:tcW w:w="4407" w:type="dxa"/>
            <w:gridSpan w:val="2"/>
          </w:tcPr>
          <w:p>
            <w:pPr>
              <w:keepNext/>
              <w:spacing w:before="100" w:beforeAutospacing="1" w:after="100" w:afterAutospacing="1"/>
              <w:rPr>
                <w:b/>
                <w:bCs/>
                <w:noProof/>
                <w:szCs w:val="24"/>
              </w:rPr>
            </w:pPr>
            <w:r>
              <w:rPr>
                <w:b/>
                <w:noProof/>
              </w:rPr>
              <w:t>Референтни нива за горите по държави членки, включително продукти от добита дървесина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b/>
                <w:bCs/>
                <w:noProof/>
                <w:szCs w:val="24"/>
              </w:rPr>
            </w:pPr>
            <w:r>
              <w:rPr>
                <w:b/>
                <w:noProof/>
              </w:rPr>
              <w:t>Държава членка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b/>
                <w:bCs/>
                <w:noProof/>
                <w:szCs w:val="24"/>
              </w:rPr>
            </w:pPr>
            <w:r>
              <w:rPr>
                <w:b/>
                <w:noProof/>
              </w:rPr>
              <w:t>Gg еквивалент на въглероден диоксид годишно (Gg CO</w:t>
            </w:r>
            <w:r>
              <w:rPr>
                <w:b/>
                <w:noProof/>
                <w:vertAlign w:val="subscript"/>
              </w:rPr>
              <w:t>2</w:t>
            </w:r>
            <w:r>
              <w:rPr>
                <w:b/>
                <w:noProof/>
              </w:rPr>
              <w:t xml:space="preserve"> екв./год.)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Белгия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–2 499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България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–7 950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Хърватия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–6 289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Чешка република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–4 686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Дания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409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Германия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–22 418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Естония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–2 741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Ирландия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–142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Гърция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–1 830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Испания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–23 100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Франция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–67 410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Италия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–22 166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Кипър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–157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Латвия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–16 302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Литва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–4 552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Люксембург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–418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Унгария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–1 000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Малта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–49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Нидерландия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–1 425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Австрия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–6 516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Полша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–27 133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Португалия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–6 830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Румъния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–15 793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Словения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–3 171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Словакия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–1 084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Финландия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–20 466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Швеция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–41 336 </w:t>
            </w:r>
          </w:p>
        </w:tc>
      </w:tr>
      <w:tr>
        <w:trPr>
          <w:tblCellSpacing w:w="0" w:type="dxa"/>
          <w:jc w:val="center"/>
        </w:trPr>
        <w:tc>
          <w:tcPr>
            <w:tcW w:w="2012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>Обединено кралство</w:t>
            </w:r>
          </w:p>
        </w:tc>
        <w:tc>
          <w:tcPr>
            <w:tcW w:w="2395" w:type="dxa"/>
            <w:hideMark/>
          </w:tcPr>
          <w:p>
            <w:pPr>
              <w:keepNext/>
              <w:spacing w:before="100" w:beforeAutospacing="1" w:after="100" w:afterAutospacing="1"/>
              <w:rPr>
                <w:noProof/>
                <w:szCs w:val="24"/>
              </w:rPr>
            </w:pPr>
            <w:r>
              <w:rPr>
                <w:noProof/>
              </w:rPr>
              <w:t xml:space="preserve">–8 268 </w:t>
            </w:r>
          </w:p>
        </w:tc>
      </w:tr>
    </w:tbl>
    <w:p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 w:type="column"/>
      </w:r>
      <w:r>
        <w:rPr>
          <w:rFonts w:ascii="Times New Roman" w:hAnsi="Times New Roman"/>
          <w:b/>
          <w:noProof/>
          <w:sz w:val="24"/>
        </w:rPr>
        <w:lastRenderedPageBreak/>
        <w:t xml:space="preserve">Приложение III: Базови години за целите на изчисляването </w:t>
      </w:r>
    </w:p>
    <w:p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на горната граница съгласно член 8, параграф 2</w:t>
      </w:r>
    </w:p>
    <w:tbl>
      <w:tblPr>
        <w:tblW w:w="5916" w:type="dxa"/>
        <w:jc w:val="center"/>
        <w:tblCellSpacing w:w="0" w:type="dxa"/>
        <w:tblInd w:w="-20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559"/>
        <w:gridCol w:w="2357"/>
      </w:tblGrid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b/>
                <w:bCs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Държава членка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b/>
                <w:bCs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Базова година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Белгия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1990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България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1988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Хърватия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1990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Чешка република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1990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Дания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1990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Германия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1990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Естония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1990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Ирландия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1990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Гърция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1990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Испания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1990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Франция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1990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Италия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1990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Кипър</w:t>
            </w:r>
          </w:p>
        </w:tc>
        <w:tc>
          <w:tcPr>
            <w:tcW w:w="2357" w:type="dxa"/>
            <w:hideMark/>
          </w:tcPr>
          <w:p>
            <w:pPr>
              <w:pStyle w:val="Normal1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 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Латвия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1990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Литва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1990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Люксембург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1990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Унгария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1985-87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Малта</w:t>
            </w:r>
          </w:p>
        </w:tc>
        <w:tc>
          <w:tcPr>
            <w:tcW w:w="2357" w:type="dxa"/>
            <w:hideMark/>
          </w:tcPr>
          <w:p>
            <w:pPr>
              <w:pStyle w:val="Normal1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 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Нидерландия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1990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Австрия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1990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Полша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1988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Португалия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1990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Румъния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1989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Словения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1986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Словакия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1990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Финландия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1990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Швеция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1990</w:t>
            </w:r>
          </w:p>
        </w:tc>
      </w:tr>
      <w:tr>
        <w:trPr>
          <w:tblCellSpacing w:w="0" w:type="dxa"/>
          <w:jc w:val="center"/>
        </w:trPr>
        <w:tc>
          <w:tcPr>
            <w:tcW w:w="3559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lastRenderedPageBreak/>
              <w:t>Обединено кралство</w:t>
            </w:r>
          </w:p>
        </w:tc>
        <w:tc>
          <w:tcPr>
            <w:tcW w:w="2357" w:type="dxa"/>
            <w:hideMark/>
          </w:tcPr>
          <w:p>
            <w:pPr>
              <w:pStyle w:val="tbl-norm"/>
              <w:rPr>
                <w:rFonts w:eastAsia="Arial Unicode MS"/>
                <w:noProof/>
                <w:color w:val="000000"/>
              </w:rPr>
            </w:pPr>
            <w:r>
              <w:rPr>
                <w:noProof/>
                <w:color w:val="000000"/>
              </w:rPr>
              <w:t>1990</w:t>
            </w:r>
          </w:p>
        </w:tc>
      </w:tr>
    </w:tbl>
    <w:p>
      <w:pPr>
        <w:spacing w:before="100" w:beforeAutospacing="1" w:after="100" w:afterAutospacing="1"/>
        <w:jc w:val="center"/>
        <w:rPr>
          <w:b/>
          <w:noProof/>
          <w:szCs w:val="24"/>
        </w:rPr>
      </w:pPr>
      <w:r>
        <w:rPr>
          <w:b/>
          <w:noProof/>
        </w:rPr>
        <w:t>Приложение IV: Национален план за отчитане за горите, съдържащ актуализираното референтно ниво за горите на държавата членка</w:t>
      </w:r>
    </w:p>
    <w:p>
      <w:pPr>
        <w:rPr>
          <w:rFonts w:eastAsia="Times New Roman"/>
          <w:noProof/>
          <w:szCs w:val="24"/>
          <w:u w:val="single"/>
        </w:rPr>
      </w:pPr>
      <w:r>
        <w:rPr>
          <w:noProof/>
          <w:u w:val="single"/>
        </w:rPr>
        <w:t>А. Критерии за определяне на референтните нива за горите</w:t>
      </w:r>
    </w:p>
    <w:p>
      <w:pPr>
        <w:spacing w:before="100" w:beforeAutospacing="1" w:after="100" w:afterAutospacing="1"/>
        <w:rPr>
          <w:rFonts w:eastAsia="Times New Roman"/>
          <w:noProof/>
          <w:szCs w:val="24"/>
        </w:rPr>
      </w:pPr>
      <w:r>
        <w:rPr>
          <w:noProof/>
        </w:rPr>
        <w:t xml:space="preserve">Референтните нива за горите на държавите членки се определят съгласно следните критерии: </w:t>
      </w:r>
    </w:p>
    <w:p>
      <w:pPr>
        <w:pStyle w:val="Point0"/>
        <w:rPr>
          <w:noProof/>
        </w:rPr>
      </w:pPr>
      <w:r>
        <w:rPr>
          <w:noProof/>
        </w:rPr>
        <w:t>а)</w:t>
      </w:r>
      <w:r>
        <w:rPr>
          <w:noProof/>
        </w:rPr>
        <w:tab/>
        <w:t>референтните нива да са в съответствие с целта за постигане на баланс между антропогенните емисии по източници и поглъщанията по поглътители на парникови газове през втората половина на този век;</w:t>
      </w:r>
    </w:p>
    <w:p>
      <w:pPr>
        <w:pStyle w:val="Point0"/>
        <w:rPr>
          <w:noProof/>
        </w:rPr>
      </w:pPr>
      <w:r>
        <w:rPr>
          <w:noProof/>
        </w:rPr>
        <w:t>б)</w:t>
      </w:r>
      <w:r>
        <w:rPr>
          <w:noProof/>
        </w:rPr>
        <w:tab/>
        <w:t>референтните нива да гарантират, че самото наличие на въглеродни запаси се изключва от отчитането;</w:t>
      </w:r>
    </w:p>
    <w:p>
      <w:pPr>
        <w:pStyle w:val="Point0"/>
        <w:rPr>
          <w:noProof/>
        </w:rPr>
      </w:pPr>
      <w:r>
        <w:rPr>
          <w:noProof/>
        </w:rPr>
        <w:t>в)</w:t>
      </w:r>
      <w:r>
        <w:rPr>
          <w:noProof/>
        </w:rPr>
        <w:tab/>
        <w:t>референтните нива следва да осигуряват стабилно и надеждно отчитане, за да се гарантира надлежно вземане предвид на емисиите и поглъщанията, дължащи се на използването на биомаса;</w:t>
      </w:r>
    </w:p>
    <w:p>
      <w:pPr>
        <w:pStyle w:val="Point0"/>
        <w:rPr>
          <w:noProof/>
        </w:rPr>
      </w:pPr>
      <w:r>
        <w:rPr>
          <w:noProof/>
        </w:rPr>
        <w:t>г)</w:t>
      </w:r>
      <w:r>
        <w:rPr>
          <w:noProof/>
        </w:rPr>
        <w:tab/>
        <w:t>референтните нива да включват въглеродното депо на продуктите от добита дървесина, като се дава сравнение между предполагано незабавно окисление и прилагането на функцията на разлагане от първи порядък и на стойности за периода на полуотделяне на въглерода;</w:t>
      </w:r>
    </w:p>
    <w:p>
      <w:pPr>
        <w:pStyle w:val="Point0"/>
        <w:rPr>
          <w:noProof/>
        </w:rPr>
      </w:pPr>
      <w:r>
        <w:rPr>
          <w:noProof/>
        </w:rPr>
        <w:t>д)</w:t>
      </w:r>
      <w:r>
        <w:rPr>
          <w:noProof/>
        </w:rPr>
        <w:tab/>
        <w:t xml:space="preserve">референтните нива следва да са съобразени с целта да се допринесе за опазването на биологичното разнообразие и за устойчивото използване на природните ресурси, както е посочено в стратегията на ЕС за горите, националните политики на държавите членки за горите и стратегията на ЕС за биологичното разнообразие; </w:t>
      </w:r>
    </w:p>
    <w:p>
      <w:pPr>
        <w:pStyle w:val="Point0"/>
        <w:rPr>
          <w:noProof/>
        </w:rPr>
      </w:pPr>
      <w:r>
        <w:rPr>
          <w:noProof/>
        </w:rPr>
        <w:t>е)</w:t>
      </w:r>
      <w:r>
        <w:rPr>
          <w:noProof/>
        </w:rPr>
        <w:tab/>
        <w:t>референтните нива да съответстват на националните прогнози за антропогенните емисии на парникови газове по източници и за поглъщане по поглътители, докладвани съгласно Регламент (ЕС) № 525/2013;</w:t>
      </w:r>
    </w:p>
    <w:p>
      <w:pPr>
        <w:pStyle w:val="Point0"/>
        <w:rPr>
          <w:noProof/>
        </w:rPr>
      </w:pPr>
      <w:r>
        <w:rPr>
          <w:noProof/>
        </w:rPr>
        <w:t>ж)</w:t>
      </w:r>
      <w:r>
        <w:rPr>
          <w:noProof/>
        </w:rPr>
        <w:tab/>
        <w:t>референтните нива да са съобразени с инвентаризациите на емисиите на парникови газове и със съответните данни за минали периоди и да се основават на прозрачна, пълна, последователна, съпоставима и точна информация. По-специално моделът, използван за определяне на референтното ниво, трябва да позволява възпроизвеждането на данни за минали периоди от националната инвентаризация на парниковите газове.</w:t>
      </w:r>
    </w:p>
    <w:p>
      <w:pPr>
        <w:spacing w:before="100" w:beforeAutospacing="1" w:after="100" w:afterAutospacing="1"/>
        <w:rPr>
          <w:noProof/>
          <w:szCs w:val="24"/>
          <w:u w:val="single"/>
        </w:rPr>
      </w:pPr>
      <w:r>
        <w:rPr>
          <w:noProof/>
          <w:u w:val="single"/>
        </w:rPr>
        <w:t xml:space="preserve">Б. Елементи на националния план за отчитане за горите </w:t>
      </w:r>
    </w:p>
    <w:p>
      <w:pPr>
        <w:spacing w:before="100" w:beforeAutospacing="1" w:after="100" w:afterAutospacing="1"/>
        <w:ind w:left="360"/>
        <w:rPr>
          <w:noProof/>
          <w:szCs w:val="24"/>
        </w:rPr>
      </w:pPr>
      <w:r>
        <w:rPr>
          <w:noProof/>
        </w:rPr>
        <w:t xml:space="preserve">Националният план за отчитане за горите, представен съгласно член 8 от настоящия регламент, съдържа следните елементи: </w:t>
      </w:r>
    </w:p>
    <w:p>
      <w:pPr>
        <w:pStyle w:val="Point0"/>
        <w:rPr>
          <w:noProof/>
        </w:rPr>
      </w:pPr>
      <w:r>
        <w:rPr>
          <w:noProof/>
        </w:rPr>
        <w:t>а)</w:t>
      </w:r>
      <w:r>
        <w:rPr>
          <w:noProof/>
        </w:rPr>
        <w:tab/>
        <w:t xml:space="preserve">общо описание на определянето на референтното ниво, както и описание на начина, по който са взети под внимание критериите съгласно настоящия регламент; </w:t>
      </w:r>
    </w:p>
    <w:p>
      <w:pPr>
        <w:pStyle w:val="Point0"/>
        <w:rPr>
          <w:noProof/>
        </w:rPr>
      </w:pPr>
      <w:r>
        <w:rPr>
          <w:noProof/>
        </w:rPr>
        <w:lastRenderedPageBreak/>
        <w:t>б)</w:t>
      </w:r>
      <w:r>
        <w:rPr>
          <w:noProof/>
        </w:rPr>
        <w:tab/>
        <w:t>идентификация на въглеродните депа и парниковите газове, които са включени в референтното ниво, причините дадено въглеродно депо да не бъде включено в референтното ниво, и демонстриране на съответствието между депата, включени в референтното ниво;</w:t>
      </w:r>
    </w:p>
    <w:p>
      <w:pPr>
        <w:pStyle w:val="Point0"/>
        <w:rPr>
          <w:noProof/>
        </w:rPr>
      </w:pPr>
      <w:r>
        <w:rPr>
          <w:noProof/>
        </w:rPr>
        <w:t>в)</w:t>
      </w:r>
      <w:r>
        <w:rPr>
          <w:noProof/>
        </w:rPr>
        <w:tab/>
        <w:t>описание на подходите, методите и моделите, включително количествена информация, използвани при определянето на референтното ниво и съответстваща на последния представен доклад за националната инвентаризация и на документи с информация относно практиката и интензивността на управление на горите;</w:t>
      </w:r>
    </w:p>
    <w:p>
      <w:pPr>
        <w:pStyle w:val="Point0"/>
        <w:rPr>
          <w:noProof/>
        </w:rPr>
      </w:pPr>
      <w:r>
        <w:rPr>
          <w:noProof/>
        </w:rPr>
        <w:t>г)</w:t>
      </w:r>
      <w:r>
        <w:rPr>
          <w:noProof/>
        </w:rPr>
        <w:tab/>
        <w:t>описание на начините, по които са проведени консултации със заинтересованите страни и са взети предвид техните мнения;</w:t>
      </w:r>
    </w:p>
    <w:p>
      <w:pPr>
        <w:pStyle w:val="Point0"/>
        <w:rPr>
          <w:noProof/>
        </w:rPr>
      </w:pPr>
      <w:r>
        <w:rPr>
          <w:noProof/>
        </w:rPr>
        <w:t>д)</w:t>
      </w:r>
      <w:r>
        <w:rPr>
          <w:noProof/>
        </w:rPr>
        <w:tab/>
        <w:t>информация за това как се очаква да се развият нивата на добив при различните сценарии на политика;</w:t>
      </w:r>
    </w:p>
    <w:p>
      <w:pPr>
        <w:pStyle w:val="Point0"/>
        <w:rPr>
          <w:noProof/>
        </w:rPr>
      </w:pPr>
      <w:r>
        <w:rPr>
          <w:noProof/>
        </w:rPr>
        <w:t>е)</w:t>
      </w:r>
      <w:r>
        <w:rPr>
          <w:noProof/>
        </w:rPr>
        <w:tab/>
        <w:t>описание на начина, по който е взет под внимание всеки от следните елементи при определянето на референтното ниво:</w:t>
      </w:r>
    </w:p>
    <w:p>
      <w:pPr>
        <w:pStyle w:val="Point1number"/>
        <w:numPr>
          <w:ilvl w:val="2"/>
          <w:numId w:val="12"/>
        </w:numPr>
        <w:rPr>
          <w:noProof/>
        </w:rPr>
      </w:pPr>
      <w:r>
        <w:rPr>
          <w:noProof/>
        </w:rPr>
        <w:t>площта, за която се прилага управлението на горите;</w:t>
      </w:r>
    </w:p>
    <w:p>
      <w:pPr>
        <w:pStyle w:val="Point1number"/>
        <w:numPr>
          <w:ilvl w:val="2"/>
          <w:numId w:val="15"/>
        </w:numPr>
        <w:rPr>
          <w:noProof/>
        </w:rPr>
      </w:pPr>
      <w:r>
        <w:rPr>
          <w:noProof/>
        </w:rPr>
        <w:t xml:space="preserve">емисиите и поглъщанията от горите и от продуктите от добита дървесина, както е видно от инвентаризациите на парниковите газове и съответните данни за минали периоди; </w:t>
      </w:r>
    </w:p>
    <w:p>
      <w:pPr>
        <w:pStyle w:val="Point1number"/>
        <w:numPr>
          <w:ilvl w:val="2"/>
          <w:numId w:val="15"/>
        </w:numPr>
        <w:rPr>
          <w:noProof/>
        </w:rPr>
      </w:pPr>
      <w:r>
        <w:rPr>
          <w:noProof/>
        </w:rPr>
        <w:t>характеристики на горите, включително възрастова структура, продължителност на ротацията и друга информация относно дейностите по управление на горите при продължаване на обичайната практика;</w:t>
      </w:r>
    </w:p>
    <w:p>
      <w:pPr>
        <w:pStyle w:val="Point1number"/>
        <w:numPr>
          <w:ilvl w:val="2"/>
          <w:numId w:val="15"/>
        </w:numPr>
        <w:rPr>
          <w:noProof/>
        </w:rPr>
      </w:pPr>
      <w:r>
        <w:rPr>
          <w:noProof/>
        </w:rPr>
        <w:t xml:space="preserve">минали и бъдещи нива на добив с разбивка между енергийните и неенергийните употреби. </w:t>
      </w:r>
    </w:p>
    <w:p>
      <w:pPr>
        <w:spacing w:before="100" w:beforeAutospacing="1" w:after="100" w:afterAutospacing="1"/>
        <w:jc w:val="center"/>
        <w:rPr>
          <w:b/>
          <w:noProof/>
          <w:szCs w:val="24"/>
        </w:rPr>
      </w:pPr>
      <w:r>
        <w:rPr>
          <w:b/>
          <w:noProof/>
        </w:rPr>
        <w:t>Приложение V: Функция на разлагане от първи порядък и приети стойности за периода на полуотделяне на въглерода за продукти от добита дървесина</w:t>
      </w:r>
    </w:p>
    <w:p>
      <w:pPr>
        <w:rPr>
          <w:rFonts w:eastAsia="Times New Roman"/>
          <w:noProof/>
          <w:szCs w:val="24"/>
        </w:rPr>
      </w:pPr>
      <w:r>
        <w:rPr>
          <w:noProof/>
        </w:rPr>
        <w:t>Методологични въпроси</w:t>
      </w:r>
    </w:p>
    <w:p>
      <w:pPr>
        <w:pStyle w:val="Tiret0"/>
        <w:numPr>
          <w:ilvl w:val="0"/>
          <w:numId w:val="13"/>
        </w:numPr>
        <w:rPr>
          <w:noProof/>
        </w:rPr>
      </w:pPr>
      <w:r>
        <w:rPr>
          <w:noProof/>
        </w:rPr>
        <w:t>Ако не е възможно да се направи разграничение между продуктите от добита дървесина по произход — от залесени земи и от управлявани горски земи, за отчитането на тези продукти държавата членка може да приеме, че всички емисии и поглъщания се осъществяват в управлявани горски земи.</w:t>
      </w:r>
    </w:p>
    <w:p>
      <w:pPr>
        <w:pStyle w:val="Tiret0"/>
        <w:numPr>
          <w:ilvl w:val="0"/>
          <w:numId w:val="14"/>
        </w:numPr>
        <w:rPr>
          <w:noProof/>
        </w:rPr>
      </w:pPr>
      <w:r>
        <w:rPr>
          <w:noProof/>
        </w:rPr>
        <w:t>Продуктите от добита дървесина, намиращи се в депа за твърди отпадъци, както и продуктите от добита дървесина за енергийни цели се отчитат въз основа на незабавното окисление.</w:t>
      </w:r>
    </w:p>
    <w:p>
      <w:pPr>
        <w:pStyle w:val="Tiret0"/>
        <w:numPr>
          <w:ilvl w:val="0"/>
          <w:numId w:val="14"/>
        </w:numPr>
        <w:rPr>
          <w:noProof/>
        </w:rPr>
      </w:pPr>
      <w:r>
        <w:rPr>
          <w:noProof/>
        </w:rPr>
        <w:t xml:space="preserve">Вносните продукти от добита дървесина не се отчитат от внасящата държава членка независимо от произхода им („производствен подход“). </w:t>
      </w:r>
    </w:p>
    <w:p>
      <w:pPr>
        <w:pStyle w:val="Tiret0"/>
        <w:numPr>
          <w:ilvl w:val="0"/>
          <w:numId w:val="14"/>
        </w:numPr>
        <w:rPr>
          <w:noProof/>
        </w:rPr>
      </w:pPr>
      <w:r>
        <w:rPr>
          <w:noProof/>
        </w:rPr>
        <w:t>За изнасяните продукти от добита дървесина специфичните за държавата данни се отнасят за специфичните за нея стойности за периода на полуотделяне на въглерода и за употребата на продукти от добита дървесина в държавата вносител.</w:t>
      </w:r>
    </w:p>
    <w:p>
      <w:pPr>
        <w:pStyle w:val="Tiret0"/>
        <w:numPr>
          <w:ilvl w:val="0"/>
          <w:numId w:val="14"/>
        </w:numPr>
        <w:rPr>
          <w:noProof/>
        </w:rPr>
      </w:pPr>
      <w:r>
        <w:rPr>
          <w:noProof/>
        </w:rPr>
        <w:lastRenderedPageBreak/>
        <w:t>Специфичните за държавата стойности за периода на полуотделяне на въглерода за продукти от добита дървесина, пуснати на пазара в Съюза, следва да не се различават от тези, използвани от внасящата държава членка.</w:t>
      </w:r>
    </w:p>
    <w:p>
      <w:pPr>
        <w:pStyle w:val="Tiret0"/>
        <w:numPr>
          <w:ilvl w:val="0"/>
          <w:numId w:val="14"/>
        </w:numPr>
        <w:rPr>
          <w:noProof/>
        </w:rPr>
      </w:pPr>
      <w:r>
        <w:rPr>
          <w:noProof/>
        </w:rPr>
        <w:t>Държавите членки могат, единствено за сведение, да посочват в представените данни дела на дървесината, използвана за енергийни цели, която е била внесена от държава извън Съюза, както и държавите на произход на такава дървесина.</w:t>
      </w:r>
    </w:p>
    <w:p>
      <w:pPr>
        <w:spacing w:before="100" w:beforeAutospacing="1" w:after="100" w:afterAutospacing="1"/>
        <w:rPr>
          <w:b/>
          <w:noProof/>
          <w:szCs w:val="24"/>
        </w:rPr>
      </w:pPr>
      <w:r>
        <w:rPr>
          <w:noProof/>
        </w:rPr>
        <w:t xml:space="preserve">Държавите членки могат да използват специфични за държавата методики и стойности за периода на полуотделяне на въглерода вместо посочените в настоящото приложение методики и приети стойности за този период, при условие че въпросните методики и стойности са определени въз основа на прозрачни и подлежащи на проверка данни и използваните методи са поне толкова подробни и точни, колкото посочените в настоящото приложение. </w:t>
      </w:r>
    </w:p>
    <w:p>
      <w:pPr>
        <w:rPr>
          <w:rFonts w:eastAsia="Times New Roman"/>
          <w:noProof/>
          <w:szCs w:val="24"/>
        </w:rPr>
      </w:pPr>
      <w:r>
        <w:rPr>
          <w:noProof/>
        </w:rPr>
        <w:t>Функция на разлагане от първи порядък, като се започне с i = 1900 и се продължи до стойността на текущата година: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8409"/>
      </w:tblGrid>
      <w:tr>
        <w:trPr>
          <w:tblCellSpacing w:w="0" w:type="dxa"/>
        </w:trPr>
        <w:tc>
          <w:tcPr>
            <w:tcW w:w="161" w:type="pct"/>
          </w:tcPr>
          <w:p>
            <w:pPr>
              <w:pStyle w:val="Point0"/>
              <w:rPr>
                <w:noProof/>
              </w:rPr>
            </w:pPr>
            <w:r>
              <w:rPr>
                <w:noProof/>
              </w:rPr>
              <w:t>а)</w:t>
            </w:r>
            <w:r>
              <w:rPr>
                <w:noProof/>
              </w:rPr>
              <w:tab/>
            </w:r>
          </w:p>
        </w:tc>
        <w:tc>
          <w:tcPr>
            <w:tcW w:w="4839" w:type="pct"/>
          </w:tcPr>
          <w:p>
            <w:pPr>
              <w:spacing w:before="0" w:after="0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4"/>
                </w:rPr>
                <w:br/>
              </m:r>
            </m:oMath>
            <m:oMathPara>
              <m:oMath>
                <m:r>
                  <w:rPr>
                    <w:rFonts w:ascii="Cambria Math" w:eastAsia="Times New Roman" w:hAnsi="Cambria Math"/>
                    <w:noProof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noProof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noProof/>
                        <w:szCs w:val="24"/>
                      </w:rPr>
                      <m:t>i+1</m:t>
                    </m:r>
                  </m:e>
                </m:d>
                <m:r>
                  <w:rPr>
                    <w:rFonts w:ascii="Cambria Math" w:eastAsia="Times New Roman" w:hAnsi="Cambria Math"/>
                    <w:noProof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noProof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noProof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/>
                        <w:noProof/>
                        <w:szCs w:val="24"/>
                      </w:rPr>
                      <m:t>-k</m:t>
                    </m:r>
                  </m:sup>
                </m:sSup>
                <m:r>
                  <w:rPr>
                    <w:rFonts w:ascii="Cambria Math" w:eastAsia="Times New Roman" w:hAnsi="Cambria Math"/>
                    <w:noProof/>
                    <w:szCs w:val="24"/>
                  </w:rPr>
                  <m:t> ⋅C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noProof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noProof/>
                        <w:szCs w:val="24"/>
                      </w:rPr>
                      <m:t>i</m:t>
                    </m:r>
                  </m:e>
                </m:d>
                <m:r>
                  <w:rPr>
                    <w:rFonts w:ascii="Cambria Math" w:eastAsia="Times New Roman" w:hAnsi="Cambria Math"/>
                    <w:noProof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noProof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noProof/>
                            <w:szCs w:val="24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i/>
                                <w:noProof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/>
                                <w:noProof/>
                                <w:szCs w:val="24"/>
                              </w:rPr>
                              <m:t>i-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noProof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szCs w:val="24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szCs w:val="24"/>
                                  </w:rPr>
                                  <m:t>-k</m:t>
                                </m:r>
                              </m:sup>
                            </m:sSup>
                          </m:e>
                        </m:d>
                      </m:num>
                      <m:den>
                        <m:r>
                          <w:rPr>
                            <w:rFonts w:ascii="Cambria Math" w:eastAsia="Times New Roman" w:hAnsi="Cambria Math"/>
                            <w:noProof/>
                            <w:szCs w:val="24"/>
                          </w:rPr>
                          <m:t>k</m:t>
                        </m:r>
                      </m:den>
                    </m:f>
                  </m:e>
                </m:d>
                <m:r>
                  <w:rPr>
                    <w:rFonts w:ascii="Cambria Math" w:eastAsia="Times New Roman" w:hAnsi="Cambria Math"/>
                    <w:noProof/>
                    <w:szCs w:val="24"/>
                  </w:rPr>
                  <m:t>⋅Inflow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noProof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noProof/>
                        <w:szCs w:val="24"/>
                      </w:rPr>
                      <m:t>i</m:t>
                    </m:r>
                  </m:e>
                </m:d>
              </m:oMath>
            </m:oMathPara>
          </w:p>
          <w:p>
            <w:pPr>
              <w:spacing w:before="0" w:after="0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 xml:space="preserve">с </w:t>
            </w:r>
            <m:oMath>
              <m:r>
                <w:rPr>
                  <w:rFonts w:ascii="Cambria Math" w:eastAsia="Times New Roman" w:hAnsi="Cambria Math"/>
                  <w:noProof/>
                  <w:szCs w:val="24"/>
                </w:rPr>
                <m:t>C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szCs w:val="24"/>
                    </w:rPr>
                    <m:t>1900</m:t>
                  </m:r>
                </m:e>
              </m:d>
              <m:r>
                <w:rPr>
                  <w:rFonts w:ascii="Cambria Math" w:eastAsia="Times New Roman" w:hAnsi="Cambria Math"/>
                  <w:noProof/>
                  <w:szCs w:val="24"/>
                </w:rPr>
                <m:t>=0</m:t>
              </m:r>
            </m:oMath>
            <w:r>
              <w:rPr>
                <w:noProof/>
              </w:rPr>
              <w:t xml:space="preserve">.0 </w:t>
            </w:r>
          </w:p>
        </w:tc>
      </w:tr>
      <w:tr>
        <w:trPr>
          <w:tblCellSpacing w:w="0" w:type="dxa"/>
        </w:trPr>
        <w:tc>
          <w:tcPr>
            <w:tcW w:w="161" w:type="pct"/>
            <w:hideMark/>
          </w:tcPr>
          <w:p>
            <w:pPr>
              <w:pStyle w:val="Point0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б)</w:t>
            </w:r>
          </w:p>
        </w:tc>
        <w:tc>
          <w:tcPr>
            <w:tcW w:w="4839" w:type="pct"/>
            <w:hideMark/>
          </w:tcPr>
          <w:p>
            <w:pPr>
              <w:rPr>
                <w:rFonts w:eastAsia="Times New Roman"/>
                <w:noProof/>
                <w:szCs w:val="24"/>
              </w:rPr>
            </w:pPr>
            <w:r>
              <w:rPr>
                <w:rFonts w:eastAsia="Times New Roman"/>
                <w:noProof/>
                <w:szCs w:val="24"/>
                <w:lang w:val="en-US"/>
              </w:rPr>
              <w:drawing>
                <wp:inline distT="0" distB="0" distL="0" distR="0">
                  <wp:extent cx="1628140" cy="244475"/>
                  <wp:effectExtent l="0" t="0" r="0" b="3175"/>
                  <wp:docPr id="2" name="Picture 2" descr="Formu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mu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eastAsia="Times New Roman"/>
                <w:noProof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hint="eastAsia"/>
                    <w:noProof/>
                    <w:szCs w:val="24"/>
                  </w:rPr>
                  <m:t>Δ</m:t>
                </m:r>
                <m:r>
                  <w:rPr>
                    <w:rFonts w:ascii="Cambria Math" w:eastAsia="Times New Roman" w:hAnsi="Cambria Math"/>
                    <w:noProof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noProof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noProof/>
                        <w:szCs w:val="24"/>
                      </w:rPr>
                      <m:t>i</m:t>
                    </m:r>
                  </m:e>
                </m:d>
                <m:r>
                  <w:rPr>
                    <w:rFonts w:ascii="Cambria Math" w:eastAsia="Times New Roman" w:hAnsi="Cambria Math"/>
                    <w:noProof/>
                    <w:szCs w:val="24"/>
                  </w:rPr>
                  <m:t>=C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noProof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noProof/>
                        <w:szCs w:val="24"/>
                      </w:rPr>
                      <m:t>i+1</m:t>
                    </m:r>
                  </m:e>
                </m:d>
                <m:r>
                  <w:rPr>
                    <w:rFonts w:ascii="Cambria Math" w:eastAsia="Times New Roman" w:hAnsi="Cambria Math"/>
                    <w:noProof/>
                    <w:szCs w:val="24"/>
                  </w:rPr>
                  <m:t>-C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noProof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noProof/>
                        <w:szCs w:val="24"/>
                      </w:rPr>
                      <m:t>i</m:t>
                    </m:r>
                  </m:e>
                </m:d>
              </m:oMath>
            </m:oMathPara>
          </w:p>
          <w:p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където:</w:t>
            </w:r>
          </w:p>
          <w:p>
            <w:pPr>
              <w:rPr>
                <w:rFonts w:eastAsia="Times New Roman"/>
                <w:noProof/>
                <w:szCs w:val="24"/>
              </w:rPr>
            </w:pPr>
            <m:oMath>
              <m:r>
                <w:rPr>
                  <w:rFonts w:ascii="Cambria Math" w:eastAsia="Times New Roman" w:hAnsi="Cambria Math"/>
                  <w:noProof/>
                  <w:szCs w:val="24"/>
                </w:rPr>
                <m:t>i</m:t>
              </m:r>
            </m:oMath>
            <w:r>
              <w:rPr>
                <w:noProof/>
              </w:rPr>
              <w:t>= година</w:t>
            </w:r>
          </w:p>
          <w:p>
            <w:pPr>
              <w:rPr>
                <w:rFonts w:ascii="Cambria Math" w:eastAsia="Times New Roman" w:hAnsi="Cambria Math"/>
                <w:noProof/>
                <w:szCs w:val="24"/>
                <w:oMath/>
              </w:rPr>
            </w:pPr>
            <m:oMath>
              <m:r>
                <w:rPr>
                  <w:rFonts w:ascii="Cambria Math" w:eastAsia="Times New Roman" w:hAnsi="Cambria Math"/>
                  <w:noProof/>
                  <w:szCs w:val="24"/>
                </w:rPr>
                <m:t>C(i)</m:t>
              </m:r>
            </m:oMath>
            <w:r>
              <w:rPr>
                <w:noProof/>
              </w:rPr>
              <w:t xml:space="preserve">= въглеродният запас на депото от продукти от добита дървесина в началото на годината i, измерен в </w:t>
            </w:r>
            <m:oMath>
              <m:r>
                <w:rPr>
                  <w:rFonts w:ascii="Cambria Math" w:eastAsia="Times New Roman" w:hAnsi="Cambria Math"/>
                  <w:noProof/>
                  <w:szCs w:val="24"/>
                </w:rPr>
                <m:t>Gg C</m:t>
              </m:r>
            </m:oMath>
          </w:p>
          <w:p>
            <w:pPr>
              <w:rPr>
                <w:rFonts w:eastAsia="Times New Roman"/>
                <w:noProof/>
                <w:szCs w:val="24"/>
              </w:rPr>
            </w:pPr>
            <m:oMath>
              <m:r>
                <w:rPr>
                  <w:rFonts w:ascii="Cambria Math" w:eastAsia="Times New Roman" w:hAnsi="Cambria Math"/>
                  <w:noProof/>
                  <w:szCs w:val="24"/>
                </w:rPr>
                <m:t>k</m:t>
              </m:r>
            </m:oMath>
            <w:r>
              <w:rPr>
                <w:noProof/>
              </w:rPr>
              <w:t>= константа за разлагането във функцията на разлагане от първи порядък, с размерност година–1 (</w:t>
            </w:r>
            <m:oMath>
              <m:r>
                <w:rPr>
                  <w:rFonts w:ascii="Cambria Math" w:eastAsia="Times New Roman" w:hAnsi="Cambria Math"/>
                  <w:noProof/>
                  <w:szCs w:val="24"/>
                </w:rPr>
                <m:t>k=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4"/>
                        </w:rPr>
                        <m:t>2</m:t>
                      </m:r>
                    </m:e>
                  </m:d>
                  <m:r>
                    <w:rPr>
                      <w:rFonts w:ascii="Cambria Math" w:eastAsia="Times New Roman" w:hAnsi="Cambria Math"/>
                      <w:noProof/>
                      <w:szCs w:val="24"/>
                    </w:rPr>
                    <m:t>/HL</m:t>
                  </m:r>
                </m:e>
              </m:func>
            </m:oMath>
            <w:r>
              <w:rPr>
                <w:rFonts w:eastAsia="Times New Roman"/>
                <w:noProof/>
                <w:szCs w:val="24"/>
                <w:lang w:val="en-US"/>
              </w:rPr>
              <w:drawing>
                <wp:inline distT="0" distB="0" distL="0" distR="0">
                  <wp:extent cx="885190" cy="244475"/>
                  <wp:effectExtent l="0" t="0" r="0" b="3175"/>
                  <wp:docPr id="1" name="Picture 1" descr="Formu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ormu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, където </w:t>
            </w:r>
            <m:oMath>
              <m:r>
                <w:rPr>
                  <w:rFonts w:ascii="Cambria Math" w:eastAsia="Times New Roman" w:hAnsi="Cambria Math"/>
                  <w:noProof/>
                  <w:szCs w:val="24"/>
                </w:rPr>
                <m:t>HL</m:t>
              </m:r>
            </m:oMath>
            <w:r>
              <w:rPr>
                <w:noProof/>
              </w:rPr>
              <w:t xml:space="preserve"> е периодът в години на полуотделяне на въглерода от депото от продукти от добита дървесина)</w:t>
            </w:r>
          </w:p>
          <w:p>
            <w:pPr>
              <w:rPr>
                <w:rFonts w:eastAsia="Times New Roman"/>
                <w:noProof/>
                <w:szCs w:val="24"/>
              </w:rPr>
            </w:pPr>
            <m:oMath>
              <m:r>
                <w:rPr>
                  <w:rFonts w:ascii="Cambria Math" w:eastAsia="Times New Roman" w:hAnsi="Cambria Math"/>
                  <w:noProof/>
                  <w:szCs w:val="24"/>
                </w:rPr>
                <m:t>Inflow(i)</m:t>
              </m:r>
            </m:oMath>
            <w:r>
              <w:rPr>
                <w:noProof/>
              </w:rPr>
              <w:t xml:space="preserve">= постъпилото въглеродно количество в депото от продукти от добита дървесина през годината </w:t>
            </w:r>
            <m:oMath>
              <m:r>
                <w:rPr>
                  <w:rFonts w:ascii="Cambria Math" w:eastAsia="Times New Roman" w:hAnsi="Cambria Math"/>
                  <w:noProof/>
                  <w:szCs w:val="24"/>
                </w:rPr>
                <m:t>i</m:t>
              </m:r>
            </m:oMath>
            <w:r>
              <w:rPr>
                <w:noProof/>
              </w:rPr>
              <w:t>, измерено в Gg C година–1</w:t>
            </w:r>
          </w:p>
          <w:p>
            <w:pPr>
              <w:rPr>
                <w:rFonts w:eastAsia="Times New Roman"/>
                <w:noProof/>
                <w:szCs w:val="24"/>
              </w:rPr>
            </w:pPr>
            <m:oMath>
              <m:r>
                <w:rPr>
                  <w:rFonts w:ascii="Cambria Math" w:eastAsia="Times New Roman" w:hAnsi="Cambria Math"/>
                  <w:noProof/>
                  <w:szCs w:val="24"/>
                </w:rPr>
                <m:t>ΔC(i)</m:t>
              </m:r>
            </m:oMath>
            <w:r>
              <w:rPr>
                <w:noProof/>
              </w:rPr>
              <w:t xml:space="preserve">= промяна на въглеродния запас в депото от продукти от добита дървесина през годината </w:t>
            </w:r>
            <m:oMath>
              <m:r>
                <w:rPr>
                  <w:rFonts w:ascii="Cambria Math" w:eastAsia="Times New Roman" w:hAnsi="Cambria Math"/>
                  <w:noProof/>
                  <w:szCs w:val="24"/>
                </w:rPr>
                <m:t>i</m:t>
              </m:r>
            </m:oMath>
            <w:r>
              <w:rPr>
                <w:noProof/>
              </w:rPr>
              <w:t>, измерена в Gg C година–1.</w:t>
            </w:r>
          </w:p>
          <w:p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Приети стойности за периода на полуотделяне на въглерода:</w:t>
            </w:r>
          </w:p>
          <w:p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„период на полуотделяне на въглерода“ означава броя години, необходими за намаляването на количеството въглерод, съдържащо се в определена категория продукти от добита дървесина, на половината от първоначалната му стойност; Приетите стойности на периода за полуотделяне на въглерода (HL) са, както следва: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"/>
              <w:gridCol w:w="8397"/>
            </w:tblGrid>
            <w:tr>
              <w:trPr>
                <w:tblCellSpacing w:w="0" w:type="dxa"/>
              </w:trPr>
              <w:tc>
                <w:tcPr>
                  <w:tcW w:w="0" w:type="auto"/>
                  <w:hideMark/>
                </w:tcPr>
                <w:p>
                  <w:pPr>
                    <w:pStyle w:val="ListParagraph"/>
                    <w:numPr>
                      <w:ilvl w:val="0"/>
                      <w:numId w:val="9"/>
                    </w:num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>
                  <w:pPr>
                    <w:ind w:left="360"/>
                    <w:rPr>
                      <w:rFonts w:eastAsia="Times New Roman"/>
                      <w:noProof/>
                      <w:szCs w:val="24"/>
                    </w:rPr>
                  </w:pPr>
                  <w:r>
                    <w:rPr>
                      <w:noProof/>
                    </w:rPr>
                    <w:t>а)  2 години за хартията;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tcW w:w="0" w:type="auto"/>
                  <w:hideMark/>
                </w:tcPr>
                <w:p>
                  <w:pPr>
                    <w:pStyle w:val="ListParagraph"/>
                    <w:numPr>
                      <w:ilvl w:val="0"/>
                      <w:numId w:val="10"/>
                    </w:num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>
                  <w:pPr>
                    <w:ind w:left="360"/>
                    <w:rPr>
                      <w:rFonts w:eastAsia="Times New Roman"/>
                      <w:noProof/>
                      <w:szCs w:val="24"/>
                    </w:rPr>
                  </w:pPr>
                  <w:r>
                    <w:rPr>
                      <w:noProof/>
                    </w:rPr>
                    <w:t>б)  25 години за дървесните плоскости;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tcW w:w="0" w:type="auto"/>
                  <w:hideMark/>
                </w:tcPr>
                <w:p>
                  <w:pPr>
                    <w:pStyle w:val="ListParagraph"/>
                    <w:numPr>
                      <w:ilvl w:val="0"/>
                      <w:numId w:val="11"/>
                    </w:num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>
                  <w:pPr>
                    <w:ind w:left="360"/>
                    <w:rPr>
                      <w:rFonts w:eastAsia="Times New Roman"/>
                      <w:noProof/>
                      <w:szCs w:val="24"/>
                    </w:rPr>
                  </w:pPr>
                  <w:r>
                    <w:rPr>
                      <w:noProof/>
                    </w:rPr>
                    <w:t>в)  35 години за рязаната дървесина.</w:t>
                  </w:r>
                </w:p>
              </w:tc>
            </w:tr>
          </w:tbl>
          <w:p>
            <w:pPr>
              <w:rPr>
                <w:rFonts w:eastAsia="Times New Roman"/>
                <w:noProof/>
                <w:szCs w:val="24"/>
              </w:rPr>
            </w:pPr>
          </w:p>
        </w:tc>
      </w:tr>
    </w:tbl>
    <w:p>
      <w:pPr>
        <w:spacing w:before="100" w:beforeAutospacing="1" w:after="100" w:afterAutospacing="1"/>
        <w:rPr>
          <w:noProof/>
        </w:rPr>
      </w:pPr>
      <w:r>
        <w:rPr>
          <w:noProof/>
        </w:rPr>
        <w:t>Държавите членки могат да допълнят посочените категории с информация за корите, при условие че наличните данни са прозрачни и подлежащи на проверка. Освен това държавите членки могат да използват специфични за страната подкатегории за всяка от посочените категории.</w:t>
      </w:r>
    </w:p>
    <w:p>
      <w:pPr>
        <w:spacing w:before="100" w:beforeAutospacing="1" w:after="100" w:afterAutospacing="1"/>
        <w:jc w:val="center"/>
        <w:rPr>
          <w:b/>
          <w:noProof/>
          <w:szCs w:val="24"/>
        </w:rPr>
      </w:pPr>
      <w:r>
        <w:rPr>
          <w:b/>
          <w:noProof/>
        </w:rPr>
        <w:t>Приложение VI: Изчисляване на фоновото ниво на естествените смущения</w:t>
      </w:r>
    </w:p>
    <w:p>
      <w:pPr>
        <w:pStyle w:val="CM4"/>
        <w:spacing w:before="60" w:after="60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 xml:space="preserve">1. За изчисляване на фоновото ниво е необходима следната информация: </w:t>
      </w:r>
    </w:p>
    <w:p>
      <w:pPr>
        <w:pStyle w:val="CM4"/>
        <w:spacing w:before="60" w:after="60"/>
        <w:jc w:val="both"/>
        <w:rPr>
          <w:rFonts w:ascii="Times New Roman" w:hAnsi="Times New Roman" w:cs="Times New Roman"/>
          <w:noProof/>
          <w:color w:val="000000"/>
        </w:rPr>
      </w:pPr>
    </w:p>
    <w:p>
      <w:pPr>
        <w:pStyle w:val="Point0"/>
        <w:rPr>
          <w:noProof/>
        </w:rPr>
      </w:pPr>
      <w:r>
        <w:rPr>
          <w:noProof/>
        </w:rPr>
        <w:t>а)</w:t>
      </w:r>
      <w:r>
        <w:rPr>
          <w:noProof/>
        </w:rPr>
        <w:tab/>
        <w:t xml:space="preserve">нива в миналото на емисиите, причинени от естествени смущения; </w:t>
      </w:r>
    </w:p>
    <w:p>
      <w:pPr>
        <w:pStyle w:val="Point0"/>
        <w:rPr>
          <w:noProof/>
        </w:rPr>
      </w:pPr>
      <w:r>
        <w:rPr>
          <w:noProof/>
        </w:rPr>
        <w:t>б)</w:t>
      </w:r>
      <w:r>
        <w:rPr>
          <w:noProof/>
        </w:rPr>
        <w:tab/>
        <w:t xml:space="preserve">вид(ове) естествени смущения, включени в оценката; </w:t>
      </w:r>
    </w:p>
    <w:p>
      <w:pPr>
        <w:pStyle w:val="Point0"/>
        <w:rPr>
          <w:noProof/>
        </w:rPr>
      </w:pPr>
      <w:r>
        <w:rPr>
          <w:noProof/>
        </w:rPr>
        <w:t>в)</w:t>
      </w:r>
      <w:r>
        <w:rPr>
          <w:noProof/>
        </w:rPr>
        <w:tab/>
        <w:t xml:space="preserve">оценки на общите годишни емисии за тези видове естествени смущения за периода 2001—2020 г., посочени по отчетни категории земя; </w:t>
      </w:r>
    </w:p>
    <w:p>
      <w:pPr>
        <w:pStyle w:val="Point0"/>
        <w:rPr>
          <w:noProof/>
        </w:rPr>
      </w:pPr>
      <w:r>
        <w:rPr>
          <w:noProof/>
        </w:rPr>
        <w:t>г)</w:t>
      </w:r>
      <w:r>
        <w:rPr>
          <w:noProof/>
        </w:rPr>
        <w:tab/>
        <w:t xml:space="preserve">доказателство за съгласуваността на времевите редове по отношение на всички съществени параметри, включително минималната площ, методиките за оценка на емисиите, обхванатите депа и газове. </w:t>
      </w:r>
    </w:p>
    <w:p>
      <w:pPr>
        <w:pStyle w:val="CM4"/>
        <w:spacing w:before="60" w:after="60"/>
        <w:jc w:val="both"/>
        <w:rPr>
          <w:rFonts w:ascii="Times New Roman" w:hAnsi="Times New Roman" w:cs="Times New Roman"/>
          <w:noProof/>
          <w:color w:val="000000"/>
        </w:rPr>
      </w:pPr>
    </w:p>
    <w:p>
      <w:pPr>
        <w:pStyle w:val="CM4"/>
        <w:spacing w:before="60" w:after="60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 xml:space="preserve">2. Фоновото ниво се изчислява като средна стойност за времевите редове за периода 2001—2020 г., като се изключват всички години, в които са регистрирани нетипични нива на емисиите, т.е. с изключение на всички големи статистически отклонения. Установяването на големи статистически отклонения се извършва, както следва: </w:t>
      </w:r>
    </w:p>
    <w:p>
      <w:pPr>
        <w:pStyle w:val="Point0"/>
        <w:rPr>
          <w:noProof/>
        </w:rPr>
      </w:pPr>
      <w:r>
        <w:rPr>
          <w:noProof/>
        </w:rPr>
        <w:t>а)</w:t>
      </w:r>
      <w:r>
        <w:rPr>
          <w:noProof/>
        </w:rPr>
        <w:tab/>
        <w:t>изчисляват се средната аритметична стойност и стандартното отклонение за пълния времеви ред за периода 2001—2020 г.;</w:t>
      </w:r>
    </w:p>
    <w:p>
      <w:pPr>
        <w:pStyle w:val="Point0"/>
        <w:rPr>
          <w:noProof/>
        </w:rPr>
      </w:pPr>
      <w:r>
        <w:rPr>
          <w:noProof/>
        </w:rPr>
        <w:t>б)</w:t>
      </w:r>
      <w:r>
        <w:rPr>
          <w:noProof/>
        </w:rPr>
        <w:tab/>
        <w:t xml:space="preserve">от времевия ред се изключват всички години, за които отклонението в стойността на годишните емисии превишава два пъти стандартното отклонение от средната стойност; </w:t>
      </w:r>
    </w:p>
    <w:p>
      <w:pPr>
        <w:pStyle w:val="Point0"/>
        <w:rPr>
          <w:noProof/>
        </w:rPr>
      </w:pPr>
      <w:r>
        <w:rPr>
          <w:noProof/>
        </w:rPr>
        <w:t>в)</w:t>
      </w:r>
      <w:r>
        <w:rPr>
          <w:noProof/>
        </w:rPr>
        <w:tab/>
        <w:t xml:space="preserve">изчислява се повторно средната аритметична стойност и стандартното отклонение за времевия ред за периода 2001—2020 г. без годините, изключени съгласно буква б); </w:t>
      </w:r>
    </w:p>
    <w:p>
      <w:pPr>
        <w:pStyle w:val="Point0"/>
        <w:rPr>
          <w:rFonts w:eastAsia="Times New Roman"/>
          <w:noProof/>
          <w:szCs w:val="24"/>
        </w:rPr>
      </w:pPr>
      <w:r>
        <w:rPr>
          <w:noProof/>
        </w:rPr>
        <w:t>г)</w:t>
      </w:r>
      <w:r>
        <w:rPr>
          <w:noProof/>
        </w:rPr>
        <w:tab/>
        <w:t>повтарят се операциите по букви б) и в), докато повече не могат да бъдат установени големи отклонения.</w:t>
      </w:r>
    </w:p>
    <w:p>
      <w:pPr>
        <w:spacing w:before="100" w:beforeAutospacing="1" w:after="100" w:afterAutospacing="1"/>
        <w:rPr>
          <w:rFonts w:eastAsia="Times New Roman"/>
          <w:noProof/>
          <w:szCs w:val="24"/>
        </w:rPr>
      </w:pPr>
      <w:r>
        <w:rPr>
          <w:noProof/>
        </w:rPr>
        <w:t xml:space="preserve">3. След като се изчисли фоновото ниво съгласно точка 2 от настоящото приложение, ако емисиите през дадена година в периодите 2021—2025 г. и 2026—2030 г. надхвърлят фоновото ниво плюс допустимо отклонение, количеството на емисиите, което надхвърля фоновото ниво, може да бъде изключено в съответствие с член 10. Допустимото отклонение е равно на ниво на вероятност 95 %. </w:t>
      </w:r>
    </w:p>
    <w:p>
      <w:pPr>
        <w:spacing w:before="100" w:beforeAutospacing="1" w:after="100" w:afterAutospacing="1"/>
        <w:rPr>
          <w:rFonts w:eastAsia="Times New Roman"/>
          <w:noProof/>
          <w:szCs w:val="24"/>
        </w:rPr>
      </w:pPr>
      <w:r>
        <w:rPr>
          <w:noProof/>
        </w:rPr>
        <w:t xml:space="preserve">4.   Не може да се изключат следните емисии: </w:t>
      </w:r>
    </w:p>
    <w:p>
      <w:pPr>
        <w:pStyle w:val="Point0"/>
        <w:rPr>
          <w:noProof/>
        </w:rPr>
      </w:pPr>
      <w:r>
        <w:rPr>
          <w:noProof/>
        </w:rPr>
        <w:t>а)</w:t>
      </w:r>
      <w:r>
        <w:rPr>
          <w:noProof/>
        </w:rPr>
        <w:tab/>
        <w:t>емисии в резултат на дейности по дърводобив и санитарна сеч, извършени на тези земи вследствие на настъпилите естествени смущения;</w:t>
      </w:r>
    </w:p>
    <w:p>
      <w:pPr>
        <w:pStyle w:val="Point0"/>
        <w:rPr>
          <w:noProof/>
        </w:rPr>
      </w:pPr>
      <w:r>
        <w:rPr>
          <w:noProof/>
        </w:rPr>
        <w:t>б)</w:t>
      </w:r>
      <w:r>
        <w:rPr>
          <w:noProof/>
        </w:rPr>
        <w:tab/>
        <w:t>емисии в резултат на препоръчително изгаряне, извършено на тези земи през въпросната година от периода 2021—2025 г. или 2026—2030 г.;</w:t>
      </w:r>
    </w:p>
    <w:p>
      <w:pPr>
        <w:pStyle w:val="Point0"/>
        <w:rPr>
          <w:noProof/>
        </w:rPr>
      </w:pPr>
      <w:r>
        <w:rPr>
          <w:noProof/>
        </w:rPr>
        <w:t>в)</w:t>
      </w:r>
      <w:r>
        <w:rPr>
          <w:noProof/>
        </w:rPr>
        <w:tab/>
        <w:t xml:space="preserve">емисии, свързани със земи, които са били подложени на обезлесяване вследствие на настъпилите естествени смущения. </w:t>
      </w:r>
    </w:p>
    <w:p>
      <w:pPr>
        <w:spacing w:before="100" w:beforeAutospacing="1" w:after="100" w:afterAutospacing="1"/>
        <w:rPr>
          <w:rFonts w:eastAsia="Times New Roman"/>
          <w:noProof/>
          <w:szCs w:val="24"/>
        </w:rPr>
      </w:pPr>
      <w:r>
        <w:rPr>
          <w:noProof/>
        </w:rPr>
        <w:t>5.  Изискванията за информация съгласно член 10, параграф 2 включват следното:</w:t>
      </w:r>
    </w:p>
    <w:p>
      <w:pPr>
        <w:pStyle w:val="Point0"/>
        <w:rPr>
          <w:noProof/>
        </w:rPr>
      </w:pPr>
      <w:r>
        <w:rPr>
          <w:noProof/>
        </w:rPr>
        <w:t>а)</w:t>
      </w:r>
      <w:r>
        <w:rPr>
          <w:noProof/>
        </w:rPr>
        <w:tab/>
        <w:t>установяване на всички земи, засегнати от естествени смущения през въпросната година, включително географското им местоположение, периода и видовете естествени смущения;</w:t>
      </w:r>
    </w:p>
    <w:p>
      <w:pPr>
        <w:pStyle w:val="Point0"/>
        <w:rPr>
          <w:noProof/>
        </w:rPr>
      </w:pPr>
      <w:r>
        <w:rPr>
          <w:noProof/>
        </w:rPr>
        <w:t>б)</w:t>
      </w:r>
      <w:r>
        <w:rPr>
          <w:noProof/>
        </w:rPr>
        <w:tab/>
        <w:t>доказателство, че през остатъка от периода 2021—2025 г. или 2026—2030 г. не е осъществявано обезлесяване на земите, които са били засегнати от естествени смущения и по отношение на които емисиите са били изключени от отчитането;</w:t>
      </w:r>
    </w:p>
    <w:p>
      <w:pPr>
        <w:pStyle w:val="Point0"/>
        <w:rPr>
          <w:noProof/>
        </w:rPr>
      </w:pPr>
      <w:r>
        <w:rPr>
          <w:noProof/>
        </w:rPr>
        <w:t>в)</w:t>
      </w:r>
      <w:r>
        <w:rPr>
          <w:noProof/>
        </w:rPr>
        <w:tab/>
        <w:t>описание на подлежащи на проверка методи и критерии, които ще бъдат използвани, за да се установи обезлесяване на тези земи през следващите години от периода 2021—2025 г. или 2026—2030 г.;</w:t>
      </w:r>
    </w:p>
    <w:p>
      <w:pPr>
        <w:pStyle w:val="Point0"/>
        <w:rPr>
          <w:noProof/>
        </w:rPr>
      </w:pPr>
      <w:r>
        <w:rPr>
          <w:noProof/>
        </w:rPr>
        <w:t>г)</w:t>
      </w:r>
      <w:r>
        <w:rPr>
          <w:noProof/>
        </w:rPr>
        <w:tab/>
        <w:t>по възможност — описание на мерките, предприети от държавата членка за предотвратяване или ограничаване на последиците от тези естествени смущения;</w:t>
      </w:r>
    </w:p>
    <w:p>
      <w:pPr>
        <w:pStyle w:val="Point0"/>
        <w:rPr>
          <w:noProof/>
        </w:rPr>
      </w:pPr>
      <w:r>
        <w:rPr>
          <w:noProof/>
        </w:rPr>
        <w:t>д)</w:t>
      </w:r>
      <w:r>
        <w:rPr>
          <w:noProof/>
        </w:rPr>
        <w:tab/>
        <w:t>по възможност — описание на мерките, предприети от държавата членка за рехабилитация на земите, засегнати от тези естествени смущения.</w:t>
      </w:r>
    </w:p>
    <w:p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>
      <w:pPr>
        <w:pStyle w:val="Personnequisigne"/>
        <w:jc w:val="both"/>
        <w:rPr>
          <w:noProof/>
          <w:szCs w:val="24"/>
        </w:rPr>
      </w:pPr>
    </w:p>
    <w:p>
      <w:pPr>
        <w:pStyle w:val="Typedudocument"/>
        <w:rPr>
          <w:noProof/>
        </w:rPr>
      </w:pPr>
    </w:p>
    <w:sectPr>
      <w:footerReference w:type="default" r:id="rId18"/>
      <w:footerReference w:type="first" r:id="rId19"/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EC68D3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E88253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46EC3B3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DE7029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F5EAA56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F0C65E2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D68A14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BE852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57036C9"/>
    <w:multiLevelType w:val="hybridMultilevel"/>
    <w:tmpl w:val="4CF2416A"/>
    <w:lvl w:ilvl="0" w:tplc="6CBAAE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E1722"/>
    <w:multiLevelType w:val="hybridMultilevel"/>
    <w:tmpl w:val="4CF2416A"/>
    <w:lvl w:ilvl="0" w:tplc="6CBAAE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3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6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7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8">
    <w:nsid w:val="5AF77D65"/>
    <w:multiLevelType w:val="hybridMultilevel"/>
    <w:tmpl w:val="B7245122"/>
    <w:lvl w:ilvl="0" w:tplc="0614A572">
      <w:start w:val="2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4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1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</w:num>
  <w:num w:numId="14">
    <w:abstractNumId w:val="21"/>
  </w:num>
  <w:num w:numId="15">
    <w:abstractNumId w:val="10"/>
  </w:num>
  <w:num w:numId="16">
    <w:abstractNumId w:val="21"/>
  </w:num>
  <w:num w:numId="17">
    <w:abstractNumId w:val="14"/>
  </w:num>
  <w:num w:numId="18">
    <w:abstractNumId w:val="23"/>
  </w:num>
  <w:num w:numId="19">
    <w:abstractNumId w:val="13"/>
  </w:num>
  <w:num w:numId="20">
    <w:abstractNumId w:val="15"/>
  </w:num>
  <w:num w:numId="21">
    <w:abstractNumId w:val="11"/>
  </w:num>
  <w:num w:numId="22">
    <w:abstractNumId w:val="22"/>
  </w:num>
  <w:num w:numId="23">
    <w:abstractNumId w:val="10"/>
  </w:num>
  <w:num w:numId="24">
    <w:abstractNumId w:val="16"/>
  </w:num>
  <w:num w:numId="25">
    <w:abstractNumId w:val="19"/>
  </w:num>
  <w:num w:numId="26">
    <w:abstractNumId w:val="20"/>
  </w:num>
  <w:num w:numId="27">
    <w:abstractNumId w:val="12"/>
  </w:num>
  <w:num w:numId="28">
    <w:abstractNumId w:val="17"/>
  </w:num>
  <w:num w:numId="29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40"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6-07-29 10:40:05"/>
    <w:docVar w:name="DQCRepairStyles" w:val=";Point 0 (letter);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1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0"/>
    <w:docVar w:name="DQCResult_UnknownFonts" w:val="0;0"/>
    <w:docVar w:name="DQCResult_UnknownStyles" w:val="0;9"/>
    <w:docVar w:name="DQCStatus" w:val="Green"/>
    <w:docVar w:name="DQCVersion" w:val="3"/>
    <w:docVar w:name="DQCWithWarnings" w:val="0"/>
    <w:docVar w:name="LW_ACCOMPAGNANT.CP" w:val="\u1082?\u1098?\u1084?"/>
    <w:docVar w:name="LW_ANNEX_NBR_FIRST" w:val="1"/>
    <w:docVar w:name="LW_ANNEX_NBR_LAST" w:val="6"/>
    <w:docVar w:name="LW_CONFIDENCE" w:val=" "/>
    <w:docVar w:name="LW_CONST_RESTREINT_UE" w:val="RESTREINT UE"/>
    <w:docVar w:name="LW_CORRIGENDUM" w:val="&lt;UNUSED&gt;"/>
    <w:docVar w:name="LW_COVERPAGE_GUID" w:val="99DEB1B365534B2B8C5D875D1EE0A6AC"/>
    <w:docVar w:name="LW_CROSSREFERENCE" w:val="{SWD(2016) 246 final}_x000b_{SWD(2016) 249 final}"/>
    <w:docVar w:name="LW_DocType" w:val="ANNEX"/>
    <w:docVar w:name="LW_EMISSION" w:val="20.7.2016"/>
    <w:docVar w:name="LW_EMISSION_ISODATE" w:val="2016-07-20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17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\u1079?\u1072? \u1074?\u1082?\u1083?\u1102?\u1095?\u1074?\u1072?\u1085?\u1077?\u1090?\u1086? \u1085?\u1072? \u1077?\u1084?\u1080?\u1089?\u1080?\u1080?\u1090?\u1077? \u1080? \u1087?\u1086?\u1075?\u1083?\u1098?\u1097?\u1072?\u1085?\u1080?\u1103?\u1090?\u1072? \u1085?\u1072? \u1087?\u1072?\u1088?\u1085?\u1080?\u1082?\u1086?\u1074?\u1080? \u1075?\u1072?\u1079?\u1086?\u1074?\u1077? \u1086?\u1090? \u1079?\u1077?\u1084?\u1077?\u1087?\u1086?\u1083?\u1079?\u1074?\u1072?\u1085?\u1077?\u1090?\u1086?, \u1087?\u1088?\u1086?\u1084?\u1077?\u1085?\u1080?\u1090?\u1077? \u1074? \u1079?\u1077?\u1084?\u1077?\u1087?\u1086?\u1083?\u1079?\u1074?\u1072?\u1085?\u1077?\u1090?\u1086? \u1080? \u1075?\u1086?\u1088?\u1089?\u1082?\u1086?\u1090?\u1086? \u1089?\u1090?\u1086?\u1087?\u1072?\u1085?\u1089?\u1090?\u1074?\u1086? \u1074? \u1088?\u1072?\u1084?\u1082?\u1072?\u1090?\u1072? \u1074? \u1086?\u1073?\u1083?\u1072?\u1089?\u1090?\u1090?\u1072? \u1085?\u1072? \u1082?\u1083?\u1080?\u1084?\u1072?\u1090?\u1072? \u1080? \u1077?\u1085?\u1077?\u1088?\u1075?\u1077?\u1090?\u1080?\u1082?\u1072?\u1090?\u1072? \u1076?\u1086? 2030 \u1075?\u1086?\u1076?\u1080?\u1085?\u1072? \u1080? \u1079?\u1072? \u1080?\u1079?\u1084?\u1077?\u1085?\u1077?\u1085?\u1080?\u1077? \u1085?\u1072? \u1056?\u1077?\u1075?\u1083?\u1072?\u1084?\u1077?\u1085?\u1090? \u8470? 525/2013 \u1085?\u1072? \u1045?\u1074?\u1088?\u1086?\u1087?\u1077?\u1081?\u1089?\u1082?\u1080?\u1103? \u1087?\u1072?\u1088?\u1083?\u1072?\u1084?\u1077?\u1085?\u1090? \u1080? \u1085?\u1072? \u1057?\u1098?\u1074?\u1077?\u1090?\u1072? \u1086?\u1090?\u1085?\u1086?\u1089?\u1085?\u1086? \u1084?\u1077?\u1093?\u1072?\u1085?\u1080?\u1079?\u1098?\u1084? \u1079?\u1072? \u1084?\u1086?\u1085?\u1080?\u1090?\u1086?\u1088?\u1080?\u1085?\u1075? \u1080? \u1076?\u1086?\u1082?\u1083?\u1072?\u1076?\u1074?\u1072?\u1085?\u1077? \u1085?\u1072? \u1077?\u1084?\u1080?\u1089?\u1080?\u1080?\u1090?\u1077? \u1085?\u1072? \u1087?\u1072?\u1088?\u1085?\u1080?\u1082?\u1086?\u1074?\u1080? \u1075?\u1072?\u1079?\u1086?\u1074?\u1077? \u1080? \u1085?\u1072? \u1076?\u1088?\u1091?\u1075?\u1072? \u1080?\u1085?\u1092?\u1086?\u1088?\u1084?\u1072?\u1094?\u1080?\u1103?, \u1089?\u1074?\u1098?\u1088?\u1079?\u1072?\u1085?\u1072? \u1089? \u1080?\u1079?\u1084?\u1077?\u1085?\u1077?\u1085?\u1080?\u1077?\u1090?\u1086? \u1085?\u1072? \u1082?\u1083?\u1080?\u1084?\u1072?\u1090?\u1072?_x000b__x000b_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16) 479"/>
    <w:docVar w:name="LW_REF.INTERNE" w:val="&lt;UNUSED&gt;"/>
    <w:docVar w:name="LW_SUPERTITRE" w:val="&lt;UNUSED&gt;"/>
    <w:docVar w:name="LW_TITRE.OBJ.CP" w:val="&lt;UNUSED&gt;"/>
    <w:docVar w:name="LW_TYPE.DOC.CP" w:val="\u1055?\u1056?\u1048?\u1051?\u1054?\u1046?\u1045?\u1053?\u1048?\u1071?"/>
    <w:docVar w:name="LW_TYPEACTEPRINCIPAL.CP" w:val="\u1055?\u1088?\u1077?\u1076?\u1083?\u1086?\u1078?\u1077?\u1085?\u1080?\u1077? \u1079?\u1072?_x000b_\u1056?\u1045?\u1043?\u1051?\u1040?\u1052?\u1045?\u1053?\u1058? \u1053?\u1040? \u1045?\u1042?\u1056?\u1054?\u1055?\u1045?\u1049?\u1057?\u1050?\u1048?\u1071? \u1055?\u1040?\u1056?\u1051?\u1040?\u1052?\u1045?\u1053?\u1058? \u1048? \u1053?\u1040? \u1057?\u1066?\u1042?\u1045?\u1058?\u1040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2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2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2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2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rpsdutexte">
    <w:name w:val="Corps du texte_"/>
    <w:basedOn w:val="DefaultParagraphFont"/>
    <w:uiPriority w:val="99"/>
    <w:rPr>
      <w:sz w:val="16"/>
      <w:szCs w:val="16"/>
      <w:shd w:val="clear" w:color="auto" w:fill="FFFFFF"/>
    </w:rPr>
  </w:style>
  <w:style w:type="character" w:customStyle="1" w:styleId="Corpsdutexte6">
    <w:name w:val="Corps du texte (6)_"/>
    <w:basedOn w:val="DefaultParagraphFont"/>
    <w:uiPriority w:val="99"/>
    <w:rPr>
      <w:sz w:val="13"/>
      <w:szCs w:val="13"/>
      <w:shd w:val="clear" w:color="auto" w:fill="FFFFFF"/>
    </w:rPr>
  </w:style>
  <w:style w:type="character" w:customStyle="1" w:styleId="Corpsdutexte60">
    <w:name w:val="Corps du texte (6)"/>
    <w:basedOn w:val="Corpsdutexte6"/>
    <w:uiPriority w:val="99"/>
    <w:rPr>
      <w:color w:val="1A171C"/>
      <w:sz w:val="13"/>
      <w:szCs w:val="13"/>
      <w:shd w:val="clear" w:color="auto" w:fill="FFFFFF"/>
    </w:rPr>
  </w:style>
  <w:style w:type="character" w:customStyle="1" w:styleId="Corpsdutexte3">
    <w:name w:val="Corps du texte3"/>
    <w:basedOn w:val="Corpsdutexte"/>
    <w:uiPriority w:val="99"/>
    <w:rPr>
      <w:color w:val="1A171C"/>
      <w:sz w:val="16"/>
      <w:szCs w:val="16"/>
      <w:shd w:val="clear" w:color="auto" w:fill="FFFFFF"/>
    </w:rPr>
  </w:style>
  <w:style w:type="paragraph" w:customStyle="1" w:styleId="Corpsdutexte1">
    <w:name w:val="Corps du texte1"/>
    <w:basedOn w:val="Normal"/>
    <w:uiPriority w:val="99"/>
    <w:pPr>
      <w:widowControl w:val="0"/>
      <w:shd w:val="clear" w:color="auto" w:fill="FFFFFF"/>
      <w:spacing w:before="0" w:after="480" w:line="192" w:lineRule="exact"/>
      <w:ind w:hanging="500"/>
    </w:pPr>
    <w:rPr>
      <w:rFonts w:asciiTheme="minorHAnsi" w:hAnsiTheme="minorHAnsi" w:cstheme="minorBidi"/>
      <w:sz w:val="16"/>
      <w:szCs w:val="16"/>
      <w:lang w:val="en-US"/>
    </w:rPr>
  </w:style>
  <w:style w:type="paragraph" w:customStyle="1" w:styleId="Corpsdutexte61">
    <w:name w:val="Corps du texte (6)1"/>
    <w:basedOn w:val="Normal"/>
    <w:uiPriority w:val="99"/>
    <w:pPr>
      <w:widowControl w:val="0"/>
      <w:shd w:val="clear" w:color="auto" w:fill="FFFFFF"/>
      <w:spacing w:before="0" w:after="0" w:line="168" w:lineRule="exact"/>
      <w:jc w:val="center"/>
    </w:pPr>
    <w:rPr>
      <w:rFonts w:asciiTheme="minorHAnsi" w:hAnsiTheme="minorHAnsi" w:cstheme="minorBidi"/>
      <w:sz w:val="13"/>
      <w:szCs w:val="13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pPr>
      <w:spacing w:before="0" w:after="200" w:line="276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paragraph" w:customStyle="1" w:styleId="CM4">
    <w:name w:val="CM4"/>
    <w:basedOn w:val="Normal"/>
    <w:next w:val="Normal"/>
    <w:uiPriority w:val="99"/>
    <w:pPr>
      <w:autoSpaceDE w:val="0"/>
      <w:autoSpaceDN w:val="0"/>
      <w:adjustRightInd w:val="0"/>
      <w:spacing w:before="0" w:after="0"/>
      <w:jc w:val="left"/>
    </w:pPr>
    <w:rPr>
      <w:rFonts w:ascii="EUAlbertina" w:hAnsi="EUAlbertina" w:cstheme="minorBidi"/>
      <w:szCs w:val="24"/>
    </w:rPr>
  </w:style>
  <w:style w:type="paragraph" w:customStyle="1" w:styleId="tbl-norm">
    <w:name w:val="tbl-norm"/>
    <w:basedOn w:val="Normal"/>
    <w:pPr>
      <w:spacing w:before="60" w:after="60"/>
    </w:pPr>
    <w:rPr>
      <w:rFonts w:eastAsia="Times New Roman"/>
      <w:szCs w:val="24"/>
      <w:lang w:eastAsia="en-GB"/>
    </w:rPr>
  </w:style>
  <w:style w:type="paragraph" w:customStyle="1" w:styleId="Normal1">
    <w:name w:val="Normal1"/>
    <w:basedOn w:val="Normal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6"/>
      </w:numPr>
    </w:pPr>
  </w:style>
  <w:style w:type="paragraph" w:customStyle="1" w:styleId="Tiret1">
    <w:name w:val="Tiret 1"/>
    <w:basedOn w:val="Point1"/>
    <w:pPr>
      <w:numPr>
        <w:numId w:val="17"/>
      </w:numPr>
    </w:pPr>
  </w:style>
  <w:style w:type="paragraph" w:customStyle="1" w:styleId="Tiret2">
    <w:name w:val="Tiret 2"/>
    <w:basedOn w:val="Point2"/>
    <w:pPr>
      <w:numPr>
        <w:numId w:val="18"/>
      </w:numPr>
    </w:pPr>
  </w:style>
  <w:style w:type="paragraph" w:customStyle="1" w:styleId="Tiret3">
    <w:name w:val="Tiret 3"/>
    <w:basedOn w:val="Point3"/>
    <w:pPr>
      <w:numPr>
        <w:numId w:val="19"/>
      </w:numPr>
    </w:pPr>
  </w:style>
  <w:style w:type="paragraph" w:customStyle="1" w:styleId="Tiret4">
    <w:name w:val="Tiret 4"/>
    <w:basedOn w:val="Point4"/>
    <w:pPr>
      <w:numPr>
        <w:numId w:val="20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1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1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1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1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23"/>
      </w:numPr>
    </w:pPr>
  </w:style>
  <w:style w:type="paragraph" w:customStyle="1" w:styleId="Point1number">
    <w:name w:val="Point 1 (number)"/>
    <w:basedOn w:val="Normal"/>
    <w:pPr>
      <w:numPr>
        <w:ilvl w:val="2"/>
        <w:numId w:val="23"/>
      </w:numPr>
    </w:pPr>
  </w:style>
  <w:style w:type="paragraph" w:customStyle="1" w:styleId="Point2number">
    <w:name w:val="Point 2 (number)"/>
    <w:basedOn w:val="Normal"/>
    <w:pPr>
      <w:numPr>
        <w:ilvl w:val="4"/>
        <w:numId w:val="23"/>
      </w:numPr>
    </w:pPr>
  </w:style>
  <w:style w:type="paragraph" w:customStyle="1" w:styleId="Point3number">
    <w:name w:val="Point 3 (number)"/>
    <w:basedOn w:val="Normal"/>
    <w:pPr>
      <w:numPr>
        <w:ilvl w:val="6"/>
        <w:numId w:val="23"/>
      </w:numPr>
    </w:pPr>
  </w:style>
  <w:style w:type="paragraph" w:customStyle="1" w:styleId="Point0letter">
    <w:name w:val="Point 0 (letter)"/>
    <w:basedOn w:val="Normal"/>
    <w:pPr>
      <w:numPr>
        <w:ilvl w:val="1"/>
        <w:numId w:val="23"/>
      </w:numPr>
    </w:pPr>
  </w:style>
  <w:style w:type="paragraph" w:customStyle="1" w:styleId="Point1letter">
    <w:name w:val="Point 1 (letter)"/>
    <w:basedOn w:val="Normal"/>
    <w:pPr>
      <w:numPr>
        <w:ilvl w:val="3"/>
        <w:numId w:val="23"/>
      </w:numPr>
    </w:pPr>
  </w:style>
  <w:style w:type="paragraph" w:customStyle="1" w:styleId="Point2letter">
    <w:name w:val="Point 2 (letter)"/>
    <w:basedOn w:val="Normal"/>
    <w:pPr>
      <w:numPr>
        <w:ilvl w:val="5"/>
        <w:numId w:val="23"/>
      </w:numPr>
    </w:pPr>
  </w:style>
  <w:style w:type="paragraph" w:customStyle="1" w:styleId="Point3letter">
    <w:name w:val="Point 3 (letter)"/>
    <w:basedOn w:val="Normal"/>
    <w:pPr>
      <w:numPr>
        <w:ilvl w:val="7"/>
        <w:numId w:val="23"/>
      </w:numPr>
    </w:pPr>
  </w:style>
  <w:style w:type="paragraph" w:customStyle="1" w:styleId="Point4letter">
    <w:name w:val="Point 4 (letter)"/>
    <w:basedOn w:val="Normal"/>
    <w:pPr>
      <w:numPr>
        <w:ilvl w:val="8"/>
        <w:numId w:val="23"/>
      </w:numPr>
    </w:pPr>
  </w:style>
  <w:style w:type="paragraph" w:customStyle="1" w:styleId="Bullet0">
    <w:name w:val="Bullet 0"/>
    <w:basedOn w:val="Normal"/>
    <w:pPr>
      <w:numPr>
        <w:numId w:val="24"/>
      </w:numPr>
    </w:pPr>
  </w:style>
  <w:style w:type="paragraph" w:customStyle="1" w:styleId="Bullet1">
    <w:name w:val="Bullet 1"/>
    <w:basedOn w:val="Normal"/>
    <w:pPr>
      <w:numPr>
        <w:numId w:val="25"/>
      </w:numPr>
    </w:pPr>
  </w:style>
  <w:style w:type="paragraph" w:customStyle="1" w:styleId="Bullet2">
    <w:name w:val="Bullet 2"/>
    <w:basedOn w:val="Normal"/>
    <w:pPr>
      <w:numPr>
        <w:numId w:val="26"/>
      </w:numPr>
    </w:pPr>
  </w:style>
  <w:style w:type="paragraph" w:customStyle="1" w:styleId="Bullet3">
    <w:name w:val="Bullet 3"/>
    <w:basedOn w:val="Normal"/>
    <w:pPr>
      <w:numPr>
        <w:numId w:val="27"/>
      </w:numPr>
    </w:pPr>
  </w:style>
  <w:style w:type="paragraph" w:customStyle="1" w:styleId="Bullet4">
    <w:name w:val="Bullet 4"/>
    <w:basedOn w:val="Normal"/>
    <w:pPr>
      <w:numPr>
        <w:numId w:val="28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9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2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2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2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2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rpsdutexte">
    <w:name w:val="Corps du texte_"/>
    <w:basedOn w:val="DefaultParagraphFont"/>
    <w:uiPriority w:val="99"/>
    <w:rPr>
      <w:sz w:val="16"/>
      <w:szCs w:val="16"/>
      <w:shd w:val="clear" w:color="auto" w:fill="FFFFFF"/>
    </w:rPr>
  </w:style>
  <w:style w:type="character" w:customStyle="1" w:styleId="Corpsdutexte6">
    <w:name w:val="Corps du texte (6)_"/>
    <w:basedOn w:val="DefaultParagraphFont"/>
    <w:uiPriority w:val="99"/>
    <w:rPr>
      <w:sz w:val="13"/>
      <w:szCs w:val="13"/>
      <w:shd w:val="clear" w:color="auto" w:fill="FFFFFF"/>
    </w:rPr>
  </w:style>
  <w:style w:type="character" w:customStyle="1" w:styleId="Corpsdutexte60">
    <w:name w:val="Corps du texte (6)"/>
    <w:basedOn w:val="Corpsdutexte6"/>
    <w:uiPriority w:val="99"/>
    <w:rPr>
      <w:color w:val="1A171C"/>
      <w:sz w:val="13"/>
      <w:szCs w:val="13"/>
      <w:shd w:val="clear" w:color="auto" w:fill="FFFFFF"/>
    </w:rPr>
  </w:style>
  <w:style w:type="character" w:customStyle="1" w:styleId="Corpsdutexte3">
    <w:name w:val="Corps du texte3"/>
    <w:basedOn w:val="Corpsdutexte"/>
    <w:uiPriority w:val="99"/>
    <w:rPr>
      <w:color w:val="1A171C"/>
      <w:sz w:val="16"/>
      <w:szCs w:val="16"/>
      <w:shd w:val="clear" w:color="auto" w:fill="FFFFFF"/>
    </w:rPr>
  </w:style>
  <w:style w:type="paragraph" w:customStyle="1" w:styleId="Corpsdutexte1">
    <w:name w:val="Corps du texte1"/>
    <w:basedOn w:val="Normal"/>
    <w:uiPriority w:val="99"/>
    <w:pPr>
      <w:widowControl w:val="0"/>
      <w:shd w:val="clear" w:color="auto" w:fill="FFFFFF"/>
      <w:spacing w:before="0" w:after="480" w:line="192" w:lineRule="exact"/>
      <w:ind w:hanging="500"/>
    </w:pPr>
    <w:rPr>
      <w:rFonts w:asciiTheme="minorHAnsi" w:hAnsiTheme="minorHAnsi" w:cstheme="minorBidi"/>
      <w:sz w:val="16"/>
      <w:szCs w:val="16"/>
      <w:lang w:val="en-US"/>
    </w:rPr>
  </w:style>
  <w:style w:type="paragraph" w:customStyle="1" w:styleId="Corpsdutexte61">
    <w:name w:val="Corps du texte (6)1"/>
    <w:basedOn w:val="Normal"/>
    <w:uiPriority w:val="99"/>
    <w:pPr>
      <w:widowControl w:val="0"/>
      <w:shd w:val="clear" w:color="auto" w:fill="FFFFFF"/>
      <w:spacing w:before="0" w:after="0" w:line="168" w:lineRule="exact"/>
      <w:jc w:val="center"/>
    </w:pPr>
    <w:rPr>
      <w:rFonts w:asciiTheme="minorHAnsi" w:hAnsiTheme="minorHAnsi" w:cstheme="minorBidi"/>
      <w:sz w:val="13"/>
      <w:szCs w:val="13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pPr>
      <w:spacing w:before="0" w:after="200" w:line="276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paragraph" w:customStyle="1" w:styleId="CM4">
    <w:name w:val="CM4"/>
    <w:basedOn w:val="Normal"/>
    <w:next w:val="Normal"/>
    <w:uiPriority w:val="99"/>
    <w:pPr>
      <w:autoSpaceDE w:val="0"/>
      <w:autoSpaceDN w:val="0"/>
      <w:adjustRightInd w:val="0"/>
      <w:spacing w:before="0" w:after="0"/>
      <w:jc w:val="left"/>
    </w:pPr>
    <w:rPr>
      <w:rFonts w:ascii="EUAlbertina" w:hAnsi="EUAlbertina" w:cstheme="minorBidi"/>
      <w:szCs w:val="24"/>
    </w:rPr>
  </w:style>
  <w:style w:type="paragraph" w:customStyle="1" w:styleId="tbl-norm">
    <w:name w:val="tbl-norm"/>
    <w:basedOn w:val="Normal"/>
    <w:pPr>
      <w:spacing w:before="60" w:after="60"/>
    </w:pPr>
    <w:rPr>
      <w:rFonts w:eastAsia="Times New Roman"/>
      <w:szCs w:val="24"/>
      <w:lang w:eastAsia="en-GB"/>
    </w:rPr>
  </w:style>
  <w:style w:type="paragraph" w:customStyle="1" w:styleId="Normal1">
    <w:name w:val="Normal1"/>
    <w:basedOn w:val="Normal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6"/>
      </w:numPr>
    </w:pPr>
  </w:style>
  <w:style w:type="paragraph" w:customStyle="1" w:styleId="Tiret1">
    <w:name w:val="Tiret 1"/>
    <w:basedOn w:val="Point1"/>
    <w:pPr>
      <w:numPr>
        <w:numId w:val="17"/>
      </w:numPr>
    </w:pPr>
  </w:style>
  <w:style w:type="paragraph" w:customStyle="1" w:styleId="Tiret2">
    <w:name w:val="Tiret 2"/>
    <w:basedOn w:val="Point2"/>
    <w:pPr>
      <w:numPr>
        <w:numId w:val="18"/>
      </w:numPr>
    </w:pPr>
  </w:style>
  <w:style w:type="paragraph" w:customStyle="1" w:styleId="Tiret3">
    <w:name w:val="Tiret 3"/>
    <w:basedOn w:val="Point3"/>
    <w:pPr>
      <w:numPr>
        <w:numId w:val="19"/>
      </w:numPr>
    </w:pPr>
  </w:style>
  <w:style w:type="paragraph" w:customStyle="1" w:styleId="Tiret4">
    <w:name w:val="Tiret 4"/>
    <w:basedOn w:val="Point4"/>
    <w:pPr>
      <w:numPr>
        <w:numId w:val="20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1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1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1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1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23"/>
      </w:numPr>
    </w:pPr>
  </w:style>
  <w:style w:type="paragraph" w:customStyle="1" w:styleId="Point1number">
    <w:name w:val="Point 1 (number)"/>
    <w:basedOn w:val="Normal"/>
    <w:pPr>
      <w:numPr>
        <w:ilvl w:val="2"/>
        <w:numId w:val="23"/>
      </w:numPr>
    </w:pPr>
  </w:style>
  <w:style w:type="paragraph" w:customStyle="1" w:styleId="Point2number">
    <w:name w:val="Point 2 (number)"/>
    <w:basedOn w:val="Normal"/>
    <w:pPr>
      <w:numPr>
        <w:ilvl w:val="4"/>
        <w:numId w:val="23"/>
      </w:numPr>
    </w:pPr>
  </w:style>
  <w:style w:type="paragraph" w:customStyle="1" w:styleId="Point3number">
    <w:name w:val="Point 3 (number)"/>
    <w:basedOn w:val="Normal"/>
    <w:pPr>
      <w:numPr>
        <w:ilvl w:val="6"/>
        <w:numId w:val="23"/>
      </w:numPr>
    </w:pPr>
  </w:style>
  <w:style w:type="paragraph" w:customStyle="1" w:styleId="Point0letter">
    <w:name w:val="Point 0 (letter)"/>
    <w:basedOn w:val="Normal"/>
    <w:pPr>
      <w:numPr>
        <w:ilvl w:val="1"/>
        <w:numId w:val="23"/>
      </w:numPr>
    </w:pPr>
  </w:style>
  <w:style w:type="paragraph" w:customStyle="1" w:styleId="Point1letter">
    <w:name w:val="Point 1 (letter)"/>
    <w:basedOn w:val="Normal"/>
    <w:pPr>
      <w:numPr>
        <w:ilvl w:val="3"/>
        <w:numId w:val="23"/>
      </w:numPr>
    </w:pPr>
  </w:style>
  <w:style w:type="paragraph" w:customStyle="1" w:styleId="Point2letter">
    <w:name w:val="Point 2 (letter)"/>
    <w:basedOn w:val="Normal"/>
    <w:pPr>
      <w:numPr>
        <w:ilvl w:val="5"/>
        <w:numId w:val="23"/>
      </w:numPr>
    </w:pPr>
  </w:style>
  <w:style w:type="paragraph" w:customStyle="1" w:styleId="Point3letter">
    <w:name w:val="Point 3 (letter)"/>
    <w:basedOn w:val="Normal"/>
    <w:pPr>
      <w:numPr>
        <w:ilvl w:val="7"/>
        <w:numId w:val="23"/>
      </w:numPr>
    </w:pPr>
  </w:style>
  <w:style w:type="paragraph" w:customStyle="1" w:styleId="Point4letter">
    <w:name w:val="Point 4 (letter)"/>
    <w:basedOn w:val="Normal"/>
    <w:pPr>
      <w:numPr>
        <w:ilvl w:val="8"/>
        <w:numId w:val="23"/>
      </w:numPr>
    </w:pPr>
  </w:style>
  <w:style w:type="paragraph" w:customStyle="1" w:styleId="Bullet0">
    <w:name w:val="Bullet 0"/>
    <w:basedOn w:val="Normal"/>
    <w:pPr>
      <w:numPr>
        <w:numId w:val="24"/>
      </w:numPr>
    </w:pPr>
  </w:style>
  <w:style w:type="paragraph" w:customStyle="1" w:styleId="Bullet1">
    <w:name w:val="Bullet 1"/>
    <w:basedOn w:val="Normal"/>
    <w:pPr>
      <w:numPr>
        <w:numId w:val="25"/>
      </w:numPr>
    </w:pPr>
  </w:style>
  <w:style w:type="paragraph" w:customStyle="1" w:styleId="Bullet2">
    <w:name w:val="Bullet 2"/>
    <w:basedOn w:val="Normal"/>
    <w:pPr>
      <w:numPr>
        <w:numId w:val="26"/>
      </w:numPr>
    </w:pPr>
  </w:style>
  <w:style w:type="paragraph" w:customStyle="1" w:styleId="Bullet3">
    <w:name w:val="Bullet 3"/>
    <w:basedOn w:val="Normal"/>
    <w:pPr>
      <w:numPr>
        <w:numId w:val="27"/>
      </w:numPr>
    </w:pPr>
  </w:style>
  <w:style w:type="paragraph" w:customStyle="1" w:styleId="Bullet4">
    <w:name w:val="Bullet 4"/>
    <w:basedOn w:val="Normal"/>
    <w:pPr>
      <w:numPr>
        <w:numId w:val="28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9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0079-958D-4087-94E2-4B241FB8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</TotalTime>
  <Pages>10</Pages>
  <Words>1972</Words>
  <Characters>11004</Characters>
  <Application>Microsoft Office Word</Application>
  <DocSecurity>0</DocSecurity>
  <Lines>478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BEAUPORT Helene (CLIMA)</dc:creator>
  <cp:lastModifiedBy>DIGIT/A3</cp:lastModifiedBy>
  <cp:revision>8</cp:revision>
  <cp:lastPrinted>2016-06-30T12:44:00Z</cp:lastPrinted>
  <dcterms:created xsi:type="dcterms:W3CDTF">2016-07-22T13:47:00Z</dcterms:created>
  <dcterms:modified xsi:type="dcterms:W3CDTF">2016-07-29T08:40:00Z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5.8.86.0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6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SG-017</vt:lpwstr>
  </property>
  <property fmtid="{D5CDD505-2E9C-101B-9397-08002B2CF9AE}" pid="12" name="DQCStatus">
    <vt:lpwstr>Green (DQC version 03)</vt:lpwstr>
  </property>
</Properties>
</file>