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06" w:rsidRDefault="00AB4507" w:rsidP="00AB4507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CCB52BEB55994BB49B07A343ECC44468" style="width:451pt;height:406.65pt">
            <v:imagedata r:id="rId8" o:title=""/>
          </v:shape>
        </w:pict>
      </w:r>
    </w:p>
    <w:bookmarkEnd w:id="0"/>
    <w:p w:rsidR="00C67F06" w:rsidRDefault="00C67F06">
      <w:pPr>
        <w:rPr>
          <w:noProof/>
        </w:rPr>
        <w:sectPr w:rsidR="00C67F06" w:rsidSect="00AB45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AB4507" w:rsidRPr="003D06C0" w:rsidRDefault="00AB4507" w:rsidP="00AB4507">
      <w:pPr>
        <w:pStyle w:val="Heading1"/>
        <w:numPr>
          <w:ilvl w:val="0"/>
          <w:numId w:val="0"/>
        </w:numPr>
        <w:ind w:left="432" w:hanging="432"/>
        <w:jc w:val="center"/>
      </w:pPr>
      <w:r>
        <w:lastRenderedPageBreak/>
        <w:t>Annexe: Plan d’action pour une mobilité à faible taux d'émissions</w:t>
      </w:r>
      <w:r>
        <w:rPr>
          <w:rStyle w:val="FootnoteReference"/>
        </w:rPr>
        <w:footnoteReference w:id="1"/>
      </w:r>
    </w:p>
    <w:p w:rsidR="00AB4507" w:rsidRDefault="00AB4507" w:rsidP="00AB450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AB4507" w:rsidRPr="000B1DA8" w:rsidTr="00B7546F">
        <w:tc>
          <w:tcPr>
            <w:tcW w:w="9242" w:type="dxa"/>
            <w:shd w:val="clear" w:color="auto" w:fill="auto"/>
          </w:tcPr>
          <w:p w:rsidR="00AB4507" w:rsidRPr="000B1DA8" w:rsidRDefault="00AB4507" w:rsidP="00B754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Optimiser le système de transport et accroître son efficience</w:t>
            </w:r>
          </w:p>
        </w:tc>
      </w:tr>
      <w:tr w:rsidR="00AB4507" w:rsidRPr="000B1DA8" w:rsidTr="00B7546F">
        <w:tc>
          <w:tcPr>
            <w:tcW w:w="9242" w:type="dxa"/>
            <w:shd w:val="clear" w:color="auto" w:fill="auto"/>
          </w:tcPr>
          <w:p w:rsidR="00AB4507" w:rsidRPr="000B1DA8" w:rsidRDefault="00AB4507" w:rsidP="00B7546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Mobilité numérique: </w:t>
            </w:r>
          </w:p>
          <w:p w:rsidR="00AB4507" w:rsidRPr="000B1DA8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Plan directeur pour le déploiement de systèmes de transport intelligents coopératifs et interopérables</w:t>
            </w:r>
          </w:p>
          <w:p w:rsidR="00AB4507" w:rsidRPr="000B1DA8" w:rsidRDefault="00AB4507" w:rsidP="00B7546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Redevances équitables et efficientes dans le transport routier:</w:t>
            </w:r>
          </w:p>
          <w:p w:rsidR="00AB4507" w:rsidRPr="000B1DA8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Révision de la directive «Eurovignette» (1999/62/CE)</w:t>
            </w:r>
          </w:p>
          <w:p w:rsidR="00AB4507" w:rsidRPr="000B1DA8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Révision de la directive 2004/52/CE sur un service de péage électronique européen (SET) et de la décision de la Commission relative à la définition du service européen de télépéage et à ses aspects techniques (décision 2009/750/CE de la Commission)</w:t>
            </w:r>
          </w:p>
          <w:p w:rsidR="00AB4507" w:rsidRPr="000B1DA8" w:rsidRDefault="00AB4507" w:rsidP="00B7546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Promotion de la multimodalité: </w:t>
            </w:r>
          </w:p>
          <w:p w:rsidR="00AB4507" w:rsidRPr="000B1DA8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Proposition de règlement du PE et du Conseil concernant des mesures de rationalisation visant à accélérer la mise en œuvre des projets d’intérêt commun relatifs au réseau transeuropéen de transport</w:t>
            </w:r>
          </w:p>
          <w:p w:rsidR="00AB4507" w:rsidRPr="00581FD2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Révision du règlement (UE) n° 913/2010 relatif au réseau ferroviaire européen pour un fret compétitif</w:t>
            </w:r>
          </w:p>
          <w:p w:rsidR="00AB4507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Proposition de modification de la directive 92/106/CEE du Conseil relative à l'établissement de règles communes pour certains transports combinés de marchandises entre États membres</w:t>
            </w:r>
          </w:p>
          <w:p w:rsidR="00AB4507" w:rsidRPr="000B1DA8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Révision du règlement (CE) n° 1073/2009 établissant des règles communes pour l’accès au marché international des services de transport par autocars et autobus</w:t>
            </w:r>
          </w:p>
        </w:tc>
      </w:tr>
      <w:tr w:rsidR="00AB4507" w:rsidRPr="000B1DA8" w:rsidTr="00B7546F">
        <w:tc>
          <w:tcPr>
            <w:tcW w:w="9242" w:type="dxa"/>
            <w:shd w:val="clear" w:color="auto" w:fill="auto"/>
          </w:tcPr>
          <w:p w:rsidR="00AB4507" w:rsidRPr="000B1DA8" w:rsidRDefault="00AB4507" w:rsidP="00B754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Renforcer l’utilisation des énergies de substitution à faible taux d'émissions</w:t>
            </w:r>
          </w:p>
        </w:tc>
      </w:tr>
      <w:tr w:rsidR="00AB4507" w:rsidRPr="000B1DA8" w:rsidTr="00B7546F">
        <w:tc>
          <w:tcPr>
            <w:tcW w:w="9242" w:type="dxa"/>
            <w:shd w:val="clear" w:color="auto" w:fill="auto"/>
          </w:tcPr>
          <w:p w:rsidR="00AB4507" w:rsidRPr="000B1DA8" w:rsidRDefault="00AB4507" w:rsidP="00B7546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Cadre efficace pour les énergies de substitution à faible taux d'émissions pour les transports:</w:t>
            </w:r>
          </w:p>
          <w:p w:rsidR="00AB4507" w:rsidRPr="000B1DA8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Paquet législatif sur les sources d’énergie renouvelables</w:t>
            </w:r>
          </w:p>
          <w:p w:rsidR="00AB4507" w:rsidRPr="000B1DA8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Méthode de comparaison des prix des carburants</w:t>
            </w:r>
          </w:p>
          <w:p w:rsidR="00AB4507" w:rsidRPr="000B1DA8" w:rsidRDefault="00AB4507" w:rsidP="00B7546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Normalisation et interopérabilité en matière d’électromobilité dans le cadre des organisations européennes de normalisation</w:t>
            </w:r>
          </w:p>
        </w:tc>
      </w:tr>
      <w:tr w:rsidR="00AB4507" w:rsidRPr="000B1DA8" w:rsidTr="00B7546F">
        <w:tc>
          <w:tcPr>
            <w:tcW w:w="9242" w:type="dxa"/>
            <w:shd w:val="clear" w:color="auto" w:fill="auto"/>
          </w:tcPr>
          <w:p w:rsidR="00AB4507" w:rsidRPr="000B1DA8" w:rsidRDefault="00AB4507" w:rsidP="00B754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Transition vers des véhicules à émissions nulles</w:t>
            </w:r>
          </w:p>
        </w:tc>
      </w:tr>
      <w:tr w:rsidR="00AB4507" w:rsidRPr="000B1DA8" w:rsidTr="00B7546F">
        <w:tc>
          <w:tcPr>
            <w:tcW w:w="9242" w:type="dxa"/>
            <w:shd w:val="clear" w:color="auto" w:fill="auto"/>
          </w:tcPr>
          <w:p w:rsidR="00AB4507" w:rsidRPr="000B1DA8" w:rsidRDefault="00AB4507" w:rsidP="00B7546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Stratégie post-2020 en matière d'efficacité énergétique des voitures et des camionnettes</w:t>
            </w:r>
          </w:p>
          <w:p w:rsidR="00AB4507" w:rsidRPr="000B1DA8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Révision des règlements (CE) n° 443/2009 et (UE) n° 510/2011 fixant les normes de performance en matière d'émissions pour les voitures et les camionnettes</w:t>
            </w:r>
          </w:p>
          <w:p w:rsidR="00AB4507" w:rsidRPr="000B1DA8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Réexamen de la directive 1999/94/CE concernant la disponibilité d'informations sur la consommation de carburant et les émissions de dioxyde de carbone à l'intention des consommateurs lors de la commercialisation des voitures particulières neuves</w:t>
            </w:r>
          </w:p>
          <w:p w:rsidR="00AB4507" w:rsidRPr="000B1DA8" w:rsidRDefault="00AB4507" w:rsidP="00B7546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Action concernant les véhicules lourds:</w:t>
            </w:r>
          </w:p>
          <w:p w:rsidR="00AB4507" w:rsidRPr="000B1DA8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Proposition de procédure de certification des émissions de dioxyde de carbone des véhicules lourds (sur la base de l’outil de simulation VECTO)</w:t>
            </w:r>
          </w:p>
          <w:p w:rsidR="00AB4507" w:rsidRPr="000B1DA8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Proposition de système de surveillance et de déclaration pour les véhicules lourds (camions et autobus)</w:t>
            </w:r>
          </w:p>
          <w:p w:rsidR="00AB4507" w:rsidRPr="000B1DA8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Proposition d'établissement de normes en matière d’efficacité énergétique des véhicules lourds </w:t>
            </w:r>
          </w:p>
          <w:p w:rsidR="00AB4507" w:rsidRPr="000B1DA8" w:rsidRDefault="00AB4507" w:rsidP="00B7546F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Réexamen de la directive 2009/33/CE relative à la promotion de véhicules de transport routier propres et économes en énergie</w:t>
            </w:r>
          </w:p>
        </w:tc>
      </w:tr>
      <w:tr w:rsidR="00AB4507" w:rsidRPr="000B1DA8" w:rsidTr="00B7546F">
        <w:tc>
          <w:tcPr>
            <w:tcW w:w="9242" w:type="dxa"/>
            <w:shd w:val="clear" w:color="auto" w:fill="auto"/>
          </w:tcPr>
          <w:p w:rsidR="00AB4507" w:rsidRPr="000B1DA8" w:rsidRDefault="00AB4507" w:rsidP="00B754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Instruments horizontaux à l'appui de la mobilité à faible taux d'émissions</w:t>
            </w:r>
          </w:p>
        </w:tc>
      </w:tr>
      <w:tr w:rsidR="00AB4507" w:rsidRPr="000B1DA8" w:rsidTr="00B7546F">
        <w:tc>
          <w:tcPr>
            <w:tcW w:w="9242" w:type="dxa"/>
            <w:shd w:val="clear" w:color="auto" w:fill="auto"/>
          </w:tcPr>
          <w:p w:rsidR="00AB4507" w:rsidRPr="000B1DA8" w:rsidRDefault="00AB4507" w:rsidP="00B7546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Stratégie pour une union de l’énergie, y compris l’initiative sur l’organisation du marché de l’électricité qui vise à accroître la participation des consommateurs </w:t>
            </w:r>
          </w:p>
          <w:p w:rsidR="00AB4507" w:rsidRPr="000B1DA8" w:rsidRDefault="00AB4507" w:rsidP="00B7546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Stratégie de l'UE en matière de recherche, d’innovation et de compétitivité pour l'union de l’énergie</w:t>
            </w:r>
          </w:p>
          <w:p w:rsidR="00AB4507" w:rsidRPr="000B1DA8" w:rsidRDefault="00AB4507" w:rsidP="00B7546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Mise en œuvre du marché unique et de la stratégie relative au marché unique numérique, y compris le passage au numérique des entreprises, la libre circulation des données et les initiatives de normalisation</w:t>
            </w:r>
          </w:p>
          <w:p w:rsidR="00AB4507" w:rsidRPr="000B1DA8" w:rsidRDefault="00AB4507" w:rsidP="00B7546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Mise en œuvre de la nouvelle stratégie en matière de compétences pour l'Europe</w:t>
            </w:r>
          </w:p>
          <w:p w:rsidR="00AB4507" w:rsidRPr="000B1DA8" w:rsidRDefault="00AB4507" w:rsidP="00B7546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Maximisation de l'impact des financements et des instruments financiers disponibles</w:t>
            </w:r>
          </w:p>
          <w:p w:rsidR="00AB4507" w:rsidRPr="000B1DA8" w:rsidRDefault="00AB4507" w:rsidP="00B7546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Action menée au niveau mondial dans le secteur des transports internationaux</w:t>
            </w:r>
          </w:p>
        </w:tc>
      </w:tr>
    </w:tbl>
    <w:p w:rsidR="00AB4507" w:rsidRDefault="00AB4507" w:rsidP="00AB4507">
      <w:pPr>
        <w:jc w:val="both"/>
        <w:rPr>
          <w:rFonts w:ascii="Times New Roman" w:hAnsi="Times New Roman"/>
          <w:sz w:val="24"/>
          <w:szCs w:val="24"/>
        </w:rPr>
      </w:pPr>
    </w:p>
    <w:p w:rsidR="00C67F06" w:rsidRDefault="00C67F06">
      <w:pPr>
        <w:rPr>
          <w:noProof/>
        </w:rPr>
      </w:pPr>
    </w:p>
    <w:sectPr w:rsidR="00C67F0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06" w:rsidRDefault="00C67F06">
      <w:r>
        <w:separator/>
      </w:r>
    </w:p>
  </w:endnote>
  <w:endnote w:type="continuationSeparator" w:id="0">
    <w:p w:rsidR="00C67F06" w:rsidRDefault="00C6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07" w:rsidRPr="00AB4507" w:rsidRDefault="00AB4507" w:rsidP="00AB45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07" w:rsidRPr="00AB4507" w:rsidRDefault="00AB4507" w:rsidP="00AB4507">
    <w:pPr>
      <w:pStyle w:val="FooterCoverPage"/>
      <w:rPr>
        <w:rFonts w:ascii="Arial" w:hAnsi="Arial" w:cs="Arial"/>
        <w:b/>
        <w:sz w:val="48"/>
      </w:rPr>
    </w:pPr>
    <w:r w:rsidRPr="00AB4507">
      <w:rPr>
        <w:rFonts w:ascii="Arial" w:hAnsi="Arial" w:cs="Arial"/>
        <w:b/>
        <w:sz w:val="48"/>
      </w:rPr>
      <w:t>FR</w:t>
    </w:r>
    <w:r w:rsidRPr="00AB4507">
      <w:rPr>
        <w:rFonts w:ascii="Arial" w:hAnsi="Arial" w:cs="Arial"/>
        <w:b/>
        <w:sz w:val="48"/>
      </w:rPr>
      <w:tab/>
    </w:r>
    <w:r w:rsidRPr="00AB4507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AB4507">
      <w:tab/>
    </w:r>
    <w:r w:rsidRPr="00AB4507"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07" w:rsidRPr="00AB4507" w:rsidRDefault="00AB4507" w:rsidP="00AB4507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06" w:rsidRDefault="00C67F0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06" w:rsidRDefault="00C67F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4507">
      <w:rPr>
        <w:noProof/>
      </w:rPr>
      <w:t>3</w:t>
    </w:r>
    <w:r>
      <w:rPr>
        <w:noProof/>
      </w:rPr>
      <w:fldChar w:fldCharType="end"/>
    </w:r>
  </w:p>
  <w:p w:rsidR="00C67F06" w:rsidRDefault="00C67F06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06" w:rsidRDefault="00C67F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06" w:rsidRDefault="00C67F06">
      <w:r>
        <w:separator/>
      </w:r>
    </w:p>
  </w:footnote>
  <w:footnote w:type="continuationSeparator" w:id="0">
    <w:p w:rsidR="00C67F06" w:rsidRDefault="00C67F06">
      <w:r>
        <w:continuationSeparator/>
      </w:r>
    </w:p>
  </w:footnote>
  <w:footnote w:id="1">
    <w:p w:rsidR="00AB4507" w:rsidRPr="00C4349F" w:rsidRDefault="00AB4507" w:rsidP="00AB4507">
      <w:pPr>
        <w:pStyle w:val="FootnoteText"/>
        <w:spacing w:after="0" w:line="240" w:lineRule="auto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Les actions mentionnées dans le présent plan d’action seront soumises à une évaluation, une consultation et une analyse d’impact appropriées, conformément aux principes en matière d’amélioration de la réglementation et aux principes de subsidiarité et de proportionnalité en vigueur dans l'UE.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07" w:rsidRPr="00AB4507" w:rsidRDefault="00AB4507" w:rsidP="00AB45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07" w:rsidRPr="00AB4507" w:rsidRDefault="00AB4507" w:rsidP="00AB4507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07" w:rsidRPr="00AB4507" w:rsidRDefault="00AB4507" w:rsidP="00AB4507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06" w:rsidRDefault="00C67F0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06" w:rsidRDefault="00C67F0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06" w:rsidRDefault="00C67F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C533D"/>
    <w:multiLevelType w:val="hybridMultilevel"/>
    <w:tmpl w:val="42508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A3B9F"/>
    <w:multiLevelType w:val="multilevel"/>
    <w:tmpl w:val="EB5007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ocStatus" w:val="Green"/>
    <w:docVar w:name="LW_ACCOMPAGNANT.CP" w:val="de la 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CCB52BEB55994BB49B07A343ECC44468"/>
    <w:docVar w:name="LW_CROSSREFERENCE" w:val="{SWD(2016) 244 final}"/>
    <w:docVar w:name="LW_DocType" w:val="NORMAL"/>
    <w:docVar w:name="LW_EMISSION" w:val="20.7.2016"/>
    <w:docVar w:name="LW_EMISSION_ISODATE" w:val="2016-07-20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Une stratégie européenne pour une mobilité à faible taux d'émissions"/>
    <w:docVar w:name="LW_PART_NBR" w:val="1"/>
    <w:docVar w:name="LW_PART_NBR_TOTAL" w:val="1"/>
    <w:docVar w:name="LW_REF.INST.NEW" w:val="COM"/>
    <w:docVar w:name="LW_REF.INST.NEW_ADOPTED" w:val="draft"/>
    <w:docVar w:name="LW_REF.INST.NEW_TEXT" w:val="(2016) 501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PARLEMENT EUROPÉEN, AU CONSEIL, AU COMITÉ ÉCONOMIQUE ET SOCIAL EUROPÉEN ET AU COMITÉ DES RÉGIONS"/>
  </w:docVars>
  <w:rsids>
    <w:rsidRoot w:val="000B2F94"/>
    <w:rsid w:val="000B2F94"/>
    <w:rsid w:val="0028558F"/>
    <w:rsid w:val="00AB4507"/>
    <w:rsid w:val="00C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1134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240" w:after="240"/>
      <w:jc w:val="both"/>
      <w:outlineLvl w:val="0"/>
    </w:pPr>
    <w:rPr>
      <w:rFonts w:ascii="Times New Roman" w:eastAsia="Times New Roman" w:hAnsi="Times New Roman"/>
      <w:b/>
      <w:smallCap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after="240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num" w:pos="1920"/>
      </w:tabs>
      <w:spacing w:after="240"/>
      <w:ind w:left="1920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after="240"/>
      <w:jc w:val="both"/>
      <w:outlineLvl w:val="3"/>
    </w:pPr>
    <w:rPr>
      <w:rFonts w:ascii="Times New Roman" w:eastAsia="Times New Roman" w:hAnsi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eastAsia="Times New Roman" w:hAnsi="Arial"/>
      <w:szCs w:val="20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eastAsia="Times New Roman" w:hAnsi="Arial"/>
      <w:i/>
      <w:szCs w:val="20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ind w:left="0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hAnsi="Times New Roman"/>
      <w:sz w:val="24"/>
      <w:szCs w:val="20"/>
      <w:lang w:val="en-US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ind w:left="0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link w:val="Heading5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link w:val="Heading6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link w:val="Heading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link w:val="Heading8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link w:val="Heading9"/>
    <w:rPr>
      <w:rFonts w:ascii="Arial" w:eastAsia="Times New Roman" w:hAnsi="Arial" w:cs="Times New Roman"/>
      <w:i/>
      <w:sz w:val="18"/>
      <w:szCs w:val="20"/>
    </w:rPr>
  </w:style>
  <w:style w:type="paragraph" w:styleId="FootnoteText">
    <w:name w:val="footnote text"/>
    <w:aliases w:val="Fußnotentextf,Fußnote,Fuﬂnotentextf,Footnote Text Blue,Geneva 9,Font: Geneva 9,Boston 10,f,Footnote Text Char Char Char Char Char Char,Tekst przypisu,Schriftart: 9 pt,Schriftart: 10 pt,Schriftart: 8 pt,WB-Fußnotentext,fn,Fotnotstext1,9 pt"/>
    <w:basedOn w:val="Normal"/>
    <w:link w:val="FootnoteTextChar"/>
    <w:unhideWhenUsed/>
    <w:qFormat/>
    <w:pPr>
      <w:spacing w:after="200" w:line="276" w:lineRule="auto"/>
      <w:ind w:left="0"/>
    </w:pPr>
    <w:rPr>
      <w:sz w:val="20"/>
      <w:szCs w:val="20"/>
    </w:rPr>
  </w:style>
  <w:style w:type="character" w:customStyle="1" w:styleId="FootnoteTextChar">
    <w:name w:val="Footnote Text Char"/>
    <w:aliases w:val="Fußnotentextf Char,Fußnote Char,Fuﬂnotentextf Char,Footnote Text Blue Char,Geneva 9 Char,Font: Geneva 9 Char,Boston 10 Char,f Char,Footnote Text Char Char Char Char Char Char Char,Tekst przypisu Char,Schriftart: 9 pt Char,fn Char"/>
    <w:link w:val="FootnoteText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SUPERS,-E Fußnotenzeichen,number,Footnote reference number,Footnote symbol,note TESI,Footnote number,Footnote Reference Superscript,Footnote reference superscritp,BVI fnr,stylish,Ref,de nota al pie,Footnote Refernece,E,Footnote,fr,ftr"/>
    <w:link w:val="FootnotesymbolCarZchn"/>
    <w:uiPriority w:val="99"/>
    <w:unhideWhenUsed/>
    <w:qFormat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pPr>
      <w:spacing w:after="160" w:line="240" w:lineRule="exact"/>
      <w:ind w:left="0"/>
      <w:jc w:val="both"/>
    </w:pPr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509</Words>
  <Characters>3038</Characters>
  <Application>Microsoft Office Word</Application>
  <DocSecurity>0</DocSecurity>
  <Lines>64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Constanze VEEH (ENER)</dc:creator>
  <cp:keywords/>
  <cp:lastModifiedBy>LWCR</cp:lastModifiedBy>
  <cp:revision>3</cp:revision>
  <cp:lastPrinted>2016-07-19T09:09:00Z</cp:lastPrinted>
  <dcterms:created xsi:type="dcterms:W3CDTF">2016-07-20T11:31:00Z</dcterms:created>
  <dcterms:modified xsi:type="dcterms:W3CDTF">2016-07-20T14:35:00Z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