
<file path=[Content_Types].xml><?xml version="1.0" encoding="utf-8"?>
<Types xmlns="http://schemas.openxmlformats.org/package/2006/content-types">
  <Default Extension="bin" ContentType="application/vnd.ms-word.attachedToolbar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chart2.xml" ContentType="application/vnd.openxmlformats-officedocument.drawingml.chart+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charts/chart3.xml" ContentType="application/vnd.openxmlformats-officedocument.drawingml.chart+xml"/>
  <Override PartName="/word/drawings/drawing1.xml" ContentType="application/vnd.openxmlformats-officedocument.drawingml.chartshapes+xml"/>
  <Override PartName="/word/charts/chart4.xml" ContentType="application/vnd.openxmlformats-officedocument.drawingml.chart+xml"/>
  <Override PartName="/word/drawings/drawing2.xml" ContentType="application/vnd.openxmlformats-officedocument.drawingml.chartshapes+xml"/>
  <Override PartName="/word/charts/chart5.xml" ContentType="application/vnd.openxmlformats-officedocument.drawingml.chart+xml"/>
  <Override PartName="/word/charts/chart6.xml" ContentType="application/vnd.openxmlformats-officedocument.drawingml.chart+xml"/>
  <Override PartName="/word/drawings/drawing3.xml" ContentType="application/vnd.openxmlformats-officedocument.drawingml.chartshapes+xml"/>
  <Override PartName="/word/charts/chart7.xml" ContentType="application/vnd.openxmlformats-officedocument.drawingml.chart+xml"/>
  <Override PartName="/word/drawings/drawing4.xml" ContentType="application/vnd.openxmlformats-officedocument.drawingml.chartshapes+xml"/>
  <Override PartName="/word/charts/chart8.xml" ContentType="application/vnd.openxmlformats-officedocument.drawingml.chart+xml"/>
  <Override PartName="/word/drawings/drawing5.xml" ContentType="application/vnd.openxmlformats-officedocument.drawingml.chartshapes+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45FC" w:rsidRDefault="004A7700">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B801ECCFDEDA45A6ABE9A9EB87C362A6" style="width:450.75pt;height:306.75pt">
            <v:imagedata r:id="rId10" o:title=""/>
          </v:shape>
        </w:pict>
      </w:r>
    </w:p>
    <w:bookmarkEnd w:id="0"/>
    <w:p w:rsidR="00CC45FC" w:rsidRDefault="00CC45FC">
      <w:pPr>
        <w:rPr>
          <w:noProof/>
        </w:rPr>
        <w:sectPr w:rsidR="00CC45FC">
          <w:headerReference w:type="even" r:id="rId11"/>
          <w:headerReference w:type="default" r:id="rId12"/>
          <w:footerReference w:type="even" r:id="rId13"/>
          <w:footerReference w:type="default" r:id="rId14"/>
          <w:headerReference w:type="first" r:id="rId15"/>
          <w:footerReference w:type="first" r:id="rId16"/>
          <w:pgSz w:w="11906" w:h="16838"/>
          <w:pgMar w:top="1134" w:right="1417" w:bottom="1134" w:left="1417" w:header="709" w:footer="709" w:gutter="0"/>
          <w:pgNumType w:start="1"/>
          <w:cols w:space="720"/>
          <w:docGrid w:linePitch="360"/>
        </w:sectPr>
      </w:pPr>
    </w:p>
    <w:p w:rsidR="00CC45FC" w:rsidRDefault="004A7700">
      <w:pPr>
        <w:jc w:val="both"/>
        <w:rPr>
          <w:rFonts w:ascii="Verdana" w:hAnsi="Verdana"/>
          <w:b/>
          <w:noProof/>
          <w:sz w:val="20"/>
          <w:szCs w:val="20"/>
        </w:rPr>
      </w:pPr>
      <w:r>
        <w:rPr>
          <w:rFonts w:ascii="Verdana" w:hAnsi="Verdana"/>
          <w:b/>
          <w:noProof/>
          <w:sz w:val="20"/>
          <w:szCs w:val="20"/>
        </w:rPr>
        <w:lastRenderedPageBreak/>
        <w:t>Table of Contents</w:t>
      </w:r>
    </w:p>
    <w:sdt>
      <w:sdtPr>
        <w:id w:val="1192411487"/>
        <w:docPartObj>
          <w:docPartGallery w:val="Table of Contents"/>
          <w:docPartUnique/>
        </w:docPartObj>
      </w:sdtPr>
      <w:sdtEndPr>
        <w:rPr>
          <w:rFonts w:ascii="Calibri" w:hAnsi="Calibri"/>
          <w:bCs/>
          <w:noProof/>
          <w:sz w:val="22"/>
          <w:szCs w:val="22"/>
          <w:lang w:eastAsia="en-US"/>
        </w:rPr>
      </w:sdtEndPr>
      <w:sdtContent>
        <w:p w:rsidR="004A7700" w:rsidRDefault="004A7700" w:rsidP="004A7700">
          <w:pPr>
            <w:pStyle w:val="TOCHeading"/>
            <w:jc w:val="left"/>
          </w:pPr>
        </w:p>
        <w:p w:rsidR="004A7700" w:rsidRDefault="004A7700">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56686562" w:history="1">
            <w:r w:rsidRPr="00D03844">
              <w:rPr>
                <w:rStyle w:val="Hyperlink"/>
                <w:noProof/>
              </w:rPr>
              <w:t>1.</w:t>
            </w:r>
            <w:r>
              <w:rPr>
                <w:rFonts w:asciiTheme="minorHAnsi" w:eastAsiaTheme="minorEastAsia" w:hAnsiTheme="minorHAnsi" w:cstheme="minorBidi"/>
                <w:noProof/>
                <w:sz w:val="22"/>
                <w:szCs w:val="22"/>
              </w:rPr>
              <w:tab/>
            </w:r>
            <w:r w:rsidRPr="00D03844">
              <w:rPr>
                <w:rStyle w:val="Hyperlink"/>
                <w:noProof/>
              </w:rPr>
              <w:t>EXECUTIVE SUMMARY AND CONCLUSIONS</w:t>
            </w:r>
            <w:r>
              <w:rPr>
                <w:noProof/>
                <w:webHidden/>
              </w:rPr>
              <w:tab/>
            </w:r>
            <w:r>
              <w:rPr>
                <w:noProof/>
                <w:webHidden/>
              </w:rPr>
              <w:fldChar w:fldCharType="begin"/>
            </w:r>
            <w:r>
              <w:rPr>
                <w:noProof/>
                <w:webHidden/>
              </w:rPr>
              <w:instrText xml:space="preserve"> PAGEREF _Toc456686562 \h </w:instrText>
            </w:r>
            <w:r>
              <w:rPr>
                <w:noProof/>
                <w:webHidden/>
              </w:rPr>
            </w:r>
            <w:r>
              <w:rPr>
                <w:noProof/>
                <w:webHidden/>
              </w:rPr>
              <w:fldChar w:fldCharType="separate"/>
            </w:r>
            <w:r w:rsidR="005F1E9A">
              <w:rPr>
                <w:noProof/>
                <w:webHidden/>
              </w:rPr>
              <w:t>3</w:t>
            </w:r>
            <w:r>
              <w:rPr>
                <w:noProof/>
                <w:webHidden/>
              </w:rPr>
              <w:fldChar w:fldCharType="end"/>
            </w:r>
          </w:hyperlink>
        </w:p>
        <w:p w:rsidR="004A7700" w:rsidRDefault="004A7700">
          <w:pPr>
            <w:pStyle w:val="TOC1"/>
            <w:rPr>
              <w:rFonts w:asciiTheme="minorHAnsi" w:eastAsiaTheme="minorEastAsia" w:hAnsiTheme="minorHAnsi" w:cstheme="minorBidi"/>
              <w:noProof/>
              <w:sz w:val="22"/>
              <w:szCs w:val="22"/>
            </w:rPr>
          </w:pPr>
          <w:hyperlink w:anchor="_Toc456686563" w:history="1">
            <w:r w:rsidRPr="00D03844">
              <w:rPr>
                <w:rStyle w:val="Hyperlink"/>
                <w:noProof/>
              </w:rPr>
              <w:t>2.</w:t>
            </w:r>
            <w:r>
              <w:rPr>
                <w:rFonts w:asciiTheme="minorHAnsi" w:eastAsiaTheme="minorEastAsia" w:hAnsiTheme="minorHAnsi" w:cstheme="minorBidi"/>
                <w:noProof/>
                <w:sz w:val="22"/>
                <w:szCs w:val="22"/>
              </w:rPr>
              <w:tab/>
            </w:r>
            <w:r w:rsidRPr="00D03844">
              <w:rPr>
                <w:rStyle w:val="Hyperlink"/>
                <w:noProof/>
              </w:rPr>
              <w:t>PROCESSES</w:t>
            </w:r>
            <w:r>
              <w:rPr>
                <w:noProof/>
                <w:webHidden/>
              </w:rPr>
              <w:tab/>
            </w:r>
            <w:r>
              <w:rPr>
                <w:noProof/>
                <w:webHidden/>
              </w:rPr>
              <w:fldChar w:fldCharType="begin"/>
            </w:r>
            <w:r>
              <w:rPr>
                <w:noProof/>
                <w:webHidden/>
              </w:rPr>
              <w:instrText xml:space="preserve"> PAGEREF _Toc456686563 \h </w:instrText>
            </w:r>
            <w:r>
              <w:rPr>
                <w:noProof/>
                <w:webHidden/>
              </w:rPr>
            </w:r>
            <w:r>
              <w:rPr>
                <w:noProof/>
                <w:webHidden/>
              </w:rPr>
              <w:fldChar w:fldCharType="separate"/>
            </w:r>
            <w:r w:rsidR="005F1E9A">
              <w:rPr>
                <w:noProof/>
                <w:webHidden/>
              </w:rPr>
              <w:t>7</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64" w:history="1">
            <w:r w:rsidRPr="00D03844">
              <w:rPr>
                <w:rStyle w:val="Hyperlink"/>
                <w:noProof/>
              </w:rPr>
              <w:t>2.1.</w:t>
            </w:r>
            <w:r>
              <w:rPr>
                <w:rFonts w:asciiTheme="minorHAnsi" w:eastAsiaTheme="minorEastAsia" w:hAnsiTheme="minorHAnsi" w:cstheme="minorBidi"/>
                <w:noProof/>
                <w:sz w:val="22"/>
                <w:szCs w:val="22"/>
              </w:rPr>
              <w:tab/>
            </w:r>
            <w:r w:rsidRPr="00D03844">
              <w:rPr>
                <w:rStyle w:val="Hyperlink"/>
                <w:noProof/>
              </w:rPr>
              <w:t>Preventive mechanisms</w:t>
            </w:r>
            <w:r>
              <w:rPr>
                <w:noProof/>
                <w:webHidden/>
              </w:rPr>
              <w:tab/>
            </w:r>
            <w:r>
              <w:rPr>
                <w:noProof/>
                <w:webHidden/>
              </w:rPr>
              <w:fldChar w:fldCharType="begin"/>
            </w:r>
            <w:r>
              <w:rPr>
                <w:noProof/>
                <w:webHidden/>
              </w:rPr>
              <w:instrText xml:space="preserve"> PAGEREF _Toc456686564 \h </w:instrText>
            </w:r>
            <w:r>
              <w:rPr>
                <w:noProof/>
                <w:webHidden/>
              </w:rPr>
            </w:r>
            <w:r>
              <w:rPr>
                <w:noProof/>
                <w:webHidden/>
              </w:rPr>
              <w:fldChar w:fldCharType="separate"/>
            </w:r>
            <w:r w:rsidR="005F1E9A">
              <w:rPr>
                <w:noProof/>
                <w:webHidden/>
              </w:rPr>
              <w:t>7</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65" w:history="1">
            <w:r w:rsidRPr="00D03844">
              <w:rPr>
                <w:rStyle w:val="Hyperlink"/>
                <w:noProof/>
              </w:rPr>
              <w:t>2.2.</w:t>
            </w:r>
            <w:r>
              <w:rPr>
                <w:rFonts w:asciiTheme="minorHAnsi" w:eastAsiaTheme="minorEastAsia" w:hAnsiTheme="minorHAnsi" w:cstheme="minorBidi"/>
                <w:noProof/>
                <w:sz w:val="22"/>
                <w:szCs w:val="22"/>
              </w:rPr>
              <w:tab/>
            </w:r>
            <w:r w:rsidRPr="00D03844">
              <w:rPr>
                <w:rStyle w:val="Hyperlink"/>
                <w:noProof/>
              </w:rPr>
              <w:t>Corrective mechanisms</w:t>
            </w:r>
            <w:r>
              <w:rPr>
                <w:noProof/>
                <w:webHidden/>
              </w:rPr>
              <w:tab/>
            </w:r>
            <w:r>
              <w:rPr>
                <w:noProof/>
                <w:webHidden/>
              </w:rPr>
              <w:fldChar w:fldCharType="begin"/>
            </w:r>
            <w:r>
              <w:rPr>
                <w:noProof/>
                <w:webHidden/>
              </w:rPr>
              <w:instrText xml:space="preserve"> PAGEREF _Toc456686565 \h </w:instrText>
            </w:r>
            <w:r>
              <w:rPr>
                <w:noProof/>
                <w:webHidden/>
              </w:rPr>
            </w:r>
            <w:r>
              <w:rPr>
                <w:noProof/>
                <w:webHidden/>
              </w:rPr>
              <w:fldChar w:fldCharType="separate"/>
            </w:r>
            <w:r w:rsidR="005F1E9A">
              <w:rPr>
                <w:noProof/>
                <w:webHidden/>
              </w:rPr>
              <w:t>7</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66" w:history="1">
            <w:r w:rsidRPr="00D03844">
              <w:rPr>
                <w:rStyle w:val="Hyperlink"/>
                <w:noProof/>
              </w:rPr>
              <w:t>2.3.</w:t>
            </w:r>
            <w:r>
              <w:rPr>
                <w:rFonts w:asciiTheme="minorHAnsi" w:eastAsiaTheme="minorEastAsia" w:hAnsiTheme="minorHAnsi" w:cstheme="minorBidi"/>
                <w:noProof/>
                <w:sz w:val="22"/>
                <w:szCs w:val="22"/>
              </w:rPr>
              <w:tab/>
            </w:r>
            <w:r w:rsidRPr="00D03844">
              <w:rPr>
                <w:rStyle w:val="Hyperlink"/>
                <w:noProof/>
              </w:rPr>
              <w:t>Cost-effectiveness of management and control systems</w:t>
            </w:r>
            <w:r>
              <w:rPr>
                <w:noProof/>
                <w:webHidden/>
              </w:rPr>
              <w:tab/>
            </w:r>
            <w:r>
              <w:rPr>
                <w:noProof/>
                <w:webHidden/>
              </w:rPr>
              <w:fldChar w:fldCharType="begin"/>
            </w:r>
            <w:r>
              <w:rPr>
                <w:noProof/>
                <w:webHidden/>
              </w:rPr>
              <w:instrText xml:space="preserve"> PAGEREF _Toc456686566 \h </w:instrText>
            </w:r>
            <w:r>
              <w:rPr>
                <w:noProof/>
                <w:webHidden/>
              </w:rPr>
            </w:r>
            <w:r>
              <w:rPr>
                <w:noProof/>
                <w:webHidden/>
              </w:rPr>
              <w:fldChar w:fldCharType="separate"/>
            </w:r>
            <w:r w:rsidR="005F1E9A">
              <w:rPr>
                <w:noProof/>
                <w:webHidden/>
              </w:rPr>
              <w:t>10</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67" w:history="1">
            <w:r w:rsidRPr="00D03844">
              <w:rPr>
                <w:rStyle w:val="Hyperlink"/>
                <w:noProof/>
              </w:rPr>
              <w:t>2.4.</w:t>
            </w:r>
            <w:r>
              <w:rPr>
                <w:rFonts w:asciiTheme="minorHAnsi" w:eastAsiaTheme="minorEastAsia" w:hAnsiTheme="minorHAnsi" w:cstheme="minorBidi"/>
                <w:noProof/>
                <w:sz w:val="22"/>
                <w:szCs w:val="22"/>
              </w:rPr>
              <w:tab/>
            </w:r>
            <w:r w:rsidRPr="00D03844">
              <w:rPr>
                <w:rStyle w:val="Hyperlink"/>
                <w:noProof/>
              </w:rPr>
              <w:t>Public internal control and the management of EU Funds</w:t>
            </w:r>
            <w:r>
              <w:rPr>
                <w:noProof/>
                <w:webHidden/>
              </w:rPr>
              <w:tab/>
            </w:r>
            <w:r>
              <w:rPr>
                <w:noProof/>
                <w:webHidden/>
              </w:rPr>
              <w:fldChar w:fldCharType="begin"/>
            </w:r>
            <w:r>
              <w:rPr>
                <w:noProof/>
                <w:webHidden/>
              </w:rPr>
              <w:instrText xml:space="preserve"> PAGEREF _Toc456686567 \h </w:instrText>
            </w:r>
            <w:r>
              <w:rPr>
                <w:noProof/>
                <w:webHidden/>
              </w:rPr>
            </w:r>
            <w:r>
              <w:rPr>
                <w:noProof/>
                <w:webHidden/>
              </w:rPr>
              <w:fldChar w:fldCharType="separate"/>
            </w:r>
            <w:r w:rsidR="005F1E9A">
              <w:rPr>
                <w:noProof/>
                <w:webHidden/>
              </w:rPr>
              <w:t>10</w:t>
            </w:r>
            <w:r>
              <w:rPr>
                <w:noProof/>
                <w:webHidden/>
              </w:rPr>
              <w:fldChar w:fldCharType="end"/>
            </w:r>
          </w:hyperlink>
        </w:p>
        <w:p w:rsidR="004A7700" w:rsidRDefault="004A7700">
          <w:pPr>
            <w:pStyle w:val="TOC1"/>
            <w:rPr>
              <w:rFonts w:asciiTheme="minorHAnsi" w:eastAsiaTheme="minorEastAsia" w:hAnsiTheme="minorHAnsi" w:cstheme="minorBidi"/>
              <w:noProof/>
              <w:sz w:val="22"/>
              <w:szCs w:val="22"/>
            </w:rPr>
          </w:pPr>
          <w:hyperlink w:anchor="_Toc456686568" w:history="1">
            <w:r w:rsidRPr="00D03844">
              <w:rPr>
                <w:rStyle w:val="Hyperlink"/>
                <w:noProof/>
              </w:rPr>
              <w:t>3.</w:t>
            </w:r>
            <w:r>
              <w:rPr>
                <w:rFonts w:asciiTheme="minorHAnsi" w:eastAsiaTheme="minorEastAsia" w:hAnsiTheme="minorHAnsi" w:cstheme="minorBidi"/>
                <w:noProof/>
                <w:sz w:val="22"/>
                <w:szCs w:val="22"/>
              </w:rPr>
              <w:tab/>
            </w:r>
            <w:r w:rsidRPr="00D03844">
              <w:rPr>
                <w:rStyle w:val="Hyperlink"/>
                <w:noProof/>
              </w:rPr>
              <w:t>FINANCIAL CORRECTIONS AND RECOVERIES AT END 2015</w:t>
            </w:r>
            <w:r>
              <w:rPr>
                <w:noProof/>
                <w:webHidden/>
              </w:rPr>
              <w:tab/>
            </w:r>
            <w:r>
              <w:rPr>
                <w:noProof/>
                <w:webHidden/>
              </w:rPr>
              <w:fldChar w:fldCharType="begin"/>
            </w:r>
            <w:r>
              <w:rPr>
                <w:noProof/>
                <w:webHidden/>
              </w:rPr>
              <w:instrText xml:space="preserve"> PAGEREF _Toc456686568 \h </w:instrText>
            </w:r>
            <w:r>
              <w:rPr>
                <w:noProof/>
                <w:webHidden/>
              </w:rPr>
            </w:r>
            <w:r>
              <w:rPr>
                <w:noProof/>
                <w:webHidden/>
              </w:rPr>
              <w:fldChar w:fldCharType="separate"/>
            </w:r>
            <w:r w:rsidR="005F1E9A">
              <w:rPr>
                <w:noProof/>
                <w:webHidden/>
              </w:rPr>
              <w:t>11</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69" w:history="1">
            <w:r w:rsidRPr="00D03844">
              <w:rPr>
                <w:rStyle w:val="Hyperlink"/>
                <w:noProof/>
              </w:rPr>
              <w:t>3.1.</w:t>
            </w:r>
            <w:r>
              <w:rPr>
                <w:rFonts w:asciiTheme="minorHAnsi" w:eastAsiaTheme="minorEastAsia" w:hAnsiTheme="minorHAnsi" w:cstheme="minorBidi"/>
                <w:noProof/>
                <w:sz w:val="22"/>
                <w:szCs w:val="22"/>
              </w:rPr>
              <w:tab/>
            </w:r>
            <w:r w:rsidRPr="00D03844">
              <w:rPr>
                <w:rStyle w:val="Hyperlink"/>
                <w:noProof/>
              </w:rPr>
              <w:t>Financial corrections and recoveries 2015</w:t>
            </w:r>
            <w:r>
              <w:rPr>
                <w:noProof/>
                <w:webHidden/>
              </w:rPr>
              <w:tab/>
            </w:r>
            <w:r>
              <w:rPr>
                <w:noProof/>
                <w:webHidden/>
              </w:rPr>
              <w:fldChar w:fldCharType="begin"/>
            </w:r>
            <w:r>
              <w:rPr>
                <w:noProof/>
                <w:webHidden/>
              </w:rPr>
              <w:instrText xml:space="preserve"> PAGEREF _Toc456686569 \h </w:instrText>
            </w:r>
            <w:r>
              <w:rPr>
                <w:noProof/>
                <w:webHidden/>
              </w:rPr>
            </w:r>
            <w:r>
              <w:rPr>
                <w:noProof/>
                <w:webHidden/>
              </w:rPr>
              <w:fldChar w:fldCharType="separate"/>
            </w:r>
            <w:r w:rsidR="005F1E9A">
              <w:rPr>
                <w:noProof/>
                <w:webHidden/>
              </w:rPr>
              <w:t>11</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70" w:history="1">
            <w:r w:rsidRPr="00D03844">
              <w:rPr>
                <w:rStyle w:val="Hyperlink"/>
                <w:noProof/>
              </w:rPr>
              <w:t>3.2.</w:t>
            </w:r>
            <w:r>
              <w:rPr>
                <w:rFonts w:asciiTheme="minorHAnsi" w:eastAsiaTheme="minorEastAsia" w:hAnsiTheme="minorHAnsi" w:cstheme="minorBidi"/>
                <w:noProof/>
                <w:sz w:val="22"/>
                <w:szCs w:val="22"/>
              </w:rPr>
              <w:tab/>
            </w:r>
            <w:r w:rsidRPr="00D03844">
              <w:rPr>
                <w:rStyle w:val="Hyperlink"/>
                <w:noProof/>
              </w:rPr>
              <w:t>Cumulative financial corrections and recoveries to end 2015</w:t>
            </w:r>
            <w:r>
              <w:rPr>
                <w:noProof/>
                <w:webHidden/>
              </w:rPr>
              <w:tab/>
            </w:r>
            <w:r>
              <w:rPr>
                <w:noProof/>
                <w:webHidden/>
              </w:rPr>
              <w:fldChar w:fldCharType="begin"/>
            </w:r>
            <w:r>
              <w:rPr>
                <w:noProof/>
                <w:webHidden/>
              </w:rPr>
              <w:instrText xml:space="preserve"> PAGEREF _Toc456686570 \h </w:instrText>
            </w:r>
            <w:r>
              <w:rPr>
                <w:noProof/>
                <w:webHidden/>
              </w:rPr>
            </w:r>
            <w:r>
              <w:rPr>
                <w:noProof/>
                <w:webHidden/>
              </w:rPr>
              <w:fldChar w:fldCharType="separate"/>
            </w:r>
            <w:r w:rsidR="005F1E9A">
              <w:rPr>
                <w:noProof/>
                <w:webHidden/>
              </w:rPr>
              <w:t>15</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71" w:history="1">
            <w:r w:rsidRPr="00D03844">
              <w:rPr>
                <w:rStyle w:val="Hyperlink"/>
                <w:noProof/>
              </w:rPr>
              <w:t>3.3.</w:t>
            </w:r>
            <w:r>
              <w:rPr>
                <w:rFonts w:asciiTheme="minorHAnsi" w:eastAsiaTheme="minorEastAsia" w:hAnsiTheme="minorHAnsi" w:cstheme="minorBidi"/>
                <w:noProof/>
                <w:sz w:val="22"/>
                <w:szCs w:val="22"/>
              </w:rPr>
              <w:tab/>
            </w:r>
            <w:r w:rsidRPr="00D03844">
              <w:rPr>
                <w:rStyle w:val="Hyperlink"/>
                <w:noProof/>
              </w:rPr>
              <w:t>Impact of financial corrections</w:t>
            </w:r>
            <w:r>
              <w:rPr>
                <w:noProof/>
                <w:webHidden/>
              </w:rPr>
              <w:tab/>
            </w:r>
            <w:r>
              <w:rPr>
                <w:noProof/>
                <w:webHidden/>
              </w:rPr>
              <w:fldChar w:fldCharType="begin"/>
            </w:r>
            <w:r>
              <w:rPr>
                <w:noProof/>
                <w:webHidden/>
              </w:rPr>
              <w:instrText xml:space="preserve"> PAGEREF _Toc456686571 \h </w:instrText>
            </w:r>
            <w:r>
              <w:rPr>
                <w:noProof/>
                <w:webHidden/>
              </w:rPr>
            </w:r>
            <w:r>
              <w:rPr>
                <w:noProof/>
                <w:webHidden/>
              </w:rPr>
              <w:fldChar w:fldCharType="separate"/>
            </w:r>
            <w:r w:rsidR="005F1E9A">
              <w:rPr>
                <w:noProof/>
                <w:webHidden/>
              </w:rPr>
              <w:t>18</w:t>
            </w:r>
            <w:r>
              <w:rPr>
                <w:noProof/>
                <w:webHidden/>
              </w:rPr>
              <w:fldChar w:fldCharType="end"/>
            </w:r>
          </w:hyperlink>
        </w:p>
        <w:p w:rsidR="004A7700" w:rsidRDefault="004A7700">
          <w:pPr>
            <w:pStyle w:val="TOC1"/>
            <w:rPr>
              <w:rFonts w:asciiTheme="minorHAnsi" w:eastAsiaTheme="minorEastAsia" w:hAnsiTheme="minorHAnsi" w:cstheme="minorBidi"/>
              <w:noProof/>
              <w:sz w:val="22"/>
              <w:szCs w:val="22"/>
            </w:rPr>
          </w:pPr>
          <w:hyperlink w:anchor="_Toc456686572" w:history="1">
            <w:r w:rsidRPr="00D03844">
              <w:rPr>
                <w:rStyle w:val="Hyperlink"/>
                <w:noProof/>
              </w:rPr>
              <w:t>4.</w:t>
            </w:r>
            <w:r>
              <w:rPr>
                <w:rFonts w:asciiTheme="minorHAnsi" w:eastAsiaTheme="minorEastAsia" w:hAnsiTheme="minorHAnsi" w:cstheme="minorBidi"/>
                <w:noProof/>
                <w:sz w:val="22"/>
                <w:szCs w:val="22"/>
              </w:rPr>
              <w:tab/>
            </w:r>
            <w:r w:rsidRPr="00D03844">
              <w:rPr>
                <w:rStyle w:val="Hyperlink"/>
                <w:noProof/>
              </w:rPr>
              <w:t>AGRICULTURE AND RURAL DEVELOPMENT</w:t>
            </w:r>
            <w:r>
              <w:rPr>
                <w:noProof/>
                <w:webHidden/>
              </w:rPr>
              <w:tab/>
            </w:r>
            <w:r>
              <w:rPr>
                <w:noProof/>
                <w:webHidden/>
              </w:rPr>
              <w:fldChar w:fldCharType="begin"/>
            </w:r>
            <w:r>
              <w:rPr>
                <w:noProof/>
                <w:webHidden/>
              </w:rPr>
              <w:instrText xml:space="preserve"> PAGEREF _Toc456686572 \h </w:instrText>
            </w:r>
            <w:r>
              <w:rPr>
                <w:noProof/>
                <w:webHidden/>
              </w:rPr>
            </w:r>
            <w:r>
              <w:rPr>
                <w:noProof/>
                <w:webHidden/>
              </w:rPr>
              <w:fldChar w:fldCharType="separate"/>
            </w:r>
            <w:r w:rsidR="005F1E9A">
              <w:rPr>
                <w:noProof/>
                <w:webHidden/>
              </w:rPr>
              <w:t>19</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73" w:history="1">
            <w:r w:rsidRPr="00D03844">
              <w:rPr>
                <w:rStyle w:val="Hyperlink"/>
                <w:noProof/>
              </w:rPr>
              <w:t>4.1.</w:t>
            </w:r>
            <w:r>
              <w:rPr>
                <w:rFonts w:asciiTheme="minorHAnsi" w:eastAsiaTheme="minorEastAsia" w:hAnsiTheme="minorHAnsi" w:cstheme="minorBidi"/>
                <w:noProof/>
                <w:sz w:val="22"/>
                <w:szCs w:val="22"/>
              </w:rPr>
              <w:tab/>
            </w:r>
            <w:r w:rsidRPr="00D03844">
              <w:rPr>
                <w:rStyle w:val="Hyperlink"/>
                <w:noProof/>
              </w:rPr>
              <w:t>Preventive actions</w:t>
            </w:r>
            <w:r>
              <w:rPr>
                <w:noProof/>
                <w:webHidden/>
              </w:rPr>
              <w:tab/>
            </w:r>
            <w:r>
              <w:rPr>
                <w:noProof/>
                <w:webHidden/>
              </w:rPr>
              <w:fldChar w:fldCharType="begin"/>
            </w:r>
            <w:r>
              <w:rPr>
                <w:noProof/>
                <w:webHidden/>
              </w:rPr>
              <w:instrText xml:space="preserve"> PAGEREF _Toc456686573 \h </w:instrText>
            </w:r>
            <w:r>
              <w:rPr>
                <w:noProof/>
                <w:webHidden/>
              </w:rPr>
            </w:r>
            <w:r>
              <w:rPr>
                <w:noProof/>
                <w:webHidden/>
              </w:rPr>
              <w:fldChar w:fldCharType="separate"/>
            </w:r>
            <w:r w:rsidR="005F1E9A">
              <w:rPr>
                <w:noProof/>
                <w:webHidden/>
              </w:rPr>
              <w:t>19</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74" w:history="1">
            <w:r w:rsidRPr="00D03844">
              <w:rPr>
                <w:rStyle w:val="Hyperlink"/>
                <w:noProof/>
              </w:rPr>
              <w:t>4.2.</w:t>
            </w:r>
            <w:r>
              <w:rPr>
                <w:rFonts w:asciiTheme="minorHAnsi" w:eastAsiaTheme="minorEastAsia" w:hAnsiTheme="minorHAnsi" w:cstheme="minorBidi"/>
                <w:noProof/>
                <w:sz w:val="22"/>
                <w:szCs w:val="22"/>
              </w:rPr>
              <w:tab/>
            </w:r>
            <w:r w:rsidRPr="00D03844">
              <w:rPr>
                <w:rStyle w:val="Hyperlink"/>
                <w:noProof/>
              </w:rPr>
              <w:t>Corrective actions</w:t>
            </w:r>
            <w:r>
              <w:rPr>
                <w:noProof/>
                <w:webHidden/>
              </w:rPr>
              <w:tab/>
            </w:r>
            <w:r>
              <w:rPr>
                <w:noProof/>
                <w:webHidden/>
              </w:rPr>
              <w:fldChar w:fldCharType="begin"/>
            </w:r>
            <w:r>
              <w:rPr>
                <w:noProof/>
                <w:webHidden/>
              </w:rPr>
              <w:instrText xml:space="preserve"> PAGEREF _Toc456686574 \h </w:instrText>
            </w:r>
            <w:r>
              <w:rPr>
                <w:noProof/>
                <w:webHidden/>
              </w:rPr>
            </w:r>
            <w:r>
              <w:rPr>
                <w:noProof/>
                <w:webHidden/>
              </w:rPr>
              <w:fldChar w:fldCharType="separate"/>
            </w:r>
            <w:r w:rsidR="005F1E9A">
              <w:rPr>
                <w:noProof/>
                <w:webHidden/>
              </w:rPr>
              <w:t>20</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75" w:history="1">
            <w:r w:rsidRPr="00D03844">
              <w:rPr>
                <w:rStyle w:val="Hyperlink"/>
                <w:noProof/>
              </w:rPr>
              <w:t>4.3.</w:t>
            </w:r>
            <w:r>
              <w:rPr>
                <w:rFonts w:asciiTheme="minorHAnsi" w:eastAsiaTheme="minorEastAsia" w:hAnsiTheme="minorHAnsi" w:cstheme="minorBidi"/>
                <w:noProof/>
                <w:sz w:val="22"/>
                <w:szCs w:val="22"/>
              </w:rPr>
              <w:tab/>
            </w:r>
            <w:r w:rsidRPr="00D03844">
              <w:rPr>
                <w:rStyle w:val="Hyperlink"/>
                <w:noProof/>
              </w:rPr>
              <w:t>Deficiencies in Member States' management and control identified and measures undertaken</w:t>
            </w:r>
            <w:r>
              <w:rPr>
                <w:noProof/>
                <w:webHidden/>
              </w:rPr>
              <w:tab/>
            </w:r>
            <w:r>
              <w:rPr>
                <w:noProof/>
                <w:webHidden/>
              </w:rPr>
              <w:fldChar w:fldCharType="begin"/>
            </w:r>
            <w:r>
              <w:rPr>
                <w:noProof/>
                <w:webHidden/>
              </w:rPr>
              <w:instrText xml:space="preserve"> PAGEREF _Toc456686575 \h </w:instrText>
            </w:r>
            <w:r>
              <w:rPr>
                <w:noProof/>
                <w:webHidden/>
              </w:rPr>
            </w:r>
            <w:r>
              <w:rPr>
                <w:noProof/>
                <w:webHidden/>
              </w:rPr>
              <w:fldChar w:fldCharType="separate"/>
            </w:r>
            <w:r w:rsidR="005F1E9A">
              <w:rPr>
                <w:noProof/>
                <w:webHidden/>
              </w:rPr>
              <w:t>21</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76" w:history="1">
            <w:r w:rsidRPr="00D03844">
              <w:rPr>
                <w:rStyle w:val="Hyperlink"/>
                <w:noProof/>
              </w:rPr>
              <w:t>4.4.</w:t>
            </w:r>
            <w:r>
              <w:rPr>
                <w:rFonts w:asciiTheme="minorHAnsi" w:eastAsiaTheme="minorEastAsia" w:hAnsiTheme="minorHAnsi" w:cstheme="minorBidi"/>
                <w:noProof/>
                <w:sz w:val="22"/>
                <w:szCs w:val="22"/>
              </w:rPr>
              <w:tab/>
            </w:r>
            <w:r w:rsidRPr="00D03844">
              <w:rPr>
                <w:rStyle w:val="Hyperlink"/>
                <w:noProof/>
              </w:rPr>
              <w:t>Cumulative figures</w:t>
            </w:r>
            <w:r>
              <w:rPr>
                <w:noProof/>
                <w:webHidden/>
              </w:rPr>
              <w:tab/>
            </w:r>
            <w:r>
              <w:rPr>
                <w:noProof/>
                <w:webHidden/>
              </w:rPr>
              <w:fldChar w:fldCharType="begin"/>
            </w:r>
            <w:r>
              <w:rPr>
                <w:noProof/>
                <w:webHidden/>
              </w:rPr>
              <w:instrText xml:space="preserve"> PAGEREF _Toc456686576 \h </w:instrText>
            </w:r>
            <w:r>
              <w:rPr>
                <w:noProof/>
                <w:webHidden/>
              </w:rPr>
            </w:r>
            <w:r>
              <w:rPr>
                <w:noProof/>
                <w:webHidden/>
              </w:rPr>
              <w:fldChar w:fldCharType="separate"/>
            </w:r>
            <w:r w:rsidR="005F1E9A">
              <w:rPr>
                <w:noProof/>
                <w:webHidden/>
              </w:rPr>
              <w:t>22</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77" w:history="1">
            <w:r w:rsidRPr="00D03844">
              <w:rPr>
                <w:rStyle w:val="Hyperlink"/>
                <w:noProof/>
              </w:rPr>
              <w:t>4.5.</w:t>
            </w:r>
            <w:r>
              <w:rPr>
                <w:rFonts w:asciiTheme="minorHAnsi" w:eastAsiaTheme="minorEastAsia" w:hAnsiTheme="minorHAnsi" w:cstheme="minorBidi"/>
                <w:noProof/>
                <w:sz w:val="22"/>
                <w:szCs w:val="22"/>
              </w:rPr>
              <w:tab/>
            </w:r>
            <w:r w:rsidRPr="00D03844">
              <w:rPr>
                <w:rStyle w:val="Hyperlink"/>
                <w:noProof/>
              </w:rPr>
              <w:t>Member States corrections</w:t>
            </w:r>
            <w:r>
              <w:rPr>
                <w:noProof/>
                <w:webHidden/>
              </w:rPr>
              <w:tab/>
            </w:r>
            <w:r>
              <w:rPr>
                <w:noProof/>
                <w:webHidden/>
              </w:rPr>
              <w:fldChar w:fldCharType="begin"/>
            </w:r>
            <w:r>
              <w:rPr>
                <w:noProof/>
                <w:webHidden/>
              </w:rPr>
              <w:instrText xml:space="preserve"> PAGEREF _Toc456686577 \h </w:instrText>
            </w:r>
            <w:r>
              <w:rPr>
                <w:noProof/>
                <w:webHidden/>
              </w:rPr>
            </w:r>
            <w:r>
              <w:rPr>
                <w:noProof/>
                <w:webHidden/>
              </w:rPr>
              <w:fldChar w:fldCharType="separate"/>
            </w:r>
            <w:r w:rsidR="005F1E9A">
              <w:rPr>
                <w:noProof/>
                <w:webHidden/>
              </w:rPr>
              <w:t>23</w:t>
            </w:r>
            <w:r>
              <w:rPr>
                <w:noProof/>
                <w:webHidden/>
              </w:rPr>
              <w:fldChar w:fldCharType="end"/>
            </w:r>
          </w:hyperlink>
        </w:p>
        <w:p w:rsidR="004A7700" w:rsidRDefault="004A7700">
          <w:pPr>
            <w:pStyle w:val="TOC1"/>
            <w:rPr>
              <w:rFonts w:asciiTheme="minorHAnsi" w:eastAsiaTheme="minorEastAsia" w:hAnsiTheme="minorHAnsi" w:cstheme="minorBidi"/>
              <w:noProof/>
              <w:sz w:val="22"/>
              <w:szCs w:val="22"/>
            </w:rPr>
          </w:pPr>
          <w:hyperlink w:anchor="_Toc456686578" w:history="1">
            <w:r w:rsidRPr="00D03844">
              <w:rPr>
                <w:rStyle w:val="Hyperlink"/>
                <w:noProof/>
              </w:rPr>
              <w:t>5.</w:t>
            </w:r>
            <w:r>
              <w:rPr>
                <w:rFonts w:asciiTheme="minorHAnsi" w:eastAsiaTheme="minorEastAsia" w:hAnsiTheme="minorHAnsi" w:cstheme="minorBidi"/>
                <w:noProof/>
                <w:sz w:val="22"/>
                <w:szCs w:val="22"/>
              </w:rPr>
              <w:tab/>
            </w:r>
            <w:r w:rsidRPr="00D03844">
              <w:rPr>
                <w:rStyle w:val="Hyperlink"/>
                <w:noProof/>
              </w:rPr>
              <w:t>COHESION POLICY</w:t>
            </w:r>
            <w:r>
              <w:rPr>
                <w:noProof/>
                <w:webHidden/>
              </w:rPr>
              <w:tab/>
            </w:r>
            <w:r>
              <w:rPr>
                <w:noProof/>
                <w:webHidden/>
              </w:rPr>
              <w:fldChar w:fldCharType="begin"/>
            </w:r>
            <w:r>
              <w:rPr>
                <w:noProof/>
                <w:webHidden/>
              </w:rPr>
              <w:instrText xml:space="preserve"> PAGEREF _Toc456686578 \h </w:instrText>
            </w:r>
            <w:r>
              <w:rPr>
                <w:noProof/>
                <w:webHidden/>
              </w:rPr>
            </w:r>
            <w:r>
              <w:rPr>
                <w:noProof/>
                <w:webHidden/>
              </w:rPr>
              <w:fldChar w:fldCharType="separate"/>
            </w:r>
            <w:r w:rsidR="005F1E9A">
              <w:rPr>
                <w:noProof/>
                <w:webHidden/>
              </w:rPr>
              <w:t>24</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79" w:history="1">
            <w:r w:rsidRPr="00D03844">
              <w:rPr>
                <w:rStyle w:val="Hyperlink"/>
                <w:noProof/>
              </w:rPr>
              <w:t>5.1.</w:t>
            </w:r>
            <w:r>
              <w:rPr>
                <w:rFonts w:asciiTheme="minorHAnsi" w:eastAsiaTheme="minorEastAsia" w:hAnsiTheme="minorHAnsi" w:cstheme="minorBidi"/>
                <w:noProof/>
                <w:sz w:val="22"/>
                <w:szCs w:val="22"/>
              </w:rPr>
              <w:tab/>
            </w:r>
            <w:r w:rsidRPr="00D03844">
              <w:rPr>
                <w:rStyle w:val="Hyperlink"/>
                <w:noProof/>
              </w:rPr>
              <w:t>Preventive actions</w:t>
            </w:r>
            <w:r>
              <w:rPr>
                <w:noProof/>
                <w:webHidden/>
              </w:rPr>
              <w:tab/>
            </w:r>
            <w:r>
              <w:rPr>
                <w:noProof/>
                <w:webHidden/>
              </w:rPr>
              <w:fldChar w:fldCharType="begin"/>
            </w:r>
            <w:r>
              <w:rPr>
                <w:noProof/>
                <w:webHidden/>
              </w:rPr>
              <w:instrText xml:space="preserve"> PAGEREF _Toc456686579 \h </w:instrText>
            </w:r>
            <w:r>
              <w:rPr>
                <w:noProof/>
                <w:webHidden/>
              </w:rPr>
            </w:r>
            <w:r>
              <w:rPr>
                <w:noProof/>
                <w:webHidden/>
              </w:rPr>
              <w:fldChar w:fldCharType="separate"/>
            </w:r>
            <w:r w:rsidR="005F1E9A">
              <w:rPr>
                <w:noProof/>
                <w:webHidden/>
              </w:rPr>
              <w:t>24</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80" w:history="1">
            <w:r w:rsidRPr="00D03844">
              <w:rPr>
                <w:rStyle w:val="Hyperlink"/>
                <w:noProof/>
              </w:rPr>
              <w:t>5.2.</w:t>
            </w:r>
            <w:r>
              <w:rPr>
                <w:rFonts w:asciiTheme="minorHAnsi" w:eastAsiaTheme="minorEastAsia" w:hAnsiTheme="minorHAnsi" w:cstheme="minorBidi"/>
                <w:noProof/>
                <w:sz w:val="22"/>
                <w:szCs w:val="22"/>
              </w:rPr>
              <w:tab/>
            </w:r>
            <w:r w:rsidRPr="00D03844">
              <w:rPr>
                <w:rStyle w:val="Hyperlink"/>
                <w:noProof/>
              </w:rPr>
              <w:t>Corrective actions</w:t>
            </w:r>
            <w:r>
              <w:rPr>
                <w:noProof/>
                <w:webHidden/>
              </w:rPr>
              <w:tab/>
            </w:r>
            <w:r>
              <w:rPr>
                <w:noProof/>
                <w:webHidden/>
              </w:rPr>
              <w:fldChar w:fldCharType="begin"/>
            </w:r>
            <w:r>
              <w:rPr>
                <w:noProof/>
                <w:webHidden/>
              </w:rPr>
              <w:instrText xml:space="preserve"> PAGEREF _Toc456686580 \h </w:instrText>
            </w:r>
            <w:r>
              <w:rPr>
                <w:noProof/>
                <w:webHidden/>
              </w:rPr>
            </w:r>
            <w:r>
              <w:rPr>
                <w:noProof/>
                <w:webHidden/>
              </w:rPr>
              <w:fldChar w:fldCharType="separate"/>
            </w:r>
            <w:r w:rsidR="005F1E9A">
              <w:rPr>
                <w:noProof/>
                <w:webHidden/>
              </w:rPr>
              <w:t>27</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81" w:history="1">
            <w:r w:rsidRPr="00D03844">
              <w:rPr>
                <w:rStyle w:val="Hyperlink"/>
                <w:noProof/>
              </w:rPr>
              <w:t>5.3.</w:t>
            </w:r>
            <w:r>
              <w:rPr>
                <w:rFonts w:asciiTheme="minorHAnsi" w:eastAsiaTheme="minorEastAsia" w:hAnsiTheme="minorHAnsi" w:cstheme="minorBidi"/>
                <w:noProof/>
                <w:sz w:val="22"/>
                <w:szCs w:val="22"/>
              </w:rPr>
              <w:tab/>
            </w:r>
            <w:r w:rsidRPr="00D03844">
              <w:rPr>
                <w:rStyle w:val="Hyperlink"/>
                <w:noProof/>
              </w:rPr>
              <w:t>Deficiencies in Member States' management and control identified and measures undertaken</w:t>
            </w:r>
            <w:r>
              <w:rPr>
                <w:noProof/>
                <w:webHidden/>
              </w:rPr>
              <w:tab/>
            </w:r>
            <w:r>
              <w:rPr>
                <w:noProof/>
                <w:webHidden/>
              </w:rPr>
              <w:fldChar w:fldCharType="begin"/>
            </w:r>
            <w:r>
              <w:rPr>
                <w:noProof/>
                <w:webHidden/>
              </w:rPr>
              <w:instrText xml:space="preserve"> PAGEREF _Toc456686581 \h </w:instrText>
            </w:r>
            <w:r>
              <w:rPr>
                <w:noProof/>
                <w:webHidden/>
              </w:rPr>
            </w:r>
            <w:r>
              <w:rPr>
                <w:noProof/>
                <w:webHidden/>
              </w:rPr>
              <w:fldChar w:fldCharType="separate"/>
            </w:r>
            <w:r w:rsidR="005F1E9A">
              <w:rPr>
                <w:noProof/>
                <w:webHidden/>
              </w:rPr>
              <w:t>28</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82" w:history="1">
            <w:r w:rsidRPr="00D03844">
              <w:rPr>
                <w:rStyle w:val="Hyperlink"/>
                <w:noProof/>
              </w:rPr>
              <w:t>5.4.</w:t>
            </w:r>
            <w:r>
              <w:rPr>
                <w:rFonts w:asciiTheme="minorHAnsi" w:eastAsiaTheme="minorEastAsia" w:hAnsiTheme="minorHAnsi" w:cstheme="minorBidi"/>
                <w:noProof/>
                <w:sz w:val="22"/>
                <w:szCs w:val="22"/>
              </w:rPr>
              <w:tab/>
            </w:r>
            <w:r w:rsidRPr="00D03844">
              <w:rPr>
                <w:rStyle w:val="Hyperlink"/>
                <w:noProof/>
              </w:rPr>
              <w:t>Cumulative figures</w:t>
            </w:r>
            <w:r>
              <w:rPr>
                <w:noProof/>
                <w:webHidden/>
              </w:rPr>
              <w:tab/>
            </w:r>
            <w:r>
              <w:rPr>
                <w:noProof/>
                <w:webHidden/>
              </w:rPr>
              <w:fldChar w:fldCharType="begin"/>
            </w:r>
            <w:r>
              <w:rPr>
                <w:noProof/>
                <w:webHidden/>
              </w:rPr>
              <w:instrText xml:space="preserve"> PAGEREF _Toc456686582 \h </w:instrText>
            </w:r>
            <w:r>
              <w:rPr>
                <w:noProof/>
                <w:webHidden/>
              </w:rPr>
            </w:r>
            <w:r>
              <w:rPr>
                <w:noProof/>
                <w:webHidden/>
              </w:rPr>
              <w:fldChar w:fldCharType="separate"/>
            </w:r>
            <w:r w:rsidR="005F1E9A">
              <w:rPr>
                <w:noProof/>
                <w:webHidden/>
              </w:rPr>
              <w:t>29</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83" w:history="1">
            <w:r w:rsidRPr="00D03844">
              <w:rPr>
                <w:rStyle w:val="Hyperlink"/>
                <w:noProof/>
              </w:rPr>
              <w:t>5.5.</w:t>
            </w:r>
            <w:r>
              <w:rPr>
                <w:rFonts w:asciiTheme="minorHAnsi" w:eastAsiaTheme="minorEastAsia" w:hAnsiTheme="minorHAnsi" w:cstheme="minorBidi"/>
                <w:noProof/>
                <w:sz w:val="22"/>
                <w:szCs w:val="22"/>
              </w:rPr>
              <w:tab/>
            </w:r>
            <w:r w:rsidRPr="00D03844">
              <w:rPr>
                <w:rStyle w:val="Hyperlink"/>
                <w:noProof/>
              </w:rPr>
              <w:t>Member States corrections</w:t>
            </w:r>
            <w:r>
              <w:rPr>
                <w:noProof/>
                <w:webHidden/>
              </w:rPr>
              <w:tab/>
            </w:r>
            <w:r>
              <w:rPr>
                <w:noProof/>
                <w:webHidden/>
              </w:rPr>
              <w:fldChar w:fldCharType="begin"/>
            </w:r>
            <w:r>
              <w:rPr>
                <w:noProof/>
                <w:webHidden/>
              </w:rPr>
              <w:instrText xml:space="preserve"> PAGEREF _Toc456686583 \h </w:instrText>
            </w:r>
            <w:r>
              <w:rPr>
                <w:noProof/>
                <w:webHidden/>
              </w:rPr>
            </w:r>
            <w:r>
              <w:rPr>
                <w:noProof/>
                <w:webHidden/>
              </w:rPr>
              <w:fldChar w:fldCharType="separate"/>
            </w:r>
            <w:r w:rsidR="005F1E9A">
              <w:rPr>
                <w:noProof/>
                <w:webHidden/>
              </w:rPr>
              <w:t>33</w:t>
            </w:r>
            <w:r>
              <w:rPr>
                <w:noProof/>
                <w:webHidden/>
              </w:rPr>
              <w:fldChar w:fldCharType="end"/>
            </w:r>
          </w:hyperlink>
        </w:p>
        <w:p w:rsidR="004A7700" w:rsidRDefault="004A7700">
          <w:pPr>
            <w:pStyle w:val="TOC1"/>
            <w:rPr>
              <w:rFonts w:asciiTheme="minorHAnsi" w:eastAsiaTheme="minorEastAsia" w:hAnsiTheme="minorHAnsi" w:cstheme="minorBidi"/>
              <w:noProof/>
              <w:sz w:val="22"/>
              <w:szCs w:val="22"/>
            </w:rPr>
          </w:pPr>
          <w:hyperlink w:anchor="_Toc456686584" w:history="1">
            <w:r w:rsidRPr="00D03844">
              <w:rPr>
                <w:rStyle w:val="Hyperlink"/>
                <w:noProof/>
              </w:rPr>
              <w:t>6.</w:t>
            </w:r>
            <w:r>
              <w:rPr>
                <w:rFonts w:asciiTheme="minorHAnsi" w:eastAsiaTheme="minorEastAsia" w:hAnsiTheme="minorHAnsi" w:cstheme="minorBidi"/>
                <w:noProof/>
                <w:sz w:val="22"/>
                <w:szCs w:val="22"/>
              </w:rPr>
              <w:tab/>
            </w:r>
            <w:r w:rsidRPr="00D03844">
              <w:rPr>
                <w:rStyle w:val="Hyperlink"/>
                <w:noProof/>
              </w:rPr>
              <w:t>DIRECT AND INDIRECT MANAGEMENT</w:t>
            </w:r>
            <w:r>
              <w:rPr>
                <w:noProof/>
                <w:webHidden/>
              </w:rPr>
              <w:tab/>
            </w:r>
            <w:r>
              <w:rPr>
                <w:noProof/>
                <w:webHidden/>
              </w:rPr>
              <w:fldChar w:fldCharType="begin"/>
            </w:r>
            <w:r>
              <w:rPr>
                <w:noProof/>
                <w:webHidden/>
              </w:rPr>
              <w:instrText xml:space="preserve"> PAGEREF _Toc456686584 \h </w:instrText>
            </w:r>
            <w:r>
              <w:rPr>
                <w:noProof/>
                <w:webHidden/>
              </w:rPr>
            </w:r>
            <w:r>
              <w:rPr>
                <w:noProof/>
                <w:webHidden/>
              </w:rPr>
              <w:fldChar w:fldCharType="separate"/>
            </w:r>
            <w:r w:rsidR="005F1E9A">
              <w:rPr>
                <w:noProof/>
                <w:webHidden/>
              </w:rPr>
              <w:t>34</w:t>
            </w:r>
            <w:r>
              <w:rPr>
                <w:noProof/>
                <w:webHidden/>
              </w:rPr>
              <w:fldChar w:fldCharType="end"/>
            </w:r>
          </w:hyperlink>
        </w:p>
        <w:p w:rsidR="004A7700" w:rsidRDefault="004A7700">
          <w:pPr>
            <w:pStyle w:val="TOC1"/>
            <w:rPr>
              <w:rFonts w:asciiTheme="minorHAnsi" w:eastAsiaTheme="minorEastAsia" w:hAnsiTheme="minorHAnsi" w:cstheme="minorBidi"/>
              <w:noProof/>
              <w:sz w:val="22"/>
              <w:szCs w:val="22"/>
            </w:rPr>
          </w:pPr>
          <w:hyperlink w:anchor="_Toc456686585" w:history="1">
            <w:r w:rsidRPr="00D03844">
              <w:rPr>
                <w:rStyle w:val="Hyperlink"/>
                <w:noProof/>
              </w:rPr>
              <w:t>ANNEXES: DETAILED FIGURES</w:t>
            </w:r>
            <w:r>
              <w:rPr>
                <w:noProof/>
                <w:webHidden/>
              </w:rPr>
              <w:tab/>
            </w:r>
            <w:r>
              <w:rPr>
                <w:noProof/>
                <w:webHidden/>
              </w:rPr>
              <w:fldChar w:fldCharType="begin"/>
            </w:r>
            <w:r>
              <w:rPr>
                <w:noProof/>
                <w:webHidden/>
              </w:rPr>
              <w:instrText xml:space="preserve"> PAGEREF _Toc456686585 \h </w:instrText>
            </w:r>
            <w:r>
              <w:rPr>
                <w:noProof/>
                <w:webHidden/>
              </w:rPr>
            </w:r>
            <w:r>
              <w:rPr>
                <w:noProof/>
                <w:webHidden/>
              </w:rPr>
              <w:fldChar w:fldCharType="separate"/>
            </w:r>
            <w:r w:rsidR="005F1E9A">
              <w:rPr>
                <w:noProof/>
                <w:webHidden/>
              </w:rPr>
              <w:t>35</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86" w:history="1">
            <w:r w:rsidRPr="00D03844">
              <w:rPr>
                <w:rStyle w:val="Hyperlink"/>
                <w:noProof/>
              </w:rPr>
              <w:t>1.</w:t>
            </w:r>
            <w:r>
              <w:rPr>
                <w:rFonts w:asciiTheme="minorHAnsi" w:eastAsiaTheme="minorEastAsia" w:hAnsiTheme="minorHAnsi" w:cstheme="minorBidi"/>
                <w:noProof/>
                <w:sz w:val="22"/>
                <w:szCs w:val="22"/>
              </w:rPr>
              <w:tab/>
            </w:r>
            <w:r w:rsidRPr="00D03844">
              <w:rPr>
                <w:rStyle w:val="Hyperlink"/>
                <w:noProof/>
              </w:rPr>
              <w:t>Financial corrections in 2015 compared to EU payments received; Breakdown by Member State</w:t>
            </w:r>
            <w:r>
              <w:rPr>
                <w:noProof/>
                <w:webHidden/>
              </w:rPr>
              <w:tab/>
            </w:r>
            <w:r>
              <w:rPr>
                <w:noProof/>
                <w:webHidden/>
              </w:rPr>
              <w:fldChar w:fldCharType="begin"/>
            </w:r>
            <w:r>
              <w:rPr>
                <w:noProof/>
                <w:webHidden/>
              </w:rPr>
              <w:instrText xml:space="preserve"> PAGEREF _Toc456686586 \h </w:instrText>
            </w:r>
            <w:r>
              <w:rPr>
                <w:noProof/>
                <w:webHidden/>
              </w:rPr>
            </w:r>
            <w:r>
              <w:rPr>
                <w:noProof/>
                <w:webHidden/>
              </w:rPr>
              <w:fldChar w:fldCharType="separate"/>
            </w:r>
            <w:r w:rsidR="005F1E9A">
              <w:rPr>
                <w:noProof/>
                <w:webHidden/>
              </w:rPr>
              <w:t>35</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87" w:history="1">
            <w:r w:rsidRPr="00D03844">
              <w:rPr>
                <w:rStyle w:val="Hyperlink"/>
                <w:noProof/>
              </w:rPr>
              <w:t>2.</w:t>
            </w:r>
            <w:r>
              <w:rPr>
                <w:rFonts w:asciiTheme="minorHAnsi" w:eastAsiaTheme="minorEastAsia" w:hAnsiTheme="minorHAnsi" w:cstheme="minorBidi"/>
                <w:noProof/>
                <w:sz w:val="22"/>
                <w:szCs w:val="22"/>
              </w:rPr>
              <w:tab/>
            </w:r>
            <w:r w:rsidRPr="00D03844">
              <w:rPr>
                <w:rStyle w:val="Hyperlink"/>
                <w:noProof/>
              </w:rPr>
              <w:t>Breakdown of flat rate corrections in 2015</w:t>
            </w:r>
            <w:r>
              <w:rPr>
                <w:noProof/>
                <w:webHidden/>
              </w:rPr>
              <w:tab/>
            </w:r>
            <w:r>
              <w:rPr>
                <w:noProof/>
                <w:webHidden/>
              </w:rPr>
              <w:fldChar w:fldCharType="begin"/>
            </w:r>
            <w:r>
              <w:rPr>
                <w:noProof/>
                <w:webHidden/>
              </w:rPr>
              <w:instrText xml:space="preserve"> PAGEREF _Toc456686587 \h </w:instrText>
            </w:r>
            <w:r>
              <w:rPr>
                <w:noProof/>
                <w:webHidden/>
              </w:rPr>
            </w:r>
            <w:r>
              <w:rPr>
                <w:noProof/>
                <w:webHidden/>
              </w:rPr>
              <w:fldChar w:fldCharType="separate"/>
            </w:r>
            <w:r w:rsidR="005F1E9A">
              <w:rPr>
                <w:noProof/>
                <w:webHidden/>
              </w:rPr>
              <w:t>36</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88" w:history="1">
            <w:r w:rsidRPr="00D03844">
              <w:rPr>
                <w:rStyle w:val="Hyperlink"/>
                <w:noProof/>
              </w:rPr>
              <w:t>3.</w:t>
            </w:r>
            <w:r>
              <w:rPr>
                <w:rFonts w:asciiTheme="minorHAnsi" w:eastAsiaTheme="minorEastAsia" w:hAnsiTheme="minorHAnsi" w:cstheme="minorBidi"/>
                <w:noProof/>
                <w:sz w:val="22"/>
                <w:szCs w:val="22"/>
              </w:rPr>
              <w:tab/>
            </w:r>
            <w:r w:rsidRPr="00D03844">
              <w:rPr>
                <w:rStyle w:val="Hyperlink"/>
                <w:noProof/>
              </w:rPr>
              <w:t>Breakdown of financial corrections at source in 2015</w:t>
            </w:r>
            <w:r>
              <w:rPr>
                <w:noProof/>
                <w:webHidden/>
              </w:rPr>
              <w:tab/>
            </w:r>
            <w:r>
              <w:rPr>
                <w:noProof/>
                <w:webHidden/>
              </w:rPr>
              <w:fldChar w:fldCharType="begin"/>
            </w:r>
            <w:r>
              <w:rPr>
                <w:noProof/>
                <w:webHidden/>
              </w:rPr>
              <w:instrText xml:space="preserve"> PAGEREF _Toc456686588 \h </w:instrText>
            </w:r>
            <w:r>
              <w:rPr>
                <w:noProof/>
                <w:webHidden/>
              </w:rPr>
            </w:r>
            <w:r>
              <w:rPr>
                <w:noProof/>
                <w:webHidden/>
              </w:rPr>
              <w:fldChar w:fldCharType="separate"/>
            </w:r>
            <w:r w:rsidR="005F1E9A">
              <w:rPr>
                <w:noProof/>
                <w:webHidden/>
              </w:rPr>
              <w:t>36</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89" w:history="1">
            <w:r w:rsidRPr="00D03844">
              <w:rPr>
                <w:rStyle w:val="Hyperlink"/>
                <w:noProof/>
              </w:rPr>
              <w:t>4.</w:t>
            </w:r>
            <w:r>
              <w:rPr>
                <w:rFonts w:asciiTheme="minorHAnsi" w:eastAsiaTheme="minorEastAsia" w:hAnsiTheme="minorHAnsi" w:cstheme="minorBidi"/>
                <w:noProof/>
                <w:sz w:val="22"/>
                <w:szCs w:val="22"/>
              </w:rPr>
              <w:tab/>
            </w:r>
            <w:r w:rsidRPr="00D03844">
              <w:rPr>
                <w:rStyle w:val="Hyperlink"/>
                <w:noProof/>
              </w:rPr>
              <w:t>Breakdown of net financial corrections in 2015</w:t>
            </w:r>
            <w:r>
              <w:rPr>
                <w:noProof/>
                <w:webHidden/>
              </w:rPr>
              <w:tab/>
            </w:r>
            <w:r>
              <w:rPr>
                <w:noProof/>
                <w:webHidden/>
              </w:rPr>
              <w:fldChar w:fldCharType="begin"/>
            </w:r>
            <w:r>
              <w:rPr>
                <w:noProof/>
                <w:webHidden/>
              </w:rPr>
              <w:instrText xml:space="preserve"> PAGEREF _Toc456686589 \h </w:instrText>
            </w:r>
            <w:r>
              <w:rPr>
                <w:noProof/>
                <w:webHidden/>
              </w:rPr>
            </w:r>
            <w:r>
              <w:rPr>
                <w:noProof/>
                <w:webHidden/>
              </w:rPr>
              <w:fldChar w:fldCharType="separate"/>
            </w:r>
            <w:r w:rsidR="005F1E9A">
              <w:rPr>
                <w:noProof/>
                <w:webHidden/>
              </w:rPr>
              <w:t>37</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90" w:history="1">
            <w:r w:rsidRPr="00D03844">
              <w:rPr>
                <w:rStyle w:val="Hyperlink"/>
                <w:noProof/>
              </w:rPr>
              <w:t>5.</w:t>
            </w:r>
            <w:r>
              <w:rPr>
                <w:rFonts w:asciiTheme="minorHAnsi" w:eastAsiaTheme="minorEastAsia" w:hAnsiTheme="minorHAnsi" w:cstheme="minorBidi"/>
                <w:noProof/>
                <w:sz w:val="22"/>
                <w:szCs w:val="22"/>
              </w:rPr>
              <w:tab/>
            </w:r>
            <w:r w:rsidRPr="00D03844">
              <w:rPr>
                <w:rStyle w:val="Hyperlink"/>
                <w:noProof/>
              </w:rPr>
              <w:t>Agricultural amounts recovered from final beneficiaries by the Member States in 2015</w:t>
            </w:r>
            <w:r>
              <w:rPr>
                <w:noProof/>
                <w:webHidden/>
              </w:rPr>
              <w:tab/>
            </w:r>
            <w:r>
              <w:rPr>
                <w:noProof/>
                <w:webHidden/>
              </w:rPr>
              <w:fldChar w:fldCharType="begin"/>
            </w:r>
            <w:r>
              <w:rPr>
                <w:noProof/>
                <w:webHidden/>
              </w:rPr>
              <w:instrText xml:space="preserve"> PAGEREF _Toc456686590 \h </w:instrText>
            </w:r>
            <w:r>
              <w:rPr>
                <w:noProof/>
                <w:webHidden/>
              </w:rPr>
            </w:r>
            <w:r>
              <w:rPr>
                <w:noProof/>
                <w:webHidden/>
              </w:rPr>
              <w:fldChar w:fldCharType="separate"/>
            </w:r>
            <w:r w:rsidR="005F1E9A">
              <w:rPr>
                <w:noProof/>
                <w:webHidden/>
              </w:rPr>
              <w:t>38</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91" w:history="1">
            <w:r w:rsidRPr="00D03844">
              <w:rPr>
                <w:rStyle w:val="Hyperlink"/>
                <w:noProof/>
              </w:rPr>
              <w:t>6.</w:t>
            </w:r>
            <w:r>
              <w:rPr>
                <w:rFonts w:asciiTheme="minorHAnsi" w:eastAsiaTheme="minorEastAsia" w:hAnsiTheme="minorHAnsi" w:cstheme="minorBidi"/>
                <w:noProof/>
                <w:sz w:val="22"/>
                <w:szCs w:val="22"/>
              </w:rPr>
              <w:tab/>
            </w:r>
            <w:r w:rsidRPr="00D03844">
              <w:rPr>
                <w:rStyle w:val="Hyperlink"/>
                <w:noProof/>
              </w:rPr>
              <w:t>Member States own corrections in 2015 applied before payments to beneficiaries are executed (in addition to Commission reporting)</w:t>
            </w:r>
            <w:r>
              <w:rPr>
                <w:noProof/>
                <w:webHidden/>
              </w:rPr>
              <w:tab/>
            </w:r>
            <w:r>
              <w:rPr>
                <w:noProof/>
                <w:webHidden/>
              </w:rPr>
              <w:fldChar w:fldCharType="begin"/>
            </w:r>
            <w:r>
              <w:rPr>
                <w:noProof/>
                <w:webHidden/>
              </w:rPr>
              <w:instrText xml:space="preserve"> PAGEREF _Toc456686591 \h </w:instrText>
            </w:r>
            <w:r>
              <w:rPr>
                <w:noProof/>
                <w:webHidden/>
              </w:rPr>
            </w:r>
            <w:r>
              <w:rPr>
                <w:noProof/>
                <w:webHidden/>
              </w:rPr>
              <w:fldChar w:fldCharType="separate"/>
            </w:r>
            <w:r w:rsidR="005F1E9A">
              <w:rPr>
                <w:noProof/>
                <w:webHidden/>
              </w:rPr>
              <w:t>39</w:t>
            </w:r>
            <w:r>
              <w:rPr>
                <w:noProof/>
                <w:webHidden/>
              </w:rPr>
              <w:fldChar w:fldCharType="end"/>
            </w:r>
          </w:hyperlink>
        </w:p>
        <w:p w:rsidR="004A7700" w:rsidRDefault="004A7700">
          <w:pPr>
            <w:pStyle w:val="TOC2"/>
            <w:rPr>
              <w:rFonts w:asciiTheme="minorHAnsi" w:eastAsiaTheme="minorEastAsia" w:hAnsiTheme="minorHAnsi" w:cstheme="minorBidi"/>
              <w:noProof/>
              <w:sz w:val="22"/>
              <w:szCs w:val="22"/>
            </w:rPr>
          </w:pPr>
          <w:hyperlink w:anchor="_Toc456686592" w:history="1">
            <w:r w:rsidRPr="00D03844">
              <w:rPr>
                <w:rStyle w:val="Hyperlink"/>
                <w:noProof/>
              </w:rPr>
              <w:t>7.</w:t>
            </w:r>
            <w:r>
              <w:rPr>
                <w:rFonts w:asciiTheme="minorHAnsi" w:eastAsiaTheme="minorEastAsia" w:hAnsiTheme="minorHAnsi" w:cstheme="minorBidi"/>
                <w:noProof/>
                <w:sz w:val="22"/>
                <w:szCs w:val="22"/>
              </w:rPr>
              <w:tab/>
            </w:r>
            <w:r w:rsidRPr="00D03844">
              <w:rPr>
                <w:rStyle w:val="Hyperlink"/>
                <w:noProof/>
              </w:rPr>
              <w:t>Cumulative corrections at end 2015 reported by Member States for Cohesion Policy period 2007-2013</w:t>
            </w:r>
            <w:r>
              <w:rPr>
                <w:noProof/>
                <w:webHidden/>
              </w:rPr>
              <w:tab/>
            </w:r>
            <w:r>
              <w:rPr>
                <w:noProof/>
                <w:webHidden/>
              </w:rPr>
              <w:fldChar w:fldCharType="begin"/>
            </w:r>
            <w:r>
              <w:rPr>
                <w:noProof/>
                <w:webHidden/>
              </w:rPr>
              <w:instrText xml:space="preserve"> PAGEREF _Toc456686592 \h </w:instrText>
            </w:r>
            <w:r>
              <w:rPr>
                <w:noProof/>
                <w:webHidden/>
              </w:rPr>
            </w:r>
            <w:r>
              <w:rPr>
                <w:noProof/>
                <w:webHidden/>
              </w:rPr>
              <w:fldChar w:fldCharType="separate"/>
            </w:r>
            <w:r w:rsidR="005F1E9A">
              <w:rPr>
                <w:noProof/>
                <w:webHidden/>
              </w:rPr>
              <w:t>40</w:t>
            </w:r>
            <w:r>
              <w:rPr>
                <w:noProof/>
                <w:webHidden/>
              </w:rPr>
              <w:fldChar w:fldCharType="end"/>
            </w:r>
          </w:hyperlink>
        </w:p>
        <w:p w:rsidR="004A7700" w:rsidRDefault="004A7700">
          <w:r>
            <w:rPr>
              <w:b/>
              <w:bCs/>
              <w:noProof/>
            </w:rPr>
            <w:fldChar w:fldCharType="end"/>
          </w:r>
        </w:p>
      </w:sdtContent>
    </w:sdt>
    <w:p w:rsidR="004A7700" w:rsidRDefault="004A7700">
      <w:pPr>
        <w:spacing w:after="0" w:line="240" w:lineRule="auto"/>
        <w:rPr>
          <w:rFonts w:ascii="Verdana" w:hAnsi="Verdana"/>
          <w:b/>
          <w:noProof/>
          <w:sz w:val="20"/>
          <w:szCs w:val="20"/>
        </w:rPr>
      </w:pPr>
      <w:bookmarkStart w:id="1" w:name="_GoBack"/>
      <w:bookmarkEnd w:id="1"/>
      <w:r>
        <w:rPr>
          <w:rFonts w:ascii="Verdana" w:hAnsi="Verdana"/>
          <w:b/>
          <w:noProof/>
          <w:sz w:val="20"/>
          <w:szCs w:val="20"/>
        </w:rPr>
        <w:br w:type="page"/>
      </w:r>
    </w:p>
    <w:p w:rsidR="00CC45FC" w:rsidRDefault="004A7700">
      <w:pPr>
        <w:pStyle w:val="ManualHeading1"/>
        <w:rPr>
          <w:noProof/>
        </w:rPr>
      </w:pPr>
      <w:bookmarkStart w:id="2" w:name="_Toc397954288"/>
      <w:bookmarkStart w:id="3" w:name="_Toc397954289"/>
      <w:bookmarkStart w:id="4" w:name="_Toc456258154"/>
      <w:bookmarkStart w:id="5" w:name="_Toc456686562"/>
      <w:bookmarkEnd w:id="2"/>
      <w:bookmarkEnd w:id="3"/>
      <w:r>
        <w:t>1.</w:t>
      </w:r>
      <w:r>
        <w:tab/>
      </w:r>
      <w:r>
        <w:rPr>
          <w:noProof/>
        </w:rPr>
        <w:t>EXECUTIVE SUMMARY AND CONCLUSIONS</w:t>
      </w:r>
      <w:bookmarkEnd w:id="4"/>
      <w:bookmarkEnd w:id="5"/>
    </w:p>
    <w:p w:rsidR="00CC45FC" w:rsidRDefault="004A7700">
      <w:pPr>
        <w:spacing w:after="120" w:line="240" w:lineRule="auto"/>
        <w:jc w:val="both"/>
        <w:rPr>
          <w:rFonts w:ascii="Verdana" w:hAnsi="Verdana"/>
          <w:noProof/>
          <w:sz w:val="18"/>
        </w:rPr>
      </w:pPr>
      <w:r>
        <w:rPr>
          <w:rFonts w:ascii="Verdana" w:hAnsi="Verdana"/>
          <w:noProof/>
          <w:sz w:val="18"/>
        </w:rPr>
        <w:t xml:space="preserve">This Communication describes the functioning of the preventive and corrective mechanisms foreseen in the European Union (EU) legislation and the actions taken by the Commission services to protect the EU budget from illegal or irregular expenditure. It also provides a best estimate of the figures resulting from their use and indicates how Member States are involved and impacted. </w:t>
      </w:r>
      <w:r>
        <w:rPr>
          <w:rFonts w:ascii="Verdana" w:hAnsi="Verdana"/>
          <w:noProof/>
          <w:sz w:val="18"/>
          <w:szCs w:val="18"/>
        </w:rPr>
        <w:t>It complements the information included in the 2015 Financial Statement Discussion and Analysis (FSDA), the 2015 Annual Management and Performance Report for the EU Budget (AMPR), and the relevant parts of the Annual Activity Reports of the Directorates General concerned.</w:t>
      </w:r>
    </w:p>
    <w:p w:rsidR="00CC45FC" w:rsidRDefault="004A7700">
      <w:pPr>
        <w:spacing w:after="120" w:line="240" w:lineRule="auto"/>
        <w:jc w:val="both"/>
        <w:rPr>
          <w:rFonts w:ascii="Verdana" w:hAnsi="Verdana"/>
          <w:noProof/>
          <w:sz w:val="18"/>
        </w:rPr>
      </w:pPr>
      <w:r>
        <w:rPr>
          <w:rFonts w:ascii="Verdana" w:hAnsi="Verdana"/>
          <w:noProof/>
          <w:sz w:val="18"/>
        </w:rPr>
        <w:t>About 80 % of the EU budget is implemented by Member States which need to comply with the commonly agreed rules on budget implementation. The Member States are partners of the Commission in respect of ensuring the compliance with the EU legislation and the protection of the EU budget.</w:t>
      </w:r>
    </w:p>
    <w:p w:rsidR="00CC45FC" w:rsidRDefault="004A7700">
      <w:pPr>
        <w:spacing w:after="120" w:line="240" w:lineRule="auto"/>
        <w:jc w:val="both"/>
        <w:rPr>
          <w:rFonts w:ascii="Verdana" w:hAnsi="Verdana"/>
          <w:noProof/>
          <w:sz w:val="18"/>
        </w:rPr>
      </w:pPr>
      <w:r>
        <w:rPr>
          <w:rFonts w:ascii="Verdana" w:hAnsi="Verdana"/>
          <w:noProof/>
          <w:sz w:val="18"/>
        </w:rPr>
        <w:t>The Commission protects the EU budget, i.e. EU spending, from undue or irregular expenditure via two main mechanisms:</w:t>
      </w:r>
    </w:p>
    <w:p w:rsidR="00CC45FC" w:rsidRDefault="004A7700">
      <w:pPr>
        <w:pStyle w:val="Text2"/>
        <w:numPr>
          <w:ilvl w:val="0"/>
          <w:numId w:val="34"/>
        </w:numPr>
        <w:tabs>
          <w:tab w:val="clear" w:pos="2160"/>
          <w:tab w:val="left" w:pos="851"/>
        </w:tabs>
        <w:spacing w:after="0"/>
        <w:ind w:left="851" w:hanging="494"/>
        <w:rPr>
          <w:rFonts w:ascii="Verdana" w:hAnsi="Verdana"/>
          <w:noProof/>
          <w:sz w:val="18"/>
        </w:rPr>
      </w:pPr>
      <w:r>
        <w:rPr>
          <w:rFonts w:ascii="Verdana" w:hAnsi="Verdana"/>
          <w:noProof/>
          <w:sz w:val="18"/>
        </w:rPr>
        <w:t xml:space="preserve">Preventive mechanisms (e.g. ex-ante controls, interruptions and suspension of payments); and </w:t>
      </w:r>
    </w:p>
    <w:p w:rsidR="00CC45FC" w:rsidRDefault="004A7700">
      <w:pPr>
        <w:pStyle w:val="Text2"/>
        <w:numPr>
          <w:ilvl w:val="0"/>
          <w:numId w:val="34"/>
        </w:numPr>
        <w:tabs>
          <w:tab w:val="clear" w:pos="2160"/>
          <w:tab w:val="left" w:pos="851"/>
        </w:tabs>
        <w:spacing w:after="120"/>
        <w:ind w:left="851" w:hanging="491"/>
        <w:rPr>
          <w:rFonts w:ascii="Verdana" w:hAnsi="Verdana"/>
          <w:noProof/>
          <w:sz w:val="18"/>
        </w:rPr>
      </w:pPr>
      <w:r>
        <w:rPr>
          <w:rFonts w:ascii="Verdana" w:hAnsi="Verdana"/>
          <w:noProof/>
          <w:sz w:val="18"/>
        </w:rPr>
        <w:t>Corrective mechanisms (primarily financial corrections imposed on Member States but also recoveries from recipients of EU payments): in case preventive mechanisms were not effective the Commission, in the framework of its supervisory role, is required to apply corrective mechanisms as a last resort.</w:t>
      </w:r>
    </w:p>
    <w:p w:rsidR="00CC45FC" w:rsidRDefault="004A7700">
      <w:pPr>
        <w:pStyle w:val="Text2"/>
        <w:spacing w:after="120"/>
        <w:ind w:left="0"/>
        <w:rPr>
          <w:rFonts w:ascii="Verdana" w:hAnsi="Verdana"/>
          <w:noProof/>
          <w:sz w:val="18"/>
        </w:rPr>
      </w:pPr>
      <w:r>
        <w:rPr>
          <w:rFonts w:ascii="Verdana" w:hAnsi="Verdana"/>
          <w:noProof/>
          <w:sz w:val="18"/>
        </w:rPr>
        <w:t>The primary objective of financial corrections and recoveries is to ensure that only expenditure in accordance with the legal framework is financed by the EU budget. Under shared management the Member States are primarily responsible for identifying and recovering from beneficiaries amounts unduly paid. In order to ensure the cost-effectiveness of control systems, one of the main work streams on which the services of the Commission will further work during the current mandate of the College is to rationalise and streamline controls and allocate resources to controls deemed most appropriate for managing legality and regularity risks within the regulatory framework. For shared management, the main objective is to improve the effectiveness of Member States' control systems.</w:t>
      </w:r>
    </w:p>
    <w:p w:rsidR="00CC45FC" w:rsidRDefault="004A7700">
      <w:pPr>
        <w:pStyle w:val="Text2"/>
        <w:spacing w:after="120"/>
        <w:ind w:left="0"/>
        <w:rPr>
          <w:rFonts w:ascii="Verdana" w:hAnsi="Verdana"/>
          <w:noProof/>
          <w:sz w:val="18"/>
        </w:rPr>
      </w:pPr>
      <w:r>
        <w:rPr>
          <w:rFonts w:ascii="Verdana" w:hAnsi="Verdana"/>
          <w:noProof/>
          <w:sz w:val="18"/>
        </w:rPr>
        <w:t>For Agriculture and Rural Development financial corrections have always a net impact on the EU budget by recovering amounts unduly spent which leads to a reimbursement to the EU budget. Under Cohesion Policy, the Member States have the option to replace the ineligible expenditure with new eligible expenditure, thus not losing the EU funding. Under other management types financial corrections are used to effect corrections before an EU reimbursement has been made.</w:t>
      </w:r>
    </w:p>
    <w:p w:rsidR="00CC45FC" w:rsidRDefault="004A7700">
      <w:pPr>
        <w:pStyle w:val="Text2"/>
        <w:spacing w:after="480"/>
        <w:ind w:left="0"/>
        <w:rPr>
          <w:rFonts w:ascii="Verdana" w:hAnsi="Verdana"/>
          <w:noProof/>
          <w:sz w:val="18"/>
        </w:rPr>
      </w:pPr>
      <w:r>
        <w:rPr>
          <w:rFonts w:ascii="Verdana" w:hAnsi="Verdana"/>
          <w:noProof/>
          <w:sz w:val="18"/>
        </w:rPr>
        <w:t>This Communication focuses primarily on the results of the Commission's supervisory role, but also provides information on the results of Member States' controls.</w:t>
      </w:r>
    </w:p>
    <w:p w:rsidR="00CC45FC" w:rsidRDefault="004A7700">
      <w:pPr>
        <w:spacing w:after="120" w:line="240" w:lineRule="auto"/>
        <w:jc w:val="both"/>
        <w:rPr>
          <w:rFonts w:ascii="Verdana" w:hAnsi="Verdana"/>
          <w:b/>
          <w:noProof/>
          <w:sz w:val="18"/>
        </w:rPr>
      </w:pPr>
      <w:r>
        <w:rPr>
          <w:rFonts w:ascii="Verdana" w:hAnsi="Verdana"/>
          <w:b/>
          <w:noProof/>
          <w:sz w:val="18"/>
        </w:rPr>
        <w:t>Financial corrections &amp; Recoveries: 2015 Results</w:t>
      </w:r>
    </w:p>
    <w:p w:rsidR="00CC45FC" w:rsidRDefault="004A7700">
      <w:pPr>
        <w:spacing w:after="120" w:line="240" w:lineRule="auto"/>
        <w:jc w:val="both"/>
        <w:rPr>
          <w:rFonts w:ascii="Verdana" w:hAnsi="Verdana"/>
          <w:noProof/>
          <w:sz w:val="18"/>
        </w:rPr>
      </w:pPr>
      <w:r>
        <w:rPr>
          <w:rFonts w:ascii="Verdana" w:hAnsi="Verdana"/>
          <w:noProof/>
          <w:sz w:val="18"/>
        </w:rPr>
        <w:t>Regarding the impact of corrective measures taken by the Commission, the key figures for the financial year 2015 are as follows:</w:t>
      </w:r>
    </w:p>
    <w:tbl>
      <w:tblPr>
        <w:tblpPr w:leftFromText="180" w:rightFromText="180" w:vertAnchor="text" w:tblpX="1951" w:tblpY="1"/>
        <w:tblOverlap w:val="never"/>
        <w:tblW w:w="5102" w:type="dxa"/>
        <w:tblLayout w:type="fixed"/>
        <w:tblLook w:val="04A0" w:firstRow="1" w:lastRow="0" w:firstColumn="1" w:lastColumn="0" w:noHBand="0" w:noVBand="1"/>
      </w:tblPr>
      <w:tblGrid>
        <w:gridCol w:w="1360"/>
        <w:gridCol w:w="935"/>
        <w:gridCol w:w="257"/>
        <w:gridCol w:w="283"/>
        <w:gridCol w:w="992"/>
        <w:gridCol w:w="283"/>
        <w:gridCol w:w="992"/>
      </w:tblGrid>
      <w:tr w:rsidR="00CC45FC">
        <w:trPr>
          <w:trHeight w:val="207"/>
        </w:trPr>
        <w:tc>
          <w:tcPr>
            <w:tcW w:w="1360" w:type="dxa"/>
            <w:tcBorders>
              <w:top w:val="nil"/>
              <w:left w:val="nil"/>
              <w:bottom w:val="nil"/>
              <w:right w:val="nil"/>
            </w:tcBorders>
            <w:shd w:val="clear" w:color="auto" w:fill="auto"/>
            <w:vAlign w:val="center"/>
            <w:hideMark/>
          </w:tcPr>
          <w:p w:rsidR="00CC45FC" w:rsidRDefault="00CC45FC">
            <w:pPr>
              <w:spacing w:after="0" w:line="240" w:lineRule="auto"/>
              <w:jc w:val="right"/>
              <w:rPr>
                <w:rFonts w:ascii="Verdana" w:eastAsia="Times New Roman" w:hAnsi="Verdana"/>
                <w:i/>
                <w:iCs/>
                <w:noProof/>
                <w:color w:val="000000"/>
                <w:sz w:val="12"/>
                <w:szCs w:val="12"/>
                <w:lang w:eastAsia="en-GB"/>
              </w:rPr>
            </w:pPr>
          </w:p>
        </w:tc>
        <w:tc>
          <w:tcPr>
            <w:tcW w:w="935" w:type="dxa"/>
            <w:tcBorders>
              <w:top w:val="nil"/>
              <w:left w:val="nil"/>
              <w:bottom w:val="nil"/>
              <w:right w:val="nil"/>
            </w:tcBorders>
            <w:shd w:val="clear" w:color="auto" w:fill="auto"/>
            <w:vAlign w:val="center"/>
            <w:hideMark/>
          </w:tcPr>
          <w:p w:rsidR="00CC45FC" w:rsidRDefault="00CC45FC">
            <w:pPr>
              <w:spacing w:after="0" w:line="240" w:lineRule="auto"/>
              <w:jc w:val="right"/>
              <w:rPr>
                <w:rFonts w:ascii="Verdana" w:eastAsia="Times New Roman" w:hAnsi="Verdana"/>
                <w:i/>
                <w:iCs/>
                <w:noProof/>
                <w:color w:val="000000"/>
                <w:sz w:val="12"/>
                <w:szCs w:val="12"/>
                <w:lang w:eastAsia="en-GB"/>
              </w:rPr>
            </w:pPr>
          </w:p>
        </w:tc>
        <w:tc>
          <w:tcPr>
            <w:tcW w:w="257" w:type="dxa"/>
            <w:tcBorders>
              <w:top w:val="nil"/>
              <w:left w:val="nil"/>
              <w:bottom w:val="nil"/>
              <w:right w:val="nil"/>
            </w:tcBorders>
            <w:shd w:val="clear" w:color="auto" w:fill="auto"/>
            <w:noWrap/>
            <w:vAlign w:val="bottom"/>
            <w:hideMark/>
          </w:tcPr>
          <w:p w:rsidR="00CC45FC" w:rsidRDefault="00CC45FC">
            <w:pPr>
              <w:spacing w:after="0" w:line="240" w:lineRule="auto"/>
              <w:rPr>
                <w:rFonts w:ascii="Verdana" w:eastAsia="Times New Roman" w:hAnsi="Verdana"/>
                <w:noProof/>
                <w:color w:val="000000"/>
                <w:sz w:val="12"/>
                <w:szCs w:val="12"/>
                <w:lang w:eastAsia="en-GB"/>
              </w:rPr>
            </w:pPr>
          </w:p>
        </w:tc>
        <w:tc>
          <w:tcPr>
            <w:tcW w:w="283" w:type="dxa"/>
            <w:tcBorders>
              <w:top w:val="nil"/>
              <w:left w:val="nil"/>
              <w:bottom w:val="nil"/>
              <w:right w:val="nil"/>
            </w:tcBorders>
            <w:shd w:val="clear" w:color="auto" w:fill="auto"/>
            <w:noWrap/>
            <w:vAlign w:val="center"/>
            <w:hideMark/>
          </w:tcPr>
          <w:p w:rsidR="00CC45FC" w:rsidRDefault="00CC45FC">
            <w:pPr>
              <w:spacing w:after="0" w:line="240" w:lineRule="auto"/>
              <w:rPr>
                <w:rFonts w:ascii="Verdana" w:eastAsia="Times New Roman" w:hAnsi="Verdana"/>
                <w:i/>
                <w:iCs/>
                <w:noProof/>
                <w:color w:val="000000"/>
                <w:sz w:val="12"/>
                <w:szCs w:val="12"/>
                <w:lang w:eastAsia="en-GB"/>
              </w:rPr>
            </w:pPr>
          </w:p>
        </w:tc>
        <w:tc>
          <w:tcPr>
            <w:tcW w:w="2267" w:type="dxa"/>
            <w:gridSpan w:val="3"/>
            <w:tcBorders>
              <w:top w:val="nil"/>
              <w:left w:val="nil"/>
              <w:bottom w:val="nil"/>
              <w:right w:val="nil"/>
            </w:tcBorders>
            <w:shd w:val="clear" w:color="auto" w:fill="auto"/>
            <w:noWrap/>
            <w:vAlign w:val="center"/>
            <w:hideMark/>
          </w:tcPr>
          <w:p w:rsidR="00CC45FC" w:rsidRDefault="004A7700">
            <w:pPr>
              <w:spacing w:after="0" w:line="240" w:lineRule="auto"/>
              <w:ind w:left="-108" w:hanging="142"/>
              <w:jc w:val="right"/>
              <w:rPr>
                <w:rFonts w:ascii="Verdana" w:eastAsia="Times New Roman" w:hAnsi="Verdana"/>
                <w:i/>
                <w:iCs/>
                <w:noProof/>
                <w:color w:val="000000"/>
                <w:sz w:val="12"/>
                <w:szCs w:val="12"/>
                <w:lang w:eastAsia="en-GB"/>
              </w:rPr>
            </w:pPr>
            <w:r>
              <w:rPr>
                <w:rFonts w:ascii="Verdana" w:eastAsia="Times New Roman" w:hAnsi="Verdana"/>
                <w:i/>
                <w:iCs/>
                <w:noProof/>
                <w:color w:val="000000"/>
                <w:sz w:val="12"/>
                <w:szCs w:val="12"/>
                <w:lang w:eastAsia="en-GB"/>
              </w:rPr>
              <w:t>EUR millions</w:t>
            </w:r>
          </w:p>
        </w:tc>
      </w:tr>
      <w:tr w:rsidR="00CC45FC">
        <w:trPr>
          <w:trHeight w:val="1027"/>
        </w:trPr>
        <w:tc>
          <w:tcPr>
            <w:tcW w:w="2552" w:type="dxa"/>
            <w:gridSpan w:val="3"/>
            <w:tcBorders>
              <w:top w:val="nil"/>
              <w:left w:val="nil"/>
              <w:bottom w:val="nil"/>
              <w:right w:val="nil"/>
            </w:tcBorders>
            <w:shd w:val="clear" w:color="000000" w:fill="C6D9F1"/>
            <w:noWrap/>
            <w:vAlign w:val="center"/>
            <w:hideMark/>
          </w:tcPr>
          <w:p w:rsidR="00CC45FC" w:rsidRDefault="004A7700">
            <w:pPr>
              <w:spacing w:after="0" w:line="240" w:lineRule="auto"/>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Policy Areas</w:t>
            </w:r>
          </w:p>
        </w:tc>
        <w:tc>
          <w:tcPr>
            <w:tcW w:w="283" w:type="dxa"/>
            <w:tcBorders>
              <w:top w:val="nil"/>
              <w:left w:val="nil"/>
              <w:bottom w:val="nil"/>
              <w:right w:val="nil"/>
            </w:tcBorders>
            <w:shd w:val="clear" w:color="auto" w:fill="auto"/>
            <w:vAlign w:val="center"/>
            <w:hideMark/>
          </w:tcPr>
          <w:p w:rsidR="00CC45FC" w:rsidRDefault="00CC45FC">
            <w:pPr>
              <w:spacing w:after="0" w:line="240" w:lineRule="auto"/>
              <w:jc w:val="center"/>
              <w:rPr>
                <w:rFonts w:ascii="Verdana" w:eastAsia="Times New Roman" w:hAnsi="Verdana"/>
                <w:b/>
                <w:bCs/>
                <w:noProof/>
                <w:color w:val="000000"/>
                <w:sz w:val="12"/>
                <w:szCs w:val="12"/>
                <w:lang w:eastAsia="en-GB"/>
              </w:rPr>
            </w:pPr>
          </w:p>
        </w:tc>
        <w:tc>
          <w:tcPr>
            <w:tcW w:w="992" w:type="dxa"/>
            <w:tcBorders>
              <w:top w:val="nil"/>
              <w:left w:val="nil"/>
              <w:bottom w:val="nil"/>
              <w:right w:val="nil"/>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0"/>
                <w:szCs w:val="10"/>
                <w:lang w:eastAsia="en-GB"/>
              </w:rPr>
            </w:pPr>
            <w:r>
              <w:rPr>
                <w:rFonts w:ascii="Verdana" w:eastAsia="Times New Roman" w:hAnsi="Verdana"/>
                <w:b/>
                <w:bCs/>
                <w:noProof/>
                <w:color w:val="000000"/>
                <w:sz w:val="10"/>
                <w:szCs w:val="10"/>
                <w:lang w:eastAsia="en-GB"/>
              </w:rPr>
              <w:t xml:space="preserve">Total financial corrections and recoveries </w:t>
            </w:r>
            <w:r>
              <w:rPr>
                <w:rFonts w:ascii="Verdana" w:eastAsia="Times New Roman" w:hAnsi="Verdana"/>
                <w:b/>
                <w:bCs/>
                <w:noProof/>
                <w:color w:val="000000"/>
                <w:sz w:val="10"/>
                <w:szCs w:val="10"/>
                <w:u w:val="single"/>
                <w:lang w:eastAsia="en-GB"/>
              </w:rPr>
              <w:t>confirmed</w:t>
            </w:r>
            <w:r>
              <w:rPr>
                <w:rFonts w:ascii="Verdana" w:eastAsia="Times New Roman" w:hAnsi="Verdana"/>
                <w:b/>
                <w:bCs/>
                <w:noProof/>
                <w:color w:val="000000"/>
                <w:sz w:val="10"/>
                <w:szCs w:val="10"/>
                <w:lang w:eastAsia="en-GB"/>
              </w:rPr>
              <w:t xml:space="preserve"> in 2015</w:t>
            </w:r>
          </w:p>
        </w:tc>
        <w:tc>
          <w:tcPr>
            <w:tcW w:w="283" w:type="dxa"/>
            <w:tcBorders>
              <w:top w:val="nil"/>
              <w:left w:val="nil"/>
              <w:bottom w:val="nil"/>
              <w:right w:val="nil"/>
            </w:tcBorders>
            <w:shd w:val="clear" w:color="auto" w:fill="auto"/>
            <w:vAlign w:val="center"/>
            <w:hideMark/>
          </w:tcPr>
          <w:p w:rsidR="00CC45FC" w:rsidRDefault="00CC45FC">
            <w:pPr>
              <w:spacing w:after="0" w:line="240" w:lineRule="auto"/>
              <w:jc w:val="center"/>
              <w:rPr>
                <w:rFonts w:ascii="Verdana" w:eastAsia="Times New Roman" w:hAnsi="Verdana"/>
                <w:b/>
                <w:bCs/>
                <w:noProof/>
                <w:color w:val="000000"/>
                <w:sz w:val="10"/>
                <w:szCs w:val="10"/>
                <w:lang w:eastAsia="en-GB"/>
              </w:rPr>
            </w:pPr>
          </w:p>
        </w:tc>
        <w:tc>
          <w:tcPr>
            <w:tcW w:w="992" w:type="dxa"/>
            <w:tcBorders>
              <w:top w:val="nil"/>
              <w:left w:val="nil"/>
              <w:bottom w:val="nil"/>
              <w:right w:val="nil"/>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0"/>
                <w:szCs w:val="10"/>
                <w:lang w:eastAsia="en-GB"/>
              </w:rPr>
            </w:pPr>
            <w:r>
              <w:rPr>
                <w:rFonts w:ascii="Verdana" w:eastAsia="Times New Roman" w:hAnsi="Verdana"/>
                <w:b/>
                <w:bCs/>
                <w:noProof/>
                <w:color w:val="000000"/>
                <w:sz w:val="10"/>
                <w:szCs w:val="10"/>
                <w:lang w:eastAsia="en-GB"/>
              </w:rPr>
              <w:t xml:space="preserve">Total financial corrections and recoveries </w:t>
            </w:r>
            <w:r>
              <w:rPr>
                <w:rFonts w:ascii="Verdana" w:eastAsia="Times New Roman" w:hAnsi="Verdana"/>
                <w:b/>
                <w:bCs/>
                <w:noProof/>
                <w:color w:val="000000"/>
                <w:sz w:val="10"/>
                <w:szCs w:val="10"/>
                <w:u w:val="single"/>
                <w:lang w:eastAsia="en-GB"/>
              </w:rPr>
              <w:t>implemented</w:t>
            </w:r>
            <w:r>
              <w:rPr>
                <w:rFonts w:ascii="Verdana" w:eastAsia="Times New Roman" w:hAnsi="Verdana"/>
                <w:b/>
                <w:bCs/>
                <w:noProof/>
                <w:color w:val="000000"/>
                <w:sz w:val="10"/>
                <w:szCs w:val="10"/>
                <w:lang w:eastAsia="en-GB"/>
              </w:rPr>
              <w:t xml:space="preserve"> in 2015</w:t>
            </w:r>
          </w:p>
        </w:tc>
      </w:tr>
      <w:tr w:rsidR="00CC45FC">
        <w:trPr>
          <w:trHeight w:hRule="exact" w:val="207"/>
        </w:trPr>
        <w:tc>
          <w:tcPr>
            <w:tcW w:w="2552" w:type="dxa"/>
            <w:gridSpan w:val="3"/>
            <w:tcBorders>
              <w:top w:val="nil"/>
              <w:left w:val="nil"/>
              <w:bottom w:val="nil"/>
              <w:right w:val="nil"/>
            </w:tcBorders>
            <w:shd w:val="clear" w:color="000000" w:fill="DBE5F1"/>
            <w:noWrap/>
            <w:vAlign w:val="center"/>
            <w:hideMark/>
          </w:tcPr>
          <w:p w:rsidR="00CC45FC" w:rsidRDefault="004A7700">
            <w:pPr>
              <w:spacing w:after="0" w:line="240" w:lineRule="auto"/>
              <w:jc w:val="both"/>
              <w:rPr>
                <w:rFonts w:ascii="Verdana" w:eastAsia="Times New Roman" w:hAnsi="Verdana"/>
                <w:b/>
                <w:bCs/>
                <w:iCs/>
                <w:noProof/>
                <w:color w:val="000000"/>
                <w:sz w:val="12"/>
                <w:szCs w:val="12"/>
                <w:lang w:eastAsia="en-GB"/>
              </w:rPr>
            </w:pPr>
            <w:r>
              <w:rPr>
                <w:rFonts w:ascii="Verdana" w:eastAsia="Times New Roman" w:hAnsi="Verdana"/>
                <w:b/>
                <w:bCs/>
                <w:iCs/>
                <w:noProof/>
                <w:color w:val="000000"/>
                <w:sz w:val="12"/>
                <w:szCs w:val="12"/>
                <w:lang w:eastAsia="en-GB"/>
              </w:rPr>
              <w:t>Agriculture &amp; Rural Development</w:t>
            </w:r>
          </w:p>
        </w:tc>
        <w:tc>
          <w:tcPr>
            <w:tcW w:w="283" w:type="dxa"/>
            <w:tcBorders>
              <w:top w:val="nil"/>
              <w:left w:val="nil"/>
              <w:bottom w:val="nil"/>
              <w:right w:val="nil"/>
            </w:tcBorders>
            <w:shd w:val="clear" w:color="auto" w:fill="auto"/>
            <w:vAlign w:val="center"/>
            <w:hideMark/>
          </w:tcPr>
          <w:p w:rsidR="00CC45FC" w:rsidRDefault="00CC45FC">
            <w:pPr>
              <w:spacing w:after="0" w:line="240" w:lineRule="auto"/>
              <w:jc w:val="right"/>
              <w:rPr>
                <w:rFonts w:ascii="Verdana" w:eastAsia="Times New Roman" w:hAnsi="Verdana"/>
                <w:b/>
                <w:bCs/>
                <w:iCs/>
                <w:noProof/>
                <w:color w:val="000000"/>
                <w:sz w:val="12"/>
                <w:szCs w:val="12"/>
                <w:lang w:eastAsia="en-GB"/>
              </w:rPr>
            </w:pPr>
          </w:p>
        </w:tc>
        <w:tc>
          <w:tcPr>
            <w:tcW w:w="992" w:type="dxa"/>
            <w:tcBorders>
              <w:top w:val="nil"/>
              <w:left w:val="nil"/>
              <w:bottom w:val="nil"/>
              <w:right w:val="nil"/>
            </w:tcBorders>
            <w:shd w:val="clear" w:color="000000" w:fill="DBE5F1"/>
            <w:vAlign w:val="center"/>
            <w:hideMark/>
          </w:tcPr>
          <w:p w:rsidR="00CC45FC" w:rsidRDefault="004A7700">
            <w:pPr>
              <w:spacing w:after="0" w:line="240" w:lineRule="auto"/>
              <w:jc w:val="right"/>
              <w:rPr>
                <w:rFonts w:ascii="Verdana" w:eastAsia="Times New Roman" w:hAnsi="Verdana"/>
                <w:b/>
                <w:bCs/>
                <w:iCs/>
                <w:noProof/>
                <w:color w:val="000000"/>
                <w:sz w:val="12"/>
                <w:szCs w:val="12"/>
                <w:lang w:eastAsia="en-GB"/>
              </w:rPr>
            </w:pPr>
            <w:r>
              <w:rPr>
                <w:rFonts w:ascii="Verdana" w:eastAsia="Times New Roman" w:hAnsi="Verdana"/>
                <w:b/>
                <w:bCs/>
                <w:iCs/>
                <w:noProof/>
                <w:color w:val="000000"/>
                <w:sz w:val="12"/>
                <w:szCs w:val="12"/>
                <w:lang w:eastAsia="en-GB"/>
              </w:rPr>
              <w:t>1 292</w:t>
            </w:r>
          </w:p>
        </w:tc>
        <w:tc>
          <w:tcPr>
            <w:tcW w:w="283" w:type="dxa"/>
            <w:tcBorders>
              <w:top w:val="nil"/>
              <w:left w:val="nil"/>
              <w:bottom w:val="nil"/>
              <w:right w:val="nil"/>
            </w:tcBorders>
            <w:shd w:val="clear" w:color="auto" w:fill="auto"/>
            <w:vAlign w:val="center"/>
            <w:hideMark/>
          </w:tcPr>
          <w:p w:rsidR="00CC45FC" w:rsidRDefault="00CC45FC">
            <w:pPr>
              <w:spacing w:after="0" w:line="240" w:lineRule="auto"/>
              <w:jc w:val="right"/>
              <w:rPr>
                <w:rFonts w:ascii="Verdana" w:eastAsia="Times New Roman" w:hAnsi="Verdana"/>
                <w:b/>
                <w:bCs/>
                <w:iCs/>
                <w:noProof/>
                <w:color w:val="000000"/>
                <w:sz w:val="12"/>
                <w:szCs w:val="12"/>
                <w:lang w:eastAsia="en-GB"/>
              </w:rPr>
            </w:pPr>
          </w:p>
        </w:tc>
        <w:tc>
          <w:tcPr>
            <w:tcW w:w="992" w:type="dxa"/>
            <w:tcBorders>
              <w:top w:val="nil"/>
              <w:left w:val="nil"/>
              <w:bottom w:val="nil"/>
              <w:right w:val="nil"/>
            </w:tcBorders>
            <w:shd w:val="clear" w:color="000000" w:fill="DBE5F1"/>
            <w:vAlign w:val="center"/>
            <w:hideMark/>
          </w:tcPr>
          <w:p w:rsidR="00CC45FC" w:rsidRDefault="004A7700">
            <w:pPr>
              <w:spacing w:after="0" w:line="240" w:lineRule="auto"/>
              <w:jc w:val="right"/>
              <w:rPr>
                <w:rFonts w:ascii="Verdana" w:eastAsia="Times New Roman" w:hAnsi="Verdana"/>
                <w:b/>
                <w:bCs/>
                <w:iCs/>
                <w:noProof/>
                <w:color w:val="000000"/>
                <w:sz w:val="12"/>
                <w:szCs w:val="12"/>
                <w:lang w:eastAsia="en-GB"/>
              </w:rPr>
            </w:pPr>
            <w:r>
              <w:rPr>
                <w:rFonts w:ascii="Verdana" w:eastAsia="Times New Roman" w:hAnsi="Verdana"/>
                <w:b/>
                <w:bCs/>
                <w:iCs/>
                <w:noProof/>
                <w:color w:val="000000"/>
                <w:sz w:val="12"/>
                <w:szCs w:val="12"/>
                <w:lang w:eastAsia="en-GB"/>
              </w:rPr>
              <w:t>1 587</w:t>
            </w:r>
          </w:p>
        </w:tc>
      </w:tr>
      <w:tr w:rsidR="00CC45FC">
        <w:trPr>
          <w:trHeight w:hRule="exact" w:val="207"/>
        </w:trPr>
        <w:tc>
          <w:tcPr>
            <w:tcW w:w="2552" w:type="dxa"/>
            <w:gridSpan w:val="3"/>
            <w:tcBorders>
              <w:top w:val="nil"/>
              <w:left w:val="nil"/>
              <w:bottom w:val="nil"/>
              <w:right w:val="nil"/>
            </w:tcBorders>
            <w:shd w:val="clear" w:color="000000" w:fill="B8CCE4"/>
            <w:noWrap/>
            <w:vAlign w:val="center"/>
            <w:hideMark/>
          </w:tcPr>
          <w:p w:rsidR="00CC45FC" w:rsidRDefault="004A7700">
            <w:pPr>
              <w:spacing w:after="0" w:line="240" w:lineRule="auto"/>
              <w:jc w:val="both"/>
              <w:rPr>
                <w:rFonts w:ascii="Verdana" w:eastAsia="Times New Roman" w:hAnsi="Verdana"/>
                <w:b/>
                <w:bCs/>
                <w:iCs/>
                <w:noProof/>
                <w:color w:val="000000"/>
                <w:sz w:val="12"/>
                <w:szCs w:val="12"/>
                <w:lang w:eastAsia="en-GB"/>
              </w:rPr>
            </w:pPr>
            <w:r>
              <w:rPr>
                <w:rFonts w:ascii="Verdana" w:eastAsia="Times New Roman" w:hAnsi="Verdana"/>
                <w:b/>
                <w:bCs/>
                <w:iCs/>
                <w:noProof/>
                <w:color w:val="000000"/>
                <w:sz w:val="12"/>
                <w:szCs w:val="12"/>
                <w:lang w:eastAsia="en-GB"/>
              </w:rPr>
              <w:t>Cohesion Policy</w:t>
            </w:r>
          </w:p>
        </w:tc>
        <w:tc>
          <w:tcPr>
            <w:tcW w:w="283" w:type="dxa"/>
            <w:tcBorders>
              <w:top w:val="nil"/>
              <w:left w:val="nil"/>
              <w:bottom w:val="nil"/>
              <w:right w:val="nil"/>
            </w:tcBorders>
            <w:shd w:val="clear" w:color="auto" w:fill="auto"/>
            <w:vAlign w:val="center"/>
            <w:hideMark/>
          </w:tcPr>
          <w:p w:rsidR="00CC45FC" w:rsidRDefault="00CC45FC">
            <w:pPr>
              <w:spacing w:after="0" w:line="240" w:lineRule="auto"/>
              <w:jc w:val="right"/>
              <w:rPr>
                <w:rFonts w:ascii="Verdana" w:eastAsia="Times New Roman" w:hAnsi="Verdana"/>
                <w:b/>
                <w:bCs/>
                <w:iCs/>
                <w:noProof/>
                <w:color w:val="000000"/>
                <w:sz w:val="12"/>
                <w:szCs w:val="12"/>
                <w:lang w:eastAsia="en-GB"/>
              </w:rPr>
            </w:pPr>
          </w:p>
        </w:tc>
        <w:tc>
          <w:tcPr>
            <w:tcW w:w="992" w:type="dxa"/>
            <w:tcBorders>
              <w:top w:val="nil"/>
              <w:left w:val="nil"/>
              <w:bottom w:val="nil"/>
              <w:right w:val="nil"/>
            </w:tcBorders>
            <w:shd w:val="clear" w:color="000000" w:fill="B8CCE4"/>
            <w:vAlign w:val="center"/>
            <w:hideMark/>
          </w:tcPr>
          <w:p w:rsidR="00CC45FC" w:rsidRDefault="004A7700">
            <w:pPr>
              <w:spacing w:after="0" w:line="240" w:lineRule="auto"/>
              <w:jc w:val="right"/>
              <w:rPr>
                <w:rFonts w:ascii="Verdana" w:eastAsia="Times New Roman" w:hAnsi="Verdana"/>
                <w:b/>
                <w:bCs/>
                <w:iCs/>
                <w:noProof/>
                <w:color w:val="000000"/>
                <w:sz w:val="12"/>
                <w:szCs w:val="12"/>
                <w:lang w:eastAsia="en-GB"/>
              </w:rPr>
            </w:pPr>
            <w:r>
              <w:rPr>
                <w:rFonts w:ascii="Verdana" w:eastAsia="Times New Roman" w:hAnsi="Verdana"/>
                <w:b/>
                <w:bCs/>
                <w:iCs/>
                <w:noProof/>
                <w:color w:val="000000"/>
                <w:sz w:val="12"/>
                <w:szCs w:val="12"/>
                <w:lang w:eastAsia="en-GB"/>
              </w:rPr>
              <w:t>1 744</w:t>
            </w:r>
          </w:p>
        </w:tc>
        <w:tc>
          <w:tcPr>
            <w:tcW w:w="283" w:type="dxa"/>
            <w:tcBorders>
              <w:top w:val="nil"/>
              <w:left w:val="nil"/>
              <w:bottom w:val="nil"/>
              <w:right w:val="nil"/>
            </w:tcBorders>
            <w:shd w:val="clear" w:color="auto" w:fill="auto"/>
            <w:vAlign w:val="center"/>
            <w:hideMark/>
          </w:tcPr>
          <w:p w:rsidR="00CC45FC" w:rsidRDefault="00CC45FC">
            <w:pPr>
              <w:spacing w:after="0" w:line="240" w:lineRule="auto"/>
              <w:jc w:val="right"/>
              <w:rPr>
                <w:rFonts w:ascii="Verdana" w:eastAsia="Times New Roman" w:hAnsi="Verdana"/>
                <w:b/>
                <w:bCs/>
                <w:iCs/>
                <w:noProof/>
                <w:color w:val="000000"/>
                <w:sz w:val="12"/>
                <w:szCs w:val="12"/>
                <w:lang w:eastAsia="en-GB"/>
              </w:rPr>
            </w:pPr>
          </w:p>
        </w:tc>
        <w:tc>
          <w:tcPr>
            <w:tcW w:w="992" w:type="dxa"/>
            <w:tcBorders>
              <w:top w:val="nil"/>
              <w:left w:val="nil"/>
              <w:bottom w:val="nil"/>
              <w:right w:val="nil"/>
            </w:tcBorders>
            <w:shd w:val="clear" w:color="000000" w:fill="B8CCE4"/>
            <w:vAlign w:val="center"/>
            <w:hideMark/>
          </w:tcPr>
          <w:p w:rsidR="00CC45FC" w:rsidRDefault="004A7700">
            <w:pPr>
              <w:spacing w:after="0" w:line="240" w:lineRule="auto"/>
              <w:jc w:val="right"/>
              <w:rPr>
                <w:rFonts w:ascii="Verdana" w:eastAsia="Times New Roman" w:hAnsi="Verdana"/>
                <w:b/>
                <w:bCs/>
                <w:iCs/>
                <w:noProof/>
                <w:color w:val="000000"/>
                <w:sz w:val="12"/>
                <w:szCs w:val="12"/>
                <w:lang w:eastAsia="en-GB"/>
              </w:rPr>
            </w:pPr>
            <w:r>
              <w:rPr>
                <w:rFonts w:ascii="Verdana" w:eastAsia="Times New Roman" w:hAnsi="Verdana"/>
                <w:b/>
                <w:bCs/>
                <w:iCs/>
                <w:noProof/>
                <w:color w:val="000000"/>
                <w:sz w:val="12"/>
                <w:szCs w:val="12"/>
                <w:lang w:eastAsia="en-GB"/>
              </w:rPr>
              <w:t>1 808</w:t>
            </w:r>
          </w:p>
        </w:tc>
      </w:tr>
      <w:tr w:rsidR="00CC45FC">
        <w:trPr>
          <w:trHeight w:hRule="exact" w:val="207"/>
        </w:trPr>
        <w:tc>
          <w:tcPr>
            <w:tcW w:w="2552" w:type="dxa"/>
            <w:gridSpan w:val="3"/>
            <w:tcBorders>
              <w:top w:val="nil"/>
              <w:left w:val="nil"/>
              <w:bottom w:val="nil"/>
              <w:right w:val="nil"/>
            </w:tcBorders>
            <w:shd w:val="clear" w:color="000000" w:fill="95B3D7"/>
            <w:noWrap/>
            <w:vAlign w:val="center"/>
            <w:hideMark/>
          </w:tcPr>
          <w:p w:rsidR="00CC45FC" w:rsidRDefault="004A7700">
            <w:pPr>
              <w:spacing w:after="0" w:line="240" w:lineRule="auto"/>
              <w:rPr>
                <w:rFonts w:ascii="Verdana" w:eastAsia="Times New Roman" w:hAnsi="Verdana"/>
                <w:b/>
                <w:noProof/>
                <w:color w:val="000000"/>
                <w:sz w:val="12"/>
                <w:szCs w:val="12"/>
                <w:lang w:eastAsia="en-GB"/>
              </w:rPr>
            </w:pPr>
            <w:r>
              <w:rPr>
                <w:rFonts w:ascii="Verdana" w:eastAsia="Times New Roman" w:hAnsi="Verdana"/>
                <w:b/>
                <w:noProof/>
                <w:color w:val="000000"/>
                <w:sz w:val="12"/>
                <w:szCs w:val="12"/>
                <w:lang w:eastAsia="en-GB"/>
              </w:rPr>
              <w:t>Internal policies</w:t>
            </w:r>
          </w:p>
        </w:tc>
        <w:tc>
          <w:tcPr>
            <w:tcW w:w="283" w:type="dxa"/>
            <w:tcBorders>
              <w:top w:val="nil"/>
              <w:left w:val="nil"/>
              <w:bottom w:val="nil"/>
              <w:right w:val="nil"/>
            </w:tcBorders>
            <w:shd w:val="clear" w:color="auto" w:fill="auto"/>
            <w:vAlign w:val="center"/>
            <w:hideMark/>
          </w:tcPr>
          <w:p w:rsidR="00CC45FC" w:rsidRDefault="00CC45FC">
            <w:pPr>
              <w:spacing w:after="0" w:line="240" w:lineRule="auto"/>
              <w:jc w:val="right"/>
              <w:rPr>
                <w:rFonts w:ascii="Verdana" w:eastAsia="Times New Roman" w:hAnsi="Verdana"/>
                <w:b/>
                <w:noProof/>
                <w:color w:val="000000"/>
                <w:sz w:val="12"/>
                <w:szCs w:val="12"/>
                <w:lang w:eastAsia="en-GB"/>
              </w:rPr>
            </w:pPr>
          </w:p>
        </w:tc>
        <w:tc>
          <w:tcPr>
            <w:tcW w:w="992" w:type="dxa"/>
            <w:tcBorders>
              <w:top w:val="nil"/>
              <w:left w:val="nil"/>
              <w:bottom w:val="nil"/>
              <w:right w:val="nil"/>
            </w:tcBorders>
            <w:shd w:val="clear" w:color="000000" w:fill="95B3D7"/>
            <w:vAlign w:val="center"/>
            <w:hideMark/>
          </w:tcPr>
          <w:p w:rsidR="00CC45FC" w:rsidRDefault="004A7700">
            <w:pPr>
              <w:spacing w:after="0" w:line="240" w:lineRule="auto"/>
              <w:jc w:val="right"/>
              <w:rPr>
                <w:rFonts w:ascii="Verdana" w:eastAsia="Times New Roman" w:hAnsi="Verdana"/>
                <w:b/>
                <w:bCs/>
                <w:iCs/>
                <w:noProof/>
                <w:color w:val="000000"/>
                <w:sz w:val="12"/>
                <w:szCs w:val="12"/>
                <w:lang w:eastAsia="en-GB"/>
              </w:rPr>
            </w:pPr>
            <w:r>
              <w:rPr>
                <w:rFonts w:ascii="Verdana" w:eastAsia="Times New Roman" w:hAnsi="Verdana"/>
                <w:b/>
                <w:bCs/>
                <w:iCs/>
                <w:noProof/>
                <w:color w:val="000000"/>
                <w:sz w:val="12"/>
                <w:szCs w:val="12"/>
                <w:lang w:eastAsia="en-GB"/>
              </w:rPr>
              <w:t xml:space="preserve"> 326</w:t>
            </w:r>
          </w:p>
        </w:tc>
        <w:tc>
          <w:tcPr>
            <w:tcW w:w="283" w:type="dxa"/>
            <w:tcBorders>
              <w:top w:val="nil"/>
              <w:left w:val="nil"/>
              <w:bottom w:val="nil"/>
              <w:right w:val="nil"/>
            </w:tcBorders>
            <w:shd w:val="clear" w:color="auto" w:fill="auto"/>
            <w:vAlign w:val="center"/>
            <w:hideMark/>
          </w:tcPr>
          <w:p w:rsidR="00CC45FC" w:rsidRDefault="00CC45FC">
            <w:pPr>
              <w:spacing w:after="0" w:line="240" w:lineRule="auto"/>
              <w:jc w:val="right"/>
              <w:rPr>
                <w:rFonts w:ascii="Verdana" w:eastAsia="Times New Roman" w:hAnsi="Verdana"/>
                <w:b/>
                <w:noProof/>
                <w:color w:val="000000"/>
                <w:sz w:val="12"/>
                <w:szCs w:val="12"/>
                <w:lang w:eastAsia="en-GB"/>
              </w:rPr>
            </w:pPr>
          </w:p>
        </w:tc>
        <w:tc>
          <w:tcPr>
            <w:tcW w:w="992" w:type="dxa"/>
            <w:tcBorders>
              <w:top w:val="nil"/>
              <w:left w:val="nil"/>
              <w:bottom w:val="nil"/>
              <w:right w:val="nil"/>
            </w:tcBorders>
            <w:shd w:val="clear" w:color="000000" w:fill="95B3D7"/>
            <w:vAlign w:val="center"/>
            <w:hideMark/>
          </w:tcPr>
          <w:p w:rsidR="00CC45FC" w:rsidRDefault="004A7700">
            <w:pPr>
              <w:spacing w:after="0" w:line="240" w:lineRule="auto"/>
              <w:jc w:val="right"/>
              <w:rPr>
                <w:rFonts w:ascii="Verdana" w:eastAsia="Times New Roman" w:hAnsi="Verdana"/>
                <w:b/>
                <w:bCs/>
                <w:iCs/>
                <w:noProof/>
                <w:color w:val="000000"/>
                <w:sz w:val="12"/>
                <w:szCs w:val="12"/>
                <w:lang w:eastAsia="en-GB"/>
              </w:rPr>
            </w:pPr>
            <w:r>
              <w:rPr>
                <w:rFonts w:ascii="Verdana" w:eastAsia="Times New Roman" w:hAnsi="Verdana"/>
                <w:b/>
                <w:bCs/>
                <w:iCs/>
                <w:noProof/>
                <w:color w:val="000000"/>
                <w:sz w:val="12"/>
                <w:szCs w:val="12"/>
                <w:lang w:eastAsia="en-GB"/>
              </w:rPr>
              <w:t xml:space="preserve"> 317</w:t>
            </w:r>
          </w:p>
        </w:tc>
      </w:tr>
      <w:tr w:rsidR="00CC45FC">
        <w:trPr>
          <w:trHeight w:hRule="exact" w:val="207"/>
        </w:trPr>
        <w:tc>
          <w:tcPr>
            <w:tcW w:w="2552" w:type="dxa"/>
            <w:gridSpan w:val="3"/>
            <w:tcBorders>
              <w:top w:val="nil"/>
              <w:left w:val="nil"/>
              <w:bottom w:val="nil"/>
              <w:right w:val="nil"/>
            </w:tcBorders>
            <w:shd w:val="clear" w:color="000000" w:fill="95B3D7"/>
            <w:noWrap/>
            <w:vAlign w:val="center"/>
            <w:hideMark/>
          </w:tcPr>
          <w:p w:rsidR="00CC45FC" w:rsidRDefault="004A7700">
            <w:pPr>
              <w:spacing w:after="0" w:line="240" w:lineRule="auto"/>
              <w:rPr>
                <w:rFonts w:ascii="Verdana" w:eastAsia="Times New Roman" w:hAnsi="Verdana"/>
                <w:b/>
                <w:noProof/>
                <w:color w:val="000000"/>
                <w:sz w:val="12"/>
                <w:szCs w:val="12"/>
                <w:lang w:eastAsia="en-GB"/>
              </w:rPr>
            </w:pPr>
            <w:r>
              <w:rPr>
                <w:rFonts w:ascii="Verdana" w:eastAsia="Times New Roman" w:hAnsi="Verdana"/>
                <w:b/>
                <w:noProof/>
                <w:color w:val="000000"/>
                <w:sz w:val="12"/>
                <w:szCs w:val="12"/>
                <w:lang w:eastAsia="en-GB"/>
              </w:rPr>
              <w:t>External policies</w:t>
            </w:r>
          </w:p>
        </w:tc>
        <w:tc>
          <w:tcPr>
            <w:tcW w:w="283" w:type="dxa"/>
            <w:tcBorders>
              <w:top w:val="nil"/>
              <w:left w:val="nil"/>
              <w:bottom w:val="nil"/>
              <w:right w:val="nil"/>
            </w:tcBorders>
            <w:shd w:val="clear" w:color="auto" w:fill="auto"/>
            <w:vAlign w:val="center"/>
            <w:hideMark/>
          </w:tcPr>
          <w:p w:rsidR="00CC45FC" w:rsidRDefault="00CC45FC">
            <w:pPr>
              <w:spacing w:after="0" w:line="240" w:lineRule="auto"/>
              <w:jc w:val="right"/>
              <w:rPr>
                <w:rFonts w:ascii="Verdana" w:eastAsia="Times New Roman" w:hAnsi="Verdana"/>
                <w:b/>
                <w:noProof/>
                <w:color w:val="000000"/>
                <w:sz w:val="12"/>
                <w:szCs w:val="12"/>
                <w:lang w:eastAsia="en-GB"/>
              </w:rPr>
            </w:pPr>
          </w:p>
        </w:tc>
        <w:tc>
          <w:tcPr>
            <w:tcW w:w="992" w:type="dxa"/>
            <w:tcBorders>
              <w:top w:val="nil"/>
              <w:left w:val="nil"/>
              <w:bottom w:val="nil"/>
              <w:right w:val="nil"/>
            </w:tcBorders>
            <w:shd w:val="clear" w:color="000000" w:fill="95B3D7"/>
            <w:vAlign w:val="center"/>
            <w:hideMark/>
          </w:tcPr>
          <w:p w:rsidR="00CC45FC" w:rsidRDefault="004A7700">
            <w:pPr>
              <w:spacing w:after="0" w:line="240" w:lineRule="auto"/>
              <w:jc w:val="right"/>
              <w:rPr>
                <w:rFonts w:ascii="Verdana" w:eastAsia="Times New Roman" w:hAnsi="Verdana"/>
                <w:b/>
                <w:bCs/>
                <w:iCs/>
                <w:noProof/>
                <w:color w:val="000000"/>
                <w:sz w:val="12"/>
                <w:szCs w:val="12"/>
                <w:lang w:eastAsia="en-GB"/>
              </w:rPr>
            </w:pPr>
            <w:r>
              <w:rPr>
                <w:rFonts w:ascii="Verdana" w:eastAsia="Times New Roman" w:hAnsi="Verdana"/>
                <w:b/>
                <w:bCs/>
                <w:iCs/>
                <w:noProof/>
                <w:color w:val="000000"/>
                <w:sz w:val="12"/>
                <w:szCs w:val="12"/>
                <w:lang w:eastAsia="en-GB"/>
              </w:rPr>
              <w:t xml:space="preserve"> 132</w:t>
            </w:r>
          </w:p>
        </w:tc>
        <w:tc>
          <w:tcPr>
            <w:tcW w:w="283" w:type="dxa"/>
            <w:tcBorders>
              <w:top w:val="nil"/>
              <w:left w:val="nil"/>
              <w:bottom w:val="nil"/>
              <w:right w:val="nil"/>
            </w:tcBorders>
            <w:shd w:val="clear" w:color="auto" w:fill="auto"/>
            <w:vAlign w:val="center"/>
            <w:hideMark/>
          </w:tcPr>
          <w:p w:rsidR="00CC45FC" w:rsidRDefault="00CC45FC">
            <w:pPr>
              <w:spacing w:after="0" w:line="240" w:lineRule="auto"/>
              <w:jc w:val="right"/>
              <w:rPr>
                <w:rFonts w:ascii="Verdana" w:eastAsia="Times New Roman" w:hAnsi="Verdana"/>
                <w:b/>
                <w:noProof/>
                <w:color w:val="000000"/>
                <w:sz w:val="12"/>
                <w:szCs w:val="12"/>
                <w:lang w:eastAsia="en-GB"/>
              </w:rPr>
            </w:pPr>
          </w:p>
        </w:tc>
        <w:tc>
          <w:tcPr>
            <w:tcW w:w="992" w:type="dxa"/>
            <w:tcBorders>
              <w:top w:val="nil"/>
              <w:left w:val="nil"/>
              <w:bottom w:val="nil"/>
              <w:right w:val="nil"/>
            </w:tcBorders>
            <w:shd w:val="clear" w:color="000000" w:fill="95B3D7"/>
            <w:vAlign w:val="center"/>
            <w:hideMark/>
          </w:tcPr>
          <w:p w:rsidR="00CC45FC" w:rsidRDefault="004A7700">
            <w:pPr>
              <w:spacing w:after="0" w:line="240" w:lineRule="auto"/>
              <w:jc w:val="right"/>
              <w:rPr>
                <w:rFonts w:ascii="Verdana" w:eastAsia="Times New Roman" w:hAnsi="Verdana"/>
                <w:b/>
                <w:bCs/>
                <w:iCs/>
                <w:noProof/>
                <w:color w:val="000000"/>
                <w:sz w:val="12"/>
                <w:szCs w:val="12"/>
                <w:lang w:eastAsia="en-GB"/>
              </w:rPr>
            </w:pPr>
            <w:r>
              <w:rPr>
                <w:rFonts w:ascii="Verdana" w:eastAsia="Times New Roman" w:hAnsi="Verdana"/>
                <w:b/>
                <w:bCs/>
                <w:iCs/>
                <w:noProof/>
                <w:color w:val="000000"/>
                <w:sz w:val="12"/>
                <w:szCs w:val="12"/>
                <w:lang w:eastAsia="en-GB"/>
              </w:rPr>
              <w:t xml:space="preserve"> 136</w:t>
            </w:r>
          </w:p>
        </w:tc>
      </w:tr>
      <w:tr w:rsidR="00CC45FC">
        <w:trPr>
          <w:trHeight w:hRule="exact" w:val="207"/>
        </w:trPr>
        <w:tc>
          <w:tcPr>
            <w:tcW w:w="2552" w:type="dxa"/>
            <w:gridSpan w:val="3"/>
            <w:tcBorders>
              <w:top w:val="nil"/>
              <w:left w:val="nil"/>
              <w:bottom w:val="nil"/>
              <w:right w:val="nil"/>
            </w:tcBorders>
            <w:shd w:val="clear" w:color="000000" w:fill="95B3D7"/>
            <w:noWrap/>
            <w:vAlign w:val="center"/>
            <w:hideMark/>
          </w:tcPr>
          <w:p w:rsidR="00CC45FC" w:rsidRDefault="004A7700">
            <w:pPr>
              <w:spacing w:after="0" w:line="240" w:lineRule="auto"/>
              <w:rPr>
                <w:rFonts w:ascii="Verdana" w:eastAsia="Times New Roman" w:hAnsi="Verdana"/>
                <w:b/>
                <w:noProof/>
                <w:color w:val="000000"/>
                <w:sz w:val="12"/>
                <w:szCs w:val="12"/>
                <w:lang w:eastAsia="en-GB"/>
              </w:rPr>
            </w:pPr>
            <w:r>
              <w:rPr>
                <w:rFonts w:ascii="Verdana" w:eastAsia="Times New Roman" w:hAnsi="Verdana"/>
                <w:b/>
                <w:noProof/>
                <w:color w:val="000000"/>
                <w:sz w:val="12"/>
                <w:szCs w:val="12"/>
                <w:lang w:eastAsia="en-GB"/>
              </w:rPr>
              <w:t>Administration</w:t>
            </w:r>
          </w:p>
        </w:tc>
        <w:tc>
          <w:tcPr>
            <w:tcW w:w="283" w:type="dxa"/>
            <w:tcBorders>
              <w:top w:val="nil"/>
              <w:left w:val="nil"/>
              <w:bottom w:val="nil"/>
              <w:right w:val="nil"/>
            </w:tcBorders>
            <w:shd w:val="clear" w:color="auto" w:fill="auto"/>
            <w:vAlign w:val="center"/>
            <w:hideMark/>
          </w:tcPr>
          <w:p w:rsidR="00CC45FC" w:rsidRDefault="00CC45FC">
            <w:pPr>
              <w:spacing w:after="0" w:line="240" w:lineRule="auto"/>
              <w:jc w:val="right"/>
              <w:rPr>
                <w:rFonts w:ascii="Verdana" w:eastAsia="Times New Roman" w:hAnsi="Verdana"/>
                <w:b/>
                <w:noProof/>
                <w:color w:val="000000"/>
                <w:sz w:val="12"/>
                <w:szCs w:val="12"/>
                <w:lang w:eastAsia="en-GB"/>
              </w:rPr>
            </w:pPr>
          </w:p>
        </w:tc>
        <w:tc>
          <w:tcPr>
            <w:tcW w:w="992" w:type="dxa"/>
            <w:tcBorders>
              <w:top w:val="nil"/>
              <w:left w:val="nil"/>
              <w:bottom w:val="nil"/>
              <w:right w:val="nil"/>
            </w:tcBorders>
            <w:shd w:val="clear" w:color="000000" w:fill="95B3D7"/>
            <w:vAlign w:val="center"/>
            <w:hideMark/>
          </w:tcPr>
          <w:p w:rsidR="00CC45FC" w:rsidRDefault="004A7700">
            <w:pPr>
              <w:spacing w:after="0" w:line="240" w:lineRule="auto"/>
              <w:jc w:val="right"/>
              <w:rPr>
                <w:rFonts w:ascii="Verdana" w:eastAsia="Times New Roman" w:hAnsi="Verdana"/>
                <w:b/>
                <w:bCs/>
                <w:iCs/>
                <w:noProof/>
                <w:color w:val="000000"/>
                <w:sz w:val="12"/>
                <w:szCs w:val="12"/>
                <w:lang w:eastAsia="en-GB"/>
              </w:rPr>
            </w:pPr>
            <w:r>
              <w:rPr>
                <w:rFonts w:ascii="Verdana" w:eastAsia="Times New Roman" w:hAnsi="Verdana"/>
                <w:b/>
                <w:bCs/>
                <w:iCs/>
                <w:noProof/>
                <w:color w:val="000000"/>
                <w:sz w:val="12"/>
                <w:szCs w:val="12"/>
                <w:lang w:eastAsia="en-GB"/>
              </w:rPr>
              <w:t xml:space="preserve"> 5</w:t>
            </w:r>
          </w:p>
        </w:tc>
        <w:tc>
          <w:tcPr>
            <w:tcW w:w="283" w:type="dxa"/>
            <w:tcBorders>
              <w:top w:val="nil"/>
              <w:left w:val="nil"/>
              <w:bottom w:val="nil"/>
              <w:right w:val="nil"/>
            </w:tcBorders>
            <w:shd w:val="clear" w:color="auto" w:fill="auto"/>
            <w:vAlign w:val="center"/>
            <w:hideMark/>
          </w:tcPr>
          <w:p w:rsidR="00CC45FC" w:rsidRDefault="00CC45FC">
            <w:pPr>
              <w:spacing w:after="0" w:line="240" w:lineRule="auto"/>
              <w:jc w:val="right"/>
              <w:rPr>
                <w:rFonts w:ascii="Verdana" w:eastAsia="Times New Roman" w:hAnsi="Verdana"/>
                <w:b/>
                <w:noProof/>
                <w:color w:val="000000"/>
                <w:sz w:val="12"/>
                <w:szCs w:val="12"/>
                <w:lang w:eastAsia="en-GB"/>
              </w:rPr>
            </w:pPr>
          </w:p>
        </w:tc>
        <w:tc>
          <w:tcPr>
            <w:tcW w:w="992" w:type="dxa"/>
            <w:tcBorders>
              <w:top w:val="nil"/>
              <w:left w:val="nil"/>
              <w:bottom w:val="nil"/>
              <w:right w:val="nil"/>
            </w:tcBorders>
            <w:shd w:val="clear" w:color="000000" w:fill="95B3D7"/>
            <w:vAlign w:val="center"/>
            <w:hideMark/>
          </w:tcPr>
          <w:p w:rsidR="00CC45FC" w:rsidRDefault="004A7700">
            <w:pPr>
              <w:spacing w:after="0" w:line="240" w:lineRule="auto"/>
              <w:jc w:val="right"/>
              <w:rPr>
                <w:rFonts w:ascii="Verdana" w:eastAsia="Times New Roman" w:hAnsi="Verdana"/>
                <w:b/>
                <w:bCs/>
                <w:iCs/>
                <w:noProof/>
                <w:color w:val="000000"/>
                <w:sz w:val="12"/>
                <w:szCs w:val="12"/>
                <w:lang w:eastAsia="en-GB"/>
              </w:rPr>
            </w:pPr>
            <w:r>
              <w:rPr>
                <w:rFonts w:ascii="Verdana" w:eastAsia="Times New Roman" w:hAnsi="Verdana"/>
                <w:b/>
                <w:bCs/>
                <w:iCs/>
                <w:noProof/>
                <w:color w:val="000000"/>
                <w:sz w:val="12"/>
                <w:szCs w:val="12"/>
                <w:lang w:eastAsia="en-GB"/>
              </w:rPr>
              <w:t xml:space="preserve"> 5</w:t>
            </w:r>
          </w:p>
        </w:tc>
      </w:tr>
      <w:tr w:rsidR="00CC45FC">
        <w:trPr>
          <w:trHeight w:val="207"/>
        </w:trPr>
        <w:tc>
          <w:tcPr>
            <w:tcW w:w="2552" w:type="dxa"/>
            <w:gridSpan w:val="3"/>
            <w:tcBorders>
              <w:top w:val="nil"/>
              <w:left w:val="nil"/>
              <w:right w:val="nil"/>
            </w:tcBorders>
            <w:shd w:val="clear" w:color="000000" w:fill="D9D9D9"/>
            <w:noWrap/>
            <w:vAlign w:val="center"/>
            <w:hideMark/>
          </w:tcPr>
          <w:p w:rsidR="00CC45FC" w:rsidRDefault="004A7700">
            <w:pPr>
              <w:spacing w:after="0" w:line="240" w:lineRule="auto"/>
              <w:jc w:val="both"/>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TOTAL</w:t>
            </w:r>
          </w:p>
        </w:tc>
        <w:tc>
          <w:tcPr>
            <w:tcW w:w="283" w:type="dxa"/>
            <w:tcBorders>
              <w:top w:val="nil"/>
              <w:left w:val="nil"/>
              <w:right w:val="nil"/>
            </w:tcBorders>
            <w:shd w:val="clear" w:color="auto" w:fill="auto"/>
            <w:vAlign w:val="center"/>
            <w:hideMark/>
          </w:tcPr>
          <w:p w:rsidR="00CC45FC" w:rsidRDefault="00CC45FC">
            <w:pPr>
              <w:spacing w:after="0" w:line="240" w:lineRule="auto"/>
              <w:jc w:val="right"/>
              <w:rPr>
                <w:rFonts w:ascii="Verdana" w:eastAsia="Times New Roman" w:hAnsi="Verdana"/>
                <w:b/>
                <w:bCs/>
                <w:noProof/>
                <w:color w:val="000000"/>
                <w:sz w:val="12"/>
                <w:szCs w:val="12"/>
                <w:lang w:eastAsia="en-GB"/>
              </w:rPr>
            </w:pPr>
          </w:p>
        </w:tc>
        <w:tc>
          <w:tcPr>
            <w:tcW w:w="992" w:type="dxa"/>
            <w:tcBorders>
              <w:top w:val="nil"/>
              <w:left w:val="nil"/>
              <w:right w:val="nil"/>
            </w:tcBorders>
            <w:shd w:val="clear" w:color="000000" w:fill="D9D9D9"/>
            <w:noWrap/>
            <w:vAlign w:val="center"/>
            <w:hideMark/>
          </w:tcPr>
          <w:p w:rsidR="00CC45FC" w:rsidRDefault="004A7700">
            <w:pPr>
              <w:spacing w:after="0" w:line="240" w:lineRule="auto"/>
              <w:jc w:val="right"/>
              <w:rPr>
                <w:rFonts w:ascii="Verdana" w:eastAsia="Times New Roman" w:hAnsi="Verdana"/>
                <w:b/>
                <w:bCs/>
                <w:iCs/>
                <w:noProof/>
                <w:color w:val="000000"/>
                <w:sz w:val="12"/>
                <w:szCs w:val="12"/>
                <w:lang w:eastAsia="en-GB"/>
              </w:rPr>
            </w:pPr>
            <w:r>
              <w:rPr>
                <w:rFonts w:ascii="Verdana" w:eastAsia="Times New Roman" w:hAnsi="Verdana"/>
                <w:b/>
                <w:bCs/>
                <w:iCs/>
                <w:noProof/>
                <w:color w:val="000000"/>
                <w:sz w:val="12"/>
                <w:szCs w:val="12"/>
                <w:lang w:eastAsia="en-GB"/>
              </w:rPr>
              <w:t>3 499</w:t>
            </w:r>
          </w:p>
        </w:tc>
        <w:tc>
          <w:tcPr>
            <w:tcW w:w="283" w:type="dxa"/>
            <w:tcBorders>
              <w:top w:val="nil"/>
              <w:left w:val="nil"/>
              <w:right w:val="nil"/>
            </w:tcBorders>
            <w:shd w:val="clear" w:color="auto" w:fill="auto"/>
            <w:vAlign w:val="center"/>
            <w:hideMark/>
          </w:tcPr>
          <w:p w:rsidR="00CC45FC" w:rsidRDefault="00CC45FC">
            <w:pPr>
              <w:spacing w:after="0" w:line="240" w:lineRule="auto"/>
              <w:jc w:val="right"/>
              <w:rPr>
                <w:rFonts w:ascii="Verdana" w:eastAsia="Times New Roman" w:hAnsi="Verdana"/>
                <w:b/>
                <w:bCs/>
                <w:noProof/>
                <w:color w:val="000000"/>
                <w:sz w:val="12"/>
                <w:szCs w:val="12"/>
                <w:lang w:eastAsia="en-GB"/>
              </w:rPr>
            </w:pPr>
          </w:p>
        </w:tc>
        <w:tc>
          <w:tcPr>
            <w:tcW w:w="992" w:type="dxa"/>
            <w:tcBorders>
              <w:top w:val="nil"/>
              <w:left w:val="nil"/>
              <w:right w:val="nil"/>
            </w:tcBorders>
            <w:shd w:val="clear" w:color="000000" w:fill="D9D9D9"/>
            <w:noWrap/>
            <w:vAlign w:val="center"/>
            <w:hideMark/>
          </w:tcPr>
          <w:p w:rsidR="00CC45FC" w:rsidRDefault="004A7700">
            <w:pPr>
              <w:spacing w:after="0" w:line="240" w:lineRule="auto"/>
              <w:jc w:val="right"/>
              <w:rPr>
                <w:rFonts w:ascii="Verdana" w:eastAsia="Times New Roman" w:hAnsi="Verdana"/>
                <w:b/>
                <w:bCs/>
                <w:iCs/>
                <w:noProof/>
                <w:color w:val="000000"/>
                <w:sz w:val="12"/>
                <w:szCs w:val="12"/>
                <w:lang w:eastAsia="en-GB"/>
              </w:rPr>
            </w:pPr>
            <w:r>
              <w:rPr>
                <w:rFonts w:ascii="Verdana" w:eastAsia="Times New Roman" w:hAnsi="Verdana"/>
                <w:b/>
                <w:bCs/>
                <w:iCs/>
                <w:noProof/>
                <w:color w:val="000000"/>
                <w:sz w:val="12"/>
                <w:szCs w:val="12"/>
                <w:lang w:eastAsia="en-GB"/>
              </w:rPr>
              <w:t>3 853</w:t>
            </w:r>
          </w:p>
        </w:tc>
      </w:tr>
      <w:tr w:rsidR="00CC45FC">
        <w:trPr>
          <w:trHeight w:hRule="exact" w:val="113"/>
        </w:trPr>
        <w:tc>
          <w:tcPr>
            <w:tcW w:w="2552" w:type="dxa"/>
            <w:gridSpan w:val="3"/>
            <w:tcBorders>
              <w:top w:val="nil"/>
              <w:left w:val="nil"/>
              <w:bottom w:val="nil"/>
              <w:right w:val="nil"/>
            </w:tcBorders>
            <w:shd w:val="clear" w:color="auto" w:fill="auto"/>
            <w:noWrap/>
            <w:vAlign w:val="center"/>
          </w:tcPr>
          <w:p w:rsidR="00CC45FC" w:rsidRDefault="00CC45FC">
            <w:pPr>
              <w:spacing w:after="0" w:line="240" w:lineRule="auto"/>
              <w:jc w:val="both"/>
              <w:rPr>
                <w:rFonts w:ascii="Verdana" w:eastAsia="Times New Roman" w:hAnsi="Verdana"/>
                <w:b/>
                <w:bCs/>
                <w:noProof/>
                <w:color w:val="000000"/>
                <w:sz w:val="12"/>
                <w:szCs w:val="12"/>
                <w:lang w:eastAsia="en-GB"/>
              </w:rPr>
            </w:pPr>
          </w:p>
        </w:tc>
        <w:tc>
          <w:tcPr>
            <w:tcW w:w="283" w:type="dxa"/>
            <w:tcBorders>
              <w:top w:val="nil"/>
              <w:left w:val="nil"/>
              <w:bottom w:val="nil"/>
              <w:right w:val="nil"/>
            </w:tcBorders>
            <w:shd w:val="clear" w:color="auto" w:fill="auto"/>
            <w:vAlign w:val="center"/>
          </w:tcPr>
          <w:p w:rsidR="00CC45FC" w:rsidRDefault="00CC45FC">
            <w:pPr>
              <w:spacing w:after="0" w:line="240" w:lineRule="auto"/>
              <w:jc w:val="right"/>
              <w:rPr>
                <w:rFonts w:ascii="Verdana" w:eastAsia="Times New Roman" w:hAnsi="Verdana"/>
                <w:b/>
                <w:bCs/>
                <w:noProof/>
                <w:color w:val="000000"/>
                <w:sz w:val="12"/>
                <w:szCs w:val="12"/>
                <w:lang w:eastAsia="en-GB"/>
              </w:rPr>
            </w:pPr>
          </w:p>
        </w:tc>
        <w:tc>
          <w:tcPr>
            <w:tcW w:w="992" w:type="dxa"/>
            <w:tcBorders>
              <w:top w:val="nil"/>
              <w:left w:val="nil"/>
              <w:bottom w:val="nil"/>
              <w:right w:val="nil"/>
            </w:tcBorders>
            <w:shd w:val="clear" w:color="auto" w:fill="auto"/>
            <w:noWrap/>
            <w:vAlign w:val="center"/>
          </w:tcPr>
          <w:p w:rsidR="00CC45FC" w:rsidRDefault="00CC45FC">
            <w:pPr>
              <w:spacing w:after="0" w:line="240" w:lineRule="auto"/>
              <w:jc w:val="right"/>
              <w:rPr>
                <w:rFonts w:ascii="Verdana" w:eastAsia="Times New Roman" w:hAnsi="Verdana"/>
                <w:b/>
                <w:bCs/>
                <w:iCs/>
                <w:noProof/>
                <w:color w:val="000000"/>
                <w:sz w:val="12"/>
                <w:szCs w:val="12"/>
                <w:lang w:eastAsia="en-GB"/>
              </w:rPr>
            </w:pPr>
          </w:p>
        </w:tc>
        <w:tc>
          <w:tcPr>
            <w:tcW w:w="283" w:type="dxa"/>
            <w:tcBorders>
              <w:top w:val="nil"/>
              <w:left w:val="nil"/>
              <w:bottom w:val="nil"/>
              <w:right w:val="nil"/>
            </w:tcBorders>
            <w:shd w:val="clear" w:color="auto" w:fill="auto"/>
            <w:vAlign w:val="center"/>
          </w:tcPr>
          <w:p w:rsidR="00CC45FC" w:rsidRDefault="00CC45FC">
            <w:pPr>
              <w:spacing w:after="0" w:line="240" w:lineRule="auto"/>
              <w:jc w:val="right"/>
              <w:rPr>
                <w:rFonts w:ascii="Verdana" w:eastAsia="Times New Roman" w:hAnsi="Verdana"/>
                <w:b/>
                <w:bCs/>
                <w:noProof/>
                <w:color w:val="000000"/>
                <w:sz w:val="12"/>
                <w:szCs w:val="12"/>
                <w:lang w:eastAsia="en-GB"/>
              </w:rPr>
            </w:pPr>
          </w:p>
        </w:tc>
        <w:tc>
          <w:tcPr>
            <w:tcW w:w="992" w:type="dxa"/>
            <w:tcBorders>
              <w:top w:val="nil"/>
              <w:left w:val="nil"/>
              <w:bottom w:val="nil"/>
              <w:right w:val="nil"/>
            </w:tcBorders>
            <w:shd w:val="clear" w:color="auto" w:fill="auto"/>
            <w:noWrap/>
            <w:vAlign w:val="center"/>
          </w:tcPr>
          <w:p w:rsidR="00CC45FC" w:rsidRDefault="00CC45FC">
            <w:pPr>
              <w:spacing w:after="0" w:line="240" w:lineRule="auto"/>
              <w:jc w:val="right"/>
              <w:rPr>
                <w:rFonts w:ascii="Verdana" w:eastAsia="Times New Roman" w:hAnsi="Verdana"/>
                <w:b/>
                <w:bCs/>
                <w:iCs/>
                <w:noProof/>
                <w:color w:val="000000"/>
                <w:sz w:val="12"/>
                <w:szCs w:val="12"/>
                <w:lang w:eastAsia="en-GB"/>
              </w:rPr>
            </w:pPr>
          </w:p>
        </w:tc>
      </w:tr>
      <w:tr w:rsidR="00CC45FC">
        <w:trPr>
          <w:trHeight w:val="207"/>
        </w:trPr>
        <w:tc>
          <w:tcPr>
            <w:tcW w:w="2552" w:type="dxa"/>
            <w:gridSpan w:val="3"/>
            <w:tcBorders>
              <w:top w:val="nil"/>
              <w:left w:val="nil"/>
              <w:bottom w:val="nil"/>
              <w:right w:val="nil"/>
            </w:tcBorders>
            <w:shd w:val="clear" w:color="000000" w:fill="D9D9D9"/>
            <w:noWrap/>
            <w:vAlign w:val="center"/>
          </w:tcPr>
          <w:p w:rsidR="00CC45FC" w:rsidRDefault="004A7700">
            <w:pPr>
              <w:spacing w:after="0" w:line="240" w:lineRule="auto"/>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 of budgetary payments</w:t>
            </w:r>
          </w:p>
        </w:tc>
        <w:tc>
          <w:tcPr>
            <w:tcW w:w="283" w:type="dxa"/>
            <w:tcBorders>
              <w:top w:val="nil"/>
              <w:left w:val="nil"/>
              <w:bottom w:val="nil"/>
              <w:right w:val="nil"/>
            </w:tcBorders>
            <w:shd w:val="clear" w:color="auto" w:fill="auto"/>
            <w:vAlign w:val="center"/>
          </w:tcPr>
          <w:p w:rsidR="00CC45FC" w:rsidRDefault="00CC45FC">
            <w:pPr>
              <w:spacing w:after="0" w:line="240" w:lineRule="auto"/>
              <w:jc w:val="right"/>
              <w:rPr>
                <w:rFonts w:ascii="Verdana" w:eastAsia="Times New Roman" w:hAnsi="Verdana"/>
                <w:b/>
                <w:bCs/>
                <w:noProof/>
                <w:color w:val="000000"/>
                <w:sz w:val="12"/>
                <w:szCs w:val="12"/>
                <w:lang w:eastAsia="en-GB"/>
              </w:rPr>
            </w:pPr>
          </w:p>
        </w:tc>
        <w:tc>
          <w:tcPr>
            <w:tcW w:w="992" w:type="dxa"/>
            <w:tcBorders>
              <w:top w:val="nil"/>
              <w:left w:val="nil"/>
              <w:bottom w:val="nil"/>
              <w:right w:val="nil"/>
            </w:tcBorders>
            <w:shd w:val="clear" w:color="000000" w:fill="D9D9D9"/>
            <w:noWrap/>
            <w:vAlign w:val="center"/>
          </w:tcPr>
          <w:p w:rsidR="00CC45FC" w:rsidRDefault="004A7700">
            <w:pPr>
              <w:spacing w:after="0" w:line="240" w:lineRule="auto"/>
              <w:jc w:val="right"/>
              <w:rPr>
                <w:rFonts w:ascii="Verdana" w:eastAsia="Times New Roman" w:hAnsi="Verdana"/>
                <w:b/>
                <w:bCs/>
                <w:iCs/>
                <w:noProof/>
                <w:color w:val="000000"/>
                <w:sz w:val="12"/>
                <w:szCs w:val="12"/>
                <w:lang w:eastAsia="en-GB"/>
              </w:rPr>
            </w:pPr>
            <w:r>
              <w:rPr>
                <w:rFonts w:ascii="Verdana" w:hAnsi="Verdana"/>
                <w:b/>
                <w:noProof/>
                <w:sz w:val="12"/>
              </w:rPr>
              <w:t>2.4 %</w:t>
            </w:r>
          </w:p>
        </w:tc>
        <w:tc>
          <w:tcPr>
            <w:tcW w:w="283" w:type="dxa"/>
            <w:tcBorders>
              <w:top w:val="nil"/>
              <w:left w:val="nil"/>
              <w:bottom w:val="nil"/>
              <w:right w:val="nil"/>
            </w:tcBorders>
            <w:shd w:val="clear" w:color="auto" w:fill="auto"/>
            <w:vAlign w:val="center"/>
          </w:tcPr>
          <w:p w:rsidR="00CC45FC" w:rsidRDefault="00CC45FC">
            <w:pPr>
              <w:spacing w:after="0" w:line="240" w:lineRule="auto"/>
              <w:jc w:val="right"/>
              <w:rPr>
                <w:rFonts w:ascii="Verdana" w:eastAsia="Times New Roman" w:hAnsi="Verdana"/>
                <w:b/>
                <w:bCs/>
                <w:noProof/>
                <w:color w:val="000000"/>
                <w:sz w:val="12"/>
                <w:szCs w:val="12"/>
                <w:lang w:eastAsia="en-GB"/>
              </w:rPr>
            </w:pPr>
          </w:p>
        </w:tc>
        <w:tc>
          <w:tcPr>
            <w:tcW w:w="992" w:type="dxa"/>
            <w:tcBorders>
              <w:top w:val="nil"/>
              <w:left w:val="nil"/>
              <w:bottom w:val="nil"/>
              <w:right w:val="nil"/>
            </w:tcBorders>
            <w:shd w:val="clear" w:color="000000" w:fill="D9D9D9"/>
            <w:noWrap/>
            <w:vAlign w:val="center"/>
          </w:tcPr>
          <w:p w:rsidR="00CC45FC" w:rsidRDefault="004A7700">
            <w:pPr>
              <w:spacing w:after="0" w:line="240" w:lineRule="auto"/>
              <w:jc w:val="right"/>
              <w:rPr>
                <w:rFonts w:ascii="Verdana" w:eastAsia="Times New Roman" w:hAnsi="Verdana"/>
                <w:b/>
                <w:bCs/>
                <w:iCs/>
                <w:noProof/>
                <w:color w:val="000000"/>
                <w:sz w:val="12"/>
                <w:szCs w:val="12"/>
                <w:lang w:eastAsia="en-GB"/>
              </w:rPr>
            </w:pPr>
            <w:r>
              <w:rPr>
                <w:rFonts w:ascii="Verdana" w:hAnsi="Verdana"/>
                <w:b/>
                <w:noProof/>
                <w:sz w:val="12"/>
              </w:rPr>
              <w:t>2.7 %</w:t>
            </w:r>
          </w:p>
        </w:tc>
      </w:tr>
    </w:tbl>
    <w:p w:rsidR="00CC45FC" w:rsidRDefault="004A7700">
      <w:pPr>
        <w:spacing w:after="0" w:line="240" w:lineRule="auto"/>
        <w:jc w:val="both"/>
        <w:rPr>
          <w:rFonts w:ascii="Verdana" w:hAnsi="Verdana"/>
          <w:noProof/>
          <w:sz w:val="18"/>
        </w:rPr>
      </w:pPr>
      <w:r>
        <w:rPr>
          <w:rFonts w:ascii="Verdana" w:hAnsi="Verdana"/>
          <w:noProof/>
          <w:sz w:val="18"/>
        </w:rPr>
        <w:br w:type="textWrapping" w:clear="all"/>
      </w:r>
    </w:p>
    <w:p w:rsidR="00CC45FC" w:rsidRDefault="004A7700">
      <w:pPr>
        <w:spacing w:after="0" w:line="240" w:lineRule="auto"/>
        <w:rPr>
          <w:rFonts w:ascii="Verdana" w:hAnsi="Verdana"/>
          <w:noProof/>
          <w:sz w:val="18"/>
        </w:rPr>
      </w:pPr>
      <w:r>
        <w:rPr>
          <w:rFonts w:ascii="Verdana" w:hAnsi="Verdana"/>
          <w:noProof/>
          <w:sz w:val="18"/>
        </w:rPr>
        <w:br w:type="page"/>
      </w:r>
    </w:p>
    <w:p w:rsidR="00CC45FC" w:rsidRDefault="004A7700">
      <w:pPr>
        <w:spacing w:after="0" w:line="240" w:lineRule="auto"/>
        <w:jc w:val="both"/>
        <w:rPr>
          <w:rFonts w:ascii="Verdana" w:hAnsi="Verdana"/>
          <w:noProof/>
          <w:sz w:val="18"/>
        </w:rPr>
      </w:pPr>
      <w:r>
        <w:rPr>
          <w:rFonts w:ascii="Verdana" w:hAnsi="Verdana"/>
          <w:noProof/>
          <w:sz w:val="18"/>
        </w:rPr>
        <w:t>The following graph provides an overview per policy areas of the different types of corrections implemented in 2015 (EUR millions):</w:t>
      </w:r>
    </w:p>
    <w:p w:rsidR="00CC45FC" w:rsidRDefault="004A7700">
      <w:pPr>
        <w:spacing w:before="120" w:after="0" w:line="240" w:lineRule="auto"/>
        <w:ind w:firstLine="709"/>
        <w:jc w:val="both"/>
        <w:rPr>
          <w:rFonts w:ascii="Verdana" w:hAnsi="Verdana"/>
          <w:noProof/>
          <w:sz w:val="18"/>
        </w:rPr>
      </w:pPr>
      <w:r>
        <w:rPr>
          <w:noProof/>
          <w:lang w:eastAsia="en-GB"/>
        </w:rPr>
        <w:drawing>
          <wp:inline distT="0" distB="0" distL="0" distR="0">
            <wp:extent cx="5208422" cy="2370125"/>
            <wp:effectExtent l="0" t="0" r="11430" b="11430"/>
            <wp:docPr id="48" name="Chart 48"/>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CC45FC" w:rsidRDefault="004A7700">
      <w:pPr>
        <w:spacing w:after="120" w:line="240" w:lineRule="auto"/>
        <w:ind w:firstLine="709"/>
        <w:jc w:val="both"/>
        <w:rPr>
          <w:rFonts w:ascii="Verdana" w:hAnsi="Verdana"/>
          <w:i/>
          <w:noProof/>
          <w:sz w:val="14"/>
        </w:rPr>
      </w:pPr>
      <w:r>
        <w:rPr>
          <w:rFonts w:ascii="Verdana" w:hAnsi="Verdana"/>
          <w:i/>
          <w:noProof/>
          <w:sz w:val="14"/>
        </w:rPr>
        <w:t>For the definitions of the three types of corrections please see Section 2.2.2.</w:t>
      </w:r>
    </w:p>
    <w:p w:rsidR="00CC45FC" w:rsidRDefault="004A7700">
      <w:pPr>
        <w:spacing w:before="360" w:after="120" w:line="240" w:lineRule="auto"/>
        <w:jc w:val="both"/>
        <w:rPr>
          <w:rFonts w:ascii="Verdana" w:hAnsi="Verdana"/>
          <w:b/>
          <w:noProof/>
          <w:sz w:val="18"/>
        </w:rPr>
      </w:pPr>
      <w:r>
        <w:rPr>
          <w:rFonts w:ascii="Verdana" w:hAnsi="Verdana"/>
          <w:b/>
          <w:noProof/>
          <w:sz w:val="18"/>
        </w:rPr>
        <w:t>Financial corrections &amp; Recoveries: Cumulative Results</w:t>
      </w:r>
    </w:p>
    <w:p w:rsidR="00CC45FC" w:rsidRDefault="004A7700">
      <w:pPr>
        <w:spacing w:after="120" w:line="240" w:lineRule="auto"/>
        <w:jc w:val="both"/>
        <w:rPr>
          <w:rFonts w:ascii="Verdana" w:hAnsi="Verdana"/>
          <w:noProof/>
          <w:sz w:val="18"/>
        </w:rPr>
      </w:pPr>
      <w:r>
        <w:rPr>
          <w:rFonts w:ascii="Verdana" w:hAnsi="Verdana"/>
          <w:noProof/>
          <w:sz w:val="18"/>
        </w:rPr>
        <w:t>Cumulative figures provide more useful information on the significance of corrective mechanisms used by the Commission because they take into account the multiannual character of most EU spending and neutralise the impact of one-off events.</w:t>
      </w:r>
    </w:p>
    <w:p w:rsidR="00CC45FC" w:rsidRDefault="004A7700">
      <w:pPr>
        <w:spacing w:after="120" w:line="240" w:lineRule="auto"/>
        <w:jc w:val="both"/>
        <w:rPr>
          <w:rFonts w:ascii="Verdana" w:hAnsi="Verdana"/>
          <w:i/>
          <w:noProof/>
          <w:sz w:val="18"/>
        </w:rPr>
      </w:pPr>
      <w:r>
        <w:rPr>
          <w:rFonts w:ascii="Verdana" w:hAnsi="Verdana"/>
          <w:i/>
          <w:noProof/>
          <w:sz w:val="18"/>
        </w:rPr>
        <w:t>Financial corrections and recoveries confirmed 2009-2015 (EUR millions):</w:t>
      </w:r>
    </w:p>
    <w:p w:rsidR="00CC45FC" w:rsidRDefault="004A7700">
      <w:pPr>
        <w:spacing w:after="120" w:line="240" w:lineRule="auto"/>
        <w:jc w:val="center"/>
        <w:rPr>
          <w:rFonts w:ascii="Verdana" w:hAnsi="Verdana"/>
          <w:noProof/>
          <w:sz w:val="20"/>
        </w:rPr>
      </w:pPr>
      <w:r>
        <w:rPr>
          <w:noProof/>
          <w:lang w:eastAsia="en-GB"/>
        </w:rPr>
        <w:drawing>
          <wp:inline distT="0" distB="0" distL="0" distR="0">
            <wp:extent cx="4708478" cy="2408829"/>
            <wp:effectExtent l="0" t="0" r="16510" b="10795"/>
            <wp:docPr id="76" name="Chart 76"/>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CC45FC" w:rsidRDefault="004A7700">
      <w:pPr>
        <w:numPr>
          <w:ilvl w:val="0"/>
          <w:numId w:val="38"/>
        </w:numPr>
        <w:spacing w:after="60" w:line="240" w:lineRule="auto"/>
        <w:ind w:left="426" w:hanging="426"/>
        <w:jc w:val="both"/>
        <w:rPr>
          <w:rFonts w:ascii="Verdana" w:hAnsi="Verdana"/>
          <w:noProof/>
          <w:sz w:val="18"/>
        </w:rPr>
      </w:pPr>
      <w:r>
        <w:rPr>
          <w:rFonts w:ascii="Verdana" w:hAnsi="Verdana"/>
          <w:noProof/>
          <w:sz w:val="18"/>
        </w:rPr>
        <w:t>During the</w:t>
      </w:r>
      <w:r>
        <w:rPr>
          <w:rFonts w:ascii="Verdana" w:hAnsi="Verdana"/>
          <w:b/>
          <w:noProof/>
          <w:sz w:val="18"/>
        </w:rPr>
        <w:t xml:space="preserve"> period 2009-2015</w:t>
      </w:r>
      <w:r>
        <w:rPr>
          <w:rFonts w:ascii="Verdana" w:hAnsi="Verdana"/>
          <w:noProof/>
          <w:sz w:val="18"/>
        </w:rPr>
        <w:t xml:space="preserve"> the </w:t>
      </w:r>
      <w:r>
        <w:rPr>
          <w:rFonts w:ascii="Verdana" w:hAnsi="Verdana"/>
          <w:b/>
          <w:noProof/>
          <w:sz w:val="18"/>
        </w:rPr>
        <w:t xml:space="preserve">average amount confirmed </w:t>
      </w:r>
      <w:r>
        <w:rPr>
          <w:rFonts w:ascii="Verdana" w:hAnsi="Verdana"/>
          <w:noProof/>
          <w:sz w:val="18"/>
        </w:rPr>
        <w:t>was EUR 3.3 billion or</w:t>
      </w:r>
      <w:r>
        <w:rPr>
          <w:rFonts w:ascii="Verdana" w:hAnsi="Verdana"/>
          <w:b/>
          <w:noProof/>
          <w:sz w:val="18"/>
        </w:rPr>
        <w:t xml:space="preserve"> 2.4 % of the average amount of payments </w:t>
      </w:r>
      <w:r>
        <w:rPr>
          <w:rFonts w:ascii="Verdana" w:hAnsi="Verdana"/>
          <w:noProof/>
          <w:sz w:val="18"/>
        </w:rPr>
        <w:t xml:space="preserve">made from the EU budget, while the </w:t>
      </w:r>
      <w:r>
        <w:rPr>
          <w:rFonts w:ascii="Verdana" w:hAnsi="Verdana"/>
          <w:b/>
          <w:noProof/>
          <w:sz w:val="18"/>
        </w:rPr>
        <w:t>average amount implemented</w:t>
      </w:r>
      <w:r>
        <w:rPr>
          <w:rFonts w:ascii="Verdana" w:hAnsi="Verdana"/>
          <w:noProof/>
          <w:sz w:val="18"/>
        </w:rPr>
        <w:t xml:space="preserve"> in this period was EUR 3 billion or </w:t>
      </w:r>
      <w:r>
        <w:rPr>
          <w:rFonts w:ascii="Verdana" w:hAnsi="Verdana"/>
          <w:b/>
          <w:noProof/>
          <w:sz w:val="18"/>
        </w:rPr>
        <w:t>2.2 % of payments</w:t>
      </w:r>
      <w:r>
        <w:rPr>
          <w:rFonts w:ascii="Verdana" w:hAnsi="Verdana"/>
          <w:noProof/>
          <w:sz w:val="18"/>
        </w:rPr>
        <w:t xml:space="preserve"> - see graph 3.2.1;</w:t>
      </w:r>
    </w:p>
    <w:p w:rsidR="00CC45FC" w:rsidRDefault="004A7700">
      <w:pPr>
        <w:numPr>
          <w:ilvl w:val="0"/>
          <w:numId w:val="38"/>
        </w:numPr>
        <w:spacing w:after="60" w:line="240" w:lineRule="auto"/>
        <w:ind w:left="426" w:hanging="426"/>
        <w:jc w:val="both"/>
        <w:rPr>
          <w:rFonts w:ascii="Verdana" w:hAnsi="Verdana"/>
          <w:noProof/>
          <w:sz w:val="18"/>
        </w:rPr>
      </w:pPr>
      <w:r>
        <w:rPr>
          <w:rFonts w:ascii="Verdana" w:hAnsi="Verdana"/>
          <w:noProof/>
          <w:sz w:val="18"/>
        </w:rPr>
        <w:t xml:space="preserve">For the </w:t>
      </w:r>
      <w:r>
        <w:rPr>
          <w:rFonts w:ascii="Verdana" w:hAnsi="Verdana"/>
          <w:b/>
          <w:noProof/>
          <w:sz w:val="18"/>
        </w:rPr>
        <w:t xml:space="preserve">European Agricultural Guarantee Fund (EAGF), </w:t>
      </w:r>
      <w:r>
        <w:rPr>
          <w:rFonts w:ascii="Verdana" w:hAnsi="Verdana"/>
          <w:noProof/>
          <w:sz w:val="18"/>
        </w:rPr>
        <w:t xml:space="preserve">the average correction rate for Commission financial corrections for the </w:t>
      </w:r>
      <w:r>
        <w:rPr>
          <w:rFonts w:ascii="Verdana" w:hAnsi="Verdana"/>
          <w:b/>
          <w:noProof/>
          <w:sz w:val="18"/>
        </w:rPr>
        <w:t>period 1999 to end 2015</w:t>
      </w:r>
      <w:r>
        <w:rPr>
          <w:rFonts w:ascii="Verdana" w:hAnsi="Verdana"/>
          <w:noProof/>
          <w:sz w:val="18"/>
        </w:rPr>
        <w:t xml:space="preserve"> was </w:t>
      </w:r>
      <w:r>
        <w:rPr>
          <w:rFonts w:ascii="Verdana" w:hAnsi="Verdana"/>
          <w:b/>
          <w:noProof/>
          <w:sz w:val="18"/>
        </w:rPr>
        <w:t>1.7 % of expenditure</w:t>
      </w:r>
      <w:r>
        <w:rPr>
          <w:rFonts w:ascii="Verdana" w:hAnsi="Verdana"/>
          <w:noProof/>
          <w:sz w:val="18"/>
        </w:rPr>
        <w:t xml:space="preserve"> (all of which are net financial corrections) - see section 4.4;</w:t>
      </w:r>
    </w:p>
    <w:p w:rsidR="00CC45FC" w:rsidRDefault="004A7700">
      <w:pPr>
        <w:numPr>
          <w:ilvl w:val="0"/>
          <w:numId w:val="38"/>
        </w:numPr>
        <w:spacing w:after="120" w:line="240" w:lineRule="auto"/>
        <w:ind w:left="426" w:hanging="426"/>
        <w:jc w:val="both"/>
        <w:rPr>
          <w:rFonts w:ascii="Verdana" w:hAnsi="Verdana"/>
          <w:noProof/>
          <w:sz w:val="18"/>
        </w:rPr>
      </w:pPr>
      <w:r>
        <w:rPr>
          <w:rFonts w:ascii="Verdana" w:hAnsi="Verdana"/>
          <w:noProof/>
          <w:sz w:val="18"/>
        </w:rPr>
        <w:t xml:space="preserve">For the </w:t>
      </w:r>
      <w:r>
        <w:rPr>
          <w:rFonts w:ascii="Verdana" w:hAnsi="Verdana"/>
          <w:b/>
          <w:noProof/>
          <w:sz w:val="18"/>
        </w:rPr>
        <w:t>European Regional Development Fund (ERDF) and European Social Fund (ESF) 2000-2006 funds</w:t>
      </w:r>
      <w:r>
        <w:rPr>
          <w:rFonts w:ascii="Verdana" w:hAnsi="Verdana"/>
          <w:noProof/>
          <w:sz w:val="18"/>
        </w:rPr>
        <w:t xml:space="preserve"> (where the closure is almost complete), </w:t>
      </w:r>
      <w:r>
        <w:rPr>
          <w:rFonts w:ascii="Verdana" w:hAnsi="Verdana" w:cs="Calibri,Bold"/>
          <w:bCs/>
          <w:noProof/>
          <w:sz w:val="18"/>
          <w:lang w:eastAsia="en-GB"/>
        </w:rPr>
        <w:t>at the end of 2015 the combined rate of financial corrections, based on Commission supervision work only, was</w:t>
      </w:r>
      <w:r>
        <w:rPr>
          <w:rFonts w:ascii="Verdana" w:hAnsi="Verdana" w:cs="Calibri,Bold"/>
          <w:b/>
          <w:bCs/>
          <w:noProof/>
          <w:sz w:val="18"/>
          <w:lang w:eastAsia="en-GB"/>
        </w:rPr>
        <w:t xml:space="preserve"> </w:t>
      </w:r>
      <w:r>
        <w:rPr>
          <w:rFonts w:ascii="Verdana" w:hAnsi="Verdana"/>
          <w:b/>
          <w:noProof/>
          <w:sz w:val="18"/>
        </w:rPr>
        <w:t>4.2 </w:t>
      </w:r>
      <w:r>
        <w:rPr>
          <w:rFonts w:ascii="Verdana" w:hAnsi="Verdana" w:cs="Calibri,Bold"/>
          <w:b/>
          <w:bCs/>
          <w:noProof/>
          <w:sz w:val="18"/>
          <w:lang w:eastAsia="en-GB"/>
        </w:rPr>
        <w:t>% of the allocations made</w:t>
      </w:r>
      <w:r>
        <w:rPr>
          <w:rFonts w:ascii="Verdana" w:hAnsi="Verdana" w:cs="Calibri,Bold"/>
          <w:bCs/>
          <w:noProof/>
          <w:sz w:val="18"/>
          <w:lang w:eastAsia="en-GB"/>
        </w:rPr>
        <w:t xml:space="preserve"> - see section 5.4.1;</w:t>
      </w:r>
    </w:p>
    <w:p w:rsidR="00CC45FC" w:rsidRDefault="004A7700">
      <w:pPr>
        <w:numPr>
          <w:ilvl w:val="0"/>
          <w:numId w:val="38"/>
        </w:numPr>
        <w:spacing w:after="120" w:line="240" w:lineRule="auto"/>
        <w:ind w:left="426" w:hanging="426"/>
        <w:jc w:val="both"/>
        <w:rPr>
          <w:rFonts w:ascii="Verdana" w:hAnsi="Verdana"/>
          <w:noProof/>
          <w:sz w:val="18"/>
        </w:rPr>
      </w:pPr>
      <w:r>
        <w:rPr>
          <w:rFonts w:ascii="Verdana" w:hAnsi="Verdana" w:cs="Calibri,Bold"/>
          <w:bCs/>
          <w:noProof/>
          <w:sz w:val="18"/>
          <w:lang w:eastAsia="en-GB"/>
        </w:rPr>
        <w:t xml:space="preserve">The average amount confirmed under direct and indirect management for the </w:t>
      </w:r>
      <w:r>
        <w:rPr>
          <w:rFonts w:ascii="Verdana" w:hAnsi="Verdana" w:cs="Calibri,Bold"/>
          <w:b/>
          <w:bCs/>
          <w:noProof/>
          <w:sz w:val="18"/>
          <w:lang w:eastAsia="en-GB"/>
        </w:rPr>
        <w:t>period 2009-2015</w:t>
      </w:r>
      <w:r>
        <w:rPr>
          <w:rFonts w:ascii="Verdana" w:hAnsi="Verdana" w:cs="Calibri,Bold"/>
          <w:bCs/>
          <w:noProof/>
          <w:sz w:val="18"/>
          <w:lang w:eastAsia="en-GB"/>
        </w:rPr>
        <w:t xml:space="preserve"> was EUR 380 million or </w:t>
      </w:r>
      <w:r>
        <w:rPr>
          <w:rFonts w:ascii="Verdana" w:hAnsi="Verdana" w:cs="Calibri,Bold"/>
          <w:b/>
          <w:bCs/>
          <w:noProof/>
          <w:sz w:val="18"/>
          <w:lang w:eastAsia="en-GB"/>
        </w:rPr>
        <w:t>1.2 % of the average amount of payments</w:t>
      </w:r>
      <w:r>
        <w:rPr>
          <w:rFonts w:ascii="Verdana" w:hAnsi="Verdana" w:cs="Calibri,Bold"/>
          <w:bCs/>
          <w:noProof/>
          <w:sz w:val="18"/>
          <w:lang w:eastAsia="en-GB"/>
        </w:rPr>
        <w:t>;</w:t>
      </w:r>
    </w:p>
    <w:p w:rsidR="00CC45FC" w:rsidRDefault="004A7700">
      <w:pPr>
        <w:numPr>
          <w:ilvl w:val="0"/>
          <w:numId w:val="38"/>
        </w:numPr>
        <w:spacing w:after="120" w:line="240" w:lineRule="auto"/>
        <w:ind w:left="426" w:hanging="426"/>
        <w:jc w:val="both"/>
        <w:rPr>
          <w:rFonts w:ascii="Verdana" w:hAnsi="Verdana"/>
          <w:noProof/>
          <w:sz w:val="18"/>
        </w:rPr>
      </w:pPr>
      <w:r>
        <w:rPr>
          <w:rFonts w:ascii="Verdana" w:hAnsi="Verdana"/>
          <w:noProof/>
          <w:sz w:val="18"/>
        </w:rPr>
        <w:t>The Commission analyses the origin of the errors detected in previous periods – see the Report on areas of consistently high errors and their root causes.</w:t>
      </w: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312C6B"/>
        <w:spacing w:line="276" w:lineRule="auto"/>
        <w:rPr>
          <w:b/>
          <w:noProof/>
          <w:sz w:val="24"/>
        </w:rPr>
      </w:pPr>
      <w:r>
        <w:rPr>
          <w:b/>
          <w:noProof/>
          <w:sz w:val="24"/>
        </w:rPr>
        <w:t>Protection of the EU budget: Main Conclusions</w:t>
      </w: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cs="Calibri"/>
          <w:noProof/>
          <w:sz w:val="18"/>
        </w:rPr>
        <w:t>One important objective of the Commission's "</w:t>
      </w:r>
      <w:r>
        <w:rPr>
          <w:rFonts w:ascii="Verdana" w:hAnsi="Verdana" w:cs="Calibri"/>
          <w:b/>
          <w:noProof/>
          <w:sz w:val="18"/>
        </w:rPr>
        <w:t>budget focused on results strategy</w:t>
      </w:r>
      <w:r>
        <w:rPr>
          <w:rFonts w:ascii="Verdana" w:hAnsi="Verdana" w:cs="Calibri"/>
          <w:noProof/>
          <w:sz w:val="18"/>
        </w:rPr>
        <w:t>" is to ensure cost-effectiveness when designing and implementing management and control systems which prevent or identify and correct errors. Control strategies should therefore consider a higher level of scrutiny and frequency in riskier areas and ensure cost-effectiveness.</w:t>
      </w: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 xml:space="preserve">The Commission focuses more and more on measures which </w:t>
      </w:r>
      <w:r>
        <w:rPr>
          <w:rFonts w:ascii="Verdana" w:hAnsi="Verdana"/>
          <w:b/>
          <w:noProof/>
          <w:sz w:val="18"/>
        </w:rPr>
        <w:t xml:space="preserve">prevent irregular expenditure </w:t>
      </w:r>
      <w:r>
        <w:rPr>
          <w:rFonts w:ascii="Verdana" w:hAnsi="Verdana"/>
          <w:noProof/>
          <w:sz w:val="18"/>
        </w:rPr>
        <w:t xml:space="preserve">and help to </w:t>
      </w:r>
      <w:r>
        <w:rPr>
          <w:rFonts w:ascii="Verdana" w:hAnsi="Verdana"/>
          <w:b/>
          <w:noProof/>
          <w:sz w:val="18"/>
        </w:rPr>
        <w:t>avoid such irregularities recurring</w:t>
      </w:r>
      <w:r>
        <w:rPr>
          <w:rFonts w:ascii="Verdana" w:hAnsi="Verdana"/>
          <w:noProof/>
          <w:sz w:val="18"/>
        </w:rPr>
        <w:t xml:space="preserve"> in the future.</w:t>
      </w: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 xml:space="preserve">The </w:t>
      </w:r>
      <w:r>
        <w:rPr>
          <w:rFonts w:ascii="Verdana" w:hAnsi="Verdana"/>
          <w:b/>
          <w:noProof/>
          <w:sz w:val="18"/>
        </w:rPr>
        <w:t>figures above confirm the positive results</w:t>
      </w:r>
      <w:r>
        <w:rPr>
          <w:rFonts w:ascii="Verdana" w:hAnsi="Verdana"/>
          <w:noProof/>
          <w:sz w:val="18"/>
        </w:rPr>
        <w:t xml:space="preserve"> of the multiannual preventive and corrective activities undertaken by the Commission and the Member States by demonstrating that these activities </w:t>
      </w:r>
      <w:r>
        <w:rPr>
          <w:rFonts w:ascii="Verdana" w:hAnsi="Verdana"/>
          <w:b/>
          <w:noProof/>
          <w:sz w:val="18"/>
        </w:rPr>
        <w:t>ensure that the EU budget is protected from expenditure in breach of law</w:t>
      </w:r>
      <w:r>
        <w:rPr>
          <w:rFonts w:ascii="Verdana" w:hAnsi="Verdana"/>
          <w:noProof/>
          <w:sz w:val="18"/>
        </w:rPr>
        <w:t xml:space="preserve">. </w:t>
      </w: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 xml:space="preserve">Financial corrections and recoveries are also an </w:t>
      </w:r>
      <w:r>
        <w:rPr>
          <w:rFonts w:ascii="Verdana" w:hAnsi="Verdana"/>
          <w:b/>
          <w:noProof/>
          <w:sz w:val="18"/>
        </w:rPr>
        <w:t>incentive for the Member States</w:t>
      </w:r>
      <w:r>
        <w:rPr>
          <w:rFonts w:ascii="Verdana" w:hAnsi="Verdana"/>
          <w:noProof/>
          <w:sz w:val="18"/>
        </w:rPr>
        <w:t xml:space="preserve"> to improve their systems and processes to prevent the occurrence of future errors.</w:t>
      </w: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 xml:space="preserve">The corrections decided during the year are the result of the errors and irregularities detected in previous years. </w:t>
      </w:r>
      <w:r>
        <w:rPr>
          <w:rFonts w:ascii="Verdana" w:hAnsi="Verdana"/>
          <w:b/>
          <w:noProof/>
          <w:sz w:val="18"/>
        </w:rPr>
        <w:t>90 % of the financial corrections</w:t>
      </w:r>
      <w:r>
        <w:rPr>
          <w:rFonts w:ascii="Verdana" w:hAnsi="Verdana"/>
          <w:noProof/>
          <w:sz w:val="18"/>
        </w:rPr>
        <w:t xml:space="preserve"> decided have been </w:t>
      </w:r>
      <w:r>
        <w:rPr>
          <w:rFonts w:ascii="Verdana" w:hAnsi="Verdana"/>
          <w:b/>
          <w:noProof/>
          <w:sz w:val="18"/>
        </w:rPr>
        <w:t>implemented by the end of 2015</w:t>
      </w:r>
      <w:r>
        <w:rPr>
          <w:rFonts w:ascii="Verdana" w:hAnsi="Verdana"/>
          <w:noProof/>
          <w:sz w:val="18"/>
        </w:rPr>
        <w:t>.</w:t>
      </w: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b/>
          <w:noProof/>
          <w:sz w:val="18"/>
        </w:rPr>
        <w:t>Net corrections leading to a reimbursement to the EU budget</w:t>
      </w:r>
      <w:r>
        <w:rPr>
          <w:rFonts w:ascii="Verdana" w:hAnsi="Verdana"/>
          <w:noProof/>
          <w:sz w:val="18"/>
        </w:rPr>
        <w:t xml:space="preserve"> are </w:t>
      </w:r>
      <w:r>
        <w:rPr>
          <w:rFonts w:ascii="Verdana" w:hAnsi="Verdana"/>
          <w:b/>
          <w:noProof/>
          <w:sz w:val="18"/>
        </w:rPr>
        <w:t xml:space="preserve">characteristic for Agriculture &amp; Rural Development </w:t>
      </w:r>
      <w:r>
        <w:rPr>
          <w:rFonts w:ascii="Verdana" w:hAnsi="Verdana"/>
          <w:noProof/>
          <w:sz w:val="18"/>
        </w:rPr>
        <w:t>and</w:t>
      </w:r>
      <w:r>
        <w:rPr>
          <w:rFonts w:ascii="Verdana" w:hAnsi="Verdana"/>
          <w:b/>
          <w:noProof/>
          <w:sz w:val="18"/>
        </w:rPr>
        <w:t xml:space="preserve"> direct &amp; indirect management.</w:t>
      </w:r>
      <w:r>
        <w:rPr>
          <w:rFonts w:ascii="Verdana" w:hAnsi="Verdana"/>
          <w:noProof/>
          <w:sz w:val="18"/>
        </w:rPr>
        <w:t xml:space="preserve"> For </w:t>
      </w:r>
      <w:r>
        <w:rPr>
          <w:rFonts w:ascii="Verdana" w:hAnsi="Verdana"/>
          <w:b/>
          <w:noProof/>
          <w:sz w:val="18"/>
        </w:rPr>
        <w:t>Cohesion Policy, net corrections are up to now the exception</w:t>
      </w:r>
      <w:r>
        <w:rPr>
          <w:rFonts w:ascii="Verdana" w:hAnsi="Verdana"/>
          <w:noProof/>
          <w:sz w:val="18"/>
        </w:rPr>
        <w:t>, due to the different legal framework and budget management type (reinforced preventive mechanism).</w:t>
      </w: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b/>
          <w:noProof/>
          <w:sz w:val="18"/>
        </w:rPr>
        <w:t>Flat rate corrections</w:t>
      </w:r>
      <w:r>
        <w:rPr>
          <w:rFonts w:ascii="Verdana" w:hAnsi="Verdana"/>
          <w:noProof/>
          <w:sz w:val="18"/>
        </w:rPr>
        <w:t xml:space="preserve"> are imposed where the financial impact of errors cannot be more precisely quantified with proportionate effort.</w:t>
      </w: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cs="Calibri"/>
          <w:noProof/>
          <w:sz w:val="18"/>
        </w:rPr>
      </w:pPr>
      <w:r>
        <w:rPr>
          <w:rFonts w:ascii="Verdana" w:hAnsi="Verdana" w:cs="Calibri"/>
          <w:noProof/>
          <w:sz w:val="18"/>
        </w:rPr>
        <w:t xml:space="preserve">Specific control frameworks are put in place for spending under </w:t>
      </w:r>
      <w:r>
        <w:rPr>
          <w:rFonts w:ascii="Verdana" w:hAnsi="Verdana" w:cs="Calibri"/>
          <w:b/>
          <w:noProof/>
          <w:sz w:val="18"/>
        </w:rPr>
        <w:t>direct and indirect management</w:t>
      </w:r>
      <w:r>
        <w:rPr>
          <w:rFonts w:ascii="Verdana" w:hAnsi="Verdana" w:cs="Calibri"/>
          <w:noProof/>
          <w:sz w:val="18"/>
        </w:rPr>
        <w:t xml:space="preserve"> covering primarily the grant management process, because this addresses existing risks.</w:t>
      </w: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cs="Calibri"/>
          <w:noProof/>
          <w:sz w:val="18"/>
        </w:rPr>
      </w:pPr>
      <w:r>
        <w:rPr>
          <w:rFonts w:ascii="Verdana" w:hAnsi="Verdana" w:cs="Calibri"/>
          <w:noProof/>
          <w:sz w:val="18"/>
        </w:rPr>
        <w:t xml:space="preserve">The Commission facilitates and participates in the </w:t>
      </w:r>
      <w:r>
        <w:rPr>
          <w:rFonts w:ascii="Verdana" w:hAnsi="Verdana" w:cs="Calibri"/>
          <w:b/>
          <w:noProof/>
          <w:sz w:val="18"/>
        </w:rPr>
        <w:t>Public Internal Control (PIC) Network</w:t>
      </w:r>
      <w:r>
        <w:rPr>
          <w:rFonts w:ascii="Verdana" w:hAnsi="Verdana" w:cs="Calibri"/>
          <w:noProof/>
          <w:sz w:val="18"/>
        </w:rPr>
        <w:t>, allowing Member States to work together to improve Internal Control including the management of EU funds, to identify good practice especially where effective implementation is proving difficult (see r</w:t>
      </w:r>
      <w:r>
        <w:rPr>
          <w:rFonts w:ascii="Verdana" w:hAnsi="Verdana"/>
          <w:noProof/>
          <w:sz w:val="18"/>
        </w:rPr>
        <w:t>eport on areas of consistently high errors and their root causes</w:t>
      </w:r>
      <w:r>
        <w:rPr>
          <w:rFonts w:ascii="Verdana" w:hAnsi="Verdana" w:cs="Calibri"/>
          <w:noProof/>
          <w:sz w:val="18"/>
        </w:rPr>
        <w:t xml:space="preserve">). </w:t>
      </w:r>
    </w:p>
    <w:p w:rsidR="00CC45FC" w:rsidRDefault="00CC45FC">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F7D3BD"/>
        <w:spacing w:line="276" w:lineRule="auto"/>
        <w:rPr>
          <w:rFonts w:ascii="Verdana" w:hAnsi="Verdana"/>
          <w:b/>
          <w:noProof/>
          <w:sz w:val="18"/>
        </w:rPr>
      </w:pPr>
      <w:r>
        <w:rPr>
          <w:rFonts w:ascii="Verdana" w:hAnsi="Verdana"/>
          <w:b/>
          <w:noProof/>
          <w:sz w:val="18"/>
        </w:rPr>
        <w:t>Improvements foreseen under the 2014-2020 Multiannual Financial Framework (MFF)</w:t>
      </w: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F7D3BD"/>
        <w:spacing w:line="276" w:lineRule="auto"/>
        <w:rPr>
          <w:rFonts w:ascii="Verdana" w:hAnsi="Verdana"/>
          <w:noProof/>
          <w:sz w:val="18"/>
          <w:u w:val="single"/>
        </w:rPr>
      </w:pPr>
      <w:r>
        <w:rPr>
          <w:rFonts w:ascii="Verdana" w:hAnsi="Verdana"/>
          <w:noProof/>
          <w:sz w:val="18"/>
          <w:u w:val="single"/>
        </w:rPr>
        <w:t>Agriculture and Rural Development</w:t>
      </w: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 xml:space="preserve">The Commission has started to apply a number of newly available preventive instruments such as the interruption, suspension and reduction of EU financing with a view to better protecting the EU budget and further incentivising Member States to reduce irregular payments. In that context the implementation of action plans by Member States has become a prominent feature in the Commission's budget management toolbox. In addition, with the objective to further develop the single audit approach also in CAP management, the Commission is actively promoting and supervising the new role of the Certification Bodies with regard to ensuring the Legality and Regularity of payments. </w:t>
      </w: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As regards the EAGF, the Commission constantly requests Member States to maintain their Land Parcel Identification Systems (LPIS) in particular by regularly updating it. Member States where the system does not reach the necessary quality level are required to put in place appropriate action plans while facing the risk of financing suspensions should the action plan not be properly implemented.</w:t>
      </w: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For the European Agricultural Fund for Rural Development (EAFRD), the programming phase included specific checks as to the controllability and verifiability of programmed measures. In addition the Commission interrupts payments in case of problems and has also recourse to suspensions. In general, the Commission has launched an ambitious simplification process intended to reduce complexity and administrative burden which will also contribute to bringing the risk of error further down.</w:t>
      </w:r>
    </w:p>
    <w:p w:rsidR="00CC45FC" w:rsidRDefault="00CC45FC">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p>
    <w:p w:rsidR="00CC45FC" w:rsidRDefault="00CC45FC">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F7D3BD"/>
        <w:spacing w:line="276" w:lineRule="auto"/>
        <w:rPr>
          <w:rFonts w:ascii="Verdana" w:hAnsi="Verdana"/>
          <w:noProof/>
          <w:sz w:val="18"/>
          <w:u w:val="single"/>
        </w:rPr>
      </w:pPr>
      <w:r>
        <w:rPr>
          <w:rFonts w:ascii="Verdana" w:hAnsi="Verdana"/>
          <w:noProof/>
          <w:sz w:val="18"/>
          <w:u w:val="single"/>
        </w:rPr>
        <w:t>Cohesion</w:t>
      </w: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 xml:space="preserve">The new legal framework foresees an increased accountability for programme managing authorities which have to apply sound verifications on time for the submission of programme accounts each year. Annual accounts include financial corrections applied by the Member State in relation to the accounting year. Accounts and financial corrections are subject to an audit opinion by the programme audit authority which also provides an audit opinion on the legality and regularity of account expenditure based on the level of identified residual risk after all corrections have been applied. </w:t>
      </w: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 xml:space="preserve">During the accounting year the Commission; retains 10 % of each interim payment until the finalisation of all control procedures, including audits at the time of submission of accounts, applies procedures for the acceptance of accounts, subsequently pays or recovers the annual balance and carries out targeted, risk-based audits to ensure that no serious deficiency leading to a material level of risk in reimbursed expenditure remained undetected or uncorrected by the Member State. Otherwise the Commission must apply net financial corrections. </w:t>
      </w: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6"/>
        </w:rPr>
      </w:pPr>
      <w:r>
        <w:rPr>
          <w:rFonts w:ascii="Verdana" w:hAnsi="Verdana"/>
          <w:noProof/>
          <w:sz w:val="18"/>
        </w:rPr>
        <w:t>The Commission will also continue to strictly implement the interruption / suspension mechanisms leading, where necessary, to financial corrections where it has indications of serious deficiencies in management and control systems. It will also continue to ensure preventive capacity building actions with programme authorities to improve the quality of spending and to cooperate closely with audit authorities under the single audit principle to timely and effectively address risks.</w:t>
      </w: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u w:val="single"/>
        </w:rPr>
      </w:pPr>
      <w:r>
        <w:rPr>
          <w:rFonts w:ascii="Verdana" w:hAnsi="Verdana"/>
          <w:noProof/>
          <w:sz w:val="18"/>
          <w:u w:val="single"/>
        </w:rPr>
        <w:t>Direct and Indirect Management</w:t>
      </w:r>
    </w:p>
    <w:p w:rsidR="00CC45FC" w:rsidRDefault="004A7700">
      <w:pPr>
        <w:pStyle w:val="PSParagraphText"/>
        <w:keepLines/>
        <w:pBdr>
          <w:top w:val="single" w:sz="4" w:space="1" w:color="auto"/>
          <w:left w:val="single" w:sz="4" w:space="4" w:color="auto"/>
          <w:bottom w:val="single" w:sz="4" w:space="1" w:color="auto"/>
          <w:right w:val="single" w:sz="4" w:space="4" w:color="auto"/>
        </w:pBdr>
        <w:shd w:val="clear" w:color="auto" w:fill="F7D3BD"/>
        <w:rPr>
          <w:rFonts w:ascii="Verdana" w:hAnsi="Verdana"/>
          <w:noProof/>
          <w:sz w:val="18"/>
        </w:rPr>
      </w:pPr>
      <w:r>
        <w:rPr>
          <w:rFonts w:ascii="Verdana" w:hAnsi="Verdana"/>
          <w:noProof/>
          <w:sz w:val="18"/>
        </w:rPr>
        <w:t>The Commission has established a control framework in direct and indirect management which focuses on ex-ante checks on payments, in-depth ex-post checks carried out at the beneficiaries' premises after costs have been incurred and declared, and verification missions to international organisations.</w:t>
      </w:r>
    </w:p>
    <w:p w:rsidR="00CC45FC" w:rsidRDefault="00CC45FC">
      <w:pPr>
        <w:jc w:val="right"/>
        <w:rPr>
          <w:noProof/>
        </w:rPr>
      </w:pPr>
    </w:p>
    <w:p w:rsidR="00CC45FC" w:rsidRDefault="00CC45FC">
      <w:pPr>
        <w:pStyle w:val="Text2"/>
        <w:ind w:left="426"/>
        <w:rPr>
          <w:rFonts w:ascii="Verdana" w:hAnsi="Verdana"/>
          <w:noProof/>
          <w:sz w:val="20"/>
        </w:rPr>
      </w:pPr>
    </w:p>
    <w:p w:rsidR="00CC45FC" w:rsidRDefault="004A7700">
      <w:pPr>
        <w:pStyle w:val="ManualHeading1"/>
        <w:rPr>
          <w:noProof/>
        </w:rPr>
      </w:pPr>
      <w:r>
        <w:rPr>
          <w:noProof/>
          <w:sz w:val="20"/>
        </w:rPr>
        <w:br w:type="page"/>
      </w:r>
      <w:bookmarkStart w:id="6" w:name="_Toc456258155"/>
      <w:bookmarkStart w:id="7" w:name="_Toc456686563"/>
      <w:r>
        <w:t>2.</w:t>
      </w:r>
      <w:r>
        <w:tab/>
      </w:r>
      <w:r>
        <w:rPr>
          <w:noProof/>
        </w:rPr>
        <w:t>PROCESSES</w:t>
      </w:r>
      <w:bookmarkEnd w:id="6"/>
      <w:bookmarkEnd w:id="7"/>
      <w:r>
        <w:rPr>
          <w:noProof/>
        </w:rPr>
        <w:t xml:space="preserve"> </w:t>
      </w:r>
    </w:p>
    <w:p w:rsidR="00CC45FC" w:rsidRDefault="004A7700">
      <w:pPr>
        <w:pStyle w:val="ManualHeading2"/>
        <w:rPr>
          <w:noProof/>
          <w:lang w:eastAsia="en-GB"/>
        </w:rPr>
      </w:pPr>
      <w:bookmarkStart w:id="8" w:name="_Toc456258156"/>
      <w:bookmarkStart w:id="9" w:name="_Toc456686564"/>
      <w:r>
        <w:t>2.1.</w:t>
      </w:r>
      <w:r>
        <w:tab/>
      </w:r>
      <w:r>
        <w:rPr>
          <w:noProof/>
          <w:lang w:eastAsia="en-GB"/>
        </w:rPr>
        <w:t>Preventive mechanisms</w:t>
      </w:r>
      <w:bookmarkEnd w:id="8"/>
      <w:bookmarkEnd w:id="9"/>
    </w:p>
    <w:p w:rsidR="00CC45FC" w:rsidRDefault="004A7700">
      <w:pPr>
        <w:pStyle w:val="Textstand-alone"/>
        <w:spacing w:after="120"/>
        <w:rPr>
          <w:szCs w:val="20"/>
        </w:rPr>
      </w:pPr>
      <w:r>
        <w:rPr>
          <w:szCs w:val="20"/>
        </w:rPr>
        <w:t xml:space="preserve">The Commission uses a number of preventive mechanisms to protect the EU budget. </w:t>
      </w:r>
      <w:r>
        <w:t>The Commission focuses more and more on measures which prevent irregular expenditure</w:t>
      </w:r>
      <w:r>
        <w:rPr>
          <w:b/>
        </w:rPr>
        <w:t xml:space="preserve"> </w:t>
      </w:r>
      <w:r>
        <w:t>and help to avoid such irregularities recurring in the future.</w:t>
      </w:r>
    </w:p>
    <w:p w:rsidR="00CC45FC" w:rsidRDefault="004A7700">
      <w:pPr>
        <w:pStyle w:val="Textstand-alone"/>
        <w:spacing w:before="120" w:after="120"/>
        <w:rPr>
          <w:szCs w:val="20"/>
        </w:rPr>
      </w:pPr>
      <w:r>
        <w:rPr>
          <w:szCs w:val="20"/>
        </w:rPr>
        <w:t xml:space="preserve">Under the </w:t>
      </w:r>
      <w:r>
        <w:rPr>
          <w:b/>
          <w:szCs w:val="20"/>
        </w:rPr>
        <w:t>shared management mode</w:t>
      </w:r>
      <w:r>
        <w:rPr>
          <w:szCs w:val="20"/>
        </w:rPr>
        <w:t xml:space="preserve"> (i.e. Agricultural and Cohesion policy expenditure), Member States are primarily responsible throughout the expenditure life cycle for ensuring that expenditure paid out from the EU budget is legal and regular. The Commission provides timely and close supervision, based on EU audit results, national audit results received throughout the years, results of OLAF investigations, and any other information coming to the services knowledge that points to a system deficiency or serious uncorrected irregularities. Key elements pointing to the effective functioning of the monitoring and control system are re-assessed on a continuous basis to prevent irregular payments.</w:t>
      </w:r>
    </w:p>
    <w:p w:rsidR="00CC45FC" w:rsidRDefault="004A7700">
      <w:pPr>
        <w:spacing w:after="240" w:line="240" w:lineRule="auto"/>
        <w:jc w:val="both"/>
        <w:rPr>
          <w:rFonts w:ascii="Verdana" w:hAnsi="Verdana"/>
          <w:noProof/>
          <w:sz w:val="18"/>
        </w:rPr>
      </w:pPr>
      <w:r>
        <w:rPr>
          <w:rFonts w:ascii="Verdana" w:hAnsi="Verdana"/>
          <w:noProof/>
          <w:sz w:val="18"/>
        </w:rPr>
        <w:t xml:space="preserve">Under </w:t>
      </w:r>
      <w:r>
        <w:rPr>
          <w:rFonts w:ascii="Verdana" w:hAnsi="Verdana"/>
          <w:b/>
          <w:noProof/>
          <w:sz w:val="18"/>
        </w:rPr>
        <w:t>direct and indirect management</w:t>
      </w:r>
      <w:r>
        <w:rPr>
          <w:rFonts w:ascii="Verdana" w:hAnsi="Verdana"/>
          <w:noProof/>
          <w:sz w:val="18"/>
        </w:rPr>
        <w:t>, preventive actions include checks made by the responsible services on eligibility of expenditure being claimed by beneficiaries. These ex-ante controls are embedded in the programmes’ management processes and intended to provide reasonable assurance on the legality and regularity of expenditure being paid. The Commission services can also provide guidance, particularly on contractual issues, with the aim of ensuring a sound and efficient management of funding and therefore a lower risk of irregularities.</w:t>
      </w:r>
      <w:bookmarkStart w:id="10" w:name="_Toc406161305"/>
      <w:bookmarkStart w:id="11" w:name="_Toc406163430"/>
      <w:bookmarkStart w:id="12" w:name="_Toc409007343"/>
      <w:bookmarkStart w:id="13" w:name="_Toc424121110"/>
      <w:bookmarkStart w:id="14" w:name="_Toc425855825"/>
      <w:bookmarkStart w:id="15" w:name="_Toc423524323"/>
      <w:r>
        <w:rPr>
          <w:rFonts w:ascii="Verdana" w:hAnsi="Verdana"/>
          <w:noProof/>
          <w:sz w:val="18"/>
        </w:rPr>
        <w:t xml:space="preserve"> The Early Detection and Exclusion System (EDES) of economic operators set up and operated by the Commission also ensures the protection of the Union's financial interests.</w:t>
      </w:r>
    </w:p>
    <w:p w:rsidR="00CC45FC" w:rsidRDefault="004A7700">
      <w:pPr>
        <w:pStyle w:val="ManualHeading2"/>
        <w:rPr>
          <w:noProof/>
          <w:lang w:eastAsia="en-GB"/>
        </w:rPr>
      </w:pPr>
      <w:bookmarkStart w:id="16" w:name="_Toc456258157"/>
      <w:bookmarkStart w:id="17" w:name="_Toc456686565"/>
      <w:bookmarkEnd w:id="10"/>
      <w:bookmarkEnd w:id="11"/>
      <w:bookmarkEnd w:id="12"/>
      <w:bookmarkEnd w:id="13"/>
      <w:bookmarkEnd w:id="14"/>
      <w:bookmarkEnd w:id="15"/>
      <w:r>
        <w:t>2.2.</w:t>
      </w:r>
      <w:r>
        <w:tab/>
      </w:r>
      <w:r>
        <w:rPr>
          <w:noProof/>
          <w:lang w:eastAsia="en-GB"/>
        </w:rPr>
        <w:t>Corrective mechanisms</w:t>
      </w:r>
      <w:bookmarkEnd w:id="16"/>
      <w:bookmarkEnd w:id="17"/>
    </w:p>
    <w:p w:rsidR="00CC45FC" w:rsidRDefault="004A7700">
      <w:pPr>
        <w:spacing w:after="120" w:line="240" w:lineRule="auto"/>
        <w:rPr>
          <w:rFonts w:ascii="Verdana" w:hAnsi="Verdana"/>
          <w:noProof/>
          <w:sz w:val="20"/>
          <w:szCs w:val="20"/>
          <w:lang w:eastAsia="en-GB"/>
        </w:rPr>
      </w:pPr>
      <w:r>
        <w:rPr>
          <w:rFonts w:ascii="Verdana" w:hAnsi="Verdana"/>
          <w:i/>
          <w:noProof/>
          <w:sz w:val="20"/>
          <w:szCs w:val="20"/>
          <w:lang w:eastAsia="en-GB"/>
        </w:rPr>
        <w:t>2.2.1</w:t>
      </w:r>
      <w:r>
        <w:rPr>
          <w:rFonts w:ascii="Verdana" w:hAnsi="Verdana"/>
          <w:i/>
          <w:noProof/>
          <w:sz w:val="20"/>
          <w:szCs w:val="20"/>
          <w:lang w:eastAsia="en-GB"/>
        </w:rPr>
        <w:tab/>
        <w:t>Overview</w:t>
      </w:r>
    </w:p>
    <w:p w:rsidR="00CC45FC" w:rsidRDefault="004A7700">
      <w:pPr>
        <w:spacing w:line="240" w:lineRule="auto"/>
        <w:jc w:val="both"/>
        <w:rPr>
          <w:rFonts w:ascii="Verdana" w:hAnsi="Verdana"/>
          <w:noProof/>
          <w:sz w:val="18"/>
          <w:szCs w:val="20"/>
          <w:lang w:eastAsia="en-GB"/>
        </w:rPr>
      </w:pPr>
      <w:r>
        <w:rPr>
          <w:rFonts w:ascii="Verdana" w:hAnsi="Verdana"/>
          <w:noProof/>
          <w:sz w:val="18"/>
          <w:szCs w:val="20"/>
          <w:lang w:eastAsia="en-GB"/>
        </w:rPr>
        <w:t>A significant portion of EU expenditure, e.g. Cohesion, Research and Rural Development policies, is of a multiannual nature. In line with Article 32(2)(e) of the Financial Regulation (FR)</w:t>
      </w:r>
      <w:r>
        <w:rPr>
          <w:rStyle w:val="FootnoteReference"/>
          <w:rFonts w:ascii="Verdana" w:hAnsi="Verdana"/>
          <w:noProof/>
          <w:sz w:val="18"/>
          <w:szCs w:val="20"/>
          <w:lang w:eastAsia="en-GB"/>
        </w:rPr>
        <w:footnoteReference w:id="1"/>
      </w:r>
      <w:r>
        <w:rPr>
          <w:rFonts w:ascii="Verdana" w:hAnsi="Verdana"/>
          <w:noProof/>
          <w:sz w:val="18"/>
          <w:szCs w:val="20"/>
          <w:lang w:eastAsia="en-GB"/>
        </w:rPr>
        <w:t>, this is taken into account when designing and implementing corrective measures, as well as when assessing the results of these actions. Corrective actions can be distinguished between: a) financial corrections and b) recoveries, both of which are made at all stages of a programme's life-cycle, once expenditure has been incurred and / or a payment has been made. The Commission is required to apply corrective mechanisms as a last resort in case preventive mechanisms were not effective.</w:t>
      </w:r>
    </w:p>
    <w:p w:rsidR="00CC45FC" w:rsidRDefault="004A7700">
      <w:pPr>
        <w:spacing w:after="120" w:line="240" w:lineRule="auto"/>
        <w:rPr>
          <w:rFonts w:ascii="Verdana" w:hAnsi="Verdana"/>
          <w:i/>
          <w:noProof/>
          <w:sz w:val="20"/>
          <w:szCs w:val="20"/>
          <w:lang w:eastAsia="en-GB"/>
        </w:rPr>
      </w:pPr>
      <w:r>
        <w:rPr>
          <w:rFonts w:ascii="Verdana" w:hAnsi="Verdana"/>
          <w:i/>
          <w:noProof/>
          <w:sz w:val="20"/>
          <w:szCs w:val="20"/>
          <w:lang w:eastAsia="en-GB"/>
        </w:rPr>
        <w:t>The workflow of corrective actions is as follows:</w:t>
      </w:r>
    </w:p>
    <w:p w:rsidR="00CC45FC" w:rsidRDefault="004A7700">
      <w:pPr>
        <w:spacing w:after="120"/>
        <w:rPr>
          <w:noProof/>
        </w:rPr>
      </w:pPr>
      <w:r>
        <w:rPr>
          <w:noProof/>
          <w:lang w:eastAsia="en-GB"/>
        </w:rPr>
        <w:drawing>
          <wp:inline distT="0" distB="0" distL="0" distR="0">
            <wp:extent cx="5384042" cy="293427"/>
            <wp:effectExtent l="19050" t="0" r="26670" b="30480"/>
            <wp:docPr id="2" name="Diagram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9" r:lo="rId20" r:qs="rId21" r:cs="rId22"/>
              </a:graphicData>
            </a:graphic>
          </wp:inline>
        </w:drawing>
      </w:r>
    </w:p>
    <w:p w:rsidR="00CC45FC" w:rsidRDefault="00CC45FC">
      <w:pPr>
        <w:spacing w:line="240" w:lineRule="auto"/>
        <w:jc w:val="both"/>
        <w:rPr>
          <w:rFonts w:ascii="Verdana" w:hAnsi="Verdana"/>
          <w:noProof/>
          <w:sz w:val="20"/>
          <w:szCs w:val="20"/>
          <w:lang w:eastAsia="en-GB"/>
        </w:rPr>
      </w:pPr>
    </w:p>
    <w:p w:rsidR="00CC45FC" w:rsidRDefault="004A7700">
      <w:pPr>
        <w:spacing w:after="120" w:line="240" w:lineRule="auto"/>
        <w:rPr>
          <w:rFonts w:ascii="Verdana" w:hAnsi="Verdana"/>
          <w:i/>
          <w:noProof/>
          <w:sz w:val="20"/>
          <w:szCs w:val="20"/>
          <w:lang w:eastAsia="en-GB"/>
        </w:rPr>
      </w:pPr>
      <w:r>
        <w:rPr>
          <w:rFonts w:ascii="Verdana" w:hAnsi="Verdana"/>
          <w:i/>
          <w:noProof/>
          <w:sz w:val="20"/>
          <w:szCs w:val="20"/>
          <w:lang w:eastAsia="en-GB"/>
        </w:rPr>
        <w:t>2.2.2. Financial corrections</w:t>
      </w:r>
    </w:p>
    <w:p w:rsidR="00CC45FC" w:rsidRDefault="004A7700">
      <w:pPr>
        <w:spacing w:after="120" w:line="240" w:lineRule="auto"/>
        <w:jc w:val="both"/>
        <w:rPr>
          <w:rFonts w:ascii="Verdana" w:hAnsi="Verdana"/>
          <w:noProof/>
          <w:sz w:val="18"/>
          <w:szCs w:val="20"/>
          <w:lang w:eastAsia="en-GB"/>
        </w:rPr>
      </w:pPr>
      <w:r>
        <w:rPr>
          <w:rFonts w:ascii="Verdana" w:hAnsi="Verdana"/>
          <w:noProof/>
          <w:sz w:val="18"/>
          <w:szCs w:val="20"/>
          <w:lang w:eastAsia="en-GB"/>
        </w:rPr>
        <w:t xml:space="preserve">Financial corrections </w:t>
      </w:r>
      <w:r>
        <w:rPr>
          <w:rFonts w:ascii="Verdana" w:hAnsi="Verdana"/>
          <w:b/>
          <w:noProof/>
          <w:sz w:val="18"/>
          <w:szCs w:val="20"/>
          <w:lang w:eastAsia="en-GB"/>
        </w:rPr>
        <w:t>in progress</w:t>
      </w:r>
      <w:r>
        <w:rPr>
          <w:rFonts w:ascii="Verdana" w:hAnsi="Verdana"/>
          <w:noProof/>
          <w:sz w:val="18"/>
          <w:szCs w:val="20"/>
          <w:lang w:eastAsia="en-GB"/>
        </w:rPr>
        <w:t xml:space="preserve"> </w:t>
      </w:r>
      <w:r>
        <w:rPr>
          <w:rFonts w:ascii="Verdana" w:hAnsi="Verdana" w:cs="Verdana"/>
          <w:noProof/>
          <w:sz w:val="18"/>
          <w:szCs w:val="20"/>
          <w:lang w:eastAsia="en-GB"/>
        </w:rPr>
        <w:t xml:space="preserve">are the preliminary stage where the process for making a financial correction has been opened but the contradictory procedure with the Member State concerned is still on-going. The indicated amounts are only initial estimates by the Commission services, subject to change. They </w:t>
      </w:r>
      <w:r>
        <w:rPr>
          <w:rFonts w:ascii="Verdana" w:hAnsi="Verdana"/>
          <w:noProof/>
          <w:sz w:val="18"/>
          <w:szCs w:val="20"/>
          <w:lang w:eastAsia="en-GB"/>
        </w:rPr>
        <w:t>are thus proposed but not yet accepted by the Member States nor decided by the Commission.</w:t>
      </w:r>
    </w:p>
    <w:p w:rsidR="00CC45FC" w:rsidRDefault="004A7700">
      <w:pPr>
        <w:spacing w:after="120" w:line="240" w:lineRule="auto"/>
        <w:jc w:val="both"/>
        <w:rPr>
          <w:rFonts w:ascii="Verdana" w:hAnsi="Verdana"/>
          <w:noProof/>
          <w:sz w:val="18"/>
          <w:szCs w:val="20"/>
          <w:lang w:eastAsia="en-GB"/>
        </w:rPr>
      </w:pPr>
      <w:r>
        <w:rPr>
          <w:rFonts w:ascii="Verdana" w:hAnsi="Verdana"/>
          <w:noProof/>
          <w:sz w:val="18"/>
          <w:szCs w:val="20"/>
          <w:lang w:eastAsia="en-GB"/>
        </w:rPr>
        <w:t xml:space="preserve">A financial correction is </w:t>
      </w:r>
      <w:r>
        <w:rPr>
          <w:rFonts w:ascii="Verdana" w:hAnsi="Verdana"/>
          <w:b/>
          <w:noProof/>
          <w:sz w:val="18"/>
          <w:szCs w:val="20"/>
          <w:lang w:eastAsia="en-GB"/>
        </w:rPr>
        <w:t>confirmed</w:t>
      </w:r>
      <w:r>
        <w:rPr>
          <w:rFonts w:ascii="Verdana" w:hAnsi="Verdana"/>
          <w:noProof/>
          <w:sz w:val="18"/>
          <w:szCs w:val="20"/>
          <w:lang w:eastAsia="en-GB"/>
        </w:rPr>
        <w:t xml:space="preserve"> as soon as it is accepted by the Member State or decided by the Commission.</w:t>
      </w:r>
    </w:p>
    <w:p w:rsidR="00CC45FC" w:rsidRDefault="004A7700">
      <w:pPr>
        <w:spacing w:line="240" w:lineRule="auto"/>
        <w:jc w:val="both"/>
        <w:rPr>
          <w:rFonts w:ascii="Verdana" w:hAnsi="Verdana"/>
          <w:noProof/>
          <w:sz w:val="18"/>
          <w:szCs w:val="20"/>
          <w:lang w:eastAsia="en-GB"/>
        </w:rPr>
      </w:pPr>
      <w:r>
        <w:rPr>
          <w:rFonts w:ascii="Verdana" w:hAnsi="Verdana"/>
          <w:noProof/>
          <w:sz w:val="18"/>
          <w:szCs w:val="20"/>
          <w:lang w:eastAsia="en-GB"/>
        </w:rPr>
        <w:t xml:space="preserve">A financial correction is considered </w:t>
      </w:r>
      <w:r>
        <w:rPr>
          <w:rFonts w:ascii="Verdana" w:hAnsi="Verdana"/>
          <w:b/>
          <w:noProof/>
          <w:sz w:val="18"/>
          <w:szCs w:val="20"/>
          <w:lang w:eastAsia="en-GB"/>
        </w:rPr>
        <w:t>implemented</w:t>
      </w:r>
      <w:r>
        <w:rPr>
          <w:rFonts w:ascii="Verdana" w:hAnsi="Verdana"/>
          <w:noProof/>
          <w:sz w:val="18"/>
          <w:szCs w:val="20"/>
          <w:lang w:eastAsia="en-GB"/>
        </w:rPr>
        <w:t xml:space="preserve"> when the correction has been applied and recorded in the Commission accounts, which means the financial transaction was validated by the responsible Authorising Officer in the following cases: deduction from the interim or final payment claim,</w:t>
      </w:r>
      <w:r>
        <w:rPr>
          <w:rFonts w:ascii="Verdana" w:hAnsi="Verdana"/>
          <w:noProof/>
          <w:sz w:val="18"/>
          <w:lang w:eastAsia="en-GB"/>
        </w:rPr>
        <w:t xml:space="preserve"> </w:t>
      </w:r>
      <w:r>
        <w:rPr>
          <w:rFonts w:ascii="Verdana" w:hAnsi="Verdana"/>
          <w:noProof/>
          <w:sz w:val="18"/>
          <w:szCs w:val="20"/>
          <w:lang w:eastAsia="en-GB"/>
        </w:rPr>
        <w:t>recovery order and / or a de-commitment transaction.</w:t>
      </w:r>
    </w:p>
    <w:p w:rsidR="00CC45FC" w:rsidRDefault="004A7700">
      <w:pPr>
        <w:spacing w:after="120" w:line="240" w:lineRule="auto"/>
        <w:jc w:val="both"/>
        <w:rPr>
          <w:rFonts w:ascii="Verdana" w:hAnsi="Verdana"/>
          <w:noProof/>
          <w:sz w:val="18"/>
          <w:szCs w:val="20"/>
          <w:lang w:eastAsia="en-GB"/>
        </w:rPr>
      </w:pPr>
      <w:r>
        <w:rPr>
          <w:rFonts w:ascii="Verdana" w:hAnsi="Verdana"/>
          <w:noProof/>
          <w:sz w:val="18"/>
          <w:szCs w:val="20"/>
          <w:lang w:eastAsia="en-GB"/>
        </w:rPr>
        <w:t>The Commission applies the following types of financial corrections on the expenditure declared by the Member States ("</w:t>
      </w:r>
      <w:r>
        <w:rPr>
          <w:rFonts w:ascii="Verdana" w:hAnsi="Verdana"/>
          <w:b/>
          <w:noProof/>
          <w:sz w:val="18"/>
          <w:szCs w:val="20"/>
          <w:lang w:eastAsia="en-GB"/>
        </w:rPr>
        <w:t xml:space="preserve">ex-post" </w:t>
      </w:r>
      <w:r>
        <w:rPr>
          <w:rFonts w:ascii="Verdana" w:hAnsi="Verdana"/>
          <w:noProof/>
          <w:sz w:val="18"/>
          <w:szCs w:val="20"/>
          <w:lang w:eastAsia="en-GB"/>
        </w:rPr>
        <w:t>corrections):</w:t>
      </w:r>
    </w:p>
    <w:p w:rsidR="00CC45FC" w:rsidRDefault="004A7700">
      <w:pPr>
        <w:spacing w:after="120" w:line="240" w:lineRule="auto"/>
        <w:ind w:left="851" w:hanging="284"/>
        <w:jc w:val="both"/>
        <w:rPr>
          <w:rFonts w:ascii="Verdana" w:hAnsi="Verdana"/>
          <w:noProof/>
          <w:sz w:val="18"/>
          <w:szCs w:val="20"/>
          <w:lang w:eastAsia="en-GB"/>
        </w:rPr>
      </w:pPr>
      <w:r>
        <w:rPr>
          <w:rFonts w:ascii="Verdana" w:hAnsi="Verdana"/>
          <w:noProof/>
          <w:sz w:val="18"/>
          <w:szCs w:val="20"/>
          <w:lang w:eastAsia="en-GB"/>
        </w:rPr>
        <w:t>-</w:t>
      </w:r>
      <w:r>
        <w:rPr>
          <w:rFonts w:ascii="Verdana" w:hAnsi="Verdana"/>
          <w:noProof/>
          <w:sz w:val="18"/>
          <w:szCs w:val="20"/>
          <w:lang w:eastAsia="en-GB"/>
        </w:rPr>
        <w:tab/>
        <w:t>Financial corrections on individual cases, based on a precise identification of amounts unduly spent, and the financial implications for the budget;</w:t>
      </w:r>
    </w:p>
    <w:p w:rsidR="00CC45FC" w:rsidRDefault="004A7700">
      <w:pPr>
        <w:spacing w:after="120" w:line="240" w:lineRule="auto"/>
        <w:ind w:left="851" w:hanging="284"/>
        <w:jc w:val="both"/>
        <w:rPr>
          <w:rFonts w:ascii="Verdana" w:hAnsi="Verdana"/>
          <w:noProof/>
          <w:sz w:val="18"/>
          <w:szCs w:val="20"/>
          <w:lang w:eastAsia="en-GB"/>
        </w:rPr>
      </w:pPr>
      <w:r>
        <w:rPr>
          <w:rFonts w:ascii="Verdana" w:hAnsi="Verdana"/>
          <w:noProof/>
          <w:sz w:val="18"/>
          <w:szCs w:val="20"/>
          <w:lang w:eastAsia="en-GB"/>
        </w:rPr>
        <w:t>-</w:t>
      </w:r>
      <w:r>
        <w:rPr>
          <w:rFonts w:ascii="Verdana" w:hAnsi="Verdana"/>
          <w:noProof/>
          <w:sz w:val="18"/>
          <w:szCs w:val="20"/>
          <w:lang w:eastAsia="en-GB"/>
        </w:rPr>
        <w:tab/>
        <w:t>Extrapolated financial corrections if the related amount can be quantified on the basis of a representative statistical sample with a sufficient level of confidence;</w:t>
      </w:r>
    </w:p>
    <w:p w:rsidR="00CC45FC" w:rsidRDefault="004A7700">
      <w:pPr>
        <w:spacing w:after="120" w:line="240" w:lineRule="auto"/>
        <w:ind w:left="851" w:hanging="284"/>
        <w:jc w:val="both"/>
        <w:rPr>
          <w:rFonts w:ascii="Verdana" w:hAnsi="Verdana"/>
          <w:noProof/>
          <w:sz w:val="18"/>
          <w:szCs w:val="20"/>
          <w:lang w:eastAsia="en-GB"/>
        </w:rPr>
      </w:pPr>
      <w:r>
        <w:rPr>
          <w:rFonts w:ascii="Verdana" w:hAnsi="Verdana"/>
          <w:noProof/>
          <w:sz w:val="18"/>
          <w:szCs w:val="20"/>
          <w:lang w:eastAsia="en-GB"/>
        </w:rPr>
        <w:t>-</w:t>
      </w:r>
      <w:r>
        <w:rPr>
          <w:rFonts w:ascii="Verdana" w:hAnsi="Verdana"/>
          <w:noProof/>
          <w:sz w:val="18"/>
          <w:szCs w:val="20"/>
          <w:lang w:eastAsia="en-GB"/>
        </w:rPr>
        <w:tab/>
        <w:t>Flat rate corrections, if the related amount cannot be quantified on the basis of a representative statistical sample or when the impact on expenditure of individual errors cannot be quantified precisely (e.g. financial corrections of individual public contracts based on agreed flat rates).</w:t>
      </w:r>
    </w:p>
    <w:p w:rsidR="00CC45FC" w:rsidRDefault="004A7700">
      <w:pPr>
        <w:spacing w:after="120" w:line="240" w:lineRule="auto"/>
        <w:jc w:val="both"/>
        <w:rPr>
          <w:rFonts w:ascii="Verdana" w:hAnsi="Verdana"/>
          <w:noProof/>
          <w:sz w:val="18"/>
          <w:lang w:eastAsia="en-GB"/>
        </w:rPr>
      </w:pPr>
      <w:r>
        <w:rPr>
          <w:rFonts w:ascii="Verdana" w:hAnsi="Verdana"/>
          <w:noProof/>
          <w:sz w:val="18"/>
          <w:lang w:eastAsia="en-GB"/>
        </w:rPr>
        <w:t xml:space="preserve">All financial corrections, no matter what type, have a negative impact on national budgets – even if no reimbursement to the EU budget is made, because funds have to be used to replace ineligible expenditure. </w:t>
      </w:r>
    </w:p>
    <w:p w:rsidR="00CC45FC" w:rsidRDefault="004A7700">
      <w:pPr>
        <w:spacing w:after="120" w:line="240" w:lineRule="auto"/>
        <w:jc w:val="both"/>
        <w:rPr>
          <w:rFonts w:ascii="Verdana" w:hAnsi="Verdana"/>
          <w:noProof/>
          <w:sz w:val="18"/>
          <w:szCs w:val="20"/>
          <w:lang w:eastAsia="en-GB"/>
        </w:rPr>
      </w:pPr>
      <w:r>
        <w:rPr>
          <w:rFonts w:ascii="Verdana" w:hAnsi="Verdana"/>
          <w:b/>
          <w:noProof/>
          <w:sz w:val="18"/>
          <w:szCs w:val="20"/>
          <w:lang w:eastAsia="en-GB"/>
        </w:rPr>
        <w:t>"At source"</w:t>
      </w:r>
      <w:r>
        <w:rPr>
          <w:rFonts w:ascii="Verdana" w:hAnsi="Verdana"/>
          <w:noProof/>
          <w:sz w:val="18"/>
          <w:szCs w:val="20"/>
          <w:lang w:eastAsia="en-GB"/>
        </w:rPr>
        <w:t xml:space="preserve"> financial corrections are used to effect financial corrections before an EU reimbursement has been made. These occur when the correction is applied by the Member State when certifying new expenditure to the Commission following and as a result of the remedial action plan agreed with the Commission. It should be highlighted that the difference between "ex-post" and "at source" financial corrections is a timing one. </w:t>
      </w:r>
    </w:p>
    <w:p w:rsidR="00CC45FC" w:rsidRDefault="004A7700">
      <w:pPr>
        <w:spacing w:line="240" w:lineRule="auto"/>
        <w:rPr>
          <w:rFonts w:ascii="Verdana" w:hAnsi="Verdana"/>
          <w:noProof/>
          <w:sz w:val="18"/>
          <w:szCs w:val="20"/>
          <w:lang w:eastAsia="en-GB"/>
        </w:rPr>
      </w:pPr>
      <w:r>
        <w:rPr>
          <w:rFonts w:ascii="Verdana" w:hAnsi="Verdana"/>
          <w:noProof/>
          <w:sz w:val="18"/>
          <w:szCs w:val="20"/>
          <w:lang w:eastAsia="en-GB"/>
        </w:rPr>
        <w:t>Overview financial corrections over time:</w:t>
      </w:r>
    </w:p>
    <w:p w:rsidR="00CC45FC" w:rsidRDefault="004A7700">
      <w:pPr>
        <w:spacing w:after="120" w:line="240" w:lineRule="auto"/>
        <w:rPr>
          <w:rFonts w:ascii="Verdana" w:hAnsi="Verdana"/>
          <w:noProof/>
          <w:sz w:val="18"/>
          <w:szCs w:val="18"/>
        </w:rPr>
      </w:pPr>
      <w:r>
        <w:rPr>
          <w:noProof/>
          <w:lang w:eastAsia="en-GB"/>
        </w:rPr>
        <w:drawing>
          <wp:inline distT="0" distB="0" distL="0" distR="0">
            <wp:extent cx="5850890" cy="3041144"/>
            <wp:effectExtent l="0" t="0" r="0" b="698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4"/>
                    <a:stretch>
                      <a:fillRect/>
                    </a:stretch>
                  </pic:blipFill>
                  <pic:spPr>
                    <a:xfrm>
                      <a:off x="0" y="0"/>
                      <a:ext cx="5850890" cy="3041144"/>
                    </a:xfrm>
                    <a:prstGeom prst="rect">
                      <a:avLst/>
                    </a:prstGeom>
                  </pic:spPr>
                </pic:pic>
              </a:graphicData>
            </a:graphic>
          </wp:inline>
        </w:drawing>
      </w:r>
      <w:r>
        <w:rPr>
          <w:rFonts w:ascii="Verdana" w:hAnsi="Verdana"/>
          <w:b/>
          <w:noProof/>
          <w:sz w:val="18"/>
          <w:szCs w:val="18"/>
        </w:rPr>
        <w:t>Replacement of expenditure</w:t>
      </w:r>
      <w:r>
        <w:rPr>
          <w:rFonts w:ascii="Verdana" w:hAnsi="Verdana"/>
          <w:noProof/>
          <w:sz w:val="18"/>
          <w:szCs w:val="18"/>
        </w:rPr>
        <w:t xml:space="preserve"> refers to the possibility under cohesion legislation for Member States to replace ineligible expenditure with new eligible expenditure, thus not losing EU funding (i.e. not a net correction as there is no return of money to the EU Budget).</w:t>
      </w:r>
    </w:p>
    <w:p w:rsidR="00CC45FC" w:rsidRDefault="004A7700">
      <w:pPr>
        <w:spacing w:after="120" w:line="240" w:lineRule="auto"/>
        <w:jc w:val="both"/>
        <w:rPr>
          <w:rFonts w:ascii="Verdana" w:hAnsi="Verdana"/>
          <w:noProof/>
          <w:sz w:val="18"/>
          <w:szCs w:val="20"/>
        </w:rPr>
      </w:pPr>
      <w:r>
        <w:rPr>
          <w:rFonts w:ascii="Verdana" w:hAnsi="Verdana"/>
          <w:noProof/>
          <w:sz w:val="18"/>
          <w:szCs w:val="20"/>
        </w:rPr>
        <w:t xml:space="preserve">A </w:t>
      </w:r>
      <w:r>
        <w:rPr>
          <w:rFonts w:ascii="Verdana" w:hAnsi="Verdana"/>
          <w:b/>
          <w:noProof/>
          <w:sz w:val="18"/>
          <w:szCs w:val="20"/>
        </w:rPr>
        <w:t>net financial correction</w:t>
      </w:r>
      <w:r>
        <w:rPr>
          <w:rFonts w:ascii="Verdana" w:hAnsi="Verdana"/>
          <w:noProof/>
          <w:sz w:val="18"/>
          <w:szCs w:val="20"/>
        </w:rPr>
        <w:t xml:space="preserve"> is a correction that has a net impact on the EU budget, (i.e. the corrected and recovered amounts are reimbursed to the EU budget). </w:t>
      </w:r>
    </w:p>
    <w:p w:rsidR="00CC45FC" w:rsidRDefault="004A7700">
      <w:pPr>
        <w:pStyle w:val="ListParagraph"/>
        <w:numPr>
          <w:ilvl w:val="0"/>
          <w:numId w:val="58"/>
        </w:numPr>
        <w:spacing w:after="120"/>
        <w:rPr>
          <w:rFonts w:ascii="Verdana" w:hAnsi="Verdana"/>
          <w:noProof/>
          <w:sz w:val="18"/>
        </w:rPr>
      </w:pPr>
      <w:r>
        <w:rPr>
          <w:rFonts w:ascii="Verdana" w:hAnsi="Verdana"/>
          <w:noProof/>
          <w:sz w:val="18"/>
        </w:rPr>
        <w:t>Agriculture and Rural Development corrections (EAGF, EAFRD, EAGGF) lead always to a reimbursement to the EU budget whereas, due to the legal framework, for Cohesion Policy, the return of previously paid amounts to the EU budget were generally the exception during the implementation of the programmes.</w:t>
      </w:r>
    </w:p>
    <w:p w:rsidR="00CC45FC" w:rsidRDefault="004A7700">
      <w:pPr>
        <w:pStyle w:val="ListParagraph"/>
        <w:numPr>
          <w:ilvl w:val="0"/>
          <w:numId w:val="58"/>
        </w:numPr>
        <w:tabs>
          <w:tab w:val="left" w:pos="0"/>
        </w:tabs>
        <w:spacing w:after="0"/>
        <w:rPr>
          <w:rFonts w:ascii="Verdana" w:hAnsi="Verdana"/>
          <w:noProof/>
          <w:sz w:val="18"/>
        </w:rPr>
      </w:pPr>
      <w:r>
        <w:rPr>
          <w:rFonts w:ascii="Verdana" w:hAnsi="Verdana"/>
          <w:noProof/>
          <w:sz w:val="18"/>
        </w:rPr>
        <w:t>Under the legal framework applicable for Cohesion Policy up to the 2007-2013 programming period, a real cash-flow back to the EU budget occurs only:</w:t>
      </w:r>
    </w:p>
    <w:p w:rsidR="00CC45FC" w:rsidRDefault="004A7700">
      <w:pPr>
        <w:pStyle w:val="ListParagraph"/>
        <w:numPr>
          <w:ilvl w:val="0"/>
          <w:numId w:val="35"/>
        </w:numPr>
        <w:tabs>
          <w:tab w:val="left" w:pos="0"/>
        </w:tabs>
        <w:spacing w:after="0"/>
        <w:rPr>
          <w:rFonts w:ascii="Verdana" w:hAnsi="Verdana"/>
          <w:noProof/>
          <w:sz w:val="18"/>
        </w:rPr>
      </w:pPr>
      <w:r>
        <w:rPr>
          <w:rFonts w:ascii="Verdana" w:hAnsi="Verdana"/>
          <w:noProof/>
          <w:sz w:val="18"/>
        </w:rPr>
        <w:t>If Member States are unable to present sufficient eligible expenditure;</w:t>
      </w:r>
    </w:p>
    <w:p w:rsidR="00CC45FC" w:rsidRDefault="004A7700">
      <w:pPr>
        <w:pStyle w:val="ListParagraph"/>
        <w:numPr>
          <w:ilvl w:val="0"/>
          <w:numId w:val="35"/>
        </w:numPr>
        <w:tabs>
          <w:tab w:val="left" w:pos="0"/>
        </w:tabs>
        <w:spacing w:after="0"/>
        <w:rPr>
          <w:rFonts w:ascii="Verdana" w:hAnsi="Verdana"/>
          <w:noProof/>
          <w:sz w:val="18"/>
        </w:rPr>
      </w:pPr>
      <w:r>
        <w:rPr>
          <w:rFonts w:ascii="Verdana" w:hAnsi="Verdana"/>
          <w:noProof/>
          <w:sz w:val="18"/>
        </w:rPr>
        <w:t>After the closure of programmes where replacement of ineligible by eligible expenditure is no longer possible;</w:t>
      </w:r>
    </w:p>
    <w:p w:rsidR="00CC45FC" w:rsidRDefault="004A7700">
      <w:pPr>
        <w:pStyle w:val="ListParagraph"/>
        <w:numPr>
          <w:ilvl w:val="0"/>
          <w:numId w:val="35"/>
        </w:numPr>
        <w:tabs>
          <w:tab w:val="left" w:pos="0"/>
        </w:tabs>
        <w:spacing w:after="0"/>
        <w:rPr>
          <w:rFonts w:ascii="Verdana" w:hAnsi="Verdana"/>
          <w:noProof/>
          <w:sz w:val="18"/>
        </w:rPr>
      </w:pPr>
      <w:r>
        <w:rPr>
          <w:rFonts w:ascii="Verdana" w:hAnsi="Verdana"/>
          <w:noProof/>
          <w:sz w:val="18"/>
        </w:rPr>
        <w:t>In case of disagreement with the Commission.</w:t>
      </w:r>
    </w:p>
    <w:p w:rsidR="00CC45FC" w:rsidRDefault="004A7700">
      <w:pPr>
        <w:spacing w:before="120" w:after="120" w:line="240" w:lineRule="auto"/>
        <w:ind w:left="1418"/>
        <w:jc w:val="both"/>
        <w:rPr>
          <w:rFonts w:ascii="Verdana" w:hAnsi="Verdana"/>
          <w:noProof/>
          <w:sz w:val="18"/>
          <w:szCs w:val="20"/>
        </w:rPr>
      </w:pPr>
      <w:r>
        <w:rPr>
          <w:rFonts w:ascii="Verdana" w:hAnsi="Verdana"/>
          <w:noProof/>
          <w:sz w:val="18"/>
        </w:rPr>
        <w:t>However, a significant change was introduced for the 2014-2020 period: the Commission has the obligation to apply a net financial correction when serious deficiencies in the effective functioning of the management and control system not previously detected, reported nor corrected at Member State level are discovered by EU audits after the submission of the assurance packages. In such cases, the possibility of previous programming periods for the Member State to accept the correction and to re-use the EU funds in question is removed.</w:t>
      </w:r>
    </w:p>
    <w:p w:rsidR="00CC45FC" w:rsidRDefault="004A7700">
      <w:pPr>
        <w:spacing w:line="240" w:lineRule="auto"/>
        <w:jc w:val="both"/>
        <w:rPr>
          <w:rFonts w:ascii="Verdana" w:hAnsi="Verdana"/>
          <w:noProof/>
          <w:sz w:val="18"/>
          <w:szCs w:val="20"/>
        </w:rPr>
      </w:pPr>
      <w:r>
        <w:rPr>
          <w:rFonts w:ascii="Verdana" w:hAnsi="Verdana"/>
          <w:noProof/>
          <w:sz w:val="18"/>
          <w:szCs w:val="20"/>
        </w:rPr>
        <w:t>Under shared management, Member States make major efforts and commit resources to making financial corrections and recovering undue amounts from beneficiaries. Moreover, they perform management verifications, controls and audits in the first instance, these being in addition to those of the Commission detailed above.</w:t>
      </w:r>
    </w:p>
    <w:p w:rsidR="00CC45FC" w:rsidRDefault="00CC45FC">
      <w:pPr>
        <w:spacing w:after="0" w:line="240" w:lineRule="auto"/>
        <w:rPr>
          <w:rFonts w:ascii="Verdana" w:hAnsi="Verdana"/>
          <w:noProof/>
          <w:sz w:val="16"/>
          <w:szCs w:val="16"/>
        </w:rPr>
      </w:pPr>
    </w:p>
    <w:p w:rsidR="00CC45FC" w:rsidRDefault="004A7700">
      <w:pPr>
        <w:spacing w:after="240" w:line="240" w:lineRule="auto"/>
        <w:rPr>
          <w:rFonts w:ascii="Verdana" w:hAnsi="Verdana"/>
          <w:i/>
          <w:noProof/>
          <w:sz w:val="20"/>
          <w:szCs w:val="20"/>
          <w:lang w:eastAsia="en-GB"/>
        </w:rPr>
      </w:pPr>
      <w:bookmarkStart w:id="18" w:name="_Toc406161306"/>
      <w:bookmarkStart w:id="19" w:name="_Toc406163431"/>
      <w:r>
        <w:rPr>
          <w:rFonts w:ascii="Verdana" w:hAnsi="Verdana"/>
          <w:i/>
          <w:noProof/>
          <w:sz w:val="20"/>
          <w:szCs w:val="20"/>
          <w:lang w:eastAsia="en-GB"/>
        </w:rPr>
        <w:t>2.2.3.</w:t>
      </w:r>
      <w:r>
        <w:rPr>
          <w:rFonts w:ascii="Verdana" w:hAnsi="Verdana"/>
          <w:i/>
          <w:noProof/>
          <w:sz w:val="20"/>
          <w:szCs w:val="20"/>
          <w:lang w:eastAsia="en-GB"/>
        </w:rPr>
        <w:tab/>
        <w:t>Recoveries</w:t>
      </w:r>
      <w:bookmarkEnd w:id="18"/>
      <w:bookmarkEnd w:id="19"/>
    </w:p>
    <w:p w:rsidR="00CC45FC" w:rsidRDefault="004A7700">
      <w:pPr>
        <w:pStyle w:val="Textstand-alone"/>
        <w:rPr>
          <w:i/>
          <w:szCs w:val="20"/>
          <w:u w:val="single"/>
        </w:rPr>
      </w:pPr>
      <w:r>
        <w:rPr>
          <w:i/>
          <w:szCs w:val="20"/>
          <w:u w:val="single"/>
        </w:rPr>
        <w:t>AGRICULTURE AND RURAL DEVELOPMENT</w:t>
      </w:r>
    </w:p>
    <w:p w:rsidR="00CC45FC" w:rsidRDefault="004A7700">
      <w:pPr>
        <w:pStyle w:val="Textstand-alone"/>
        <w:spacing w:after="120"/>
        <w:rPr>
          <w:szCs w:val="20"/>
        </w:rPr>
      </w:pPr>
      <w:r>
        <w:rPr>
          <w:szCs w:val="20"/>
        </w:rPr>
        <w:t>Regulation (EU) No 1306/2013</w:t>
      </w:r>
      <w:r>
        <w:rPr>
          <w:rStyle w:val="FootnoteReference"/>
          <w:szCs w:val="20"/>
        </w:rPr>
        <w:footnoteReference w:id="2"/>
      </w:r>
      <w:r>
        <w:rPr>
          <w:szCs w:val="20"/>
        </w:rPr>
        <w:t xml:space="preserve"> on the financing of the CAP requires the Member States to recover sums lost as a result of detected irregular payments. However, the recovery procedures, in accordance with the principle of subsidiarity, are wholly the responsibility of the Member States concerned and, thus, subject to their individual administrative and judicial procedures. Therefore, while some procedures deliver rapid results, others take more time.</w:t>
      </w:r>
    </w:p>
    <w:p w:rsidR="00CC45FC" w:rsidRDefault="004A7700">
      <w:pPr>
        <w:pStyle w:val="Textstand-alone"/>
        <w:spacing w:before="120" w:after="120"/>
        <w:rPr>
          <w:szCs w:val="20"/>
        </w:rPr>
      </w:pPr>
      <w:r>
        <w:rPr>
          <w:szCs w:val="20"/>
        </w:rPr>
        <w:t>In order to address delays by some Member States in recovering undue payments, the legislator introduced an automatic clearing mechanism under which 50 % of any undue payments which the Member States have not recovered from the beneficiaries within 4 years or, in the case of legal proceedings, 8 years, would be charged to their national budgets (so-called "50 / 50 rule"). Even after the application of this mechanism, Member States are, however, obliged to pursue their recovery procedures and, if they fail to do so with the necessary diligence, the Commission may decide to charge the entire outstanding amounts to the Member States concerned. Moreover, pursuant to Article 28 of Regulation 908/2014</w:t>
      </w:r>
      <w:r>
        <w:rPr>
          <w:rStyle w:val="FootnoteReference"/>
          <w:szCs w:val="20"/>
        </w:rPr>
        <w:footnoteReference w:id="3"/>
      </w:r>
      <w:r>
        <w:rPr>
          <w:szCs w:val="20"/>
        </w:rPr>
        <w:t>, Member States are required to off-set any outstanding debts against future payments to the debtor (compulsory compensation).</w:t>
      </w:r>
    </w:p>
    <w:p w:rsidR="00CC45FC" w:rsidRDefault="004A7700">
      <w:pPr>
        <w:pStyle w:val="Textstand-alone"/>
        <w:spacing w:before="120" w:after="120"/>
        <w:rPr>
          <w:szCs w:val="20"/>
        </w:rPr>
      </w:pPr>
      <w:r>
        <w:rPr>
          <w:szCs w:val="20"/>
        </w:rPr>
        <w:t>With the entry into force of the new legal framework, the 50 / 50 rule now has also to be applied to EAFRD in the financial year when it occurs and not at the closure of the programme. Consequently, as from financial year 2014, the Member States are required to indicate amounts to be charged under the 50 / 50 rule also for EAFRD 2007-2013 as well as for EAFRD 2014-2020 programmes</w:t>
      </w:r>
      <w:r>
        <w:rPr>
          <w:szCs w:val="20"/>
          <w:vertAlign w:val="superscript"/>
        </w:rPr>
        <w:footnoteReference w:id="4"/>
      </w:r>
      <w:r>
        <w:rPr>
          <w:szCs w:val="20"/>
        </w:rPr>
        <w:t>.</w:t>
      </w:r>
    </w:p>
    <w:p w:rsidR="00CC45FC" w:rsidRDefault="004A7700">
      <w:pPr>
        <w:pStyle w:val="Textstand-alone"/>
        <w:spacing w:before="120" w:after="120"/>
        <w:rPr>
          <w:szCs w:val="20"/>
        </w:rPr>
      </w:pPr>
      <w:r>
        <w:rPr>
          <w:szCs w:val="20"/>
        </w:rPr>
        <w:t>Undue payments that are the result of administrative errors committed by the national authorities also have to be deducted from the annual accounts of the Paying Agencies concerned and, thus, excluded from EU financing.</w:t>
      </w:r>
    </w:p>
    <w:p w:rsidR="00CC45FC" w:rsidRDefault="004A7700">
      <w:pPr>
        <w:pStyle w:val="Textstand-alone"/>
        <w:spacing w:before="120"/>
        <w:rPr>
          <w:szCs w:val="20"/>
        </w:rPr>
      </w:pPr>
      <w:r>
        <w:rPr>
          <w:szCs w:val="20"/>
        </w:rPr>
        <w:t>For the EAGF, amounts recovered from the beneficiaries are credited to the EU budget as assigned revenue, after deduction of a 20 % flat rate recovery cost</w:t>
      </w:r>
      <w:r>
        <w:rPr>
          <w:rStyle w:val="FootnoteReference"/>
          <w:szCs w:val="20"/>
        </w:rPr>
        <w:footnoteReference w:id="5"/>
      </w:r>
      <w:r>
        <w:rPr>
          <w:szCs w:val="20"/>
        </w:rPr>
        <w:t>. For EAFRD</w:t>
      </w:r>
      <w:r>
        <w:rPr>
          <w:b/>
          <w:szCs w:val="20"/>
        </w:rPr>
        <w:t xml:space="preserve"> </w:t>
      </w:r>
      <w:r>
        <w:rPr>
          <w:szCs w:val="20"/>
        </w:rPr>
        <w:t>recoveries are taken into consideration in a future reimbursement claim received by the Commission and therefore can be reused for the programme within the programming period. After the end of the eligibility period they are credited to the EU budget as assigned revenue.</w:t>
      </w:r>
    </w:p>
    <w:p w:rsidR="00CC45FC" w:rsidRDefault="004A7700">
      <w:pPr>
        <w:pStyle w:val="Textstand-alone"/>
        <w:rPr>
          <w:i/>
          <w:szCs w:val="20"/>
          <w:u w:val="single"/>
        </w:rPr>
      </w:pPr>
      <w:r>
        <w:rPr>
          <w:i/>
          <w:szCs w:val="20"/>
          <w:u w:val="single"/>
        </w:rPr>
        <w:t>COHESION POLICY</w:t>
      </w:r>
    </w:p>
    <w:p w:rsidR="00CC45FC" w:rsidRDefault="004A7700">
      <w:pPr>
        <w:pStyle w:val="Textstand-alone"/>
        <w:rPr>
          <w:szCs w:val="20"/>
        </w:rPr>
      </w:pPr>
      <w:r>
        <w:rPr>
          <w:szCs w:val="20"/>
        </w:rPr>
        <w:t>Recoveries are mainly issued at or after closure of the programmes and result in revenue for the EU budget. Under the current programming period (2014-2020) and for the first time in 2017, recoveries will also occur in the framework of the annual acceptance of the accounts. The Commission will calculate the balance between the amount accepted in the accounts and the amounts already paid to the Member States during the accounting year (annual pre-financing and 90 % of the payment applications). Where this is an amount recoverable from the Member State, a recovery order will be issued. This recovery order, which can be executed when possible by offsetting against subsequent payment applications, is not a financial correction and is not reducing the overall allocation of the programme. This amount will accordingly be re-used for the programme.</w:t>
      </w:r>
    </w:p>
    <w:p w:rsidR="00CC45FC" w:rsidRDefault="004A7700">
      <w:pPr>
        <w:pStyle w:val="Textstand-alone"/>
        <w:rPr>
          <w:i/>
          <w:szCs w:val="20"/>
          <w:u w:val="single"/>
        </w:rPr>
      </w:pPr>
      <w:r>
        <w:rPr>
          <w:i/>
          <w:szCs w:val="20"/>
          <w:u w:val="single"/>
        </w:rPr>
        <w:t>DIRECT AND INDIRECT MANAGEMENT</w:t>
      </w:r>
    </w:p>
    <w:p w:rsidR="00CC45FC" w:rsidRDefault="004A7700">
      <w:pPr>
        <w:spacing w:line="240" w:lineRule="auto"/>
        <w:jc w:val="both"/>
        <w:rPr>
          <w:rFonts w:ascii="Verdana" w:hAnsi="Verdana"/>
          <w:noProof/>
          <w:sz w:val="18"/>
          <w:szCs w:val="20"/>
          <w:lang w:eastAsia="en-GB"/>
        </w:rPr>
      </w:pPr>
      <w:r>
        <w:rPr>
          <w:rFonts w:ascii="Verdana" w:hAnsi="Verdana"/>
          <w:noProof/>
          <w:sz w:val="18"/>
          <w:szCs w:val="20"/>
        </w:rPr>
        <w:t>Under direct and indirect management and in accordance with the FR, recovery orders should be established by the authorising officer for amounts unduly paid. Recoveries are then implemented by direct bank transfer from the debtor (and constitute assigned revenue for the EU budget that can be re-used for the same programme) or by offsetting from other amounts that the Commission owes to the debtor. Commission services implement recoveries also "at source" by deducting ineligible expenditure (identified in current cost claims) from payments made.</w:t>
      </w:r>
    </w:p>
    <w:p w:rsidR="00CC45FC" w:rsidRDefault="004A7700">
      <w:pPr>
        <w:pStyle w:val="ManualHeading2"/>
        <w:rPr>
          <w:noProof/>
          <w:lang w:eastAsia="en-GB"/>
        </w:rPr>
      </w:pPr>
      <w:bookmarkStart w:id="20" w:name="_Toc456258158"/>
      <w:bookmarkStart w:id="21" w:name="_Toc456686566"/>
      <w:r>
        <w:t>2.3.</w:t>
      </w:r>
      <w:r>
        <w:tab/>
      </w:r>
      <w:r>
        <w:rPr>
          <w:noProof/>
          <w:lang w:eastAsia="en-GB"/>
        </w:rPr>
        <w:t>Cost-effectiveness of management and control systems</w:t>
      </w:r>
      <w:bookmarkEnd w:id="20"/>
      <w:bookmarkEnd w:id="21"/>
    </w:p>
    <w:p w:rsidR="00CC45FC" w:rsidRDefault="004A7700">
      <w:pPr>
        <w:spacing w:after="0" w:line="240" w:lineRule="auto"/>
        <w:jc w:val="both"/>
        <w:rPr>
          <w:rFonts w:ascii="Verdana" w:hAnsi="Verdana" w:cs="Calibri"/>
          <w:noProof/>
          <w:sz w:val="18"/>
          <w:szCs w:val="20"/>
        </w:rPr>
      </w:pPr>
      <w:r>
        <w:rPr>
          <w:rFonts w:ascii="Verdana" w:hAnsi="Verdana" w:cs="Calibri"/>
          <w:noProof/>
          <w:sz w:val="18"/>
          <w:szCs w:val="20"/>
        </w:rPr>
        <w:t>In line with the requirement of the Financial Regulation, an important objective of the Commission's "</w:t>
      </w:r>
      <w:r>
        <w:rPr>
          <w:rFonts w:ascii="Verdana" w:hAnsi="Verdana" w:cs="Calibri"/>
          <w:b/>
          <w:noProof/>
          <w:sz w:val="18"/>
          <w:szCs w:val="20"/>
        </w:rPr>
        <w:t>budget focused on results strategy</w:t>
      </w:r>
      <w:r>
        <w:rPr>
          <w:rFonts w:ascii="Verdana" w:hAnsi="Verdana" w:cs="Calibri"/>
          <w:noProof/>
          <w:sz w:val="18"/>
          <w:szCs w:val="20"/>
        </w:rPr>
        <w:t>" is to ensure cost-effectiveness when designing and implementing management and control systems which prevent or identify and correct errors. Control strategies should therefore consider a higher level of scrutiny and frequency in riskier areas and ensure cost-effectiveness. This is important because controls impose a significant administrative burden on beneficiaries and may even discourage participation in programmes. Furthermore, inefficient and ineffective controls absorb resources which could otherwise contribute to the achievement of results. For more details, please see the Commission's 2015 Annual Management and Performance Report</w:t>
      </w:r>
      <w:r>
        <w:rPr>
          <w:rStyle w:val="FootnoteReference"/>
          <w:rFonts w:ascii="Verdana" w:hAnsi="Verdana" w:cs="Calibri"/>
          <w:noProof/>
          <w:sz w:val="18"/>
          <w:szCs w:val="20"/>
        </w:rPr>
        <w:footnoteReference w:id="6"/>
      </w:r>
      <w:r>
        <w:rPr>
          <w:rFonts w:ascii="Verdana" w:hAnsi="Verdana" w:cs="Calibri"/>
          <w:noProof/>
          <w:sz w:val="18"/>
          <w:szCs w:val="20"/>
        </w:rPr>
        <w:t>.</w:t>
      </w:r>
    </w:p>
    <w:p w:rsidR="00CC45FC" w:rsidRDefault="004A7700">
      <w:pPr>
        <w:pStyle w:val="ManualHeading2"/>
        <w:rPr>
          <w:noProof/>
          <w:lang w:eastAsia="en-GB"/>
        </w:rPr>
      </w:pPr>
      <w:bookmarkStart w:id="22" w:name="_Toc456258159"/>
      <w:bookmarkStart w:id="23" w:name="_Toc456686567"/>
      <w:r>
        <w:t>2.4.</w:t>
      </w:r>
      <w:r>
        <w:tab/>
      </w:r>
      <w:r>
        <w:rPr>
          <w:noProof/>
          <w:lang w:eastAsia="en-GB"/>
        </w:rPr>
        <w:t>Public internal control and the management of EU Funds</w:t>
      </w:r>
      <w:bookmarkEnd w:id="22"/>
      <w:bookmarkEnd w:id="23"/>
    </w:p>
    <w:p w:rsidR="00CC45FC" w:rsidRDefault="004A7700">
      <w:pPr>
        <w:spacing w:after="0" w:line="240" w:lineRule="auto"/>
        <w:jc w:val="both"/>
        <w:rPr>
          <w:rFonts w:ascii="Verdana" w:eastAsia="Times New Roman" w:hAnsi="Verdana"/>
          <w:b/>
          <w:noProof/>
          <w:kern w:val="32"/>
        </w:rPr>
      </w:pPr>
      <w:r>
        <w:rPr>
          <w:rFonts w:ascii="Verdana" w:hAnsi="Verdana"/>
          <w:noProof/>
          <w:kern w:val="32"/>
          <w:sz w:val="18"/>
          <w:szCs w:val="18"/>
        </w:rPr>
        <w:t>The protection of the EU Budget is a shared responsibility of the Commission and the Member States. The Commission facilitates and participates in the Public Internal Control (PIC) Network, which brings together Internal Control representatives from all EU Member States. The PIC Network examines Internal Control issues, relating either to the national budget or the management of EU funds, with a view to identifying good practice in those areas where effective implementation is proving difficult. The PIC Network comes together at regular intervals, allowing all Member States to work together to improve their Internal Control arrangements for better financial management and better performance.</w:t>
      </w:r>
    </w:p>
    <w:p w:rsidR="00CC45FC" w:rsidRDefault="004A7700">
      <w:pPr>
        <w:spacing w:after="0" w:line="240" w:lineRule="auto"/>
        <w:rPr>
          <w:rFonts w:ascii="Verdana" w:eastAsia="Times New Roman" w:hAnsi="Verdana"/>
          <w:b/>
          <w:noProof/>
          <w:kern w:val="32"/>
        </w:rPr>
      </w:pPr>
      <w:r>
        <w:rPr>
          <w:caps/>
          <w:smallCaps/>
          <w:noProof/>
        </w:rPr>
        <w:br w:type="page"/>
      </w:r>
    </w:p>
    <w:p w:rsidR="00CC45FC" w:rsidRDefault="004A7700">
      <w:pPr>
        <w:pStyle w:val="ManualHeading1"/>
        <w:rPr>
          <w:caps/>
          <w:noProof/>
        </w:rPr>
      </w:pPr>
      <w:bookmarkStart w:id="24" w:name="_Toc456258160"/>
      <w:bookmarkStart w:id="25" w:name="_Toc456686568"/>
      <w:r>
        <w:t>3.</w:t>
      </w:r>
      <w:r>
        <w:tab/>
      </w:r>
      <w:r>
        <w:rPr>
          <w:noProof/>
        </w:rPr>
        <w:t>FINANCIAL CORRECTIONS AND RECOVERIES AT END 2015</w:t>
      </w:r>
      <w:bookmarkEnd w:id="24"/>
      <w:bookmarkEnd w:id="25"/>
    </w:p>
    <w:p w:rsidR="00CC45FC" w:rsidRDefault="004A7700">
      <w:pPr>
        <w:pStyle w:val="ManualHeading2"/>
        <w:rPr>
          <w:i/>
          <w:noProof/>
        </w:rPr>
      </w:pPr>
      <w:bookmarkStart w:id="26" w:name="_Toc456258161"/>
      <w:bookmarkStart w:id="27" w:name="_Toc456686569"/>
      <w:r>
        <w:t>3.1.</w:t>
      </w:r>
      <w:r>
        <w:tab/>
      </w:r>
      <w:r>
        <w:rPr>
          <w:noProof/>
        </w:rPr>
        <w:t>Financial corrections and recoveries 2015</w:t>
      </w:r>
      <w:bookmarkEnd w:id="26"/>
      <w:bookmarkEnd w:id="27"/>
    </w:p>
    <w:p w:rsidR="00CC45FC" w:rsidRDefault="004A7700">
      <w:pPr>
        <w:spacing w:line="240" w:lineRule="auto"/>
        <w:jc w:val="both"/>
        <w:rPr>
          <w:rFonts w:ascii="Verdana" w:hAnsi="Verdana" w:cs="Arial"/>
          <w:b/>
          <w:bCs/>
          <w:i/>
          <w:noProof/>
          <w:sz w:val="18"/>
        </w:rPr>
      </w:pPr>
      <w:r>
        <w:rPr>
          <w:rFonts w:ascii="Verdana" w:hAnsi="Verdana"/>
          <w:b/>
          <w:i/>
          <w:noProof/>
          <w:sz w:val="18"/>
        </w:rPr>
        <w:t>Table 3.1:</w:t>
      </w:r>
      <w:r>
        <w:rPr>
          <w:rFonts w:ascii="Verdana" w:hAnsi="Verdana"/>
          <w:i/>
          <w:noProof/>
          <w:sz w:val="18"/>
        </w:rPr>
        <w:t xml:space="preserve"> </w:t>
      </w:r>
      <w:r>
        <w:rPr>
          <w:rFonts w:ascii="Verdana" w:hAnsi="Verdana" w:cs="Arial"/>
          <w:b/>
          <w:bCs/>
          <w:i/>
          <w:noProof/>
          <w:sz w:val="18"/>
        </w:rPr>
        <w:t>Financial corrections and recoveries overview for 2015</w:t>
      </w:r>
      <w:r>
        <w:rPr>
          <w:rStyle w:val="FootnoteReference"/>
          <w:rFonts w:ascii="Verdana" w:hAnsi="Verdana" w:cs="Arial"/>
          <w:b/>
          <w:bCs/>
          <w:i/>
          <w:noProof/>
          <w:sz w:val="18"/>
        </w:rPr>
        <w:footnoteReference w:id="7"/>
      </w:r>
      <w:r>
        <w:rPr>
          <w:rFonts w:ascii="Verdana" w:hAnsi="Verdana" w:cs="Arial"/>
          <w:b/>
          <w:bCs/>
          <w:i/>
          <w:noProof/>
          <w:sz w:val="18"/>
        </w:rPr>
        <w:t xml:space="preserve"> </w:t>
      </w:r>
    </w:p>
    <w:tbl>
      <w:tblPr>
        <w:tblW w:w="5085" w:type="pct"/>
        <w:tblInd w:w="108" w:type="dxa"/>
        <w:tblLayout w:type="fixed"/>
        <w:tblLook w:val="04A0" w:firstRow="1" w:lastRow="0" w:firstColumn="1" w:lastColumn="0" w:noHBand="0" w:noVBand="1"/>
      </w:tblPr>
      <w:tblGrid>
        <w:gridCol w:w="1395"/>
        <w:gridCol w:w="1012"/>
        <w:gridCol w:w="851"/>
        <w:gridCol w:w="852"/>
        <w:gridCol w:w="852"/>
        <w:gridCol w:w="850"/>
        <w:gridCol w:w="1011"/>
        <w:gridCol w:w="994"/>
        <w:gridCol w:w="994"/>
        <w:gridCol w:w="637"/>
        <w:gridCol w:w="142"/>
      </w:tblGrid>
      <w:tr w:rsidR="00CC45FC">
        <w:trPr>
          <w:gridAfter w:val="1"/>
          <w:wAfter w:w="74" w:type="pct"/>
          <w:trHeight w:val="139"/>
        </w:trPr>
        <w:tc>
          <w:tcPr>
            <w:tcW w:w="4926" w:type="pct"/>
            <w:gridSpan w:val="10"/>
            <w:tcBorders>
              <w:top w:val="nil"/>
              <w:left w:val="nil"/>
              <w:bottom w:val="nil"/>
              <w:right w:val="nil"/>
            </w:tcBorders>
            <w:shd w:val="clear" w:color="auto" w:fill="auto"/>
            <w:noWrap/>
            <w:vAlign w:val="bottom"/>
            <w:hideMark/>
          </w:tcPr>
          <w:p w:rsidR="00CC45FC" w:rsidRDefault="004A7700">
            <w:pPr>
              <w:spacing w:after="0" w:line="240" w:lineRule="auto"/>
              <w:ind w:left="-227"/>
              <w:contextualSpacing/>
              <w:jc w:val="right"/>
              <w:rPr>
                <w:rFonts w:ascii="Verdana" w:eastAsia="Times New Roman" w:hAnsi="Verdana"/>
                <w:i/>
                <w:iCs/>
                <w:noProof/>
                <w:color w:val="000000"/>
                <w:sz w:val="12"/>
                <w:szCs w:val="12"/>
                <w:lang w:eastAsia="en-GB"/>
              </w:rPr>
            </w:pPr>
            <w:r>
              <w:rPr>
                <w:rFonts w:ascii="Verdana" w:eastAsia="Times New Roman" w:hAnsi="Verdana"/>
                <w:i/>
                <w:iCs/>
                <w:noProof/>
                <w:color w:val="000000"/>
                <w:sz w:val="12"/>
                <w:szCs w:val="12"/>
                <w:lang w:eastAsia="en-GB"/>
              </w:rPr>
              <w:t>EUR millions</w:t>
            </w:r>
          </w:p>
        </w:tc>
      </w:tr>
      <w:tr w:rsidR="00CC45FC">
        <w:trPr>
          <w:trHeight w:val="952"/>
        </w:trPr>
        <w:tc>
          <w:tcPr>
            <w:tcW w:w="728" w:type="pct"/>
            <w:tcBorders>
              <w:top w:val="single" w:sz="8" w:space="0" w:color="auto"/>
              <w:left w:val="single" w:sz="8" w:space="0" w:color="auto"/>
              <w:bottom w:val="single" w:sz="8" w:space="0" w:color="000000"/>
              <w:right w:val="single" w:sz="8" w:space="0" w:color="auto"/>
            </w:tcBorders>
            <w:shd w:val="clear" w:color="000000" w:fill="99CCFF"/>
            <w:noWrap/>
            <w:vAlign w:val="center"/>
            <w:hideMark/>
          </w:tcPr>
          <w:p w:rsidR="00CC45FC" w:rsidRDefault="004A7700">
            <w:pPr>
              <w:spacing w:after="0" w:line="240" w:lineRule="auto"/>
              <w:contextualSpacing/>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MFF Heading</w:t>
            </w:r>
          </w:p>
        </w:tc>
        <w:tc>
          <w:tcPr>
            <w:tcW w:w="528" w:type="pct"/>
            <w:tcBorders>
              <w:top w:val="single" w:sz="8" w:space="0" w:color="auto"/>
              <w:left w:val="single" w:sz="8" w:space="0" w:color="auto"/>
              <w:bottom w:val="single" w:sz="8" w:space="0" w:color="000000"/>
              <w:right w:val="single" w:sz="8" w:space="0" w:color="auto"/>
            </w:tcBorders>
            <w:shd w:val="clear" w:color="000000" w:fill="99CCFF"/>
            <w:vAlign w:val="center"/>
            <w:hideMark/>
          </w:tcPr>
          <w:p w:rsidR="00CC45FC" w:rsidRDefault="004A7700">
            <w:pPr>
              <w:spacing w:after="0" w:line="240" w:lineRule="auto"/>
              <w:contextualSpacing/>
              <w:jc w:val="center"/>
              <w:rPr>
                <w:rFonts w:ascii="Verdana" w:eastAsia="Times New Roman" w:hAnsi="Verdana"/>
                <w:b/>
                <w:bCs/>
                <w:noProof/>
                <w:color w:val="000000"/>
                <w:sz w:val="10"/>
                <w:szCs w:val="10"/>
                <w:lang w:eastAsia="en-GB"/>
              </w:rPr>
            </w:pPr>
            <w:r>
              <w:rPr>
                <w:rFonts w:ascii="Verdana" w:eastAsia="Times New Roman" w:hAnsi="Verdana"/>
                <w:b/>
                <w:bCs/>
                <w:noProof/>
                <w:color w:val="000000"/>
                <w:sz w:val="10"/>
                <w:szCs w:val="10"/>
                <w:lang w:eastAsia="en-GB"/>
              </w:rPr>
              <w:t>Total EU budget payments in 2015</w:t>
            </w:r>
          </w:p>
        </w:tc>
        <w:tc>
          <w:tcPr>
            <w:tcW w:w="444" w:type="pct"/>
            <w:tcBorders>
              <w:top w:val="single" w:sz="8" w:space="0" w:color="auto"/>
              <w:left w:val="nil"/>
              <w:bottom w:val="single" w:sz="8" w:space="0" w:color="000000"/>
              <w:right w:val="single" w:sz="4" w:space="0" w:color="auto"/>
            </w:tcBorders>
            <w:shd w:val="clear" w:color="000000" w:fill="99CCFF"/>
          </w:tcPr>
          <w:p w:rsidR="00CC45FC" w:rsidRDefault="00CC45FC">
            <w:pPr>
              <w:spacing w:after="0" w:line="240" w:lineRule="auto"/>
              <w:contextualSpacing/>
              <w:jc w:val="center"/>
              <w:rPr>
                <w:rFonts w:ascii="Verdana" w:eastAsia="Times New Roman" w:hAnsi="Verdana"/>
                <w:b/>
                <w:bCs/>
                <w:noProof/>
                <w:color w:val="000000"/>
                <w:sz w:val="10"/>
                <w:szCs w:val="10"/>
                <w:lang w:eastAsia="en-GB"/>
              </w:rPr>
            </w:pPr>
          </w:p>
          <w:p w:rsidR="00CC45FC" w:rsidRDefault="004A7700">
            <w:pPr>
              <w:spacing w:after="0" w:line="240" w:lineRule="auto"/>
              <w:contextualSpacing/>
              <w:jc w:val="center"/>
              <w:rPr>
                <w:rFonts w:ascii="Verdana" w:eastAsia="Times New Roman" w:hAnsi="Verdana"/>
                <w:b/>
                <w:bCs/>
                <w:noProof/>
                <w:color w:val="000000"/>
                <w:sz w:val="10"/>
                <w:szCs w:val="10"/>
                <w:lang w:eastAsia="en-GB"/>
              </w:rPr>
            </w:pPr>
            <w:r>
              <w:rPr>
                <w:rFonts w:ascii="Verdana" w:eastAsia="Times New Roman" w:hAnsi="Verdana"/>
                <w:b/>
                <w:bCs/>
                <w:noProof/>
                <w:color w:val="000000"/>
                <w:sz w:val="10"/>
                <w:szCs w:val="10"/>
                <w:lang w:eastAsia="en-GB"/>
              </w:rPr>
              <w:t xml:space="preserve">Total financial corrections </w:t>
            </w:r>
            <w:r>
              <w:rPr>
                <w:rFonts w:ascii="Verdana" w:eastAsia="Times New Roman" w:hAnsi="Verdana"/>
                <w:b/>
                <w:bCs/>
                <w:noProof/>
                <w:color w:val="000000"/>
                <w:sz w:val="10"/>
                <w:szCs w:val="10"/>
                <w:u w:val="single"/>
                <w:lang w:eastAsia="en-GB"/>
              </w:rPr>
              <w:t>confirmed</w:t>
            </w:r>
            <w:r>
              <w:rPr>
                <w:rFonts w:ascii="Verdana" w:eastAsia="Times New Roman" w:hAnsi="Verdana"/>
                <w:b/>
                <w:bCs/>
                <w:noProof/>
                <w:color w:val="000000"/>
                <w:sz w:val="10"/>
                <w:szCs w:val="10"/>
                <w:lang w:eastAsia="en-GB"/>
              </w:rPr>
              <w:t xml:space="preserve"> in 2015</w:t>
            </w:r>
          </w:p>
        </w:tc>
        <w:tc>
          <w:tcPr>
            <w:tcW w:w="444" w:type="pct"/>
            <w:tcBorders>
              <w:top w:val="single" w:sz="8" w:space="0" w:color="auto"/>
              <w:left w:val="single" w:sz="4" w:space="0" w:color="auto"/>
              <w:bottom w:val="single" w:sz="8" w:space="0" w:color="000000"/>
              <w:right w:val="single" w:sz="4" w:space="0" w:color="auto"/>
            </w:tcBorders>
            <w:shd w:val="clear" w:color="000000" w:fill="99CCFF"/>
          </w:tcPr>
          <w:p w:rsidR="00CC45FC" w:rsidRDefault="00CC45FC">
            <w:pPr>
              <w:spacing w:after="0" w:line="240" w:lineRule="auto"/>
              <w:contextualSpacing/>
              <w:jc w:val="center"/>
              <w:rPr>
                <w:rFonts w:ascii="Verdana" w:eastAsia="Times New Roman" w:hAnsi="Verdana"/>
                <w:b/>
                <w:bCs/>
                <w:noProof/>
                <w:color w:val="000000"/>
                <w:sz w:val="10"/>
                <w:szCs w:val="10"/>
                <w:lang w:eastAsia="en-GB"/>
              </w:rPr>
            </w:pPr>
          </w:p>
          <w:p w:rsidR="00CC45FC" w:rsidRDefault="004A7700">
            <w:pPr>
              <w:spacing w:after="0" w:line="240" w:lineRule="auto"/>
              <w:contextualSpacing/>
              <w:jc w:val="center"/>
              <w:rPr>
                <w:rFonts w:ascii="Verdana" w:eastAsia="Times New Roman" w:hAnsi="Verdana"/>
                <w:b/>
                <w:bCs/>
                <w:noProof/>
                <w:color w:val="000000"/>
                <w:sz w:val="10"/>
                <w:szCs w:val="10"/>
                <w:lang w:eastAsia="en-GB"/>
              </w:rPr>
            </w:pPr>
            <w:r>
              <w:rPr>
                <w:rFonts w:ascii="Verdana" w:eastAsia="Times New Roman" w:hAnsi="Verdana"/>
                <w:b/>
                <w:bCs/>
                <w:noProof/>
                <w:color w:val="000000"/>
                <w:sz w:val="10"/>
                <w:szCs w:val="10"/>
                <w:lang w:eastAsia="en-GB"/>
              </w:rPr>
              <w:t xml:space="preserve">Total recoveries </w:t>
            </w:r>
            <w:r>
              <w:rPr>
                <w:rFonts w:ascii="Verdana" w:eastAsia="Times New Roman" w:hAnsi="Verdana"/>
                <w:b/>
                <w:bCs/>
                <w:noProof/>
                <w:color w:val="000000"/>
                <w:sz w:val="10"/>
                <w:szCs w:val="10"/>
                <w:u w:val="single"/>
                <w:lang w:eastAsia="en-GB"/>
              </w:rPr>
              <w:t>confirmed</w:t>
            </w:r>
            <w:r>
              <w:rPr>
                <w:rFonts w:ascii="Verdana" w:eastAsia="Times New Roman" w:hAnsi="Verdana"/>
                <w:b/>
                <w:bCs/>
                <w:noProof/>
                <w:color w:val="000000"/>
                <w:sz w:val="10"/>
                <w:szCs w:val="10"/>
                <w:lang w:eastAsia="en-GB"/>
              </w:rPr>
              <w:t xml:space="preserve"> in 2015</w:t>
            </w:r>
          </w:p>
        </w:tc>
        <w:tc>
          <w:tcPr>
            <w:tcW w:w="444" w:type="pct"/>
            <w:tcBorders>
              <w:top w:val="single" w:sz="8" w:space="0" w:color="auto"/>
              <w:left w:val="single" w:sz="4" w:space="0" w:color="auto"/>
              <w:bottom w:val="single" w:sz="8" w:space="0" w:color="000000"/>
              <w:right w:val="single" w:sz="4" w:space="0" w:color="auto"/>
            </w:tcBorders>
            <w:shd w:val="clear" w:color="000000" w:fill="99CCFF"/>
          </w:tcPr>
          <w:p w:rsidR="00CC45FC" w:rsidRDefault="004A7700">
            <w:pPr>
              <w:spacing w:after="0" w:line="240" w:lineRule="auto"/>
              <w:contextualSpacing/>
              <w:jc w:val="center"/>
              <w:rPr>
                <w:rFonts w:ascii="Verdana" w:eastAsia="Times New Roman" w:hAnsi="Verdana"/>
                <w:b/>
                <w:bCs/>
                <w:noProof/>
                <w:color w:val="000000"/>
                <w:sz w:val="10"/>
                <w:szCs w:val="10"/>
                <w:lang w:eastAsia="en-GB"/>
              </w:rPr>
            </w:pPr>
            <w:r>
              <w:rPr>
                <w:rFonts w:ascii="Verdana" w:eastAsia="Times New Roman" w:hAnsi="Verdana"/>
                <w:b/>
                <w:bCs/>
                <w:noProof/>
                <w:color w:val="000000"/>
                <w:sz w:val="10"/>
                <w:szCs w:val="10"/>
                <w:lang w:eastAsia="en-GB"/>
              </w:rPr>
              <w:t xml:space="preserve">Total financial corrections and recoveries </w:t>
            </w:r>
            <w:r>
              <w:rPr>
                <w:rFonts w:ascii="Verdana" w:eastAsia="Times New Roman" w:hAnsi="Verdana"/>
                <w:b/>
                <w:bCs/>
                <w:noProof/>
                <w:color w:val="000000"/>
                <w:sz w:val="10"/>
                <w:szCs w:val="10"/>
                <w:u w:val="single"/>
                <w:lang w:eastAsia="en-GB"/>
              </w:rPr>
              <w:t>confirmed</w:t>
            </w:r>
            <w:r>
              <w:rPr>
                <w:rFonts w:ascii="Verdana" w:eastAsia="Times New Roman" w:hAnsi="Verdana"/>
                <w:b/>
                <w:bCs/>
                <w:noProof/>
                <w:color w:val="000000"/>
                <w:sz w:val="10"/>
                <w:szCs w:val="10"/>
                <w:lang w:eastAsia="en-GB"/>
              </w:rPr>
              <w:t xml:space="preserve"> in 2015</w:t>
            </w:r>
          </w:p>
        </w:tc>
        <w:tc>
          <w:tcPr>
            <w:tcW w:w="443" w:type="pct"/>
            <w:tcBorders>
              <w:top w:val="single" w:sz="8" w:space="0" w:color="auto"/>
              <w:left w:val="single" w:sz="4" w:space="0" w:color="auto"/>
              <w:bottom w:val="single" w:sz="8" w:space="0" w:color="000000"/>
              <w:right w:val="single" w:sz="8" w:space="0" w:color="auto"/>
            </w:tcBorders>
            <w:shd w:val="clear" w:color="000000" w:fill="99CCFF"/>
            <w:vAlign w:val="center"/>
            <w:hideMark/>
          </w:tcPr>
          <w:p w:rsidR="00CC45FC" w:rsidRDefault="004A7700">
            <w:pPr>
              <w:spacing w:after="0" w:line="240" w:lineRule="auto"/>
              <w:contextualSpacing/>
              <w:jc w:val="center"/>
              <w:rPr>
                <w:rFonts w:ascii="Verdana" w:eastAsia="Times New Roman" w:hAnsi="Verdana"/>
                <w:b/>
                <w:bCs/>
                <w:noProof/>
                <w:color w:val="000000"/>
                <w:sz w:val="10"/>
                <w:szCs w:val="10"/>
                <w:lang w:eastAsia="en-GB"/>
              </w:rPr>
            </w:pPr>
            <w:r>
              <w:rPr>
                <w:rFonts w:ascii="Verdana" w:eastAsia="Times New Roman" w:hAnsi="Verdana"/>
                <w:b/>
                <w:bCs/>
                <w:noProof/>
                <w:color w:val="000000"/>
                <w:sz w:val="10"/>
                <w:szCs w:val="10"/>
                <w:lang w:eastAsia="en-GB"/>
              </w:rPr>
              <w:t>% of payments of the EU budget</w:t>
            </w:r>
          </w:p>
        </w:tc>
        <w:tc>
          <w:tcPr>
            <w:tcW w:w="527" w:type="pct"/>
            <w:tcBorders>
              <w:top w:val="single" w:sz="8" w:space="0" w:color="auto"/>
              <w:left w:val="single" w:sz="8" w:space="0" w:color="auto"/>
              <w:bottom w:val="single" w:sz="8" w:space="0" w:color="auto"/>
              <w:right w:val="single" w:sz="4" w:space="0" w:color="auto"/>
            </w:tcBorders>
            <w:shd w:val="clear" w:color="000000" w:fill="99CCFF"/>
            <w:vAlign w:val="center"/>
            <w:hideMark/>
          </w:tcPr>
          <w:p w:rsidR="00CC45FC" w:rsidRDefault="004A7700">
            <w:pPr>
              <w:spacing w:after="0" w:line="240" w:lineRule="auto"/>
              <w:contextualSpacing/>
              <w:jc w:val="center"/>
              <w:rPr>
                <w:rFonts w:ascii="Verdana" w:eastAsia="Times New Roman" w:hAnsi="Verdana"/>
                <w:b/>
                <w:bCs/>
                <w:noProof/>
                <w:color w:val="000000"/>
                <w:sz w:val="10"/>
                <w:szCs w:val="10"/>
                <w:lang w:eastAsia="en-GB"/>
              </w:rPr>
            </w:pPr>
            <w:r>
              <w:rPr>
                <w:rFonts w:ascii="Verdana" w:eastAsia="Times New Roman" w:hAnsi="Verdana"/>
                <w:b/>
                <w:bCs/>
                <w:noProof/>
                <w:color w:val="000000"/>
                <w:sz w:val="10"/>
                <w:szCs w:val="10"/>
                <w:lang w:eastAsia="en-GB"/>
              </w:rPr>
              <w:t xml:space="preserve">Total financial corrections </w:t>
            </w:r>
            <w:r>
              <w:rPr>
                <w:rFonts w:ascii="Verdana" w:eastAsia="Times New Roman" w:hAnsi="Verdana"/>
                <w:b/>
                <w:bCs/>
                <w:noProof/>
                <w:color w:val="000000"/>
                <w:sz w:val="10"/>
                <w:szCs w:val="10"/>
                <w:u w:val="single"/>
                <w:lang w:eastAsia="en-GB"/>
              </w:rPr>
              <w:t>implemented</w:t>
            </w:r>
            <w:r>
              <w:rPr>
                <w:rFonts w:ascii="Verdana" w:eastAsia="Times New Roman" w:hAnsi="Verdana"/>
                <w:b/>
                <w:bCs/>
                <w:noProof/>
                <w:color w:val="000000"/>
                <w:sz w:val="10"/>
                <w:szCs w:val="10"/>
                <w:lang w:eastAsia="en-GB"/>
              </w:rPr>
              <w:t xml:space="preserve"> in 2015</w:t>
            </w:r>
          </w:p>
        </w:tc>
        <w:tc>
          <w:tcPr>
            <w:tcW w:w="518" w:type="pct"/>
            <w:tcBorders>
              <w:top w:val="single" w:sz="8" w:space="0" w:color="auto"/>
              <w:left w:val="single" w:sz="4" w:space="0" w:color="auto"/>
              <w:bottom w:val="single" w:sz="8" w:space="0" w:color="auto"/>
              <w:right w:val="single" w:sz="4" w:space="0" w:color="auto"/>
            </w:tcBorders>
            <w:shd w:val="clear" w:color="000000" w:fill="99CCFF"/>
            <w:vAlign w:val="center"/>
            <w:hideMark/>
          </w:tcPr>
          <w:p w:rsidR="00CC45FC" w:rsidRDefault="004A7700">
            <w:pPr>
              <w:spacing w:after="0" w:line="240" w:lineRule="auto"/>
              <w:contextualSpacing/>
              <w:jc w:val="center"/>
              <w:rPr>
                <w:rFonts w:ascii="Verdana" w:eastAsia="Times New Roman" w:hAnsi="Verdana"/>
                <w:b/>
                <w:bCs/>
                <w:noProof/>
                <w:color w:val="000000"/>
                <w:sz w:val="10"/>
                <w:szCs w:val="10"/>
                <w:lang w:eastAsia="en-GB"/>
              </w:rPr>
            </w:pPr>
            <w:r>
              <w:rPr>
                <w:rFonts w:ascii="Verdana" w:eastAsia="Times New Roman" w:hAnsi="Verdana"/>
                <w:b/>
                <w:bCs/>
                <w:noProof/>
                <w:color w:val="000000"/>
                <w:sz w:val="10"/>
                <w:szCs w:val="10"/>
                <w:lang w:eastAsia="en-GB"/>
              </w:rPr>
              <w:t xml:space="preserve">Total recoveries </w:t>
            </w:r>
            <w:r>
              <w:rPr>
                <w:rFonts w:ascii="Verdana" w:eastAsia="Times New Roman" w:hAnsi="Verdana"/>
                <w:b/>
                <w:bCs/>
                <w:noProof/>
                <w:color w:val="000000"/>
                <w:sz w:val="10"/>
                <w:szCs w:val="10"/>
                <w:u w:val="single"/>
                <w:lang w:eastAsia="en-GB"/>
              </w:rPr>
              <w:t>implemented</w:t>
            </w:r>
            <w:r>
              <w:rPr>
                <w:rFonts w:ascii="Verdana" w:eastAsia="Times New Roman" w:hAnsi="Verdana"/>
                <w:b/>
                <w:bCs/>
                <w:noProof/>
                <w:color w:val="000000"/>
                <w:sz w:val="10"/>
                <w:szCs w:val="10"/>
                <w:lang w:eastAsia="en-GB"/>
              </w:rPr>
              <w:t xml:space="preserve"> in 2015</w:t>
            </w:r>
          </w:p>
        </w:tc>
        <w:tc>
          <w:tcPr>
            <w:tcW w:w="518" w:type="pct"/>
            <w:tcBorders>
              <w:top w:val="single" w:sz="8" w:space="0" w:color="auto"/>
              <w:left w:val="single" w:sz="4" w:space="0" w:color="auto"/>
              <w:bottom w:val="single" w:sz="8" w:space="0" w:color="auto"/>
              <w:right w:val="single" w:sz="4" w:space="0" w:color="auto"/>
            </w:tcBorders>
            <w:shd w:val="clear" w:color="000000" w:fill="99CCFF"/>
            <w:vAlign w:val="center"/>
            <w:hideMark/>
          </w:tcPr>
          <w:p w:rsidR="00CC45FC" w:rsidRDefault="004A7700">
            <w:pPr>
              <w:spacing w:after="0" w:line="240" w:lineRule="auto"/>
              <w:contextualSpacing/>
              <w:jc w:val="center"/>
              <w:rPr>
                <w:rFonts w:ascii="Verdana" w:eastAsia="Times New Roman" w:hAnsi="Verdana"/>
                <w:b/>
                <w:bCs/>
                <w:noProof/>
                <w:color w:val="000000"/>
                <w:sz w:val="10"/>
                <w:szCs w:val="10"/>
                <w:lang w:eastAsia="en-GB"/>
              </w:rPr>
            </w:pPr>
            <w:r>
              <w:rPr>
                <w:rFonts w:ascii="Verdana" w:eastAsia="Times New Roman" w:hAnsi="Verdana"/>
                <w:b/>
                <w:bCs/>
                <w:noProof/>
                <w:color w:val="000000"/>
                <w:sz w:val="10"/>
                <w:szCs w:val="10"/>
                <w:lang w:eastAsia="en-GB"/>
              </w:rPr>
              <w:t>Total financial corrections and recoveries i</w:t>
            </w:r>
            <w:r>
              <w:rPr>
                <w:rFonts w:ascii="Verdana" w:eastAsia="Times New Roman" w:hAnsi="Verdana"/>
                <w:b/>
                <w:bCs/>
                <w:noProof/>
                <w:color w:val="000000"/>
                <w:sz w:val="10"/>
                <w:szCs w:val="10"/>
                <w:u w:val="single"/>
                <w:lang w:eastAsia="en-GB"/>
              </w:rPr>
              <w:t>mplemented</w:t>
            </w:r>
            <w:r>
              <w:rPr>
                <w:rFonts w:ascii="Verdana" w:eastAsia="Times New Roman" w:hAnsi="Verdana"/>
                <w:b/>
                <w:bCs/>
                <w:noProof/>
                <w:color w:val="000000"/>
                <w:sz w:val="10"/>
                <w:szCs w:val="10"/>
                <w:lang w:eastAsia="en-GB"/>
              </w:rPr>
              <w:t xml:space="preserve"> in 2015</w:t>
            </w:r>
          </w:p>
        </w:tc>
        <w:tc>
          <w:tcPr>
            <w:tcW w:w="407" w:type="pct"/>
            <w:gridSpan w:val="2"/>
            <w:tcBorders>
              <w:top w:val="single" w:sz="8" w:space="0" w:color="auto"/>
              <w:left w:val="single" w:sz="4" w:space="0" w:color="auto"/>
              <w:bottom w:val="single" w:sz="8" w:space="0" w:color="auto"/>
              <w:right w:val="single" w:sz="8" w:space="0" w:color="auto"/>
            </w:tcBorders>
            <w:shd w:val="clear" w:color="000000" w:fill="99CCFF"/>
            <w:vAlign w:val="center"/>
            <w:hideMark/>
          </w:tcPr>
          <w:p w:rsidR="00CC45FC" w:rsidRDefault="004A7700">
            <w:pPr>
              <w:spacing w:after="0" w:line="240" w:lineRule="auto"/>
              <w:contextualSpacing/>
              <w:jc w:val="center"/>
              <w:rPr>
                <w:rFonts w:ascii="Verdana" w:eastAsia="Times New Roman" w:hAnsi="Verdana"/>
                <w:b/>
                <w:bCs/>
                <w:noProof/>
                <w:color w:val="000000"/>
                <w:sz w:val="10"/>
                <w:szCs w:val="10"/>
                <w:lang w:eastAsia="en-GB"/>
              </w:rPr>
            </w:pPr>
            <w:r>
              <w:rPr>
                <w:rFonts w:ascii="Verdana" w:eastAsia="Times New Roman" w:hAnsi="Verdana"/>
                <w:b/>
                <w:bCs/>
                <w:noProof/>
                <w:color w:val="000000"/>
                <w:sz w:val="10"/>
                <w:szCs w:val="10"/>
                <w:lang w:eastAsia="en-GB"/>
              </w:rPr>
              <w:t>% of payments of the EU budget</w:t>
            </w:r>
          </w:p>
        </w:tc>
      </w:tr>
      <w:tr w:rsidR="00CC45FC">
        <w:trPr>
          <w:trHeight w:val="329"/>
        </w:trPr>
        <w:tc>
          <w:tcPr>
            <w:tcW w:w="728" w:type="pct"/>
            <w:tcBorders>
              <w:top w:val="nil"/>
              <w:left w:val="single" w:sz="8" w:space="0" w:color="auto"/>
              <w:bottom w:val="single" w:sz="4" w:space="0" w:color="auto"/>
              <w:right w:val="single" w:sz="8" w:space="0" w:color="auto"/>
            </w:tcBorders>
            <w:shd w:val="clear" w:color="000000" w:fill="D9D9D9"/>
            <w:noWrap/>
            <w:vAlign w:val="center"/>
            <w:hideMark/>
          </w:tcPr>
          <w:p w:rsidR="00CC45FC" w:rsidRDefault="004A7700">
            <w:pPr>
              <w:spacing w:after="0" w:line="240" w:lineRule="auto"/>
              <w:contextualSpacing/>
              <w:rPr>
                <w:rFonts w:ascii="Verdana" w:eastAsia="Times New Roman" w:hAnsi="Verdana"/>
                <w:b/>
                <w:bCs/>
                <w:i/>
                <w:iCs/>
                <w:noProof/>
                <w:color w:val="000000"/>
                <w:sz w:val="12"/>
                <w:szCs w:val="12"/>
                <w:lang w:eastAsia="en-GB"/>
              </w:rPr>
            </w:pPr>
            <w:r>
              <w:rPr>
                <w:rFonts w:ascii="Verdana" w:eastAsia="Times New Roman" w:hAnsi="Verdana"/>
                <w:b/>
                <w:bCs/>
                <w:i/>
                <w:iCs/>
                <w:noProof/>
                <w:color w:val="000000"/>
                <w:sz w:val="12"/>
                <w:szCs w:val="12"/>
                <w:lang w:eastAsia="en-GB"/>
              </w:rPr>
              <w:t>Smart &amp; inclusive growth</w:t>
            </w:r>
          </w:p>
        </w:tc>
        <w:tc>
          <w:tcPr>
            <w:tcW w:w="528" w:type="pct"/>
            <w:tcBorders>
              <w:top w:val="single" w:sz="8" w:space="0" w:color="000000"/>
              <w:left w:val="nil"/>
              <w:bottom w:val="single" w:sz="4" w:space="0" w:color="auto"/>
              <w:right w:val="single" w:sz="8"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i/>
                <w:iCs/>
                <w:noProof/>
                <w:color w:val="000000"/>
                <w:sz w:val="12"/>
                <w:szCs w:val="12"/>
                <w:lang w:eastAsia="en-GB"/>
              </w:rPr>
            </w:pPr>
            <w:r>
              <w:rPr>
                <w:rFonts w:ascii="Verdana" w:hAnsi="Verdana"/>
                <w:b/>
                <w:bCs/>
                <w:i/>
                <w:iCs/>
                <w:noProof/>
                <w:color w:val="000000"/>
                <w:sz w:val="14"/>
                <w:szCs w:val="20"/>
              </w:rPr>
              <w:t>68 009</w:t>
            </w:r>
          </w:p>
        </w:tc>
        <w:tc>
          <w:tcPr>
            <w:tcW w:w="444" w:type="pct"/>
            <w:tcBorders>
              <w:top w:val="nil"/>
              <w:left w:val="single" w:sz="8"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color w:val="000000"/>
                <w:sz w:val="14"/>
                <w:szCs w:val="20"/>
              </w:rPr>
              <w:t>1 637</w:t>
            </w:r>
          </w:p>
        </w:tc>
        <w:tc>
          <w:tcPr>
            <w:tcW w:w="444" w:type="pct"/>
            <w:tcBorders>
              <w:top w:val="nil"/>
              <w:left w:val="single" w:sz="4"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i/>
                <w:iCs/>
                <w:noProof/>
                <w:color w:val="000000"/>
                <w:sz w:val="12"/>
                <w:szCs w:val="12"/>
                <w:lang w:eastAsia="en-GB"/>
              </w:rPr>
            </w:pPr>
            <w:r>
              <w:rPr>
                <w:rFonts w:ascii="Verdana" w:hAnsi="Verdana"/>
                <w:b/>
                <w:bCs/>
                <w:i/>
                <w:iCs/>
                <w:noProof/>
                <w:color w:val="000000"/>
                <w:sz w:val="14"/>
                <w:szCs w:val="20"/>
              </w:rPr>
              <w:t xml:space="preserve"> 254</w:t>
            </w:r>
          </w:p>
        </w:tc>
        <w:tc>
          <w:tcPr>
            <w:tcW w:w="444" w:type="pct"/>
            <w:tcBorders>
              <w:top w:val="nil"/>
              <w:left w:val="single" w:sz="4"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i/>
                <w:iCs/>
                <w:noProof/>
                <w:color w:val="000000"/>
                <w:sz w:val="12"/>
                <w:szCs w:val="12"/>
                <w:lang w:eastAsia="en-GB"/>
              </w:rPr>
            </w:pPr>
            <w:r>
              <w:rPr>
                <w:rFonts w:ascii="Verdana" w:hAnsi="Verdana"/>
                <w:b/>
                <w:bCs/>
                <w:i/>
                <w:iCs/>
                <w:noProof/>
                <w:color w:val="000000"/>
                <w:sz w:val="14"/>
                <w:szCs w:val="20"/>
              </w:rPr>
              <w:t>1 892</w:t>
            </w:r>
          </w:p>
        </w:tc>
        <w:tc>
          <w:tcPr>
            <w:tcW w:w="443" w:type="pct"/>
            <w:tcBorders>
              <w:top w:val="nil"/>
              <w:left w:val="single" w:sz="4" w:space="0" w:color="auto"/>
              <w:bottom w:val="single" w:sz="4" w:space="0" w:color="auto"/>
              <w:right w:val="single" w:sz="8"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i/>
                <w:iCs/>
                <w:noProof/>
                <w:color w:val="000000"/>
                <w:sz w:val="12"/>
                <w:szCs w:val="12"/>
                <w:lang w:eastAsia="en-GB"/>
              </w:rPr>
            </w:pPr>
            <w:r>
              <w:rPr>
                <w:rFonts w:ascii="Verdana" w:hAnsi="Verdana"/>
                <w:b/>
                <w:bCs/>
                <w:i/>
                <w:iCs/>
                <w:noProof/>
                <w:color w:val="000000"/>
                <w:sz w:val="14"/>
                <w:szCs w:val="20"/>
              </w:rPr>
              <w:t>2.8%</w:t>
            </w:r>
          </w:p>
        </w:tc>
        <w:tc>
          <w:tcPr>
            <w:tcW w:w="527" w:type="pct"/>
            <w:tcBorders>
              <w:top w:val="single" w:sz="8" w:space="0" w:color="auto"/>
              <w:left w:val="single" w:sz="8"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color w:val="000000"/>
                <w:sz w:val="14"/>
                <w:szCs w:val="20"/>
              </w:rPr>
              <w:t>1 766</w:t>
            </w:r>
          </w:p>
        </w:tc>
        <w:tc>
          <w:tcPr>
            <w:tcW w:w="518" w:type="pct"/>
            <w:tcBorders>
              <w:top w:val="single" w:sz="8" w:space="0" w:color="auto"/>
              <w:left w:val="single" w:sz="4"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Cs/>
                <w:noProof/>
                <w:color w:val="000000"/>
                <w:sz w:val="12"/>
                <w:szCs w:val="12"/>
                <w:lang w:eastAsia="en-GB"/>
              </w:rPr>
            </w:pPr>
            <w:r>
              <w:rPr>
                <w:rFonts w:ascii="Verdana" w:hAnsi="Verdana"/>
                <w:b/>
                <w:bCs/>
                <w:i/>
                <w:iCs/>
                <w:noProof/>
                <w:color w:val="000000"/>
                <w:sz w:val="14"/>
                <w:szCs w:val="20"/>
              </w:rPr>
              <w:t xml:space="preserve"> 246</w:t>
            </w:r>
          </w:p>
        </w:tc>
        <w:tc>
          <w:tcPr>
            <w:tcW w:w="518" w:type="pct"/>
            <w:tcBorders>
              <w:top w:val="single" w:sz="8" w:space="0" w:color="auto"/>
              <w:left w:val="single" w:sz="4"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i/>
                <w:iCs/>
                <w:noProof/>
                <w:color w:val="000000"/>
                <w:sz w:val="12"/>
                <w:szCs w:val="12"/>
                <w:lang w:eastAsia="en-GB"/>
              </w:rPr>
            </w:pPr>
            <w:r>
              <w:rPr>
                <w:rFonts w:ascii="Verdana" w:hAnsi="Verdana"/>
                <w:b/>
                <w:bCs/>
                <w:i/>
                <w:iCs/>
                <w:noProof/>
                <w:color w:val="000000"/>
                <w:sz w:val="14"/>
                <w:szCs w:val="20"/>
              </w:rPr>
              <w:t>2 013</w:t>
            </w:r>
          </w:p>
        </w:tc>
        <w:tc>
          <w:tcPr>
            <w:tcW w:w="407" w:type="pct"/>
            <w:gridSpan w:val="2"/>
            <w:tcBorders>
              <w:top w:val="single" w:sz="8" w:space="0" w:color="auto"/>
              <w:left w:val="single" w:sz="4" w:space="0" w:color="auto"/>
              <w:bottom w:val="single" w:sz="4" w:space="0" w:color="auto"/>
              <w:right w:val="single" w:sz="8"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i/>
                <w:iCs/>
                <w:noProof/>
                <w:color w:val="000000"/>
                <w:sz w:val="12"/>
                <w:szCs w:val="12"/>
                <w:lang w:eastAsia="en-GB"/>
              </w:rPr>
            </w:pPr>
            <w:r>
              <w:rPr>
                <w:rFonts w:ascii="Verdana" w:hAnsi="Verdana"/>
                <w:b/>
                <w:bCs/>
                <w:i/>
                <w:iCs/>
                <w:noProof/>
                <w:color w:val="000000"/>
                <w:sz w:val="14"/>
                <w:szCs w:val="20"/>
              </w:rPr>
              <w:t>3.0%</w:t>
            </w:r>
          </w:p>
        </w:tc>
      </w:tr>
      <w:tr w:rsidR="00CC45FC">
        <w:trPr>
          <w:trHeight w:val="174"/>
        </w:trPr>
        <w:tc>
          <w:tcPr>
            <w:tcW w:w="728" w:type="pct"/>
            <w:tcBorders>
              <w:top w:val="nil"/>
              <w:left w:val="single" w:sz="8" w:space="0" w:color="auto"/>
              <w:bottom w:val="nil"/>
              <w:right w:val="single" w:sz="8" w:space="0" w:color="auto"/>
            </w:tcBorders>
            <w:shd w:val="clear" w:color="auto" w:fill="auto"/>
            <w:noWrap/>
            <w:vAlign w:val="center"/>
          </w:tcPr>
          <w:p w:rsidR="00CC45FC" w:rsidRDefault="004A7700">
            <w:pPr>
              <w:spacing w:after="0" w:line="240" w:lineRule="auto"/>
              <w:contextualSpacing/>
              <w:jc w:val="both"/>
              <w:rPr>
                <w:rFonts w:ascii="Verdana" w:eastAsia="Times New Roman" w:hAnsi="Verdana"/>
                <w:i/>
                <w:iCs/>
                <w:noProof/>
                <w:color w:val="000000"/>
                <w:sz w:val="12"/>
                <w:szCs w:val="12"/>
                <w:lang w:eastAsia="en-GB"/>
              </w:rPr>
            </w:pPr>
            <w:r>
              <w:rPr>
                <w:rFonts w:ascii="Verdana" w:eastAsia="Times New Roman" w:hAnsi="Verdana"/>
                <w:i/>
                <w:iCs/>
                <w:noProof/>
                <w:color w:val="000000"/>
                <w:sz w:val="12"/>
                <w:szCs w:val="12"/>
                <w:lang w:eastAsia="en-GB"/>
              </w:rPr>
              <w:t>ERDF</w:t>
            </w:r>
          </w:p>
        </w:tc>
        <w:tc>
          <w:tcPr>
            <w:tcW w:w="528" w:type="pct"/>
            <w:tcBorders>
              <w:top w:val="nil"/>
              <w:left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28 363</w:t>
            </w:r>
          </w:p>
        </w:tc>
        <w:tc>
          <w:tcPr>
            <w:tcW w:w="444" w:type="pct"/>
            <w:tcBorders>
              <w:top w:val="single" w:sz="4" w:space="0" w:color="auto"/>
              <w:left w:val="nil"/>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 xml:space="preserve"> 826</w:t>
            </w:r>
          </w:p>
        </w:tc>
        <w:tc>
          <w:tcPr>
            <w:tcW w:w="444" w:type="pct"/>
            <w:tcBorders>
              <w:top w:val="single" w:sz="4" w:space="0" w:color="auto"/>
              <w:left w:val="single" w:sz="4" w:space="0" w:color="auto"/>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 xml:space="preserve"> -</w:t>
            </w:r>
          </w:p>
        </w:tc>
        <w:tc>
          <w:tcPr>
            <w:tcW w:w="444" w:type="pct"/>
            <w:tcBorders>
              <w:top w:val="single" w:sz="4" w:space="0" w:color="auto"/>
              <w:left w:val="single" w:sz="4" w:space="0" w:color="auto"/>
              <w:right w:val="single" w:sz="4" w:space="0" w:color="auto"/>
            </w:tcBorders>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color w:val="000000"/>
                <w:sz w:val="14"/>
                <w:szCs w:val="20"/>
              </w:rPr>
              <w:t xml:space="preserve"> 826</w:t>
            </w:r>
          </w:p>
        </w:tc>
        <w:tc>
          <w:tcPr>
            <w:tcW w:w="443" w:type="pct"/>
            <w:tcBorders>
              <w:top w:val="single" w:sz="4" w:space="0" w:color="auto"/>
              <w:left w:val="single" w:sz="4" w:space="0" w:color="auto"/>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color w:val="000000"/>
                <w:sz w:val="14"/>
                <w:szCs w:val="20"/>
              </w:rPr>
              <w:t>2.9%</w:t>
            </w:r>
          </w:p>
        </w:tc>
        <w:tc>
          <w:tcPr>
            <w:tcW w:w="527" w:type="pct"/>
            <w:tcBorders>
              <w:top w:val="single" w:sz="4" w:space="0" w:color="auto"/>
              <w:left w:val="single" w:sz="8" w:space="0" w:color="auto"/>
              <w:right w:val="single" w:sz="4" w:space="0" w:color="auto"/>
            </w:tcBorders>
            <w:shd w:val="clear" w:color="000000" w:fill="auto"/>
            <w:vAlign w:val="center"/>
          </w:tcPr>
          <w:p w:rsidR="00CC45FC" w:rsidRDefault="004A7700">
            <w:pPr>
              <w:spacing w:after="0" w:line="240" w:lineRule="auto"/>
              <w:contextualSpacing/>
              <w:jc w:val="right"/>
              <w:rPr>
                <w:rFonts w:ascii="Verdana" w:eastAsia="Times New Roman" w:hAnsi="Verdana"/>
                <w:bCs/>
                <w:noProof/>
                <w:color w:val="000000"/>
                <w:sz w:val="12"/>
                <w:szCs w:val="12"/>
                <w:lang w:eastAsia="en-GB"/>
              </w:rPr>
            </w:pPr>
            <w:r>
              <w:rPr>
                <w:rFonts w:ascii="Verdana" w:hAnsi="Verdana"/>
                <w:noProof/>
                <w:color w:val="000000"/>
                <w:sz w:val="14"/>
                <w:szCs w:val="20"/>
              </w:rPr>
              <w:t xml:space="preserve"> 774</w:t>
            </w:r>
          </w:p>
        </w:tc>
        <w:tc>
          <w:tcPr>
            <w:tcW w:w="518" w:type="pct"/>
            <w:tcBorders>
              <w:top w:val="single" w:sz="4" w:space="0" w:color="auto"/>
              <w:left w:val="single" w:sz="4" w:space="0" w:color="auto"/>
              <w:right w:val="single" w:sz="4" w:space="0" w:color="auto"/>
            </w:tcBorders>
            <w:shd w:val="clear" w:color="auto" w:fill="auto"/>
            <w:vAlign w:val="center"/>
          </w:tcPr>
          <w:p w:rsidR="00CC45FC" w:rsidRDefault="004A7700">
            <w:pPr>
              <w:spacing w:after="0" w:line="240" w:lineRule="auto"/>
              <w:contextualSpacing/>
              <w:jc w:val="right"/>
              <w:rPr>
                <w:rFonts w:ascii="Verdana" w:eastAsia="Times New Roman" w:hAnsi="Verdana"/>
                <w:iCs/>
                <w:noProof/>
                <w:color w:val="000000"/>
                <w:sz w:val="12"/>
                <w:szCs w:val="12"/>
                <w:lang w:eastAsia="en-GB"/>
              </w:rPr>
            </w:pPr>
            <w:r>
              <w:rPr>
                <w:rFonts w:ascii="Verdana" w:hAnsi="Verdana"/>
                <w:noProof/>
                <w:color w:val="000000"/>
                <w:sz w:val="14"/>
                <w:szCs w:val="20"/>
              </w:rPr>
              <w:t>-</w:t>
            </w:r>
          </w:p>
        </w:tc>
        <w:tc>
          <w:tcPr>
            <w:tcW w:w="518" w:type="pct"/>
            <w:tcBorders>
              <w:top w:val="single" w:sz="4" w:space="0" w:color="auto"/>
              <w:left w:val="single" w:sz="4" w:space="0" w:color="auto"/>
              <w:right w:val="single" w:sz="4" w:space="0" w:color="auto"/>
            </w:tcBorders>
            <w:shd w:val="clear" w:color="000000" w:fill="auto"/>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color w:val="000000"/>
                <w:sz w:val="14"/>
                <w:szCs w:val="20"/>
              </w:rPr>
              <w:t xml:space="preserve"> 774</w:t>
            </w:r>
          </w:p>
        </w:tc>
        <w:tc>
          <w:tcPr>
            <w:tcW w:w="407" w:type="pct"/>
            <w:gridSpan w:val="2"/>
            <w:tcBorders>
              <w:top w:val="single" w:sz="4" w:space="0" w:color="auto"/>
              <w:left w:val="single" w:sz="4" w:space="0" w:color="auto"/>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color w:val="000000"/>
                <w:sz w:val="14"/>
                <w:szCs w:val="20"/>
              </w:rPr>
              <w:t>2.7%</w:t>
            </w:r>
          </w:p>
        </w:tc>
      </w:tr>
      <w:tr w:rsidR="00CC45FC">
        <w:trPr>
          <w:trHeight w:val="174"/>
        </w:trPr>
        <w:tc>
          <w:tcPr>
            <w:tcW w:w="728" w:type="pct"/>
            <w:tcBorders>
              <w:top w:val="nil"/>
              <w:left w:val="single" w:sz="8" w:space="0" w:color="auto"/>
              <w:bottom w:val="nil"/>
              <w:right w:val="single" w:sz="8" w:space="0" w:color="auto"/>
            </w:tcBorders>
            <w:shd w:val="clear" w:color="auto" w:fill="auto"/>
            <w:noWrap/>
            <w:vAlign w:val="center"/>
          </w:tcPr>
          <w:p w:rsidR="00CC45FC" w:rsidRDefault="004A7700">
            <w:pPr>
              <w:spacing w:after="0" w:line="240" w:lineRule="auto"/>
              <w:contextualSpacing/>
              <w:jc w:val="both"/>
              <w:rPr>
                <w:rFonts w:ascii="Verdana" w:eastAsia="Times New Roman" w:hAnsi="Verdana"/>
                <w:i/>
                <w:iCs/>
                <w:noProof/>
                <w:color w:val="000000"/>
                <w:sz w:val="12"/>
                <w:szCs w:val="12"/>
                <w:lang w:eastAsia="en-GB"/>
              </w:rPr>
            </w:pPr>
            <w:r>
              <w:rPr>
                <w:rFonts w:ascii="Verdana" w:eastAsia="Times New Roman" w:hAnsi="Verdana"/>
                <w:i/>
                <w:iCs/>
                <w:noProof/>
                <w:color w:val="000000"/>
                <w:sz w:val="12"/>
                <w:szCs w:val="12"/>
                <w:lang w:eastAsia="en-GB"/>
              </w:rPr>
              <w:t>Cohesion Fund</w:t>
            </w:r>
          </w:p>
        </w:tc>
        <w:tc>
          <w:tcPr>
            <w:tcW w:w="528" w:type="pct"/>
            <w:tcBorders>
              <w:top w:val="nil"/>
              <w:left w:val="nil"/>
              <w:right w:val="single" w:sz="8" w:space="0" w:color="auto"/>
            </w:tcBorders>
            <w:shd w:val="clear" w:color="auto" w:fill="auto"/>
            <w:vAlign w:val="bottom"/>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12 098</w:t>
            </w:r>
          </w:p>
        </w:tc>
        <w:tc>
          <w:tcPr>
            <w:tcW w:w="444" w:type="pct"/>
            <w:tcBorders>
              <w:top w:val="nil"/>
              <w:left w:val="nil"/>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 xml:space="preserve"> 462</w:t>
            </w:r>
          </w:p>
        </w:tc>
        <w:tc>
          <w:tcPr>
            <w:tcW w:w="444" w:type="pct"/>
            <w:tcBorders>
              <w:top w:val="nil"/>
              <w:left w:val="single" w:sz="4" w:space="0" w:color="auto"/>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 xml:space="preserve"> -</w:t>
            </w:r>
          </w:p>
        </w:tc>
        <w:tc>
          <w:tcPr>
            <w:tcW w:w="444" w:type="pct"/>
            <w:tcBorders>
              <w:top w:val="nil"/>
              <w:left w:val="single" w:sz="4" w:space="0" w:color="auto"/>
              <w:right w:val="single" w:sz="4" w:space="0" w:color="auto"/>
            </w:tcBorders>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color w:val="000000"/>
                <w:sz w:val="14"/>
                <w:szCs w:val="20"/>
              </w:rPr>
              <w:t xml:space="preserve"> 462</w:t>
            </w:r>
          </w:p>
        </w:tc>
        <w:tc>
          <w:tcPr>
            <w:tcW w:w="443" w:type="pct"/>
            <w:tcBorders>
              <w:top w:val="nil"/>
              <w:left w:val="single" w:sz="4" w:space="0" w:color="auto"/>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color w:val="000000"/>
                <w:sz w:val="14"/>
                <w:szCs w:val="20"/>
              </w:rPr>
              <w:t>3.8%</w:t>
            </w:r>
          </w:p>
        </w:tc>
        <w:tc>
          <w:tcPr>
            <w:tcW w:w="527" w:type="pct"/>
            <w:tcBorders>
              <w:top w:val="nil"/>
              <w:left w:val="single" w:sz="8" w:space="0" w:color="auto"/>
              <w:right w:val="single" w:sz="4" w:space="0" w:color="auto"/>
            </w:tcBorders>
            <w:shd w:val="clear" w:color="000000" w:fill="auto"/>
            <w:vAlign w:val="center"/>
          </w:tcPr>
          <w:p w:rsidR="00CC45FC" w:rsidRDefault="004A7700">
            <w:pPr>
              <w:spacing w:after="0" w:line="240" w:lineRule="auto"/>
              <w:contextualSpacing/>
              <w:jc w:val="right"/>
              <w:rPr>
                <w:rFonts w:ascii="Verdana" w:eastAsia="Times New Roman" w:hAnsi="Verdana"/>
                <w:bCs/>
                <w:noProof/>
                <w:color w:val="000000"/>
                <w:sz w:val="12"/>
                <w:szCs w:val="12"/>
                <w:lang w:eastAsia="en-GB"/>
              </w:rPr>
            </w:pPr>
            <w:r>
              <w:rPr>
                <w:rFonts w:ascii="Verdana" w:hAnsi="Verdana"/>
                <w:noProof/>
                <w:color w:val="000000"/>
                <w:sz w:val="14"/>
                <w:szCs w:val="20"/>
              </w:rPr>
              <w:t xml:space="preserve"> 585</w:t>
            </w:r>
          </w:p>
        </w:tc>
        <w:tc>
          <w:tcPr>
            <w:tcW w:w="518" w:type="pct"/>
            <w:tcBorders>
              <w:top w:val="nil"/>
              <w:left w:val="single" w:sz="4" w:space="0" w:color="auto"/>
              <w:right w:val="single" w:sz="4" w:space="0" w:color="auto"/>
            </w:tcBorders>
            <w:shd w:val="clear" w:color="auto" w:fill="auto"/>
            <w:vAlign w:val="center"/>
          </w:tcPr>
          <w:p w:rsidR="00CC45FC" w:rsidRDefault="004A7700">
            <w:pPr>
              <w:spacing w:after="0" w:line="240" w:lineRule="auto"/>
              <w:contextualSpacing/>
              <w:jc w:val="right"/>
              <w:rPr>
                <w:rFonts w:ascii="Verdana" w:eastAsia="Times New Roman" w:hAnsi="Verdana"/>
                <w:iCs/>
                <w:noProof/>
                <w:color w:val="000000"/>
                <w:sz w:val="12"/>
                <w:szCs w:val="12"/>
                <w:lang w:eastAsia="en-GB"/>
              </w:rPr>
            </w:pPr>
            <w:r>
              <w:rPr>
                <w:rFonts w:ascii="Verdana" w:hAnsi="Verdana"/>
                <w:noProof/>
                <w:color w:val="000000"/>
                <w:sz w:val="14"/>
                <w:szCs w:val="20"/>
              </w:rPr>
              <w:t xml:space="preserve"> -</w:t>
            </w:r>
          </w:p>
        </w:tc>
        <w:tc>
          <w:tcPr>
            <w:tcW w:w="518" w:type="pct"/>
            <w:tcBorders>
              <w:top w:val="nil"/>
              <w:left w:val="single" w:sz="4" w:space="0" w:color="auto"/>
              <w:right w:val="single" w:sz="4" w:space="0" w:color="auto"/>
            </w:tcBorders>
            <w:shd w:val="clear" w:color="000000" w:fill="auto"/>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color w:val="000000"/>
                <w:sz w:val="14"/>
                <w:szCs w:val="20"/>
              </w:rPr>
              <w:t xml:space="preserve"> 585</w:t>
            </w:r>
          </w:p>
        </w:tc>
        <w:tc>
          <w:tcPr>
            <w:tcW w:w="407" w:type="pct"/>
            <w:gridSpan w:val="2"/>
            <w:tcBorders>
              <w:top w:val="nil"/>
              <w:left w:val="single" w:sz="4" w:space="0" w:color="auto"/>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color w:val="000000"/>
                <w:sz w:val="14"/>
                <w:szCs w:val="20"/>
              </w:rPr>
              <w:t>4.8%</w:t>
            </w:r>
          </w:p>
        </w:tc>
      </w:tr>
      <w:tr w:rsidR="00CC45FC">
        <w:trPr>
          <w:trHeight w:val="174"/>
        </w:trPr>
        <w:tc>
          <w:tcPr>
            <w:tcW w:w="728" w:type="pct"/>
            <w:tcBorders>
              <w:top w:val="nil"/>
              <w:left w:val="single" w:sz="8" w:space="0" w:color="auto"/>
              <w:bottom w:val="nil"/>
              <w:right w:val="single" w:sz="8" w:space="0" w:color="auto"/>
            </w:tcBorders>
            <w:shd w:val="clear" w:color="auto" w:fill="auto"/>
            <w:noWrap/>
            <w:vAlign w:val="center"/>
          </w:tcPr>
          <w:p w:rsidR="00CC45FC" w:rsidRDefault="004A7700">
            <w:pPr>
              <w:spacing w:after="0" w:line="240" w:lineRule="auto"/>
              <w:contextualSpacing/>
              <w:jc w:val="both"/>
              <w:rPr>
                <w:rFonts w:ascii="Verdana" w:eastAsia="Times New Roman" w:hAnsi="Verdana"/>
                <w:i/>
                <w:iCs/>
                <w:noProof/>
                <w:color w:val="000000"/>
                <w:sz w:val="12"/>
                <w:szCs w:val="12"/>
                <w:lang w:eastAsia="en-GB"/>
              </w:rPr>
            </w:pPr>
            <w:r>
              <w:rPr>
                <w:rFonts w:ascii="Verdana" w:eastAsia="Times New Roman" w:hAnsi="Verdana"/>
                <w:i/>
                <w:iCs/>
                <w:noProof/>
                <w:color w:val="000000"/>
                <w:sz w:val="12"/>
                <w:szCs w:val="12"/>
                <w:lang w:eastAsia="en-GB"/>
              </w:rPr>
              <w:t>ESF</w:t>
            </w:r>
          </w:p>
        </w:tc>
        <w:tc>
          <w:tcPr>
            <w:tcW w:w="528" w:type="pct"/>
            <w:tcBorders>
              <w:top w:val="nil"/>
              <w:left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10 277</w:t>
            </w:r>
          </w:p>
        </w:tc>
        <w:tc>
          <w:tcPr>
            <w:tcW w:w="444" w:type="pct"/>
            <w:tcBorders>
              <w:top w:val="nil"/>
              <w:left w:val="nil"/>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 xml:space="preserve"> 348</w:t>
            </w:r>
          </w:p>
        </w:tc>
        <w:tc>
          <w:tcPr>
            <w:tcW w:w="444" w:type="pct"/>
            <w:tcBorders>
              <w:top w:val="nil"/>
              <w:left w:val="single" w:sz="4" w:space="0" w:color="auto"/>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sz w:val="14"/>
                <w:szCs w:val="20"/>
              </w:rPr>
              <w:t xml:space="preserve"> 1</w:t>
            </w:r>
          </w:p>
        </w:tc>
        <w:tc>
          <w:tcPr>
            <w:tcW w:w="444" w:type="pct"/>
            <w:tcBorders>
              <w:top w:val="nil"/>
              <w:left w:val="single" w:sz="4" w:space="0" w:color="auto"/>
              <w:right w:val="single" w:sz="4" w:space="0" w:color="auto"/>
            </w:tcBorders>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 xml:space="preserve"> 349</w:t>
            </w:r>
          </w:p>
        </w:tc>
        <w:tc>
          <w:tcPr>
            <w:tcW w:w="443" w:type="pct"/>
            <w:tcBorders>
              <w:top w:val="nil"/>
              <w:left w:val="single" w:sz="4" w:space="0" w:color="auto"/>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sz w:val="14"/>
                <w:szCs w:val="20"/>
              </w:rPr>
              <w:t>3.4%</w:t>
            </w:r>
          </w:p>
        </w:tc>
        <w:tc>
          <w:tcPr>
            <w:tcW w:w="527" w:type="pct"/>
            <w:tcBorders>
              <w:top w:val="nil"/>
              <w:left w:val="single" w:sz="8" w:space="0" w:color="auto"/>
              <w:right w:val="single" w:sz="4" w:space="0" w:color="auto"/>
            </w:tcBorders>
            <w:shd w:val="clear" w:color="000000" w:fill="auto"/>
            <w:vAlign w:val="center"/>
          </w:tcPr>
          <w:p w:rsidR="00CC45FC" w:rsidRDefault="004A7700">
            <w:pPr>
              <w:spacing w:after="0" w:line="240" w:lineRule="auto"/>
              <w:contextualSpacing/>
              <w:jc w:val="right"/>
              <w:rPr>
                <w:rFonts w:ascii="Verdana" w:eastAsia="Times New Roman" w:hAnsi="Verdana"/>
                <w:bCs/>
                <w:noProof/>
                <w:color w:val="000000"/>
                <w:sz w:val="12"/>
                <w:szCs w:val="12"/>
                <w:lang w:eastAsia="en-GB"/>
              </w:rPr>
            </w:pPr>
            <w:r>
              <w:rPr>
                <w:rFonts w:ascii="Verdana" w:hAnsi="Verdana"/>
                <w:noProof/>
                <w:sz w:val="14"/>
                <w:szCs w:val="20"/>
              </w:rPr>
              <w:t xml:space="preserve"> 407</w:t>
            </w:r>
          </w:p>
        </w:tc>
        <w:tc>
          <w:tcPr>
            <w:tcW w:w="518" w:type="pct"/>
            <w:tcBorders>
              <w:top w:val="nil"/>
              <w:left w:val="single" w:sz="4" w:space="0" w:color="auto"/>
              <w:right w:val="single" w:sz="4" w:space="0" w:color="auto"/>
            </w:tcBorders>
            <w:shd w:val="clear" w:color="auto" w:fill="auto"/>
            <w:vAlign w:val="center"/>
          </w:tcPr>
          <w:p w:rsidR="00CC45FC" w:rsidRDefault="004A7700">
            <w:pPr>
              <w:spacing w:after="0" w:line="240" w:lineRule="auto"/>
              <w:contextualSpacing/>
              <w:jc w:val="right"/>
              <w:rPr>
                <w:rFonts w:ascii="Verdana" w:eastAsia="Times New Roman" w:hAnsi="Verdana"/>
                <w:iCs/>
                <w:noProof/>
                <w:color w:val="000000"/>
                <w:sz w:val="12"/>
                <w:szCs w:val="12"/>
                <w:lang w:eastAsia="en-GB"/>
              </w:rPr>
            </w:pPr>
            <w:r>
              <w:rPr>
                <w:rFonts w:ascii="Verdana" w:hAnsi="Verdana"/>
                <w:noProof/>
                <w:sz w:val="14"/>
                <w:szCs w:val="20"/>
              </w:rPr>
              <w:t xml:space="preserve"> -</w:t>
            </w:r>
          </w:p>
        </w:tc>
        <w:tc>
          <w:tcPr>
            <w:tcW w:w="518" w:type="pct"/>
            <w:tcBorders>
              <w:top w:val="nil"/>
              <w:left w:val="single" w:sz="4" w:space="0" w:color="auto"/>
              <w:right w:val="single" w:sz="4" w:space="0" w:color="auto"/>
            </w:tcBorders>
            <w:shd w:val="clear" w:color="000000" w:fill="auto"/>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 xml:space="preserve"> 407</w:t>
            </w:r>
          </w:p>
        </w:tc>
        <w:tc>
          <w:tcPr>
            <w:tcW w:w="407" w:type="pct"/>
            <w:gridSpan w:val="2"/>
            <w:tcBorders>
              <w:top w:val="nil"/>
              <w:left w:val="single" w:sz="4" w:space="0" w:color="auto"/>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color w:val="000000"/>
                <w:sz w:val="14"/>
                <w:szCs w:val="20"/>
              </w:rPr>
              <w:t>4.0%</w:t>
            </w:r>
          </w:p>
        </w:tc>
      </w:tr>
      <w:tr w:rsidR="00CC45FC">
        <w:trPr>
          <w:trHeight w:val="174"/>
        </w:trPr>
        <w:tc>
          <w:tcPr>
            <w:tcW w:w="728" w:type="pct"/>
            <w:tcBorders>
              <w:top w:val="nil"/>
              <w:left w:val="single" w:sz="8" w:space="0" w:color="auto"/>
              <w:bottom w:val="nil"/>
              <w:right w:val="single" w:sz="8" w:space="0" w:color="auto"/>
            </w:tcBorders>
            <w:shd w:val="clear" w:color="auto" w:fill="auto"/>
            <w:noWrap/>
            <w:vAlign w:val="center"/>
          </w:tcPr>
          <w:p w:rsidR="00CC45FC" w:rsidRDefault="004A7700">
            <w:pPr>
              <w:spacing w:after="0" w:line="240" w:lineRule="auto"/>
              <w:contextualSpacing/>
              <w:jc w:val="both"/>
              <w:rPr>
                <w:rFonts w:ascii="Verdana" w:eastAsia="Times New Roman" w:hAnsi="Verdana"/>
                <w:i/>
                <w:iCs/>
                <w:noProof/>
                <w:color w:val="000000"/>
                <w:sz w:val="12"/>
                <w:szCs w:val="12"/>
                <w:lang w:eastAsia="en-GB"/>
              </w:rPr>
            </w:pPr>
            <w:r>
              <w:rPr>
                <w:rFonts w:ascii="Verdana" w:eastAsia="Times New Roman" w:hAnsi="Verdana"/>
                <w:i/>
                <w:iCs/>
                <w:noProof/>
                <w:color w:val="000000"/>
                <w:sz w:val="12"/>
                <w:szCs w:val="12"/>
                <w:lang w:eastAsia="en-GB"/>
              </w:rPr>
              <w:t>Internal policies</w:t>
            </w:r>
          </w:p>
        </w:tc>
        <w:tc>
          <w:tcPr>
            <w:tcW w:w="528" w:type="pct"/>
            <w:tcBorders>
              <w:top w:val="nil"/>
              <w:left w:val="nil"/>
              <w:bottom w:val="single" w:sz="4" w:space="0" w:color="auto"/>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17 271</w:t>
            </w:r>
          </w:p>
        </w:tc>
        <w:tc>
          <w:tcPr>
            <w:tcW w:w="444" w:type="pct"/>
            <w:tcBorders>
              <w:top w:val="nil"/>
              <w:left w:val="nil"/>
              <w:bottom w:val="single" w:sz="4" w:space="0" w:color="auto"/>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sz w:val="14"/>
                <w:szCs w:val="20"/>
              </w:rPr>
              <w:t xml:space="preserve"> -</w:t>
            </w:r>
          </w:p>
        </w:tc>
        <w:tc>
          <w:tcPr>
            <w:tcW w:w="444" w:type="pct"/>
            <w:tcBorders>
              <w:top w:val="nil"/>
              <w:left w:val="single" w:sz="4" w:space="0" w:color="auto"/>
              <w:bottom w:val="single" w:sz="4" w:space="0" w:color="auto"/>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sz w:val="14"/>
                <w:szCs w:val="20"/>
              </w:rPr>
              <w:t xml:space="preserve"> 254</w:t>
            </w:r>
          </w:p>
        </w:tc>
        <w:tc>
          <w:tcPr>
            <w:tcW w:w="444" w:type="pct"/>
            <w:tcBorders>
              <w:top w:val="nil"/>
              <w:left w:val="single" w:sz="4" w:space="0" w:color="auto"/>
              <w:bottom w:val="single" w:sz="4" w:space="0" w:color="auto"/>
              <w:right w:val="single" w:sz="4" w:space="0" w:color="auto"/>
            </w:tcBorders>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 xml:space="preserve"> 254</w:t>
            </w:r>
          </w:p>
        </w:tc>
        <w:tc>
          <w:tcPr>
            <w:tcW w:w="443" w:type="pct"/>
            <w:tcBorders>
              <w:top w:val="nil"/>
              <w:left w:val="single" w:sz="4" w:space="0" w:color="auto"/>
              <w:bottom w:val="single" w:sz="4" w:space="0" w:color="auto"/>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sz w:val="14"/>
                <w:szCs w:val="20"/>
              </w:rPr>
              <w:t>1.5%</w:t>
            </w:r>
          </w:p>
        </w:tc>
        <w:tc>
          <w:tcPr>
            <w:tcW w:w="527" w:type="pct"/>
            <w:tcBorders>
              <w:top w:val="nil"/>
              <w:left w:val="single" w:sz="8" w:space="0" w:color="auto"/>
              <w:bottom w:val="single" w:sz="4" w:space="0" w:color="auto"/>
              <w:right w:val="single" w:sz="4" w:space="0" w:color="auto"/>
            </w:tcBorders>
            <w:shd w:val="clear" w:color="000000" w:fill="auto"/>
            <w:vAlign w:val="center"/>
          </w:tcPr>
          <w:p w:rsidR="00CC45FC" w:rsidRDefault="004A7700">
            <w:pPr>
              <w:spacing w:after="0" w:line="240" w:lineRule="auto"/>
              <w:contextualSpacing/>
              <w:jc w:val="right"/>
              <w:rPr>
                <w:rFonts w:ascii="Verdana" w:eastAsia="Times New Roman" w:hAnsi="Verdana"/>
                <w:bCs/>
                <w:noProof/>
                <w:color w:val="000000"/>
                <w:sz w:val="12"/>
                <w:szCs w:val="12"/>
                <w:lang w:eastAsia="en-GB"/>
              </w:rPr>
            </w:pPr>
            <w:r>
              <w:rPr>
                <w:rFonts w:ascii="Verdana" w:hAnsi="Verdana"/>
                <w:noProof/>
                <w:sz w:val="14"/>
                <w:szCs w:val="20"/>
              </w:rPr>
              <w:t xml:space="preserve"> -</w:t>
            </w:r>
          </w:p>
        </w:tc>
        <w:tc>
          <w:tcPr>
            <w:tcW w:w="518" w:type="pct"/>
            <w:tcBorders>
              <w:top w:val="nil"/>
              <w:left w:val="single" w:sz="4" w:space="0" w:color="auto"/>
              <w:bottom w:val="single" w:sz="4" w:space="0" w:color="auto"/>
              <w:right w:val="single" w:sz="4" w:space="0" w:color="auto"/>
            </w:tcBorders>
            <w:shd w:val="clear" w:color="auto" w:fill="auto"/>
            <w:vAlign w:val="center"/>
          </w:tcPr>
          <w:p w:rsidR="00CC45FC" w:rsidRDefault="004A7700">
            <w:pPr>
              <w:spacing w:after="0" w:line="240" w:lineRule="auto"/>
              <w:contextualSpacing/>
              <w:jc w:val="right"/>
              <w:rPr>
                <w:rFonts w:ascii="Verdana" w:eastAsia="Times New Roman" w:hAnsi="Verdana"/>
                <w:iCs/>
                <w:noProof/>
                <w:color w:val="000000"/>
                <w:sz w:val="12"/>
                <w:szCs w:val="12"/>
                <w:lang w:eastAsia="en-GB"/>
              </w:rPr>
            </w:pPr>
            <w:r>
              <w:rPr>
                <w:rFonts w:ascii="Verdana" w:hAnsi="Verdana"/>
                <w:noProof/>
                <w:sz w:val="14"/>
                <w:szCs w:val="20"/>
              </w:rPr>
              <w:t xml:space="preserve"> 246</w:t>
            </w:r>
          </w:p>
        </w:tc>
        <w:tc>
          <w:tcPr>
            <w:tcW w:w="518" w:type="pct"/>
            <w:tcBorders>
              <w:top w:val="nil"/>
              <w:left w:val="single" w:sz="4" w:space="0" w:color="auto"/>
              <w:bottom w:val="single" w:sz="4" w:space="0" w:color="auto"/>
              <w:right w:val="single" w:sz="4" w:space="0" w:color="auto"/>
            </w:tcBorders>
            <w:shd w:val="clear" w:color="000000" w:fill="auto"/>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 xml:space="preserve"> 246</w:t>
            </w:r>
          </w:p>
        </w:tc>
        <w:tc>
          <w:tcPr>
            <w:tcW w:w="407" w:type="pct"/>
            <w:gridSpan w:val="2"/>
            <w:tcBorders>
              <w:top w:val="nil"/>
              <w:left w:val="single" w:sz="4" w:space="0" w:color="auto"/>
              <w:bottom w:val="single" w:sz="4" w:space="0" w:color="auto"/>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color w:val="000000"/>
                <w:sz w:val="14"/>
                <w:szCs w:val="20"/>
              </w:rPr>
              <w:t>1.4%</w:t>
            </w:r>
          </w:p>
        </w:tc>
      </w:tr>
      <w:tr w:rsidR="00CC45FC">
        <w:trPr>
          <w:trHeight w:val="329"/>
        </w:trPr>
        <w:tc>
          <w:tcPr>
            <w:tcW w:w="728" w:type="pct"/>
            <w:tcBorders>
              <w:top w:val="single" w:sz="4" w:space="0" w:color="auto"/>
              <w:left w:val="single" w:sz="8" w:space="0" w:color="auto"/>
              <w:bottom w:val="single" w:sz="4" w:space="0" w:color="auto"/>
              <w:right w:val="single" w:sz="8" w:space="0" w:color="auto"/>
            </w:tcBorders>
            <w:shd w:val="clear" w:color="000000" w:fill="D9D9D9"/>
            <w:noWrap/>
            <w:vAlign w:val="center"/>
            <w:hideMark/>
          </w:tcPr>
          <w:p w:rsidR="00CC45FC" w:rsidRDefault="004A7700">
            <w:pPr>
              <w:spacing w:after="0" w:line="240" w:lineRule="auto"/>
              <w:contextualSpacing/>
              <w:jc w:val="both"/>
              <w:rPr>
                <w:rFonts w:ascii="Verdana" w:eastAsia="Times New Roman" w:hAnsi="Verdana"/>
                <w:b/>
                <w:bCs/>
                <w:i/>
                <w:iCs/>
                <w:noProof/>
                <w:color w:val="000000"/>
                <w:sz w:val="12"/>
                <w:szCs w:val="12"/>
                <w:lang w:eastAsia="en-GB"/>
              </w:rPr>
            </w:pPr>
            <w:r>
              <w:rPr>
                <w:rFonts w:ascii="Verdana" w:eastAsia="Times New Roman" w:hAnsi="Verdana"/>
                <w:b/>
                <w:bCs/>
                <w:i/>
                <w:iCs/>
                <w:noProof/>
                <w:color w:val="000000"/>
                <w:sz w:val="12"/>
                <w:szCs w:val="12"/>
                <w:lang w:eastAsia="en-GB"/>
              </w:rPr>
              <w:t>Sustainable growth: natural resources</w:t>
            </w:r>
          </w:p>
        </w:tc>
        <w:tc>
          <w:tcPr>
            <w:tcW w:w="528" w:type="pct"/>
            <w:tcBorders>
              <w:top w:val="single" w:sz="4" w:space="0" w:color="auto"/>
              <w:left w:val="nil"/>
              <w:bottom w:val="single" w:sz="4" w:space="0" w:color="auto"/>
              <w:right w:val="single" w:sz="8"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color w:val="000000"/>
                <w:sz w:val="14"/>
                <w:szCs w:val="20"/>
              </w:rPr>
              <w:t>58 066</w:t>
            </w:r>
          </w:p>
        </w:tc>
        <w:tc>
          <w:tcPr>
            <w:tcW w:w="444" w:type="pct"/>
            <w:tcBorders>
              <w:top w:val="single" w:sz="4" w:space="0" w:color="auto"/>
              <w:left w:val="single" w:sz="8"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color w:val="000000"/>
                <w:sz w:val="14"/>
                <w:szCs w:val="20"/>
              </w:rPr>
              <w:t>1 072</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 xml:space="preserve"> 348</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1 420</w:t>
            </w:r>
          </w:p>
        </w:tc>
        <w:tc>
          <w:tcPr>
            <w:tcW w:w="443" w:type="pct"/>
            <w:tcBorders>
              <w:top w:val="single" w:sz="4" w:space="0" w:color="auto"/>
              <w:left w:val="single" w:sz="4" w:space="0" w:color="auto"/>
              <w:bottom w:val="single" w:sz="4" w:space="0" w:color="auto"/>
              <w:right w:val="single" w:sz="8"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2.4%</w:t>
            </w:r>
          </w:p>
        </w:tc>
        <w:tc>
          <w:tcPr>
            <w:tcW w:w="527" w:type="pct"/>
            <w:tcBorders>
              <w:top w:val="single" w:sz="4" w:space="0" w:color="auto"/>
              <w:left w:val="single" w:sz="8"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1 314</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Cs/>
                <w:noProof/>
                <w:color w:val="000000"/>
                <w:sz w:val="12"/>
                <w:szCs w:val="12"/>
                <w:lang w:eastAsia="en-GB"/>
              </w:rPr>
            </w:pPr>
            <w:r>
              <w:rPr>
                <w:rFonts w:ascii="Verdana" w:hAnsi="Verdana"/>
                <w:b/>
                <w:bCs/>
                <w:i/>
                <w:iCs/>
                <w:noProof/>
                <w:sz w:val="14"/>
                <w:szCs w:val="20"/>
              </w:rPr>
              <w:t xml:space="preserve"> 337</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1 652</w:t>
            </w:r>
          </w:p>
        </w:tc>
        <w:tc>
          <w:tcPr>
            <w:tcW w:w="407" w:type="pct"/>
            <w:gridSpan w:val="2"/>
            <w:tcBorders>
              <w:top w:val="single" w:sz="4" w:space="0" w:color="auto"/>
              <w:left w:val="single" w:sz="4" w:space="0" w:color="auto"/>
              <w:bottom w:val="single" w:sz="4" w:space="0" w:color="auto"/>
              <w:right w:val="single" w:sz="8"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color w:val="000000"/>
                <w:sz w:val="14"/>
                <w:szCs w:val="20"/>
              </w:rPr>
              <w:t>2.8%</w:t>
            </w:r>
          </w:p>
        </w:tc>
      </w:tr>
      <w:tr w:rsidR="00CC45FC">
        <w:trPr>
          <w:trHeight w:val="72"/>
        </w:trPr>
        <w:tc>
          <w:tcPr>
            <w:tcW w:w="728" w:type="pct"/>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contextualSpacing/>
              <w:jc w:val="both"/>
              <w:rPr>
                <w:rFonts w:ascii="Verdana" w:eastAsia="Times New Roman" w:hAnsi="Verdana"/>
                <w:i/>
                <w:iCs/>
                <w:noProof/>
                <w:color w:val="000000"/>
                <w:sz w:val="12"/>
                <w:szCs w:val="12"/>
                <w:lang w:eastAsia="en-GB"/>
              </w:rPr>
            </w:pPr>
            <w:r>
              <w:rPr>
                <w:rFonts w:ascii="Verdana" w:eastAsia="Times New Roman" w:hAnsi="Verdana"/>
                <w:i/>
                <w:iCs/>
                <w:noProof/>
                <w:color w:val="000000"/>
                <w:sz w:val="12"/>
                <w:szCs w:val="12"/>
                <w:lang w:eastAsia="en-GB"/>
              </w:rPr>
              <w:t>EAGF</w:t>
            </w:r>
          </w:p>
        </w:tc>
        <w:tc>
          <w:tcPr>
            <w:tcW w:w="528" w:type="pct"/>
            <w:tcBorders>
              <w:top w:val="nil"/>
              <w:left w:val="nil"/>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44 940</w:t>
            </w:r>
          </w:p>
        </w:tc>
        <w:tc>
          <w:tcPr>
            <w:tcW w:w="444" w:type="pct"/>
            <w:tcBorders>
              <w:top w:val="nil"/>
              <w:left w:val="nil"/>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 xml:space="preserve"> 922</w:t>
            </w:r>
          </w:p>
        </w:tc>
        <w:tc>
          <w:tcPr>
            <w:tcW w:w="444" w:type="pct"/>
            <w:tcBorders>
              <w:top w:val="nil"/>
              <w:left w:val="single" w:sz="4" w:space="0" w:color="auto"/>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sz w:val="14"/>
                <w:szCs w:val="20"/>
              </w:rPr>
              <w:t xml:space="preserve"> 117</w:t>
            </w:r>
          </w:p>
        </w:tc>
        <w:tc>
          <w:tcPr>
            <w:tcW w:w="444" w:type="pct"/>
            <w:tcBorders>
              <w:top w:val="nil"/>
              <w:left w:val="single" w:sz="4" w:space="0" w:color="auto"/>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1 040</w:t>
            </w:r>
          </w:p>
        </w:tc>
        <w:tc>
          <w:tcPr>
            <w:tcW w:w="443" w:type="pct"/>
            <w:tcBorders>
              <w:top w:val="nil"/>
              <w:left w:val="single" w:sz="4" w:space="0" w:color="auto"/>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sz w:val="14"/>
                <w:szCs w:val="20"/>
              </w:rPr>
              <w:t>2.3%</w:t>
            </w:r>
          </w:p>
        </w:tc>
        <w:tc>
          <w:tcPr>
            <w:tcW w:w="527" w:type="pct"/>
            <w:tcBorders>
              <w:top w:val="single" w:sz="4" w:space="0" w:color="auto"/>
              <w:left w:val="single" w:sz="8" w:space="0" w:color="auto"/>
              <w:right w:val="single" w:sz="4" w:space="0" w:color="auto"/>
            </w:tcBorders>
            <w:shd w:val="clear" w:color="000000" w:fill="FFFFFF"/>
            <w:vAlign w:val="center"/>
          </w:tcPr>
          <w:p w:rsidR="00CC45FC" w:rsidRDefault="004A7700">
            <w:pPr>
              <w:spacing w:after="0" w:line="240" w:lineRule="auto"/>
              <w:contextualSpacing/>
              <w:jc w:val="right"/>
              <w:rPr>
                <w:rFonts w:ascii="Verdana" w:eastAsia="Times New Roman" w:hAnsi="Verdana"/>
                <w:bCs/>
                <w:noProof/>
                <w:color w:val="000000"/>
                <w:sz w:val="12"/>
                <w:szCs w:val="12"/>
                <w:lang w:eastAsia="en-GB"/>
              </w:rPr>
            </w:pPr>
            <w:r>
              <w:rPr>
                <w:rFonts w:ascii="Verdana" w:hAnsi="Verdana"/>
                <w:noProof/>
                <w:sz w:val="14"/>
                <w:szCs w:val="20"/>
              </w:rPr>
              <w:t>1 017</w:t>
            </w:r>
          </w:p>
        </w:tc>
        <w:tc>
          <w:tcPr>
            <w:tcW w:w="518" w:type="pct"/>
            <w:tcBorders>
              <w:top w:val="nil"/>
              <w:left w:val="single" w:sz="4" w:space="0" w:color="auto"/>
              <w:bottom w:val="nil"/>
              <w:right w:val="single" w:sz="4" w:space="0" w:color="auto"/>
            </w:tcBorders>
            <w:shd w:val="clear" w:color="auto" w:fill="auto"/>
            <w:vAlign w:val="center"/>
          </w:tcPr>
          <w:p w:rsidR="00CC45FC" w:rsidRDefault="004A7700">
            <w:pPr>
              <w:spacing w:after="0" w:line="240" w:lineRule="auto"/>
              <w:contextualSpacing/>
              <w:jc w:val="right"/>
              <w:rPr>
                <w:rFonts w:ascii="Verdana" w:eastAsia="Times New Roman" w:hAnsi="Verdana"/>
                <w:iCs/>
                <w:noProof/>
                <w:color w:val="000000"/>
                <w:sz w:val="12"/>
                <w:szCs w:val="12"/>
                <w:lang w:eastAsia="en-GB"/>
              </w:rPr>
            </w:pPr>
            <w:r>
              <w:rPr>
                <w:rFonts w:ascii="Verdana" w:hAnsi="Verdana"/>
                <w:noProof/>
                <w:sz w:val="14"/>
                <w:szCs w:val="20"/>
              </w:rPr>
              <w:t xml:space="preserve"> 155</w:t>
            </w:r>
          </w:p>
        </w:tc>
        <w:tc>
          <w:tcPr>
            <w:tcW w:w="518" w:type="pct"/>
            <w:tcBorders>
              <w:top w:val="single" w:sz="4" w:space="0" w:color="auto"/>
              <w:left w:val="single" w:sz="4" w:space="0" w:color="auto"/>
              <w:bottom w:val="nil"/>
              <w:right w:val="single" w:sz="4" w:space="0" w:color="auto"/>
            </w:tcBorders>
            <w:shd w:val="clear" w:color="000000" w:fill="FFFFFF"/>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1 173</w:t>
            </w:r>
          </w:p>
        </w:tc>
        <w:tc>
          <w:tcPr>
            <w:tcW w:w="407" w:type="pct"/>
            <w:gridSpan w:val="2"/>
            <w:tcBorders>
              <w:top w:val="nil"/>
              <w:left w:val="single" w:sz="4" w:space="0" w:color="auto"/>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color w:val="000000"/>
                <w:sz w:val="14"/>
                <w:szCs w:val="20"/>
              </w:rPr>
              <w:t>2.6%</w:t>
            </w:r>
          </w:p>
        </w:tc>
      </w:tr>
      <w:tr w:rsidR="00CC45FC">
        <w:trPr>
          <w:trHeight w:val="151"/>
        </w:trPr>
        <w:tc>
          <w:tcPr>
            <w:tcW w:w="728" w:type="pct"/>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contextualSpacing/>
              <w:jc w:val="both"/>
              <w:rPr>
                <w:rFonts w:ascii="Verdana" w:eastAsia="Times New Roman" w:hAnsi="Verdana"/>
                <w:i/>
                <w:iCs/>
                <w:noProof/>
                <w:color w:val="000000"/>
                <w:sz w:val="12"/>
                <w:szCs w:val="12"/>
                <w:lang w:eastAsia="en-GB"/>
              </w:rPr>
            </w:pPr>
            <w:r>
              <w:rPr>
                <w:rFonts w:ascii="Verdana" w:eastAsia="Times New Roman" w:hAnsi="Verdana"/>
                <w:i/>
                <w:iCs/>
                <w:noProof/>
                <w:color w:val="000000"/>
                <w:sz w:val="12"/>
                <w:szCs w:val="12"/>
                <w:lang w:eastAsia="en-GB"/>
              </w:rPr>
              <w:t>Rural Development</w:t>
            </w:r>
          </w:p>
        </w:tc>
        <w:tc>
          <w:tcPr>
            <w:tcW w:w="528" w:type="pct"/>
            <w:tcBorders>
              <w:top w:val="nil"/>
              <w:left w:val="nil"/>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11 793</w:t>
            </w:r>
          </w:p>
        </w:tc>
        <w:tc>
          <w:tcPr>
            <w:tcW w:w="444" w:type="pct"/>
            <w:tcBorders>
              <w:top w:val="nil"/>
              <w:left w:val="nil"/>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 xml:space="preserve"> 46</w:t>
            </w:r>
          </w:p>
        </w:tc>
        <w:tc>
          <w:tcPr>
            <w:tcW w:w="444" w:type="pct"/>
            <w:tcBorders>
              <w:top w:val="nil"/>
              <w:left w:val="single" w:sz="4" w:space="0" w:color="auto"/>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sz w:val="14"/>
                <w:szCs w:val="20"/>
              </w:rPr>
              <w:t xml:space="preserve"> 206</w:t>
            </w:r>
          </w:p>
        </w:tc>
        <w:tc>
          <w:tcPr>
            <w:tcW w:w="444" w:type="pct"/>
            <w:tcBorders>
              <w:top w:val="nil"/>
              <w:left w:val="single" w:sz="4" w:space="0" w:color="auto"/>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 xml:space="preserve"> 253</w:t>
            </w:r>
          </w:p>
        </w:tc>
        <w:tc>
          <w:tcPr>
            <w:tcW w:w="443" w:type="pct"/>
            <w:tcBorders>
              <w:top w:val="nil"/>
              <w:left w:val="single" w:sz="4" w:space="0" w:color="auto"/>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sz w:val="14"/>
                <w:szCs w:val="20"/>
              </w:rPr>
              <w:t>2.1%</w:t>
            </w:r>
          </w:p>
        </w:tc>
        <w:tc>
          <w:tcPr>
            <w:tcW w:w="527" w:type="pct"/>
            <w:tcBorders>
              <w:left w:val="single" w:sz="8" w:space="0" w:color="auto"/>
              <w:bottom w:val="nil"/>
              <w:right w:val="single" w:sz="4" w:space="0" w:color="auto"/>
            </w:tcBorders>
            <w:shd w:val="clear" w:color="000000" w:fill="FFFFFF"/>
            <w:vAlign w:val="center"/>
          </w:tcPr>
          <w:p w:rsidR="00CC45FC" w:rsidRDefault="004A7700">
            <w:pPr>
              <w:spacing w:after="0" w:line="240" w:lineRule="auto"/>
              <w:contextualSpacing/>
              <w:jc w:val="right"/>
              <w:rPr>
                <w:rFonts w:ascii="Verdana" w:eastAsia="Times New Roman" w:hAnsi="Verdana"/>
                <w:bCs/>
                <w:noProof/>
                <w:color w:val="000000"/>
                <w:sz w:val="12"/>
                <w:szCs w:val="12"/>
                <w:lang w:eastAsia="en-GB"/>
              </w:rPr>
            </w:pPr>
            <w:r>
              <w:rPr>
                <w:rFonts w:ascii="Verdana" w:hAnsi="Verdana"/>
                <w:noProof/>
                <w:sz w:val="14"/>
                <w:szCs w:val="20"/>
              </w:rPr>
              <w:t xml:space="preserve"> 263</w:t>
            </w:r>
          </w:p>
        </w:tc>
        <w:tc>
          <w:tcPr>
            <w:tcW w:w="518" w:type="pct"/>
            <w:tcBorders>
              <w:top w:val="nil"/>
              <w:left w:val="single" w:sz="4" w:space="0" w:color="auto"/>
              <w:bottom w:val="nil"/>
              <w:right w:val="single" w:sz="4" w:space="0" w:color="auto"/>
            </w:tcBorders>
            <w:shd w:val="clear" w:color="auto" w:fill="auto"/>
            <w:vAlign w:val="center"/>
          </w:tcPr>
          <w:p w:rsidR="00CC45FC" w:rsidRDefault="004A7700">
            <w:pPr>
              <w:spacing w:after="0" w:line="240" w:lineRule="auto"/>
              <w:contextualSpacing/>
              <w:jc w:val="right"/>
              <w:rPr>
                <w:rFonts w:ascii="Verdana" w:eastAsia="Times New Roman" w:hAnsi="Verdana"/>
                <w:iCs/>
                <w:noProof/>
                <w:color w:val="000000"/>
                <w:sz w:val="12"/>
                <w:szCs w:val="12"/>
                <w:lang w:eastAsia="en-GB"/>
              </w:rPr>
            </w:pPr>
            <w:r>
              <w:rPr>
                <w:rFonts w:ascii="Verdana" w:hAnsi="Verdana"/>
                <w:noProof/>
                <w:sz w:val="14"/>
                <w:szCs w:val="20"/>
              </w:rPr>
              <w:t xml:space="preserve"> 152</w:t>
            </w:r>
          </w:p>
        </w:tc>
        <w:tc>
          <w:tcPr>
            <w:tcW w:w="518" w:type="pct"/>
            <w:tcBorders>
              <w:top w:val="nil"/>
              <w:left w:val="single" w:sz="4" w:space="0" w:color="auto"/>
              <w:bottom w:val="nil"/>
              <w:right w:val="single" w:sz="4" w:space="0" w:color="auto"/>
            </w:tcBorders>
            <w:shd w:val="clear" w:color="000000" w:fill="FFFFFF"/>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 xml:space="preserve"> 414</w:t>
            </w:r>
          </w:p>
        </w:tc>
        <w:tc>
          <w:tcPr>
            <w:tcW w:w="407" w:type="pct"/>
            <w:gridSpan w:val="2"/>
            <w:tcBorders>
              <w:top w:val="nil"/>
              <w:left w:val="single" w:sz="4" w:space="0" w:color="auto"/>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color w:val="000000"/>
                <w:sz w:val="14"/>
                <w:szCs w:val="20"/>
              </w:rPr>
              <w:t>3.5%</w:t>
            </w:r>
          </w:p>
        </w:tc>
      </w:tr>
      <w:tr w:rsidR="00CC45FC">
        <w:trPr>
          <w:trHeight w:val="151"/>
        </w:trPr>
        <w:tc>
          <w:tcPr>
            <w:tcW w:w="728" w:type="pct"/>
            <w:tcBorders>
              <w:top w:val="nil"/>
              <w:left w:val="single" w:sz="8" w:space="0" w:color="auto"/>
              <w:bottom w:val="nil"/>
              <w:right w:val="single" w:sz="8" w:space="0" w:color="auto"/>
            </w:tcBorders>
            <w:shd w:val="clear" w:color="auto" w:fill="auto"/>
            <w:noWrap/>
            <w:vAlign w:val="center"/>
          </w:tcPr>
          <w:p w:rsidR="00CC45FC" w:rsidRDefault="004A7700">
            <w:pPr>
              <w:spacing w:after="0" w:line="240" w:lineRule="auto"/>
              <w:contextualSpacing/>
              <w:jc w:val="both"/>
              <w:rPr>
                <w:rFonts w:ascii="Verdana" w:eastAsia="Times New Roman" w:hAnsi="Verdana"/>
                <w:i/>
                <w:iCs/>
                <w:noProof/>
                <w:color w:val="000000"/>
                <w:sz w:val="12"/>
                <w:szCs w:val="12"/>
                <w:lang w:eastAsia="en-GB"/>
              </w:rPr>
            </w:pPr>
            <w:r>
              <w:rPr>
                <w:rFonts w:ascii="Verdana" w:eastAsia="Times New Roman" w:hAnsi="Verdana"/>
                <w:i/>
                <w:iCs/>
                <w:noProof/>
                <w:color w:val="000000"/>
                <w:sz w:val="12"/>
                <w:szCs w:val="12"/>
                <w:lang w:eastAsia="en-GB"/>
              </w:rPr>
              <w:t>FIFG/EFF</w:t>
            </w:r>
          </w:p>
        </w:tc>
        <w:tc>
          <w:tcPr>
            <w:tcW w:w="528" w:type="pct"/>
            <w:tcBorders>
              <w:top w:val="nil"/>
              <w:left w:val="nil"/>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 xml:space="preserve"> 791</w:t>
            </w:r>
          </w:p>
        </w:tc>
        <w:tc>
          <w:tcPr>
            <w:tcW w:w="444" w:type="pct"/>
            <w:tcBorders>
              <w:top w:val="nil"/>
              <w:left w:val="nil"/>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 xml:space="preserve"> 6</w:t>
            </w:r>
          </w:p>
        </w:tc>
        <w:tc>
          <w:tcPr>
            <w:tcW w:w="444" w:type="pct"/>
            <w:tcBorders>
              <w:top w:val="nil"/>
              <w:left w:val="single" w:sz="4" w:space="0" w:color="auto"/>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sz w:val="14"/>
                <w:szCs w:val="20"/>
              </w:rPr>
              <w:t xml:space="preserve"> 2</w:t>
            </w:r>
          </w:p>
        </w:tc>
        <w:tc>
          <w:tcPr>
            <w:tcW w:w="444" w:type="pct"/>
            <w:tcBorders>
              <w:top w:val="nil"/>
              <w:left w:val="single" w:sz="4" w:space="0" w:color="auto"/>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 xml:space="preserve"> 8</w:t>
            </w:r>
          </w:p>
        </w:tc>
        <w:tc>
          <w:tcPr>
            <w:tcW w:w="443" w:type="pct"/>
            <w:tcBorders>
              <w:top w:val="nil"/>
              <w:left w:val="single" w:sz="4" w:space="0" w:color="auto"/>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sz w:val="14"/>
                <w:szCs w:val="20"/>
              </w:rPr>
              <w:t>1.0%</w:t>
            </w:r>
          </w:p>
        </w:tc>
        <w:tc>
          <w:tcPr>
            <w:tcW w:w="527" w:type="pct"/>
            <w:tcBorders>
              <w:top w:val="nil"/>
              <w:left w:val="single" w:sz="8" w:space="0" w:color="auto"/>
              <w:bottom w:val="nil"/>
              <w:right w:val="single" w:sz="4" w:space="0" w:color="auto"/>
            </w:tcBorders>
            <w:shd w:val="clear" w:color="000000" w:fill="FFFFFF"/>
            <w:vAlign w:val="center"/>
          </w:tcPr>
          <w:p w:rsidR="00CC45FC" w:rsidRDefault="004A7700">
            <w:pPr>
              <w:spacing w:after="0" w:line="240" w:lineRule="auto"/>
              <w:contextualSpacing/>
              <w:jc w:val="right"/>
              <w:rPr>
                <w:rFonts w:ascii="Verdana" w:eastAsia="Times New Roman" w:hAnsi="Verdana"/>
                <w:bCs/>
                <w:noProof/>
                <w:color w:val="000000"/>
                <w:sz w:val="12"/>
                <w:szCs w:val="12"/>
                <w:lang w:eastAsia="en-GB"/>
              </w:rPr>
            </w:pPr>
            <w:r>
              <w:rPr>
                <w:rFonts w:ascii="Verdana" w:hAnsi="Verdana"/>
                <w:noProof/>
                <w:sz w:val="14"/>
                <w:szCs w:val="20"/>
              </w:rPr>
              <w:t xml:space="preserve"> 10</w:t>
            </w:r>
          </w:p>
        </w:tc>
        <w:tc>
          <w:tcPr>
            <w:tcW w:w="518" w:type="pct"/>
            <w:tcBorders>
              <w:top w:val="nil"/>
              <w:left w:val="single" w:sz="4" w:space="0" w:color="auto"/>
              <w:bottom w:val="nil"/>
              <w:right w:val="single" w:sz="4" w:space="0" w:color="auto"/>
            </w:tcBorders>
            <w:shd w:val="clear" w:color="auto" w:fill="auto"/>
            <w:vAlign w:val="center"/>
          </w:tcPr>
          <w:p w:rsidR="00CC45FC" w:rsidRDefault="004A7700">
            <w:pPr>
              <w:spacing w:after="0" w:line="240" w:lineRule="auto"/>
              <w:contextualSpacing/>
              <w:jc w:val="right"/>
              <w:rPr>
                <w:rFonts w:ascii="Verdana" w:eastAsia="Times New Roman" w:hAnsi="Verdana"/>
                <w:iCs/>
                <w:noProof/>
                <w:color w:val="000000"/>
                <w:sz w:val="12"/>
                <w:szCs w:val="12"/>
                <w:lang w:eastAsia="en-GB"/>
              </w:rPr>
            </w:pPr>
            <w:r>
              <w:rPr>
                <w:rFonts w:ascii="Verdana" w:hAnsi="Verdana"/>
                <w:noProof/>
                <w:sz w:val="14"/>
                <w:szCs w:val="20"/>
              </w:rPr>
              <w:t xml:space="preserve"> 6</w:t>
            </w:r>
          </w:p>
        </w:tc>
        <w:tc>
          <w:tcPr>
            <w:tcW w:w="518" w:type="pct"/>
            <w:tcBorders>
              <w:top w:val="nil"/>
              <w:left w:val="single" w:sz="4" w:space="0" w:color="auto"/>
              <w:bottom w:val="nil"/>
              <w:right w:val="single" w:sz="4" w:space="0" w:color="auto"/>
            </w:tcBorders>
            <w:shd w:val="clear" w:color="000000" w:fill="FFFFFF"/>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 xml:space="preserve"> 16</w:t>
            </w:r>
          </w:p>
        </w:tc>
        <w:tc>
          <w:tcPr>
            <w:tcW w:w="407" w:type="pct"/>
            <w:gridSpan w:val="2"/>
            <w:tcBorders>
              <w:top w:val="nil"/>
              <w:left w:val="single" w:sz="4" w:space="0" w:color="auto"/>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color w:val="000000"/>
                <w:sz w:val="14"/>
                <w:szCs w:val="20"/>
              </w:rPr>
              <w:t>2.0%</w:t>
            </w:r>
          </w:p>
        </w:tc>
      </w:tr>
      <w:tr w:rsidR="00CC45FC">
        <w:trPr>
          <w:trHeight w:val="151"/>
        </w:trPr>
        <w:tc>
          <w:tcPr>
            <w:tcW w:w="728" w:type="pct"/>
            <w:tcBorders>
              <w:top w:val="nil"/>
              <w:left w:val="single" w:sz="8" w:space="0" w:color="auto"/>
              <w:bottom w:val="nil"/>
              <w:right w:val="single" w:sz="8" w:space="0" w:color="auto"/>
            </w:tcBorders>
            <w:shd w:val="clear" w:color="auto" w:fill="auto"/>
            <w:noWrap/>
            <w:vAlign w:val="center"/>
          </w:tcPr>
          <w:p w:rsidR="00CC45FC" w:rsidRDefault="004A7700">
            <w:pPr>
              <w:spacing w:after="0" w:line="240" w:lineRule="auto"/>
              <w:contextualSpacing/>
              <w:jc w:val="both"/>
              <w:rPr>
                <w:rFonts w:ascii="Verdana" w:eastAsia="Times New Roman" w:hAnsi="Verdana"/>
                <w:i/>
                <w:iCs/>
                <w:noProof/>
                <w:color w:val="000000"/>
                <w:sz w:val="12"/>
                <w:szCs w:val="12"/>
                <w:lang w:eastAsia="en-GB"/>
              </w:rPr>
            </w:pPr>
            <w:r>
              <w:rPr>
                <w:rFonts w:ascii="Verdana" w:eastAsia="Times New Roman" w:hAnsi="Verdana"/>
                <w:i/>
                <w:iCs/>
                <w:noProof/>
                <w:color w:val="000000"/>
                <w:sz w:val="12"/>
                <w:szCs w:val="12"/>
                <w:lang w:eastAsia="en-GB"/>
              </w:rPr>
              <w:t>EAGGF Guidance</w:t>
            </w:r>
          </w:p>
        </w:tc>
        <w:tc>
          <w:tcPr>
            <w:tcW w:w="528" w:type="pct"/>
            <w:tcBorders>
              <w:top w:val="nil"/>
              <w:left w:val="nil"/>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 xml:space="preserve"> 64</w:t>
            </w:r>
          </w:p>
        </w:tc>
        <w:tc>
          <w:tcPr>
            <w:tcW w:w="444" w:type="pct"/>
            <w:tcBorders>
              <w:top w:val="nil"/>
              <w:left w:val="nil"/>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 xml:space="preserve"> 97</w:t>
            </w:r>
          </w:p>
        </w:tc>
        <w:tc>
          <w:tcPr>
            <w:tcW w:w="444" w:type="pct"/>
            <w:tcBorders>
              <w:top w:val="nil"/>
              <w:left w:val="single" w:sz="4" w:space="0" w:color="auto"/>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sz w:val="14"/>
                <w:szCs w:val="20"/>
              </w:rPr>
              <w:t xml:space="preserve"> 2</w:t>
            </w:r>
          </w:p>
        </w:tc>
        <w:tc>
          <w:tcPr>
            <w:tcW w:w="444" w:type="pct"/>
            <w:tcBorders>
              <w:top w:val="nil"/>
              <w:left w:val="single" w:sz="4" w:space="0" w:color="auto"/>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 xml:space="preserve"> 99</w:t>
            </w:r>
          </w:p>
        </w:tc>
        <w:tc>
          <w:tcPr>
            <w:tcW w:w="443" w:type="pct"/>
            <w:tcBorders>
              <w:top w:val="nil"/>
              <w:left w:val="single" w:sz="4" w:space="0" w:color="auto"/>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sz w:val="14"/>
                <w:szCs w:val="20"/>
              </w:rPr>
              <w:t>154.0%</w:t>
            </w:r>
          </w:p>
        </w:tc>
        <w:tc>
          <w:tcPr>
            <w:tcW w:w="527" w:type="pct"/>
            <w:tcBorders>
              <w:top w:val="nil"/>
              <w:left w:val="single" w:sz="8" w:space="0" w:color="auto"/>
              <w:right w:val="single" w:sz="4" w:space="0" w:color="auto"/>
            </w:tcBorders>
            <w:shd w:val="clear" w:color="000000" w:fill="FFFFFF"/>
            <w:vAlign w:val="center"/>
          </w:tcPr>
          <w:p w:rsidR="00CC45FC" w:rsidRDefault="004A7700">
            <w:pPr>
              <w:spacing w:after="0" w:line="240" w:lineRule="auto"/>
              <w:contextualSpacing/>
              <w:jc w:val="right"/>
              <w:rPr>
                <w:rFonts w:ascii="Verdana" w:eastAsia="Times New Roman" w:hAnsi="Verdana"/>
                <w:bCs/>
                <w:noProof/>
                <w:color w:val="000000"/>
                <w:sz w:val="12"/>
                <w:szCs w:val="12"/>
                <w:lang w:eastAsia="en-GB"/>
              </w:rPr>
            </w:pPr>
            <w:r>
              <w:rPr>
                <w:rFonts w:ascii="Verdana" w:hAnsi="Verdana"/>
                <w:noProof/>
                <w:sz w:val="14"/>
                <w:szCs w:val="20"/>
              </w:rPr>
              <w:t xml:space="preserve"> 24</w:t>
            </w:r>
          </w:p>
        </w:tc>
        <w:tc>
          <w:tcPr>
            <w:tcW w:w="518" w:type="pct"/>
            <w:tcBorders>
              <w:top w:val="nil"/>
              <w:left w:val="single" w:sz="4" w:space="0" w:color="auto"/>
              <w:bottom w:val="nil"/>
              <w:right w:val="single" w:sz="4" w:space="0" w:color="auto"/>
            </w:tcBorders>
            <w:shd w:val="clear" w:color="auto" w:fill="auto"/>
            <w:vAlign w:val="center"/>
          </w:tcPr>
          <w:p w:rsidR="00CC45FC" w:rsidRDefault="004A7700">
            <w:pPr>
              <w:spacing w:after="0" w:line="240" w:lineRule="auto"/>
              <w:contextualSpacing/>
              <w:jc w:val="right"/>
              <w:rPr>
                <w:rFonts w:ascii="Verdana" w:eastAsia="Times New Roman" w:hAnsi="Verdana"/>
                <w:iCs/>
                <w:noProof/>
                <w:color w:val="000000"/>
                <w:sz w:val="12"/>
                <w:szCs w:val="12"/>
                <w:lang w:eastAsia="en-GB"/>
              </w:rPr>
            </w:pPr>
            <w:r>
              <w:rPr>
                <w:rFonts w:ascii="Verdana" w:hAnsi="Verdana"/>
                <w:noProof/>
                <w:sz w:val="14"/>
                <w:szCs w:val="20"/>
              </w:rPr>
              <w:t xml:space="preserve"> 2</w:t>
            </w:r>
          </w:p>
        </w:tc>
        <w:tc>
          <w:tcPr>
            <w:tcW w:w="518" w:type="pct"/>
            <w:tcBorders>
              <w:top w:val="nil"/>
              <w:left w:val="single" w:sz="4" w:space="0" w:color="auto"/>
              <w:right w:val="single" w:sz="4" w:space="0" w:color="auto"/>
            </w:tcBorders>
            <w:shd w:val="clear" w:color="000000" w:fill="FFFFFF"/>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 xml:space="preserve"> 26</w:t>
            </w:r>
          </w:p>
        </w:tc>
        <w:tc>
          <w:tcPr>
            <w:tcW w:w="407" w:type="pct"/>
            <w:gridSpan w:val="2"/>
            <w:tcBorders>
              <w:top w:val="nil"/>
              <w:left w:val="single" w:sz="4" w:space="0" w:color="auto"/>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color w:val="000000"/>
                <w:sz w:val="14"/>
                <w:szCs w:val="20"/>
              </w:rPr>
              <w:t>40.6%</w:t>
            </w:r>
          </w:p>
        </w:tc>
      </w:tr>
      <w:tr w:rsidR="00CC45FC">
        <w:trPr>
          <w:trHeight w:val="162"/>
        </w:trPr>
        <w:tc>
          <w:tcPr>
            <w:tcW w:w="728" w:type="pct"/>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contextualSpacing/>
              <w:jc w:val="both"/>
              <w:rPr>
                <w:rFonts w:ascii="Verdana" w:eastAsia="Times New Roman" w:hAnsi="Verdana"/>
                <w:i/>
                <w:iCs/>
                <w:noProof/>
                <w:color w:val="000000"/>
                <w:sz w:val="12"/>
                <w:szCs w:val="12"/>
                <w:lang w:eastAsia="en-GB"/>
              </w:rPr>
            </w:pPr>
            <w:r>
              <w:rPr>
                <w:rFonts w:ascii="Verdana" w:eastAsia="Times New Roman" w:hAnsi="Verdana"/>
                <w:i/>
                <w:iCs/>
                <w:noProof/>
                <w:color w:val="000000"/>
                <w:sz w:val="12"/>
                <w:szCs w:val="12"/>
                <w:lang w:eastAsia="en-GB"/>
              </w:rPr>
              <w:t>Internal policies</w:t>
            </w:r>
          </w:p>
        </w:tc>
        <w:tc>
          <w:tcPr>
            <w:tcW w:w="528" w:type="pct"/>
            <w:tcBorders>
              <w:top w:val="nil"/>
              <w:left w:val="nil"/>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 xml:space="preserve"> 478</w:t>
            </w:r>
          </w:p>
        </w:tc>
        <w:tc>
          <w:tcPr>
            <w:tcW w:w="444" w:type="pct"/>
            <w:tcBorders>
              <w:top w:val="nil"/>
              <w:left w:val="nil"/>
              <w:bottom w:val="single" w:sz="4" w:space="0" w:color="auto"/>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 xml:space="preserve"> -</w:t>
            </w:r>
          </w:p>
        </w:tc>
        <w:tc>
          <w:tcPr>
            <w:tcW w:w="444" w:type="pct"/>
            <w:tcBorders>
              <w:top w:val="nil"/>
              <w:left w:val="single" w:sz="4" w:space="0" w:color="auto"/>
              <w:bottom w:val="single" w:sz="4" w:space="0" w:color="auto"/>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sz w:val="14"/>
                <w:szCs w:val="20"/>
              </w:rPr>
              <w:t xml:space="preserve"> 21</w:t>
            </w:r>
          </w:p>
        </w:tc>
        <w:tc>
          <w:tcPr>
            <w:tcW w:w="444" w:type="pct"/>
            <w:tcBorders>
              <w:top w:val="nil"/>
              <w:left w:val="single" w:sz="4" w:space="0" w:color="auto"/>
              <w:bottom w:val="single" w:sz="4" w:space="0" w:color="auto"/>
              <w:right w:val="single" w:sz="4" w:space="0" w:color="auto"/>
            </w:tcBorders>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 xml:space="preserve"> 21</w:t>
            </w:r>
          </w:p>
        </w:tc>
        <w:tc>
          <w:tcPr>
            <w:tcW w:w="443" w:type="pct"/>
            <w:tcBorders>
              <w:top w:val="nil"/>
              <w:left w:val="single" w:sz="4" w:space="0" w:color="auto"/>
              <w:bottom w:val="single" w:sz="4" w:space="0" w:color="auto"/>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sz w:val="14"/>
                <w:szCs w:val="20"/>
              </w:rPr>
              <w:t>4.4%</w:t>
            </w:r>
          </w:p>
        </w:tc>
        <w:tc>
          <w:tcPr>
            <w:tcW w:w="527" w:type="pct"/>
            <w:tcBorders>
              <w:top w:val="nil"/>
              <w:left w:val="single" w:sz="8" w:space="0" w:color="auto"/>
              <w:bottom w:val="single" w:sz="4" w:space="0" w:color="auto"/>
              <w:right w:val="single" w:sz="4" w:space="0" w:color="auto"/>
            </w:tcBorders>
            <w:shd w:val="clear" w:color="000000" w:fill="FFFFFF"/>
            <w:vAlign w:val="center"/>
          </w:tcPr>
          <w:p w:rsidR="00CC45FC" w:rsidRDefault="004A7700">
            <w:pPr>
              <w:spacing w:after="0" w:line="240" w:lineRule="auto"/>
              <w:contextualSpacing/>
              <w:jc w:val="right"/>
              <w:rPr>
                <w:rFonts w:ascii="Verdana" w:eastAsia="Times New Roman" w:hAnsi="Verdana"/>
                <w:bCs/>
                <w:noProof/>
                <w:color w:val="000000"/>
                <w:sz w:val="12"/>
                <w:szCs w:val="12"/>
                <w:lang w:eastAsia="en-GB"/>
              </w:rPr>
            </w:pPr>
            <w:r>
              <w:rPr>
                <w:rFonts w:ascii="Verdana" w:hAnsi="Verdana"/>
                <w:noProof/>
                <w:sz w:val="14"/>
                <w:szCs w:val="20"/>
              </w:rPr>
              <w:t xml:space="preserve"> -</w:t>
            </w:r>
          </w:p>
        </w:tc>
        <w:tc>
          <w:tcPr>
            <w:tcW w:w="518" w:type="pct"/>
            <w:tcBorders>
              <w:top w:val="nil"/>
              <w:left w:val="single" w:sz="4" w:space="0" w:color="auto"/>
              <w:bottom w:val="single" w:sz="4" w:space="0" w:color="auto"/>
              <w:right w:val="single" w:sz="4" w:space="0" w:color="auto"/>
            </w:tcBorders>
            <w:shd w:val="clear" w:color="auto" w:fill="auto"/>
            <w:vAlign w:val="center"/>
          </w:tcPr>
          <w:p w:rsidR="00CC45FC" w:rsidRDefault="004A7700">
            <w:pPr>
              <w:spacing w:after="0" w:line="240" w:lineRule="auto"/>
              <w:contextualSpacing/>
              <w:jc w:val="right"/>
              <w:rPr>
                <w:rFonts w:ascii="Verdana" w:eastAsia="Times New Roman" w:hAnsi="Verdana"/>
                <w:iCs/>
                <w:noProof/>
                <w:color w:val="000000"/>
                <w:sz w:val="12"/>
                <w:szCs w:val="12"/>
                <w:lang w:eastAsia="en-GB"/>
              </w:rPr>
            </w:pPr>
            <w:r>
              <w:rPr>
                <w:rFonts w:ascii="Verdana" w:hAnsi="Verdana"/>
                <w:noProof/>
                <w:sz w:val="14"/>
                <w:szCs w:val="20"/>
              </w:rPr>
              <w:t xml:space="preserve"> 23</w:t>
            </w:r>
          </w:p>
        </w:tc>
        <w:tc>
          <w:tcPr>
            <w:tcW w:w="518" w:type="pct"/>
            <w:tcBorders>
              <w:top w:val="nil"/>
              <w:left w:val="single" w:sz="4" w:space="0" w:color="auto"/>
              <w:bottom w:val="single" w:sz="4" w:space="0" w:color="auto"/>
              <w:right w:val="single" w:sz="4" w:space="0" w:color="auto"/>
            </w:tcBorders>
            <w:shd w:val="clear" w:color="000000" w:fill="FFFFFF"/>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 xml:space="preserve"> 23</w:t>
            </w:r>
          </w:p>
        </w:tc>
        <w:tc>
          <w:tcPr>
            <w:tcW w:w="407" w:type="pct"/>
            <w:gridSpan w:val="2"/>
            <w:tcBorders>
              <w:top w:val="nil"/>
              <w:left w:val="single" w:sz="4" w:space="0" w:color="auto"/>
              <w:bottom w:val="single" w:sz="4" w:space="0" w:color="auto"/>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color w:val="000000"/>
                <w:sz w:val="14"/>
                <w:szCs w:val="20"/>
              </w:rPr>
              <w:t>4.8%</w:t>
            </w:r>
          </w:p>
        </w:tc>
      </w:tr>
      <w:tr w:rsidR="00CC45FC">
        <w:trPr>
          <w:trHeight w:val="329"/>
        </w:trPr>
        <w:tc>
          <w:tcPr>
            <w:tcW w:w="728" w:type="pct"/>
            <w:tcBorders>
              <w:top w:val="single" w:sz="4" w:space="0" w:color="auto"/>
              <w:left w:val="single" w:sz="8" w:space="0" w:color="auto"/>
              <w:bottom w:val="single" w:sz="4" w:space="0" w:color="auto"/>
              <w:right w:val="single" w:sz="8" w:space="0" w:color="auto"/>
            </w:tcBorders>
            <w:shd w:val="clear" w:color="000000" w:fill="D9D9D9"/>
            <w:noWrap/>
            <w:vAlign w:val="center"/>
            <w:hideMark/>
          </w:tcPr>
          <w:p w:rsidR="00CC45FC" w:rsidRDefault="004A7700">
            <w:pPr>
              <w:spacing w:after="0" w:line="240" w:lineRule="auto"/>
              <w:contextualSpacing/>
              <w:rPr>
                <w:rFonts w:ascii="Verdana" w:eastAsia="Times New Roman" w:hAnsi="Verdana"/>
                <w:b/>
                <w:bCs/>
                <w:i/>
                <w:iCs/>
                <w:noProof/>
                <w:color w:val="000000"/>
                <w:sz w:val="12"/>
                <w:szCs w:val="12"/>
                <w:lang w:eastAsia="en-GB"/>
              </w:rPr>
            </w:pPr>
            <w:r>
              <w:rPr>
                <w:rFonts w:ascii="Verdana" w:eastAsia="Times New Roman" w:hAnsi="Verdana"/>
                <w:b/>
                <w:bCs/>
                <w:i/>
                <w:iCs/>
                <w:noProof/>
                <w:color w:val="000000"/>
                <w:sz w:val="12"/>
                <w:szCs w:val="12"/>
                <w:lang w:eastAsia="en-GB"/>
              </w:rPr>
              <w:t xml:space="preserve">Security &amp; citizenship </w:t>
            </w:r>
          </w:p>
        </w:tc>
        <w:tc>
          <w:tcPr>
            <w:tcW w:w="528" w:type="pct"/>
            <w:tcBorders>
              <w:top w:val="single" w:sz="4" w:space="0" w:color="auto"/>
              <w:left w:val="nil"/>
              <w:bottom w:val="single" w:sz="4" w:space="0" w:color="auto"/>
              <w:right w:val="single" w:sz="8"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color w:val="000000"/>
                <w:sz w:val="14"/>
                <w:szCs w:val="20"/>
              </w:rPr>
              <w:t>2 019</w:t>
            </w:r>
          </w:p>
        </w:tc>
        <w:tc>
          <w:tcPr>
            <w:tcW w:w="444" w:type="pct"/>
            <w:tcBorders>
              <w:top w:val="single" w:sz="4" w:space="0" w:color="auto"/>
              <w:left w:val="nil"/>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color w:val="000000"/>
                <w:sz w:val="14"/>
                <w:szCs w:val="20"/>
              </w:rPr>
              <w:t xml:space="preserve"> 23</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 xml:space="preserve"> 28</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 xml:space="preserve"> 51</w:t>
            </w:r>
          </w:p>
        </w:tc>
        <w:tc>
          <w:tcPr>
            <w:tcW w:w="443" w:type="pct"/>
            <w:tcBorders>
              <w:top w:val="single" w:sz="4" w:space="0" w:color="auto"/>
              <w:left w:val="single" w:sz="4" w:space="0" w:color="auto"/>
              <w:bottom w:val="single" w:sz="4" w:space="0" w:color="auto"/>
              <w:right w:val="single" w:sz="8"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2.5%</w:t>
            </w:r>
          </w:p>
        </w:tc>
        <w:tc>
          <w:tcPr>
            <w:tcW w:w="527" w:type="pct"/>
            <w:tcBorders>
              <w:top w:val="single" w:sz="4" w:space="0" w:color="auto"/>
              <w:left w:val="single" w:sz="8"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 xml:space="preserve"> 23</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Cs/>
                <w:noProof/>
                <w:color w:val="000000"/>
                <w:sz w:val="12"/>
                <w:szCs w:val="12"/>
                <w:lang w:eastAsia="en-GB"/>
              </w:rPr>
            </w:pPr>
            <w:r>
              <w:rPr>
                <w:rFonts w:ascii="Verdana" w:hAnsi="Verdana"/>
                <w:b/>
                <w:bCs/>
                <w:i/>
                <w:iCs/>
                <w:noProof/>
                <w:sz w:val="14"/>
                <w:szCs w:val="20"/>
              </w:rPr>
              <w:t xml:space="preserve"> 24</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 xml:space="preserve"> 48</w:t>
            </w:r>
          </w:p>
        </w:tc>
        <w:tc>
          <w:tcPr>
            <w:tcW w:w="407" w:type="pct"/>
            <w:gridSpan w:val="2"/>
            <w:tcBorders>
              <w:top w:val="single" w:sz="4" w:space="0" w:color="auto"/>
              <w:left w:val="single" w:sz="4" w:space="0" w:color="auto"/>
              <w:bottom w:val="single" w:sz="4" w:space="0" w:color="auto"/>
              <w:right w:val="single" w:sz="8"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color w:val="000000"/>
                <w:sz w:val="14"/>
                <w:szCs w:val="20"/>
              </w:rPr>
              <w:t>2.4%</w:t>
            </w:r>
          </w:p>
        </w:tc>
      </w:tr>
      <w:tr w:rsidR="00CC45FC">
        <w:trPr>
          <w:trHeight w:val="95"/>
        </w:trPr>
        <w:tc>
          <w:tcPr>
            <w:tcW w:w="728" w:type="pct"/>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contextualSpacing/>
              <w:rPr>
                <w:rFonts w:ascii="Verdana" w:eastAsia="Times New Roman" w:hAnsi="Verdana"/>
                <w:noProof/>
                <w:color w:val="000000"/>
                <w:sz w:val="12"/>
                <w:szCs w:val="12"/>
                <w:lang w:eastAsia="en-GB"/>
              </w:rPr>
            </w:pPr>
            <w:r>
              <w:rPr>
                <w:rFonts w:ascii="Verdana" w:eastAsia="Times New Roman" w:hAnsi="Verdana"/>
                <w:noProof/>
                <w:color w:val="000000"/>
                <w:sz w:val="12"/>
                <w:szCs w:val="12"/>
                <w:lang w:eastAsia="en-GB"/>
              </w:rPr>
              <w:t>Migration and home affairs</w:t>
            </w:r>
          </w:p>
        </w:tc>
        <w:tc>
          <w:tcPr>
            <w:tcW w:w="528" w:type="pct"/>
            <w:tcBorders>
              <w:top w:val="nil"/>
              <w:left w:val="nil"/>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 xml:space="preserve"> 779</w:t>
            </w:r>
          </w:p>
        </w:tc>
        <w:tc>
          <w:tcPr>
            <w:tcW w:w="444" w:type="pct"/>
            <w:tcBorders>
              <w:top w:val="nil"/>
              <w:left w:val="nil"/>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 xml:space="preserve"> 23</w:t>
            </w:r>
          </w:p>
        </w:tc>
        <w:tc>
          <w:tcPr>
            <w:tcW w:w="444" w:type="pct"/>
            <w:tcBorders>
              <w:top w:val="nil"/>
              <w:left w:val="single" w:sz="4" w:space="0" w:color="auto"/>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sz w:val="14"/>
                <w:szCs w:val="20"/>
              </w:rPr>
              <w:t xml:space="preserve"> -</w:t>
            </w:r>
          </w:p>
        </w:tc>
        <w:tc>
          <w:tcPr>
            <w:tcW w:w="444" w:type="pct"/>
            <w:tcBorders>
              <w:top w:val="nil"/>
              <w:left w:val="single" w:sz="4" w:space="0" w:color="auto"/>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 xml:space="preserve"> 23</w:t>
            </w:r>
          </w:p>
        </w:tc>
        <w:tc>
          <w:tcPr>
            <w:tcW w:w="443" w:type="pct"/>
            <w:tcBorders>
              <w:top w:val="nil"/>
              <w:left w:val="single" w:sz="4" w:space="0" w:color="auto"/>
              <w:bottom w:val="nil"/>
              <w:right w:val="single" w:sz="8" w:space="0" w:color="auto"/>
            </w:tcBorders>
            <w:shd w:val="clear" w:color="auto" w:fill="auto"/>
            <w:noWrap/>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sz w:val="14"/>
                <w:szCs w:val="20"/>
              </w:rPr>
              <w:t>3.0%</w:t>
            </w:r>
          </w:p>
        </w:tc>
        <w:tc>
          <w:tcPr>
            <w:tcW w:w="527" w:type="pct"/>
            <w:tcBorders>
              <w:top w:val="single" w:sz="4" w:space="0" w:color="auto"/>
              <w:left w:val="single" w:sz="8" w:space="0" w:color="auto"/>
              <w:right w:val="single" w:sz="4" w:space="0" w:color="auto"/>
            </w:tcBorders>
            <w:shd w:val="clear" w:color="000000" w:fill="FFFFFF"/>
            <w:noWrap/>
            <w:vAlign w:val="center"/>
          </w:tcPr>
          <w:p w:rsidR="00CC45FC" w:rsidRDefault="004A7700">
            <w:pPr>
              <w:spacing w:after="0" w:line="240" w:lineRule="auto"/>
              <w:contextualSpacing/>
              <w:jc w:val="right"/>
              <w:rPr>
                <w:rFonts w:ascii="Verdana" w:eastAsia="Times New Roman" w:hAnsi="Verdana"/>
                <w:bCs/>
                <w:noProof/>
                <w:color w:val="000000"/>
                <w:sz w:val="12"/>
                <w:szCs w:val="12"/>
                <w:lang w:eastAsia="en-GB"/>
              </w:rPr>
            </w:pPr>
            <w:r>
              <w:rPr>
                <w:rFonts w:ascii="Verdana" w:hAnsi="Verdana"/>
                <w:noProof/>
                <w:sz w:val="14"/>
                <w:szCs w:val="20"/>
              </w:rPr>
              <w:t xml:space="preserve"> 23</w:t>
            </w:r>
          </w:p>
        </w:tc>
        <w:tc>
          <w:tcPr>
            <w:tcW w:w="518" w:type="pct"/>
            <w:tcBorders>
              <w:top w:val="nil"/>
              <w:left w:val="single" w:sz="4" w:space="0" w:color="auto"/>
              <w:bottom w:val="nil"/>
              <w:right w:val="single" w:sz="4" w:space="0" w:color="auto"/>
            </w:tcBorders>
            <w:shd w:val="clear" w:color="auto" w:fill="auto"/>
            <w:noWrap/>
            <w:vAlign w:val="center"/>
          </w:tcPr>
          <w:p w:rsidR="00CC45FC" w:rsidRDefault="004A7700">
            <w:pPr>
              <w:spacing w:after="0" w:line="240" w:lineRule="auto"/>
              <w:contextualSpacing/>
              <w:jc w:val="right"/>
              <w:rPr>
                <w:rFonts w:ascii="Verdana" w:eastAsia="Times New Roman" w:hAnsi="Verdana"/>
                <w:iCs/>
                <w:noProof/>
                <w:color w:val="000000"/>
                <w:sz w:val="12"/>
                <w:szCs w:val="12"/>
                <w:lang w:eastAsia="en-GB"/>
              </w:rPr>
            </w:pPr>
            <w:r>
              <w:rPr>
                <w:rFonts w:ascii="Verdana" w:hAnsi="Verdana"/>
                <w:noProof/>
                <w:sz w:val="14"/>
                <w:szCs w:val="20"/>
              </w:rPr>
              <w:t xml:space="preserve"> -</w:t>
            </w:r>
          </w:p>
        </w:tc>
        <w:tc>
          <w:tcPr>
            <w:tcW w:w="518" w:type="pct"/>
            <w:tcBorders>
              <w:top w:val="single" w:sz="4" w:space="0" w:color="auto"/>
              <w:left w:val="single" w:sz="4" w:space="0" w:color="auto"/>
              <w:right w:val="single" w:sz="4" w:space="0" w:color="auto"/>
            </w:tcBorders>
            <w:shd w:val="clear" w:color="000000" w:fill="FFFFFF"/>
            <w:noWrap/>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 xml:space="preserve"> 23</w:t>
            </w:r>
          </w:p>
        </w:tc>
        <w:tc>
          <w:tcPr>
            <w:tcW w:w="407" w:type="pct"/>
            <w:gridSpan w:val="2"/>
            <w:tcBorders>
              <w:top w:val="nil"/>
              <w:left w:val="single" w:sz="4" w:space="0" w:color="auto"/>
              <w:bottom w:val="nil"/>
              <w:right w:val="single" w:sz="8" w:space="0" w:color="auto"/>
            </w:tcBorders>
            <w:shd w:val="clear" w:color="auto" w:fill="auto"/>
            <w:noWrap/>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color w:val="000000"/>
                <w:sz w:val="14"/>
                <w:szCs w:val="20"/>
              </w:rPr>
              <w:t>3.0%</w:t>
            </w:r>
          </w:p>
        </w:tc>
      </w:tr>
      <w:tr w:rsidR="00CC45FC">
        <w:trPr>
          <w:trHeight w:val="159"/>
        </w:trPr>
        <w:tc>
          <w:tcPr>
            <w:tcW w:w="728" w:type="pct"/>
            <w:tcBorders>
              <w:top w:val="nil"/>
              <w:left w:val="single" w:sz="8" w:space="0" w:color="auto"/>
              <w:bottom w:val="nil"/>
              <w:right w:val="single" w:sz="8" w:space="0" w:color="auto"/>
            </w:tcBorders>
            <w:shd w:val="clear" w:color="auto" w:fill="auto"/>
            <w:noWrap/>
            <w:vAlign w:val="center"/>
          </w:tcPr>
          <w:p w:rsidR="00CC45FC" w:rsidRDefault="004A7700">
            <w:pPr>
              <w:spacing w:after="0" w:line="240" w:lineRule="auto"/>
              <w:contextualSpacing/>
              <w:rPr>
                <w:rFonts w:ascii="Verdana" w:eastAsia="Times New Roman" w:hAnsi="Verdana"/>
                <w:noProof/>
                <w:color w:val="000000"/>
                <w:sz w:val="12"/>
                <w:szCs w:val="12"/>
                <w:lang w:eastAsia="en-GB"/>
              </w:rPr>
            </w:pPr>
            <w:r>
              <w:rPr>
                <w:rFonts w:ascii="Verdana" w:eastAsia="Times New Roman" w:hAnsi="Verdana"/>
                <w:noProof/>
                <w:color w:val="000000"/>
                <w:sz w:val="12"/>
                <w:szCs w:val="12"/>
                <w:lang w:eastAsia="en-GB"/>
              </w:rPr>
              <w:t>Internal policies</w:t>
            </w:r>
          </w:p>
        </w:tc>
        <w:tc>
          <w:tcPr>
            <w:tcW w:w="528" w:type="pct"/>
            <w:tcBorders>
              <w:top w:val="nil"/>
              <w:left w:val="nil"/>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1 239</w:t>
            </w:r>
          </w:p>
        </w:tc>
        <w:tc>
          <w:tcPr>
            <w:tcW w:w="444" w:type="pct"/>
            <w:tcBorders>
              <w:top w:val="nil"/>
              <w:left w:val="nil"/>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 xml:space="preserve"> -</w:t>
            </w:r>
          </w:p>
        </w:tc>
        <w:tc>
          <w:tcPr>
            <w:tcW w:w="444" w:type="pct"/>
            <w:tcBorders>
              <w:top w:val="nil"/>
              <w:left w:val="single" w:sz="4" w:space="0" w:color="auto"/>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sz w:val="14"/>
                <w:szCs w:val="20"/>
              </w:rPr>
              <w:t xml:space="preserve"> 28</w:t>
            </w:r>
          </w:p>
        </w:tc>
        <w:tc>
          <w:tcPr>
            <w:tcW w:w="444" w:type="pct"/>
            <w:tcBorders>
              <w:top w:val="nil"/>
              <w:left w:val="single" w:sz="4" w:space="0" w:color="auto"/>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 xml:space="preserve"> 28</w:t>
            </w:r>
          </w:p>
        </w:tc>
        <w:tc>
          <w:tcPr>
            <w:tcW w:w="443" w:type="pct"/>
            <w:tcBorders>
              <w:top w:val="nil"/>
              <w:left w:val="single" w:sz="4" w:space="0" w:color="auto"/>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sz w:val="14"/>
                <w:szCs w:val="20"/>
              </w:rPr>
              <w:t>2.2%</w:t>
            </w:r>
          </w:p>
        </w:tc>
        <w:tc>
          <w:tcPr>
            <w:tcW w:w="527" w:type="pct"/>
            <w:tcBorders>
              <w:top w:val="nil"/>
              <w:left w:val="single" w:sz="8" w:space="0" w:color="auto"/>
              <w:bottom w:val="single" w:sz="4" w:space="0" w:color="auto"/>
              <w:right w:val="single" w:sz="4" w:space="0" w:color="auto"/>
            </w:tcBorders>
            <w:shd w:val="clear" w:color="000000" w:fill="FFFFFF"/>
            <w:vAlign w:val="center"/>
          </w:tcPr>
          <w:p w:rsidR="00CC45FC" w:rsidRDefault="004A7700">
            <w:pPr>
              <w:spacing w:after="0" w:line="240" w:lineRule="auto"/>
              <w:contextualSpacing/>
              <w:jc w:val="right"/>
              <w:rPr>
                <w:rFonts w:ascii="Verdana" w:eastAsia="Times New Roman" w:hAnsi="Verdana"/>
                <w:bCs/>
                <w:noProof/>
                <w:color w:val="000000"/>
                <w:sz w:val="12"/>
                <w:szCs w:val="12"/>
                <w:lang w:eastAsia="en-GB"/>
              </w:rPr>
            </w:pPr>
            <w:r>
              <w:rPr>
                <w:rFonts w:ascii="Verdana" w:hAnsi="Verdana"/>
                <w:noProof/>
                <w:sz w:val="14"/>
                <w:szCs w:val="20"/>
              </w:rPr>
              <w:t xml:space="preserve"> -</w:t>
            </w:r>
          </w:p>
        </w:tc>
        <w:tc>
          <w:tcPr>
            <w:tcW w:w="518" w:type="pct"/>
            <w:tcBorders>
              <w:top w:val="nil"/>
              <w:left w:val="single" w:sz="4" w:space="0" w:color="auto"/>
              <w:bottom w:val="nil"/>
              <w:right w:val="single" w:sz="4" w:space="0" w:color="auto"/>
            </w:tcBorders>
            <w:shd w:val="clear" w:color="auto" w:fill="auto"/>
            <w:vAlign w:val="center"/>
          </w:tcPr>
          <w:p w:rsidR="00CC45FC" w:rsidRDefault="004A7700">
            <w:pPr>
              <w:spacing w:after="0" w:line="240" w:lineRule="auto"/>
              <w:contextualSpacing/>
              <w:jc w:val="right"/>
              <w:rPr>
                <w:rFonts w:ascii="Verdana" w:eastAsia="Times New Roman" w:hAnsi="Verdana"/>
                <w:iCs/>
                <w:noProof/>
                <w:color w:val="000000"/>
                <w:sz w:val="12"/>
                <w:szCs w:val="12"/>
                <w:lang w:eastAsia="en-GB"/>
              </w:rPr>
            </w:pPr>
            <w:r>
              <w:rPr>
                <w:rFonts w:ascii="Verdana" w:hAnsi="Verdana"/>
                <w:noProof/>
                <w:sz w:val="14"/>
                <w:szCs w:val="20"/>
              </w:rPr>
              <w:t xml:space="preserve"> 24</w:t>
            </w:r>
          </w:p>
        </w:tc>
        <w:tc>
          <w:tcPr>
            <w:tcW w:w="518" w:type="pct"/>
            <w:tcBorders>
              <w:top w:val="nil"/>
              <w:left w:val="single" w:sz="4" w:space="0" w:color="auto"/>
              <w:bottom w:val="single" w:sz="4" w:space="0" w:color="auto"/>
              <w:right w:val="single" w:sz="4" w:space="0" w:color="auto"/>
            </w:tcBorders>
            <w:shd w:val="clear" w:color="000000" w:fill="FFFFFF"/>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 xml:space="preserve"> 24</w:t>
            </w:r>
          </w:p>
        </w:tc>
        <w:tc>
          <w:tcPr>
            <w:tcW w:w="407" w:type="pct"/>
            <w:gridSpan w:val="2"/>
            <w:tcBorders>
              <w:top w:val="nil"/>
              <w:left w:val="single" w:sz="4" w:space="0" w:color="auto"/>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color w:val="000000"/>
                <w:sz w:val="14"/>
                <w:szCs w:val="20"/>
              </w:rPr>
              <w:t>2.0%</w:t>
            </w:r>
          </w:p>
        </w:tc>
      </w:tr>
      <w:tr w:rsidR="00CC45FC">
        <w:trPr>
          <w:trHeight w:val="329"/>
        </w:trPr>
        <w:tc>
          <w:tcPr>
            <w:tcW w:w="728" w:type="pct"/>
            <w:tcBorders>
              <w:top w:val="single" w:sz="4" w:space="0" w:color="auto"/>
              <w:left w:val="single" w:sz="8" w:space="0" w:color="auto"/>
              <w:bottom w:val="single" w:sz="4" w:space="0" w:color="auto"/>
              <w:right w:val="single" w:sz="8" w:space="0" w:color="auto"/>
            </w:tcBorders>
            <w:shd w:val="clear" w:color="000000" w:fill="D9D9D9"/>
            <w:noWrap/>
            <w:vAlign w:val="center"/>
            <w:hideMark/>
          </w:tcPr>
          <w:p w:rsidR="00CC45FC" w:rsidRDefault="004A7700">
            <w:pPr>
              <w:spacing w:after="0" w:line="240" w:lineRule="auto"/>
              <w:contextualSpacing/>
              <w:rPr>
                <w:rFonts w:ascii="Verdana" w:eastAsia="Times New Roman" w:hAnsi="Verdana"/>
                <w:b/>
                <w:bCs/>
                <w:i/>
                <w:iCs/>
                <w:noProof/>
                <w:color w:val="000000"/>
                <w:sz w:val="12"/>
                <w:szCs w:val="12"/>
                <w:lang w:eastAsia="en-GB"/>
              </w:rPr>
            </w:pPr>
            <w:r>
              <w:rPr>
                <w:rFonts w:ascii="Verdana" w:eastAsia="Times New Roman" w:hAnsi="Verdana"/>
                <w:b/>
                <w:bCs/>
                <w:i/>
                <w:iCs/>
                <w:noProof/>
                <w:color w:val="000000"/>
                <w:sz w:val="12"/>
                <w:szCs w:val="12"/>
                <w:lang w:eastAsia="en-GB"/>
              </w:rPr>
              <w:t xml:space="preserve">Global Europe </w:t>
            </w:r>
          </w:p>
        </w:tc>
        <w:tc>
          <w:tcPr>
            <w:tcW w:w="528" w:type="pct"/>
            <w:tcBorders>
              <w:top w:val="single" w:sz="4" w:space="0" w:color="auto"/>
              <w:left w:val="nil"/>
              <w:bottom w:val="single" w:sz="4" w:space="0" w:color="auto"/>
              <w:right w:val="single" w:sz="8"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color w:val="000000"/>
                <w:sz w:val="14"/>
                <w:szCs w:val="20"/>
              </w:rPr>
              <w:t>7 884</w:t>
            </w:r>
          </w:p>
        </w:tc>
        <w:tc>
          <w:tcPr>
            <w:tcW w:w="444" w:type="pct"/>
            <w:tcBorders>
              <w:top w:val="single" w:sz="4" w:space="0" w:color="auto"/>
              <w:left w:val="nil"/>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color w:val="000000"/>
                <w:sz w:val="14"/>
                <w:szCs w:val="20"/>
              </w:rPr>
              <w:t>-</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 xml:space="preserve"> 132</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 xml:space="preserve"> 132</w:t>
            </w:r>
          </w:p>
        </w:tc>
        <w:tc>
          <w:tcPr>
            <w:tcW w:w="443" w:type="pct"/>
            <w:tcBorders>
              <w:top w:val="single" w:sz="4" w:space="0" w:color="auto"/>
              <w:left w:val="single" w:sz="4" w:space="0" w:color="auto"/>
              <w:bottom w:val="single" w:sz="4" w:space="0" w:color="auto"/>
              <w:right w:val="single" w:sz="8"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1.7%</w:t>
            </w:r>
          </w:p>
        </w:tc>
        <w:tc>
          <w:tcPr>
            <w:tcW w:w="527" w:type="pct"/>
            <w:tcBorders>
              <w:top w:val="single" w:sz="4" w:space="0" w:color="auto"/>
              <w:left w:val="single" w:sz="8"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Cs/>
                <w:noProof/>
                <w:color w:val="000000"/>
                <w:sz w:val="12"/>
                <w:szCs w:val="12"/>
                <w:lang w:eastAsia="en-GB"/>
              </w:rPr>
            </w:pPr>
            <w:r>
              <w:rPr>
                <w:rFonts w:ascii="Verdana" w:hAnsi="Verdana"/>
                <w:b/>
                <w:bCs/>
                <w:i/>
                <w:iCs/>
                <w:noProof/>
                <w:sz w:val="14"/>
                <w:szCs w:val="20"/>
              </w:rPr>
              <w:t xml:space="preserve"> 136</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 xml:space="preserve"> 136</w:t>
            </w:r>
          </w:p>
        </w:tc>
        <w:tc>
          <w:tcPr>
            <w:tcW w:w="407" w:type="pct"/>
            <w:gridSpan w:val="2"/>
            <w:tcBorders>
              <w:top w:val="single" w:sz="4" w:space="0" w:color="auto"/>
              <w:left w:val="single" w:sz="4" w:space="0" w:color="auto"/>
              <w:bottom w:val="single" w:sz="4" w:space="0" w:color="auto"/>
              <w:right w:val="single" w:sz="8"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color w:val="000000"/>
                <w:sz w:val="14"/>
                <w:szCs w:val="20"/>
              </w:rPr>
              <w:t>1.7%</w:t>
            </w:r>
          </w:p>
        </w:tc>
      </w:tr>
      <w:tr w:rsidR="00CC45FC">
        <w:trPr>
          <w:trHeight w:val="159"/>
        </w:trPr>
        <w:tc>
          <w:tcPr>
            <w:tcW w:w="728" w:type="pct"/>
            <w:tcBorders>
              <w:top w:val="nil"/>
              <w:left w:val="single" w:sz="8" w:space="0" w:color="auto"/>
              <w:bottom w:val="nil"/>
              <w:right w:val="single" w:sz="8" w:space="0" w:color="auto"/>
            </w:tcBorders>
            <w:shd w:val="clear" w:color="auto" w:fill="auto"/>
            <w:noWrap/>
            <w:vAlign w:val="center"/>
          </w:tcPr>
          <w:p w:rsidR="00CC45FC" w:rsidRDefault="004A7700">
            <w:pPr>
              <w:spacing w:after="0" w:line="240" w:lineRule="auto"/>
              <w:contextualSpacing/>
              <w:rPr>
                <w:rFonts w:ascii="Verdana" w:eastAsia="Times New Roman" w:hAnsi="Verdana"/>
                <w:noProof/>
                <w:color w:val="000000"/>
                <w:sz w:val="12"/>
                <w:szCs w:val="12"/>
                <w:lang w:eastAsia="en-GB"/>
              </w:rPr>
            </w:pPr>
            <w:r>
              <w:rPr>
                <w:rFonts w:ascii="Verdana" w:eastAsia="Times New Roman" w:hAnsi="Verdana"/>
                <w:noProof/>
                <w:color w:val="000000"/>
                <w:sz w:val="12"/>
                <w:szCs w:val="12"/>
                <w:lang w:eastAsia="en-GB"/>
              </w:rPr>
              <w:t>External policies</w:t>
            </w:r>
          </w:p>
        </w:tc>
        <w:tc>
          <w:tcPr>
            <w:tcW w:w="528" w:type="pct"/>
            <w:tcBorders>
              <w:top w:val="nil"/>
              <w:left w:val="nil"/>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7 884</w:t>
            </w:r>
          </w:p>
        </w:tc>
        <w:tc>
          <w:tcPr>
            <w:tcW w:w="444" w:type="pct"/>
            <w:tcBorders>
              <w:top w:val="nil"/>
              <w:left w:val="nil"/>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 xml:space="preserve"> -</w:t>
            </w:r>
          </w:p>
        </w:tc>
        <w:tc>
          <w:tcPr>
            <w:tcW w:w="444" w:type="pct"/>
            <w:tcBorders>
              <w:top w:val="nil"/>
              <w:left w:val="single" w:sz="4" w:space="0" w:color="auto"/>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sz w:val="14"/>
                <w:szCs w:val="20"/>
              </w:rPr>
              <w:t xml:space="preserve"> 132</w:t>
            </w:r>
          </w:p>
        </w:tc>
        <w:tc>
          <w:tcPr>
            <w:tcW w:w="444" w:type="pct"/>
            <w:tcBorders>
              <w:top w:val="nil"/>
              <w:left w:val="single" w:sz="4" w:space="0" w:color="auto"/>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 xml:space="preserve"> 132</w:t>
            </w:r>
          </w:p>
        </w:tc>
        <w:tc>
          <w:tcPr>
            <w:tcW w:w="443" w:type="pct"/>
            <w:tcBorders>
              <w:top w:val="nil"/>
              <w:left w:val="single" w:sz="4" w:space="0" w:color="auto"/>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sz w:val="14"/>
                <w:szCs w:val="20"/>
              </w:rPr>
              <w:t>1.7%</w:t>
            </w:r>
          </w:p>
        </w:tc>
        <w:tc>
          <w:tcPr>
            <w:tcW w:w="527" w:type="pct"/>
            <w:tcBorders>
              <w:top w:val="single" w:sz="4" w:space="0" w:color="auto"/>
              <w:left w:val="single" w:sz="8" w:space="0" w:color="auto"/>
              <w:right w:val="single" w:sz="4" w:space="0" w:color="auto"/>
            </w:tcBorders>
            <w:shd w:val="clear" w:color="000000" w:fill="FFFFFF"/>
            <w:vAlign w:val="center"/>
          </w:tcPr>
          <w:p w:rsidR="00CC45FC" w:rsidRDefault="004A7700">
            <w:pPr>
              <w:spacing w:after="0" w:line="240" w:lineRule="auto"/>
              <w:contextualSpacing/>
              <w:jc w:val="right"/>
              <w:rPr>
                <w:rFonts w:ascii="Verdana" w:eastAsia="Times New Roman" w:hAnsi="Verdana"/>
                <w:bCs/>
                <w:noProof/>
                <w:color w:val="000000"/>
                <w:sz w:val="12"/>
                <w:szCs w:val="12"/>
                <w:lang w:eastAsia="en-GB"/>
              </w:rPr>
            </w:pPr>
            <w:r>
              <w:rPr>
                <w:rFonts w:ascii="Verdana" w:hAnsi="Verdana"/>
                <w:noProof/>
                <w:sz w:val="14"/>
                <w:szCs w:val="20"/>
              </w:rPr>
              <w:t xml:space="preserve"> -</w:t>
            </w:r>
          </w:p>
        </w:tc>
        <w:tc>
          <w:tcPr>
            <w:tcW w:w="518" w:type="pct"/>
            <w:tcBorders>
              <w:top w:val="nil"/>
              <w:left w:val="single" w:sz="4" w:space="0" w:color="auto"/>
              <w:bottom w:val="nil"/>
              <w:right w:val="single" w:sz="4" w:space="0" w:color="auto"/>
            </w:tcBorders>
            <w:shd w:val="clear" w:color="auto" w:fill="auto"/>
            <w:vAlign w:val="center"/>
          </w:tcPr>
          <w:p w:rsidR="00CC45FC" w:rsidRDefault="004A7700">
            <w:pPr>
              <w:spacing w:after="0" w:line="240" w:lineRule="auto"/>
              <w:contextualSpacing/>
              <w:jc w:val="right"/>
              <w:rPr>
                <w:rFonts w:ascii="Verdana" w:eastAsia="Times New Roman" w:hAnsi="Verdana"/>
                <w:iCs/>
                <w:noProof/>
                <w:color w:val="000000"/>
                <w:sz w:val="12"/>
                <w:szCs w:val="12"/>
                <w:lang w:eastAsia="en-GB"/>
              </w:rPr>
            </w:pPr>
            <w:r>
              <w:rPr>
                <w:rFonts w:ascii="Verdana" w:hAnsi="Verdana"/>
                <w:noProof/>
                <w:sz w:val="14"/>
                <w:szCs w:val="20"/>
              </w:rPr>
              <w:t xml:space="preserve"> 136</w:t>
            </w:r>
          </w:p>
        </w:tc>
        <w:tc>
          <w:tcPr>
            <w:tcW w:w="518" w:type="pct"/>
            <w:tcBorders>
              <w:top w:val="single" w:sz="4" w:space="0" w:color="auto"/>
              <w:left w:val="single" w:sz="4" w:space="0" w:color="auto"/>
              <w:right w:val="single" w:sz="4" w:space="0" w:color="auto"/>
            </w:tcBorders>
            <w:shd w:val="clear" w:color="000000" w:fill="FFFFFF"/>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 xml:space="preserve"> 136</w:t>
            </w:r>
          </w:p>
        </w:tc>
        <w:tc>
          <w:tcPr>
            <w:tcW w:w="407" w:type="pct"/>
            <w:gridSpan w:val="2"/>
            <w:tcBorders>
              <w:top w:val="nil"/>
              <w:left w:val="single" w:sz="4" w:space="0" w:color="auto"/>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color w:val="000000"/>
                <w:sz w:val="14"/>
                <w:szCs w:val="20"/>
              </w:rPr>
              <w:t>1.7%</w:t>
            </w:r>
          </w:p>
        </w:tc>
      </w:tr>
      <w:tr w:rsidR="00CC45FC">
        <w:trPr>
          <w:trHeight w:val="329"/>
        </w:trPr>
        <w:tc>
          <w:tcPr>
            <w:tcW w:w="728" w:type="pct"/>
            <w:tcBorders>
              <w:top w:val="single" w:sz="4" w:space="0" w:color="auto"/>
              <w:left w:val="single" w:sz="8" w:space="0" w:color="auto"/>
              <w:bottom w:val="single" w:sz="4" w:space="0" w:color="auto"/>
              <w:right w:val="single" w:sz="8" w:space="0" w:color="auto"/>
            </w:tcBorders>
            <w:shd w:val="clear" w:color="000000" w:fill="D9D9D9"/>
            <w:noWrap/>
            <w:vAlign w:val="center"/>
            <w:hideMark/>
          </w:tcPr>
          <w:p w:rsidR="00CC45FC" w:rsidRDefault="004A7700">
            <w:pPr>
              <w:spacing w:after="0" w:line="240" w:lineRule="auto"/>
              <w:contextualSpacing/>
              <w:rPr>
                <w:rFonts w:ascii="Verdana" w:eastAsia="Times New Roman" w:hAnsi="Verdana"/>
                <w:b/>
                <w:bCs/>
                <w:i/>
                <w:iCs/>
                <w:noProof/>
                <w:color w:val="000000"/>
                <w:sz w:val="12"/>
                <w:szCs w:val="12"/>
                <w:lang w:eastAsia="en-GB"/>
              </w:rPr>
            </w:pPr>
            <w:r>
              <w:rPr>
                <w:rFonts w:ascii="Verdana" w:eastAsia="Times New Roman" w:hAnsi="Verdana"/>
                <w:b/>
                <w:bCs/>
                <w:i/>
                <w:iCs/>
                <w:noProof/>
                <w:color w:val="000000"/>
                <w:sz w:val="12"/>
                <w:szCs w:val="12"/>
                <w:lang w:eastAsia="en-GB"/>
              </w:rPr>
              <w:t xml:space="preserve">Administration </w:t>
            </w:r>
          </w:p>
        </w:tc>
        <w:tc>
          <w:tcPr>
            <w:tcW w:w="528" w:type="pct"/>
            <w:tcBorders>
              <w:top w:val="single" w:sz="4" w:space="0" w:color="auto"/>
              <w:left w:val="nil"/>
              <w:bottom w:val="single" w:sz="4" w:space="0" w:color="auto"/>
              <w:right w:val="single" w:sz="8"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color w:val="000000"/>
                <w:sz w:val="14"/>
                <w:szCs w:val="20"/>
              </w:rPr>
              <w:t>8 978</w:t>
            </w:r>
          </w:p>
        </w:tc>
        <w:tc>
          <w:tcPr>
            <w:tcW w:w="444" w:type="pct"/>
            <w:tcBorders>
              <w:top w:val="single" w:sz="4" w:space="0" w:color="auto"/>
              <w:left w:val="nil"/>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color w:val="000000"/>
                <w:sz w:val="14"/>
                <w:szCs w:val="20"/>
              </w:rPr>
              <w:t>-</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 xml:space="preserve"> 5</w:t>
            </w:r>
          </w:p>
        </w:tc>
        <w:tc>
          <w:tcPr>
            <w:tcW w:w="444" w:type="pct"/>
            <w:tcBorders>
              <w:top w:val="single" w:sz="4" w:space="0" w:color="auto"/>
              <w:left w:val="single" w:sz="4"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 xml:space="preserve"> 5</w:t>
            </w:r>
          </w:p>
        </w:tc>
        <w:tc>
          <w:tcPr>
            <w:tcW w:w="443" w:type="pct"/>
            <w:tcBorders>
              <w:top w:val="single" w:sz="4" w:space="0" w:color="auto"/>
              <w:left w:val="single" w:sz="4" w:space="0" w:color="auto"/>
              <w:bottom w:val="single" w:sz="4" w:space="0" w:color="auto"/>
              <w:right w:val="single" w:sz="8"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0.1%</w:t>
            </w:r>
          </w:p>
        </w:tc>
        <w:tc>
          <w:tcPr>
            <w:tcW w:w="527" w:type="pct"/>
            <w:tcBorders>
              <w:top w:val="single" w:sz="4" w:space="0" w:color="auto"/>
              <w:left w:val="single" w:sz="8"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Cs/>
                <w:noProof/>
                <w:color w:val="000000"/>
                <w:sz w:val="12"/>
                <w:szCs w:val="12"/>
                <w:lang w:eastAsia="en-GB"/>
              </w:rPr>
            </w:pPr>
            <w:r>
              <w:rPr>
                <w:rFonts w:ascii="Verdana" w:hAnsi="Verdana"/>
                <w:b/>
                <w:bCs/>
                <w:i/>
                <w:iCs/>
                <w:noProof/>
                <w:sz w:val="14"/>
                <w:szCs w:val="20"/>
              </w:rPr>
              <w:t xml:space="preserve"> 5</w:t>
            </w:r>
          </w:p>
        </w:tc>
        <w:tc>
          <w:tcPr>
            <w:tcW w:w="518" w:type="pct"/>
            <w:tcBorders>
              <w:top w:val="single" w:sz="4" w:space="0" w:color="auto"/>
              <w:left w:val="single" w:sz="4" w:space="0" w:color="auto"/>
              <w:bottom w:val="single" w:sz="4"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 xml:space="preserve"> 5</w:t>
            </w:r>
          </w:p>
        </w:tc>
        <w:tc>
          <w:tcPr>
            <w:tcW w:w="407" w:type="pct"/>
            <w:gridSpan w:val="2"/>
            <w:tcBorders>
              <w:top w:val="single" w:sz="4" w:space="0" w:color="auto"/>
              <w:left w:val="single" w:sz="4" w:space="0" w:color="auto"/>
              <w:bottom w:val="single" w:sz="4" w:space="0" w:color="auto"/>
              <w:right w:val="single" w:sz="8"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color w:val="000000"/>
                <w:sz w:val="14"/>
                <w:szCs w:val="20"/>
              </w:rPr>
              <w:t>0.1%</w:t>
            </w:r>
          </w:p>
        </w:tc>
      </w:tr>
      <w:tr w:rsidR="00CC45FC">
        <w:trPr>
          <w:trHeight w:val="159"/>
        </w:trPr>
        <w:tc>
          <w:tcPr>
            <w:tcW w:w="728" w:type="pct"/>
            <w:tcBorders>
              <w:top w:val="single" w:sz="4" w:space="0" w:color="auto"/>
              <w:left w:val="single" w:sz="8" w:space="0" w:color="auto"/>
              <w:bottom w:val="single" w:sz="4" w:space="0" w:color="auto"/>
              <w:right w:val="single" w:sz="8" w:space="0" w:color="auto"/>
            </w:tcBorders>
            <w:shd w:val="clear" w:color="auto" w:fill="auto"/>
            <w:noWrap/>
            <w:vAlign w:val="center"/>
          </w:tcPr>
          <w:p w:rsidR="00CC45FC" w:rsidRDefault="004A7700">
            <w:pPr>
              <w:spacing w:after="0" w:line="240" w:lineRule="auto"/>
              <w:contextualSpacing/>
              <w:rPr>
                <w:rFonts w:ascii="Verdana" w:eastAsia="Times New Roman" w:hAnsi="Verdana"/>
                <w:noProof/>
                <w:color w:val="000000"/>
                <w:sz w:val="12"/>
                <w:szCs w:val="12"/>
                <w:lang w:eastAsia="en-GB"/>
              </w:rPr>
            </w:pPr>
            <w:r>
              <w:rPr>
                <w:rFonts w:ascii="Verdana" w:eastAsia="Times New Roman" w:hAnsi="Verdana"/>
                <w:noProof/>
                <w:color w:val="000000"/>
                <w:sz w:val="12"/>
                <w:szCs w:val="12"/>
                <w:lang w:eastAsia="en-GB"/>
              </w:rPr>
              <w:t>Administration</w:t>
            </w:r>
          </w:p>
        </w:tc>
        <w:tc>
          <w:tcPr>
            <w:tcW w:w="528" w:type="pct"/>
            <w:tcBorders>
              <w:top w:val="single" w:sz="4" w:space="0" w:color="auto"/>
              <w:left w:val="nil"/>
              <w:bottom w:val="single" w:sz="4" w:space="0" w:color="auto"/>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8 978</w:t>
            </w:r>
          </w:p>
        </w:tc>
        <w:tc>
          <w:tcPr>
            <w:tcW w:w="444" w:type="pct"/>
            <w:tcBorders>
              <w:top w:val="nil"/>
              <w:left w:val="nil"/>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color w:val="000000"/>
                <w:sz w:val="14"/>
                <w:szCs w:val="20"/>
              </w:rPr>
              <w:t xml:space="preserve"> -</w:t>
            </w:r>
          </w:p>
        </w:tc>
        <w:tc>
          <w:tcPr>
            <w:tcW w:w="444" w:type="pct"/>
            <w:tcBorders>
              <w:top w:val="nil"/>
              <w:left w:val="single" w:sz="4" w:space="0" w:color="auto"/>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noProof/>
                <w:color w:val="000000"/>
                <w:sz w:val="12"/>
                <w:szCs w:val="12"/>
                <w:lang w:eastAsia="en-GB"/>
              </w:rPr>
            </w:pPr>
            <w:r>
              <w:rPr>
                <w:rFonts w:ascii="Verdana" w:hAnsi="Verdana"/>
                <w:noProof/>
                <w:sz w:val="14"/>
                <w:szCs w:val="20"/>
              </w:rPr>
              <w:t xml:space="preserve"> 5</w:t>
            </w:r>
          </w:p>
        </w:tc>
        <w:tc>
          <w:tcPr>
            <w:tcW w:w="444" w:type="pct"/>
            <w:tcBorders>
              <w:top w:val="nil"/>
              <w:left w:val="single" w:sz="4" w:space="0" w:color="auto"/>
              <w:bottom w:val="nil"/>
              <w:right w:val="single" w:sz="4" w:space="0" w:color="auto"/>
            </w:tcBorders>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 xml:space="preserve"> 5</w:t>
            </w:r>
          </w:p>
        </w:tc>
        <w:tc>
          <w:tcPr>
            <w:tcW w:w="443" w:type="pct"/>
            <w:tcBorders>
              <w:top w:val="nil"/>
              <w:left w:val="single" w:sz="4" w:space="0" w:color="auto"/>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sz w:val="14"/>
                <w:szCs w:val="20"/>
              </w:rPr>
              <w:t>0.1%</w:t>
            </w:r>
          </w:p>
        </w:tc>
        <w:tc>
          <w:tcPr>
            <w:tcW w:w="527" w:type="pct"/>
            <w:tcBorders>
              <w:top w:val="single" w:sz="4" w:space="0" w:color="auto"/>
              <w:left w:val="single" w:sz="8" w:space="0" w:color="auto"/>
              <w:bottom w:val="nil"/>
              <w:right w:val="single" w:sz="4" w:space="0" w:color="auto"/>
            </w:tcBorders>
            <w:shd w:val="clear" w:color="000000" w:fill="FFFFFF"/>
            <w:vAlign w:val="center"/>
          </w:tcPr>
          <w:p w:rsidR="00CC45FC" w:rsidRDefault="004A7700">
            <w:pPr>
              <w:spacing w:after="0" w:line="240" w:lineRule="auto"/>
              <w:contextualSpacing/>
              <w:jc w:val="right"/>
              <w:rPr>
                <w:rFonts w:ascii="Verdana" w:eastAsia="Times New Roman" w:hAnsi="Verdana"/>
                <w:bCs/>
                <w:noProof/>
                <w:color w:val="000000"/>
                <w:sz w:val="12"/>
                <w:szCs w:val="12"/>
                <w:lang w:eastAsia="en-GB"/>
              </w:rPr>
            </w:pPr>
            <w:r>
              <w:rPr>
                <w:rFonts w:ascii="Verdana" w:hAnsi="Verdana"/>
                <w:noProof/>
                <w:sz w:val="14"/>
                <w:szCs w:val="20"/>
              </w:rPr>
              <w:t xml:space="preserve"> -</w:t>
            </w:r>
          </w:p>
        </w:tc>
        <w:tc>
          <w:tcPr>
            <w:tcW w:w="518" w:type="pct"/>
            <w:tcBorders>
              <w:top w:val="nil"/>
              <w:left w:val="single" w:sz="4" w:space="0" w:color="auto"/>
              <w:bottom w:val="nil"/>
              <w:right w:val="single" w:sz="4" w:space="0" w:color="auto"/>
            </w:tcBorders>
            <w:shd w:val="clear" w:color="auto" w:fill="auto"/>
            <w:vAlign w:val="center"/>
          </w:tcPr>
          <w:p w:rsidR="00CC45FC" w:rsidRDefault="004A7700">
            <w:pPr>
              <w:spacing w:after="0" w:line="240" w:lineRule="auto"/>
              <w:contextualSpacing/>
              <w:jc w:val="right"/>
              <w:rPr>
                <w:rFonts w:ascii="Verdana" w:eastAsia="Times New Roman" w:hAnsi="Verdana"/>
                <w:iCs/>
                <w:noProof/>
                <w:color w:val="000000"/>
                <w:sz w:val="12"/>
                <w:szCs w:val="12"/>
                <w:lang w:eastAsia="en-GB"/>
              </w:rPr>
            </w:pPr>
            <w:r>
              <w:rPr>
                <w:rFonts w:ascii="Verdana" w:hAnsi="Verdana"/>
                <w:noProof/>
                <w:sz w:val="14"/>
                <w:szCs w:val="20"/>
              </w:rPr>
              <w:t xml:space="preserve"> 5</w:t>
            </w:r>
          </w:p>
        </w:tc>
        <w:tc>
          <w:tcPr>
            <w:tcW w:w="518" w:type="pct"/>
            <w:tcBorders>
              <w:top w:val="single" w:sz="4" w:space="0" w:color="auto"/>
              <w:left w:val="single" w:sz="4" w:space="0" w:color="auto"/>
              <w:bottom w:val="nil"/>
              <w:right w:val="single" w:sz="4" w:space="0" w:color="auto"/>
            </w:tcBorders>
            <w:shd w:val="clear" w:color="000000" w:fill="FFFFFF"/>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 xml:space="preserve"> 5</w:t>
            </w:r>
          </w:p>
        </w:tc>
        <w:tc>
          <w:tcPr>
            <w:tcW w:w="407" w:type="pct"/>
            <w:gridSpan w:val="2"/>
            <w:tcBorders>
              <w:top w:val="nil"/>
              <w:left w:val="single" w:sz="4" w:space="0" w:color="auto"/>
              <w:bottom w:val="nil"/>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i/>
                <w:iCs/>
                <w:noProof/>
                <w:color w:val="000000"/>
                <w:sz w:val="12"/>
                <w:szCs w:val="12"/>
                <w:lang w:eastAsia="en-GB"/>
              </w:rPr>
            </w:pPr>
            <w:r>
              <w:rPr>
                <w:rFonts w:ascii="Verdana" w:hAnsi="Verdana"/>
                <w:i/>
                <w:iCs/>
                <w:noProof/>
                <w:color w:val="000000"/>
                <w:sz w:val="14"/>
                <w:szCs w:val="20"/>
              </w:rPr>
              <w:t>0.1%</w:t>
            </w:r>
          </w:p>
        </w:tc>
      </w:tr>
      <w:tr w:rsidR="00CC45FC">
        <w:trPr>
          <w:trHeight w:val="347"/>
        </w:trPr>
        <w:tc>
          <w:tcPr>
            <w:tcW w:w="728" w:type="pct"/>
            <w:tcBorders>
              <w:top w:val="single" w:sz="4" w:space="0" w:color="auto"/>
              <w:left w:val="single" w:sz="8" w:space="0" w:color="auto"/>
              <w:bottom w:val="single" w:sz="8" w:space="0" w:color="auto"/>
              <w:right w:val="single" w:sz="8" w:space="0" w:color="auto"/>
            </w:tcBorders>
            <w:shd w:val="clear" w:color="000000" w:fill="D9D9D9"/>
            <w:noWrap/>
            <w:vAlign w:val="center"/>
            <w:hideMark/>
          </w:tcPr>
          <w:p w:rsidR="00CC45FC" w:rsidRDefault="004A7700">
            <w:pPr>
              <w:spacing w:after="0" w:line="240" w:lineRule="auto"/>
              <w:contextualSpacing/>
              <w:jc w:val="both"/>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TOTAL</w:t>
            </w:r>
          </w:p>
        </w:tc>
        <w:tc>
          <w:tcPr>
            <w:tcW w:w="528" w:type="pct"/>
            <w:tcBorders>
              <w:top w:val="single" w:sz="4" w:space="0" w:color="auto"/>
              <w:left w:val="nil"/>
              <w:bottom w:val="single" w:sz="8" w:space="0" w:color="auto"/>
              <w:right w:val="single" w:sz="8" w:space="0" w:color="auto"/>
            </w:tcBorders>
            <w:shd w:val="clear" w:color="000000" w:fill="D9D9D9"/>
            <w:noWrap/>
            <w:vAlign w:val="center"/>
          </w:tcPr>
          <w:p w:rsidR="00CC45FC" w:rsidRDefault="004A7700">
            <w:pPr>
              <w:spacing w:after="0" w:line="240" w:lineRule="auto"/>
              <w:ind w:left="-14"/>
              <w:contextualSpacing/>
              <w:jc w:val="right"/>
              <w:rPr>
                <w:rFonts w:ascii="Verdana" w:eastAsia="Times New Roman" w:hAnsi="Verdana"/>
                <w:b/>
                <w:bCs/>
                <w:noProof/>
                <w:color w:val="000000"/>
                <w:sz w:val="12"/>
                <w:szCs w:val="12"/>
                <w:lang w:eastAsia="en-GB"/>
              </w:rPr>
            </w:pPr>
            <w:r>
              <w:rPr>
                <w:rFonts w:ascii="Verdana" w:hAnsi="Verdana"/>
                <w:b/>
                <w:bCs/>
                <w:noProof/>
                <w:color w:val="000000"/>
                <w:sz w:val="14"/>
                <w:szCs w:val="20"/>
              </w:rPr>
              <w:t>144 955*</w:t>
            </w:r>
          </w:p>
        </w:tc>
        <w:tc>
          <w:tcPr>
            <w:tcW w:w="444" w:type="pct"/>
            <w:tcBorders>
              <w:top w:val="single" w:sz="8" w:space="0" w:color="auto"/>
              <w:left w:val="nil"/>
              <w:bottom w:val="single" w:sz="8"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noProof/>
                <w:color w:val="000000"/>
                <w:sz w:val="14"/>
                <w:szCs w:val="20"/>
              </w:rPr>
              <w:t>2 732</w:t>
            </w:r>
          </w:p>
        </w:tc>
        <w:tc>
          <w:tcPr>
            <w:tcW w:w="444" w:type="pct"/>
            <w:tcBorders>
              <w:top w:val="single" w:sz="8" w:space="0" w:color="auto"/>
              <w:left w:val="single" w:sz="4" w:space="0" w:color="auto"/>
              <w:bottom w:val="single" w:sz="8"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noProof/>
                <w:sz w:val="14"/>
                <w:szCs w:val="20"/>
              </w:rPr>
              <w:t xml:space="preserve"> 767</w:t>
            </w:r>
          </w:p>
        </w:tc>
        <w:tc>
          <w:tcPr>
            <w:tcW w:w="444" w:type="pct"/>
            <w:tcBorders>
              <w:top w:val="single" w:sz="8" w:space="0" w:color="auto"/>
              <w:left w:val="single" w:sz="4" w:space="0" w:color="auto"/>
              <w:bottom w:val="single" w:sz="8" w:space="0" w:color="auto"/>
              <w:right w:val="single" w:sz="4" w:space="0" w:color="auto"/>
            </w:tcBorders>
            <w:shd w:val="clear" w:color="000000" w:fill="D9D9D9"/>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3 499</w:t>
            </w:r>
          </w:p>
        </w:tc>
        <w:tc>
          <w:tcPr>
            <w:tcW w:w="443" w:type="pct"/>
            <w:tcBorders>
              <w:top w:val="single" w:sz="8" w:space="0" w:color="auto"/>
              <w:left w:val="single" w:sz="4" w:space="0" w:color="auto"/>
              <w:bottom w:val="single" w:sz="8" w:space="0" w:color="auto"/>
              <w:right w:val="single" w:sz="8" w:space="0" w:color="auto"/>
            </w:tcBorders>
            <w:shd w:val="clear" w:color="000000" w:fill="D9D9D9"/>
            <w:noWrap/>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sz w:val="14"/>
                <w:szCs w:val="20"/>
              </w:rPr>
              <w:t>2.4%</w:t>
            </w:r>
          </w:p>
        </w:tc>
        <w:tc>
          <w:tcPr>
            <w:tcW w:w="527" w:type="pct"/>
            <w:tcBorders>
              <w:top w:val="single" w:sz="8" w:space="0" w:color="auto"/>
              <w:left w:val="single" w:sz="8" w:space="0" w:color="auto"/>
              <w:bottom w:val="single" w:sz="8" w:space="0" w:color="auto"/>
              <w:right w:val="single" w:sz="4" w:space="0" w:color="auto"/>
            </w:tcBorders>
            <w:shd w:val="clear" w:color="000000" w:fill="D9D9D9"/>
            <w:noWrap/>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noProof/>
                <w:sz w:val="14"/>
                <w:szCs w:val="20"/>
              </w:rPr>
              <w:t>3 104</w:t>
            </w:r>
          </w:p>
        </w:tc>
        <w:tc>
          <w:tcPr>
            <w:tcW w:w="518" w:type="pct"/>
            <w:tcBorders>
              <w:top w:val="single" w:sz="8" w:space="0" w:color="auto"/>
              <w:left w:val="single" w:sz="4" w:space="0" w:color="auto"/>
              <w:bottom w:val="single" w:sz="8" w:space="0" w:color="auto"/>
              <w:right w:val="single" w:sz="4" w:space="0" w:color="auto"/>
            </w:tcBorders>
            <w:shd w:val="clear" w:color="000000" w:fill="D9D9D9"/>
            <w:noWrap/>
            <w:vAlign w:val="center"/>
          </w:tcPr>
          <w:p w:rsidR="00CC45FC" w:rsidRDefault="004A7700">
            <w:pPr>
              <w:spacing w:after="0" w:line="240" w:lineRule="auto"/>
              <w:contextualSpacing/>
              <w:jc w:val="right"/>
              <w:rPr>
                <w:rFonts w:ascii="Verdana" w:eastAsia="Times New Roman" w:hAnsi="Verdana"/>
                <w:b/>
                <w:bCs/>
                <w:iCs/>
                <w:noProof/>
                <w:color w:val="000000"/>
                <w:sz w:val="12"/>
                <w:szCs w:val="12"/>
                <w:lang w:eastAsia="en-GB"/>
              </w:rPr>
            </w:pPr>
            <w:r>
              <w:rPr>
                <w:rFonts w:ascii="Verdana" w:hAnsi="Verdana"/>
                <w:b/>
                <w:bCs/>
                <w:noProof/>
                <w:sz w:val="14"/>
                <w:szCs w:val="20"/>
              </w:rPr>
              <w:t xml:space="preserve"> 749</w:t>
            </w:r>
          </w:p>
        </w:tc>
        <w:tc>
          <w:tcPr>
            <w:tcW w:w="518" w:type="pct"/>
            <w:tcBorders>
              <w:top w:val="single" w:sz="8" w:space="0" w:color="auto"/>
              <w:left w:val="single" w:sz="4" w:space="0" w:color="auto"/>
              <w:bottom w:val="single" w:sz="8" w:space="0" w:color="auto"/>
              <w:right w:val="single" w:sz="4" w:space="0" w:color="auto"/>
            </w:tcBorders>
            <w:shd w:val="clear" w:color="000000" w:fill="D9D9D9"/>
            <w:noWrap/>
            <w:vAlign w:val="center"/>
          </w:tcPr>
          <w:p w:rsidR="00CC45FC" w:rsidRDefault="004A7700">
            <w:pPr>
              <w:spacing w:after="0" w:line="240" w:lineRule="auto"/>
              <w:contextualSpacing/>
              <w:jc w:val="right"/>
              <w:rPr>
                <w:rFonts w:ascii="Verdana" w:eastAsia="Times New Roman" w:hAnsi="Verdana"/>
                <w:b/>
                <w:bCs/>
                <w:noProof/>
                <w:color w:val="000000"/>
                <w:sz w:val="12"/>
                <w:szCs w:val="12"/>
                <w:lang w:eastAsia="en-GB"/>
              </w:rPr>
            </w:pPr>
            <w:r>
              <w:rPr>
                <w:rFonts w:ascii="Verdana" w:hAnsi="Verdana"/>
                <w:b/>
                <w:bCs/>
                <w:noProof/>
                <w:sz w:val="14"/>
                <w:szCs w:val="20"/>
              </w:rPr>
              <w:t>3 853</w:t>
            </w:r>
          </w:p>
        </w:tc>
        <w:tc>
          <w:tcPr>
            <w:tcW w:w="407" w:type="pct"/>
            <w:gridSpan w:val="2"/>
            <w:tcBorders>
              <w:top w:val="single" w:sz="8" w:space="0" w:color="auto"/>
              <w:left w:val="single" w:sz="4" w:space="0" w:color="auto"/>
              <w:bottom w:val="single" w:sz="8" w:space="0" w:color="auto"/>
              <w:right w:val="single" w:sz="8" w:space="0" w:color="auto"/>
            </w:tcBorders>
            <w:shd w:val="clear" w:color="000000" w:fill="D9D9D9"/>
            <w:noWrap/>
            <w:vAlign w:val="center"/>
          </w:tcPr>
          <w:p w:rsidR="00CC45FC" w:rsidRDefault="004A7700">
            <w:pPr>
              <w:spacing w:after="0" w:line="240" w:lineRule="auto"/>
              <w:contextualSpacing/>
              <w:jc w:val="right"/>
              <w:rPr>
                <w:rFonts w:ascii="Verdana" w:eastAsia="Times New Roman" w:hAnsi="Verdana"/>
                <w:b/>
                <w:bCs/>
                <w:i/>
                <w:iCs/>
                <w:noProof/>
                <w:color w:val="000000"/>
                <w:sz w:val="12"/>
                <w:szCs w:val="12"/>
                <w:lang w:eastAsia="en-GB"/>
              </w:rPr>
            </w:pPr>
            <w:r>
              <w:rPr>
                <w:rFonts w:ascii="Verdana" w:hAnsi="Verdana"/>
                <w:b/>
                <w:bCs/>
                <w:i/>
                <w:iCs/>
                <w:noProof/>
                <w:color w:val="000000"/>
                <w:sz w:val="14"/>
                <w:szCs w:val="20"/>
              </w:rPr>
              <w:t>2.7%</w:t>
            </w:r>
          </w:p>
        </w:tc>
      </w:tr>
    </w:tbl>
    <w:p w:rsidR="00CC45FC" w:rsidRDefault="004A7700">
      <w:pPr>
        <w:tabs>
          <w:tab w:val="left" w:pos="284"/>
        </w:tabs>
        <w:spacing w:after="0" w:line="240" w:lineRule="auto"/>
        <w:ind w:left="720" w:hanging="720"/>
        <w:jc w:val="both"/>
        <w:rPr>
          <w:rFonts w:ascii="Verdana" w:hAnsi="Verdana"/>
          <w:i/>
          <w:noProof/>
          <w:sz w:val="14"/>
          <w:szCs w:val="16"/>
          <w:lang w:eastAsia="en-GB"/>
        </w:rPr>
      </w:pPr>
      <w:r>
        <w:rPr>
          <w:rFonts w:ascii="Verdana" w:hAnsi="Verdana"/>
          <w:i/>
          <w:noProof/>
          <w:sz w:val="14"/>
          <w:szCs w:val="16"/>
          <w:lang w:eastAsia="en-GB"/>
        </w:rPr>
        <w:tab/>
        <w:t>*</w:t>
      </w:r>
      <w:r>
        <w:rPr>
          <w:rFonts w:ascii="Verdana" w:hAnsi="Verdana"/>
          <w:i/>
          <w:noProof/>
          <w:sz w:val="14"/>
          <w:szCs w:val="16"/>
          <w:lang w:eastAsia="en-GB"/>
        </w:rPr>
        <w:tab/>
        <w:t>Excludes EUR 288 million paid out under the Special Instruments heading.</w:t>
      </w:r>
    </w:p>
    <w:p w:rsidR="00CC45FC" w:rsidRDefault="004A7700">
      <w:pPr>
        <w:tabs>
          <w:tab w:val="left" w:pos="284"/>
        </w:tabs>
        <w:spacing w:line="240" w:lineRule="auto"/>
        <w:ind w:left="720" w:hanging="720"/>
        <w:jc w:val="both"/>
        <w:rPr>
          <w:rFonts w:ascii="Verdana" w:hAnsi="Verdana"/>
          <w:i/>
          <w:noProof/>
          <w:sz w:val="14"/>
          <w:szCs w:val="16"/>
          <w:lang w:eastAsia="en-GB"/>
        </w:rPr>
      </w:pPr>
      <w:r>
        <w:rPr>
          <w:rFonts w:ascii="Verdana" w:hAnsi="Verdana"/>
          <w:i/>
          <w:noProof/>
          <w:sz w:val="14"/>
          <w:szCs w:val="16"/>
          <w:lang w:eastAsia="en-GB"/>
        </w:rPr>
        <w:tab/>
      </w:r>
      <w:r>
        <w:rPr>
          <w:rFonts w:ascii="Verdana" w:hAnsi="Verdana"/>
          <w:i/>
          <w:noProof/>
          <w:sz w:val="14"/>
          <w:szCs w:val="16"/>
          <w:lang w:eastAsia="en-GB"/>
        </w:rPr>
        <w:tab/>
        <w:t>Please note that the figures above may slightly differ from the ones shown in the Annual Report on the Protection of the EU financial interests and the fight against fraud and its staff working documents since that report was published earlier, at a stage where only provisional figures were available.</w:t>
      </w:r>
    </w:p>
    <w:p w:rsidR="00CC45FC" w:rsidRDefault="004A7700">
      <w:pPr>
        <w:spacing w:before="360" w:line="240" w:lineRule="auto"/>
        <w:jc w:val="both"/>
        <w:rPr>
          <w:rFonts w:ascii="Verdana" w:hAnsi="Verdana"/>
          <w:i/>
          <w:noProof/>
          <w:sz w:val="20"/>
          <w:lang w:eastAsia="en-GB"/>
        </w:rPr>
      </w:pPr>
      <w:r>
        <w:rPr>
          <w:rFonts w:ascii="Verdana" w:hAnsi="Verdana"/>
          <w:i/>
          <w:noProof/>
          <w:sz w:val="20"/>
          <w:lang w:eastAsia="en-GB"/>
        </w:rPr>
        <w:t>3.1.1 Agriculture and Rural Development</w:t>
      </w:r>
    </w:p>
    <w:p w:rsidR="00CC45FC" w:rsidRDefault="004A7700">
      <w:pPr>
        <w:spacing w:line="240" w:lineRule="auto"/>
        <w:jc w:val="both"/>
        <w:rPr>
          <w:rFonts w:ascii="Verdana" w:hAnsi="Verdana" w:cs="Calibri"/>
          <w:noProof/>
          <w:sz w:val="20"/>
          <w:szCs w:val="20"/>
          <w:lang w:val="en-US" w:eastAsia="en-GB"/>
        </w:rPr>
      </w:pPr>
      <w:r>
        <w:rPr>
          <w:rFonts w:ascii="Verdana" w:hAnsi="Verdana" w:cs="Calibri"/>
          <w:i/>
          <w:noProof/>
          <w:sz w:val="20"/>
          <w:szCs w:val="20"/>
          <w:u w:val="single"/>
          <w:lang w:val="en-US" w:eastAsia="en-GB"/>
        </w:rPr>
        <w:t>Financial corrections:</w:t>
      </w:r>
      <w:r>
        <w:rPr>
          <w:rFonts w:ascii="Verdana" w:hAnsi="Verdana" w:cs="Calibri"/>
          <w:noProof/>
          <w:sz w:val="20"/>
          <w:szCs w:val="20"/>
          <w:lang w:val="en-US" w:eastAsia="en-GB"/>
        </w:rPr>
        <w:t xml:space="preserve"> </w:t>
      </w:r>
    </w:p>
    <w:p w:rsidR="00CC45FC" w:rsidRDefault="004A7700">
      <w:pPr>
        <w:spacing w:after="120" w:line="240" w:lineRule="auto"/>
        <w:jc w:val="both"/>
        <w:rPr>
          <w:rFonts w:ascii="Verdana" w:hAnsi="Verdana" w:cs="Calibri"/>
          <w:noProof/>
          <w:sz w:val="18"/>
          <w:szCs w:val="20"/>
          <w:lang w:val="en-US" w:eastAsia="en-GB"/>
        </w:rPr>
      </w:pPr>
      <w:r>
        <w:rPr>
          <w:rFonts w:ascii="Verdana" w:hAnsi="Verdana" w:cs="Calibri"/>
          <w:noProof/>
          <w:sz w:val="18"/>
          <w:szCs w:val="20"/>
          <w:lang w:val="en-US" w:eastAsia="en-GB"/>
        </w:rPr>
        <w:t>The high level of financial corrections confirmed by the Commission in 2015 reflects the significant efforts made by the Directorate General for Agriculture and Rural Development (DG AGRI) from 2013 in accelerating the conformity clearance procedures, including processing long outstanding procedures. As a result, a large number of corrections covering several financial years were confirmed in 2015. In the future, at cruising speed, it is expected that the annual amount of financial corrections will be stable around the average of the last 3 years.</w:t>
      </w:r>
    </w:p>
    <w:p w:rsidR="00CC45FC" w:rsidRDefault="004A7700">
      <w:pPr>
        <w:spacing w:line="240" w:lineRule="auto"/>
        <w:jc w:val="both"/>
        <w:rPr>
          <w:rFonts w:ascii="Verdana" w:hAnsi="Verdana"/>
          <w:noProof/>
          <w:sz w:val="18"/>
        </w:rPr>
      </w:pPr>
      <w:r>
        <w:rPr>
          <w:rFonts w:ascii="Verdana" w:hAnsi="Verdana"/>
          <w:noProof/>
          <w:sz w:val="18"/>
        </w:rPr>
        <w:t>In addition, the increased number of instalments and deferrals granted to Member States explains why in the previous three years (2012 to 2014) the amounts implemented for Agriculture and Rural Development were lower than the amounts decided by the Commission. The difference should disappear once cruising speed is reached.</w:t>
      </w:r>
      <w:r>
        <w:rPr>
          <w:rStyle w:val="FootnoteReference"/>
          <w:rFonts w:ascii="Verdana" w:hAnsi="Verdana"/>
          <w:noProof/>
          <w:sz w:val="18"/>
        </w:rPr>
        <w:footnoteReference w:id="8"/>
      </w:r>
    </w:p>
    <w:p w:rsidR="00CC45FC" w:rsidRDefault="004A7700">
      <w:pPr>
        <w:spacing w:after="0" w:line="240" w:lineRule="auto"/>
        <w:rPr>
          <w:rFonts w:ascii="Verdana" w:hAnsi="Verdana"/>
          <w:i/>
          <w:noProof/>
          <w:sz w:val="20"/>
          <w:u w:val="single"/>
        </w:rPr>
      </w:pPr>
      <w:r>
        <w:rPr>
          <w:rFonts w:ascii="Verdana" w:hAnsi="Verdana"/>
          <w:i/>
          <w:noProof/>
          <w:sz w:val="20"/>
          <w:u w:val="single"/>
        </w:rPr>
        <w:br w:type="page"/>
      </w:r>
    </w:p>
    <w:p w:rsidR="00CC45FC" w:rsidRDefault="004A7700">
      <w:pPr>
        <w:spacing w:after="240" w:line="240" w:lineRule="auto"/>
        <w:jc w:val="both"/>
        <w:rPr>
          <w:rFonts w:ascii="Verdana" w:hAnsi="Verdana"/>
          <w:b/>
          <w:i/>
          <w:noProof/>
          <w:sz w:val="20"/>
        </w:rPr>
      </w:pPr>
      <w:r>
        <w:rPr>
          <w:rFonts w:ascii="Verdana" w:hAnsi="Verdana"/>
          <w:i/>
          <w:noProof/>
          <w:sz w:val="20"/>
          <w:u w:val="single"/>
        </w:rPr>
        <w:t>Recoveries:</w:t>
      </w:r>
      <w:r>
        <w:rPr>
          <w:rFonts w:ascii="Verdana" w:hAnsi="Verdana"/>
          <w:b/>
          <w:i/>
          <w:noProof/>
          <w:sz w:val="20"/>
        </w:rPr>
        <w:t xml:space="preserve"> </w:t>
      </w:r>
    </w:p>
    <w:tbl>
      <w:tblPr>
        <w:tblStyle w:val="TableGrid"/>
        <w:tblW w:w="0" w:type="auto"/>
        <w:tblLook w:val="04A0" w:firstRow="1" w:lastRow="0" w:firstColumn="1" w:lastColumn="0" w:noHBand="0" w:noVBand="1"/>
      </w:tblPr>
      <w:tblGrid>
        <w:gridCol w:w="3510"/>
        <w:gridCol w:w="5812"/>
      </w:tblGrid>
      <w:tr w:rsidR="00CC45FC">
        <w:tc>
          <w:tcPr>
            <w:tcW w:w="351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C45FC" w:rsidRDefault="004A7700">
            <w:pPr>
              <w:spacing w:after="120" w:line="240" w:lineRule="auto"/>
              <w:rPr>
                <w:rFonts w:ascii="Verdana" w:hAnsi="Verdana"/>
                <w:b/>
                <w:i/>
                <w:noProof/>
                <w:sz w:val="20"/>
              </w:rPr>
            </w:pPr>
            <w:r>
              <w:rPr>
                <w:rFonts w:ascii="Verdana" w:hAnsi="Verdana" w:cs="Calibri"/>
                <w:b/>
                <w:noProof/>
                <w:sz w:val="18"/>
                <w:szCs w:val="20"/>
                <w:lang w:val="en-US" w:eastAsia="en-GB"/>
              </w:rPr>
              <w:t xml:space="preserve">In 2015, Member States </w:t>
            </w:r>
            <w:r>
              <w:rPr>
                <w:rFonts w:ascii="Verdana" w:hAnsi="Verdana" w:cs="Calibri"/>
                <w:b/>
                <w:noProof/>
                <w:sz w:val="18"/>
                <w:szCs w:val="20"/>
                <w:lang w:eastAsia="en-GB"/>
              </w:rPr>
              <w:t>have recovered EUR 155 million for EAGF and EUR 153 million for EAFRD from beneficiaries.</w:t>
            </w:r>
          </w:p>
        </w:tc>
        <w:tc>
          <w:tcPr>
            <w:tcW w:w="5812" w:type="dxa"/>
            <w:tcBorders>
              <w:top w:val="nil"/>
              <w:left w:val="single" w:sz="12" w:space="0" w:color="auto"/>
              <w:bottom w:val="nil"/>
              <w:right w:val="nil"/>
            </w:tcBorders>
          </w:tcPr>
          <w:p w:rsidR="00CC45FC" w:rsidRDefault="004A7700">
            <w:pPr>
              <w:spacing w:after="120" w:line="240" w:lineRule="auto"/>
              <w:jc w:val="both"/>
              <w:rPr>
                <w:rFonts w:ascii="Verdana" w:hAnsi="Verdana"/>
                <w:b/>
                <w:i/>
                <w:noProof/>
                <w:sz w:val="20"/>
              </w:rPr>
            </w:pPr>
            <w:r>
              <w:rPr>
                <w:rFonts w:ascii="Verdana" w:hAnsi="Verdana"/>
                <w:noProof/>
                <w:sz w:val="18"/>
              </w:rPr>
              <w:t>As regards correcting irregularities committed by the beneficiary, Member States must record and report on the recovery of the irregular spent amounts within the annual financial clearance exercise.</w:t>
            </w:r>
          </w:p>
        </w:tc>
      </w:tr>
    </w:tbl>
    <w:p w:rsidR="00CC45FC" w:rsidRDefault="004A7700">
      <w:pPr>
        <w:spacing w:before="120" w:line="240" w:lineRule="auto"/>
        <w:jc w:val="both"/>
        <w:rPr>
          <w:rFonts w:ascii="Verdana" w:hAnsi="Verdana"/>
          <w:noProof/>
          <w:sz w:val="18"/>
        </w:rPr>
      </w:pPr>
      <w:r>
        <w:rPr>
          <w:rFonts w:ascii="Verdana" w:hAnsi="Verdana"/>
          <w:noProof/>
          <w:sz w:val="18"/>
        </w:rPr>
        <w:t xml:space="preserve">Recovering irregular payments directly from the final beneficiaries is the sole responsibility of the Member States. </w:t>
      </w:r>
      <w:r>
        <w:rPr>
          <w:rFonts w:ascii="Verdana" w:hAnsi="Verdana"/>
          <w:b/>
          <w:noProof/>
          <w:sz w:val="18"/>
        </w:rPr>
        <w:t>Annex 5</w:t>
      </w:r>
      <w:r>
        <w:rPr>
          <w:rFonts w:ascii="Verdana" w:hAnsi="Verdana"/>
          <w:noProof/>
          <w:sz w:val="18"/>
        </w:rPr>
        <w:t xml:space="preserve"> sets out the amounts recovered in 2015 from the beneficiaries by the Member States (as reported by Member States in their debtors' ledger) and reimbursed to the Commission. These amounts are treated as </w:t>
      </w:r>
      <w:r>
        <w:rPr>
          <w:rFonts w:ascii="Verdana" w:hAnsi="Verdana"/>
          <w:b/>
          <w:noProof/>
          <w:sz w:val="18"/>
        </w:rPr>
        <w:t xml:space="preserve">assigned revenue </w:t>
      </w:r>
      <w:r>
        <w:rPr>
          <w:rFonts w:ascii="Verdana" w:hAnsi="Verdana"/>
          <w:noProof/>
          <w:sz w:val="18"/>
        </w:rPr>
        <w:t>for</w:t>
      </w:r>
      <w:r>
        <w:rPr>
          <w:rFonts w:ascii="Verdana" w:hAnsi="Verdana"/>
          <w:b/>
          <w:noProof/>
          <w:sz w:val="18"/>
        </w:rPr>
        <w:t xml:space="preserve"> EAGF</w:t>
      </w:r>
      <w:r>
        <w:rPr>
          <w:rFonts w:ascii="Verdana" w:hAnsi="Verdana"/>
          <w:noProof/>
          <w:sz w:val="18"/>
        </w:rPr>
        <w:t xml:space="preserve">, while the amounts recovered for </w:t>
      </w:r>
      <w:r>
        <w:rPr>
          <w:rFonts w:ascii="Verdana" w:hAnsi="Verdana"/>
          <w:b/>
          <w:noProof/>
          <w:sz w:val="18"/>
        </w:rPr>
        <w:t>EAFRD can be reallocated to the programme concerned</w:t>
      </w:r>
      <w:r>
        <w:rPr>
          <w:rFonts w:ascii="Verdana" w:hAnsi="Verdana"/>
          <w:noProof/>
          <w:sz w:val="18"/>
        </w:rPr>
        <w:t>.</w:t>
      </w:r>
    </w:p>
    <w:p w:rsidR="00CC45FC" w:rsidRDefault="004A7700">
      <w:pPr>
        <w:widowControl w:val="0"/>
        <w:autoSpaceDE w:val="0"/>
        <w:autoSpaceDN w:val="0"/>
        <w:adjustRightInd w:val="0"/>
        <w:spacing w:line="240" w:lineRule="auto"/>
        <w:jc w:val="both"/>
        <w:rPr>
          <w:rFonts w:ascii="Verdana" w:hAnsi="Verdana"/>
          <w:i/>
          <w:noProof/>
          <w:sz w:val="20"/>
          <w:lang w:eastAsia="en-GB"/>
        </w:rPr>
      </w:pPr>
      <w:r>
        <w:rPr>
          <w:rFonts w:ascii="Verdana" w:hAnsi="Verdana"/>
          <w:i/>
          <w:noProof/>
          <w:sz w:val="20"/>
          <w:lang w:eastAsia="en-GB"/>
        </w:rPr>
        <w:t>3.1.2 Cohesion 2000-2006 programming period</w:t>
      </w:r>
    </w:p>
    <w:p w:rsidR="00CC45FC" w:rsidRDefault="004A7700">
      <w:pPr>
        <w:widowControl w:val="0"/>
        <w:tabs>
          <w:tab w:val="left" w:pos="1280"/>
        </w:tabs>
        <w:autoSpaceDE w:val="0"/>
        <w:autoSpaceDN w:val="0"/>
        <w:adjustRightInd w:val="0"/>
        <w:spacing w:line="240" w:lineRule="auto"/>
        <w:ind w:right="57"/>
        <w:jc w:val="both"/>
        <w:rPr>
          <w:rFonts w:ascii="Verdana" w:eastAsia="Times New Roman" w:hAnsi="Verdana"/>
          <w:noProof/>
          <w:sz w:val="18"/>
          <w:szCs w:val="20"/>
          <w:lang w:eastAsia="x-none"/>
        </w:rPr>
      </w:pPr>
      <w:r>
        <w:rPr>
          <w:rFonts w:ascii="Verdana" w:eastAsia="Times New Roman" w:hAnsi="Verdana"/>
          <w:noProof/>
          <w:sz w:val="18"/>
          <w:szCs w:val="20"/>
          <w:lang w:eastAsia="x-none"/>
        </w:rPr>
        <w:t xml:space="preserve">The advanced stage of the closure process of </w:t>
      </w:r>
      <w:r>
        <w:rPr>
          <w:rFonts w:ascii="Verdana" w:eastAsia="Times New Roman" w:hAnsi="Verdana"/>
          <w:b/>
          <w:noProof/>
          <w:sz w:val="18"/>
          <w:szCs w:val="20"/>
          <w:lang w:eastAsia="x-none"/>
        </w:rPr>
        <w:t>ERDF</w:t>
      </w:r>
      <w:r>
        <w:rPr>
          <w:rFonts w:ascii="Verdana" w:eastAsia="Times New Roman" w:hAnsi="Verdana"/>
          <w:noProof/>
          <w:sz w:val="18"/>
          <w:szCs w:val="20"/>
          <w:lang w:eastAsia="x-none"/>
        </w:rPr>
        <w:t xml:space="preserve"> programmes and </w:t>
      </w:r>
      <w:r>
        <w:rPr>
          <w:rFonts w:ascii="Verdana" w:eastAsia="Times New Roman" w:hAnsi="Verdana"/>
          <w:b/>
          <w:noProof/>
          <w:sz w:val="18"/>
          <w:szCs w:val="20"/>
          <w:lang w:eastAsia="x-none"/>
        </w:rPr>
        <w:t>Cohesion Fund</w:t>
      </w:r>
      <w:r>
        <w:rPr>
          <w:rFonts w:ascii="Verdana" w:eastAsia="Times New Roman" w:hAnsi="Verdana"/>
          <w:noProof/>
          <w:sz w:val="18"/>
          <w:szCs w:val="20"/>
          <w:lang w:eastAsia="x-none"/>
        </w:rPr>
        <w:t xml:space="preserve"> projects led to the following financial corrections being imposed and accepted by Member States in 2015:</w:t>
      </w:r>
    </w:p>
    <w:tbl>
      <w:tblPr>
        <w:tblStyle w:val="TableGrid"/>
        <w:tblW w:w="9322" w:type="dxa"/>
        <w:tblLook w:val="04A0" w:firstRow="1" w:lastRow="0" w:firstColumn="1" w:lastColumn="0" w:noHBand="0" w:noVBand="1"/>
      </w:tblPr>
      <w:tblGrid>
        <w:gridCol w:w="5353"/>
        <w:gridCol w:w="3969"/>
      </w:tblGrid>
      <w:tr w:rsidR="00CC45FC" w:rsidRPr="004A7700">
        <w:trPr>
          <w:trHeight w:val="743"/>
        </w:trPr>
        <w:tc>
          <w:tcPr>
            <w:tcW w:w="5353" w:type="dxa"/>
            <w:vMerge w:val="restart"/>
            <w:tcBorders>
              <w:top w:val="nil"/>
              <w:left w:val="nil"/>
              <w:bottom w:val="nil"/>
              <w:right w:val="single" w:sz="12" w:space="0" w:color="auto"/>
            </w:tcBorders>
          </w:tcPr>
          <w:p w:rsidR="00CC45FC" w:rsidRDefault="004A7700">
            <w:pPr>
              <w:widowControl w:val="0"/>
              <w:tabs>
                <w:tab w:val="left" w:pos="284"/>
              </w:tabs>
              <w:autoSpaceDE w:val="0"/>
              <w:autoSpaceDN w:val="0"/>
              <w:adjustRightInd w:val="0"/>
              <w:spacing w:line="240" w:lineRule="auto"/>
              <w:ind w:right="57"/>
              <w:jc w:val="both"/>
              <w:rPr>
                <w:rFonts w:ascii="Verdana" w:hAnsi="Verdana"/>
                <w:noProof/>
                <w:sz w:val="18"/>
                <w:szCs w:val="20"/>
                <w:lang w:eastAsia="x-none"/>
              </w:rPr>
            </w:pPr>
            <w:r>
              <w:rPr>
                <w:rFonts w:ascii="Verdana" w:hAnsi="Verdana"/>
                <w:noProof/>
                <w:sz w:val="18"/>
                <w:szCs w:val="20"/>
                <w:lang w:eastAsia="x-none"/>
              </w:rPr>
              <w:t xml:space="preserve">- </w:t>
            </w:r>
            <w:r>
              <w:rPr>
                <w:rFonts w:ascii="Verdana" w:hAnsi="Verdana"/>
                <w:noProof/>
                <w:sz w:val="18"/>
                <w:szCs w:val="20"/>
                <w:lang w:eastAsia="x-none"/>
              </w:rPr>
              <w:tab/>
              <w:t xml:space="preserve">EUR 155 million of financial corrections for the closure of </w:t>
            </w:r>
            <w:r>
              <w:rPr>
                <w:rFonts w:ascii="Verdana" w:hAnsi="Verdana"/>
                <w:b/>
                <w:noProof/>
                <w:sz w:val="18"/>
                <w:szCs w:val="20"/>
                <w:lang w:eastAsia="x-none"/>
              </w:rPr>
              <w:t>ERDF</w:t>
            </w:r>
            <w:r>
              <w:rPr>
                <w:rFonts w:ascii="Verdana" w:hAnsi="Verdana"/>
                <w:noProof/>
                <w:sz w:val="18"/>
                <w:szCs w:val="20"/>
                <w:lang w:eastAsia="x-none"/>
              </w:rPr>
              <w:t xml:space="preserve"> programmes in 7 Member States, the most significant being for Italy (EUR 108 million) and Greece (EUR 34 million);</w:t>
            </w:r>
          </w:p>
          <w:p w:rsidR="00CC45FC" w:rsidRDefault="004A7700">
            <w:pPr>
              <w:widowControl w:val="0"/>
              <w:tabs>
                <w:tab w:val="left" w:pos="284"/>
              </w:tabs>
              <w:autoSpaceDE w:val="0"/>
              <w:autoSpaceDN w:val="0"/>
              <w:adjustRightInd w:val="0"/>
              <w:spacing w:line="240" w:lineRule="auto"/>
              <w:ind w:right="57"/>
              <w:jc w:val="both"/>
              <w:rPr>
                <w:rFonts w:ascii="Verdana" w:hAnsi="Verdana"/>
                <w:noProof/>
                <w:sz w:val="18"/>
                <w:szCs w:val="20"/>
                <w:lang w:eastAsia="x-none"/>
              </w:rPr>
            </w:pPr>
            <w:r>
              <w:rPr>
                <w:rFonts w:ascii="Verdana" w:hAnsi="Verdana"/>
                <w:noProof/>
                <w:sz w:val="18"/>
                <w:szCs w:val="20"/>
                <w:lang w:eastAsia="x-none"/>
              </w:rPr>
              <w:t xml:space="preserve">- </w:t>
            </w:r>
            <w:r>
              <w:rPr>
                <w:rFonts w:ascii="Verdana" w:hAnsi="Verdana"/>
                <w:noProof/>
                <w:sz w:val="18"/>
                <w:szCs w:val="20"/>
                <w:lang w:eastAsia="x-none"/>
              </w:rPr>
              <w:tab/>
              <w:t xml:space="preserve">EUR 53 million accepted by 13 Member States for </w:t>
            </w:r>
            <w:r>
              <w:rPr>
                <w:rFonts w:ascii="Verdana" w:hAnsi="Verdana"/>
                <w:b/>
                <w:noProof/>
                <w:sz w:val="18"/>
                <w:szCs w:val="20"/>
                <w:lang w:eastAsia="x-none"/>
              </w:rPr>
              <w:t>Cohesion Fund</w:t>
            </w:r>
            <w:r>
              <w:rPr>
                <w:rFonts w:ascii="Verdana" w:hAnsi="Verdana"/>
                <w:noProof/>
                <w:sz w:val="18"/>
                <w:szCs w:val="20"/>
                <w:lang w:eastAsia="x-none"/>
              </w:rPr>
              <w:t xml:space="preserve"> projects, the largest being for Czech Republic (EUR 16 million).</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tcPr>
          <w:p w:rsidR="00CC45FC" w:rsidRDefault="004A7700">
            <w:pPr>
              <w:spacing w:after="120"/>
              <w:rPr>
                <w:rFonts w:ascii="Verdana" w:hAnsi="Verdana" w:cs="Calibri"/>
                <w:b/>
                <w:noProof/>
                <w:sz w:val="18"/>
                <w:szCs w:val="20"/>
                <w:lang w:val="fr-BE" w:eastAsia="en-GB"/>
              </w:rPr>
            </w:pPr>
            <w:r>
              <w:rPr>
                <w:rFonts w:ascii="Verdana" w:hAnsi="Verdana" w:cs="Calibri"/>
                <w:b/>
                <w:noProof/>
                <w:sz w:val="18"/>
                <w:szCs w:val="20"/>
                <w:lang w:val="fr-BE" w:eastAsia="en-GB"/>
              </w:rPr>
              <w:t>Financial corrections confirmed:</w:t>
            </w:r>
          </w:p>
          <w:p w:rsidR="00CC45FC" w:rsidRDefault="004A7700">
            <w:pPr>
              <w:spacing w:after="120"/>
              <w:rPr>
                <w:rFonts w:ascii="Verdana" w:hAnsi="Verdana" w:cs="Calibri"/>
                <w:b/>
                <w:noProof/>
                <w:sz w:val="18"/>
                <w:szCs w:val="20"/>
                <w:lang w:val="fr-BE" w:eastAsia="en-GB"/>
              </w:rPr>
            </w:pPr>
            <w:r>
              <w:rPr>
                <w:rFonts w:ascii="Verdana" w:hAnsi="Verdana" w:cs="Calibri"/>
                <w:b/>
                <w:noProof/>
                <w:sz w:val="18"/>
                <w:szCs w:val="20"/>
                <w:lang w:val="fr-BE" w:eastAsia="en-GB"/>
              </w:rPr>
              <w:t>ERDF / CF - EUR 208 million</w:t>
            </w:r>
          </w:p>
          <w:p w:rsidR="00CC45FC" w:rsidRDefault="004A7700">
            <w:pPr>
              <w:widowControl w:val="0"/>
              <w:tabs>
                <w:tab w:val="left" w:pos="1280"/>
              </w:tabs>
              <w:autoSpaceDE w:val="0"/>
              <w:autoSpaceDN w:val="0"/>
              <w:adjustRightInd w:val="0"/>
              <w:spacing w:line="240" w:lineRule="auto"/>
              <w:ind w:right="57"/>
              <w:jc w:val="both"/>
              <w:rPr>
                <w:rFonts w:ascii="Verdana" w:hAnsi="Verdana"/>
                <w:noProof/>
                <w:sz w:val="18"/>
                <w:szCs w:val="20"/>
                <w:lang w:val="fr-BE" w:eastAsia="x-none"/>
              </w:rPr>
            </w:pPr>
            <w:r>
              <w:rPr>
                <w:rFonts w:ascii="Verdana" w:hAnsi="Verdana" w:cs="Calibri"/>
                <w:b/>
                <w:noProof/>
                <w:sz w:val="18"/>
                <w:szCs w:val="20"/>
                <w:lang w:val="fr-BE" w:eastAsia="en-GB"/>
              </w:rPr>
              <w:t>ESF - EUR 179 million</w:t>
            </w:r>
          </w:p>
        </w:tc>
      </w:tr>
      <w:tr w:rsidR="00CC45FC" w:rsidRPr="004A7700">
        <w:trPr>
          <w:trHeight w:val="700"/>
        </w:trPr>
        <w:tc>
          <w:tcPr>
            <w:tcW w:w="5353" w:type="dxa"/>
            <w:vMerge/>
            <w:tcBorders>
              <w:top w:val="nil"/>
              <w:left w:val="nil"/>
              <w:bottom w:val="nil"/>
              <w:right w:val="nil"/>
            </w:tcBorders>
          </w:tcPr>
          <w:p w:rsidR="00CC45FC" w:rsidRDefault="00CC45FC">
            <w:pPr>
              <w:widowControl w:val="0"/>
              <w:tabs>
                <w:tab w:val="left" w:pos="284"/>
              </w:tabs>
              <w:autoSpaceDE w:val="0"/>
              <w:autoSpaceDN w:val="0"/>
              <w:adjustRightInd w:val="0"/>
              <w:spacing w:line="240" w:lineRule="auto"/>
              <w:ind w:right="57"/>
              <w:jc w:val="both"/>
              <w:rPr>
                <w:rFonts w:ascii="Verdana" w:hAnsi="Verdana"/>
                <w:noProof/>
                <w:sz w:val="18"/>
                <w:szCs w:val="20"/>
                <w:lang w:val="fr-BE" w:eastAsia="x-none"/>
              </w:rPr>
            </w:pPr>
          </w:p>
        </w:tc>
        <w:tc>
          <w:tcPr>
            <w:tcW w:w="3969" w:type="dxa"/>
            <w:tcBorders>
              <w:top w:val="single" w:sz="12" w:space="0" w:color="auto"/>
              <w:left w:val="nil"/>
              <w:bottom w:val="nil"/>
              <w:right w:val="nil"/>
            </w:tcBorders>
            <w:shd w:val="clear" w:color="auto" w:fill="FFFFFF" w:themeFill="background1"/>
          </w:tcPr>
          <w:p w:rsidR="00CC45FC" w:rsidRDefault="00CC45FC">
            <w:pPr>
              <w:spacing w:after="120"/>
              <w:rPr>
                <w:rFonts w:ascii="Verdana" w:hAnsi="Verdana" w:cs="Calibri"/>
                <w:b/>
                <w:noProof/>
                <w:sz w:val="18"/>
                <w:szCs w:val="20"/>
                <w:lang w:val="fr-BE" w:eastAsia="en-GB"/>
              </w:rPr>
            </w:pPr>
          </w:p>
        </w:tc>
      </w:tr>
    </w:tbl>
    <w:p w:rsidR="00CC45FC" w:rsidRDefault="004A7700">
      <w:pPr>
        <w:widowControl w:val="0"/>
        <w:tabs>
          <w:tab w:val="left" w:pos="1280"/>
        </w:tabs>
        <w:autoSpaceDE w:val="0"/>
        <w:autoSpaceDN w:val="0"/>
        <w:adjustRightInd w:val="0"/>
        <w:spacing w:after="120" w:line="240" w:lineRule="auto"/>
        <w:ind w:right="59"/>
        <w:jc w:val="both"/>
        <w:rPr>
          <w:rFonts w:ascii="Verdana" w:hAnsi="Verdana"/>
          <w:noProof/>
          <w:sz w:val="18"/>
          <w:lang w:eastAsia="en-GB"/>
        </w:rPr>
      </w:pPr>
      <w:r>
        <w:rPr>
          <w:rFonts w:ascii="Verdana" w:hAnsi="Verdana"/>
          <w:noProof/>
          <w:sz w:val="18"/>
          <w:lang w:eastAsia="en-GB"/>
        </w:rPr>
        <w:t xml:space="preserve">For </w:t>
      </w:r>
      <w:r>
        <w:rPr>
          <w:rFonts w:ascii="Verdana" w:hAnsi="Verdana"/>
          <w:b/>
          <w:noProof/>
          <w:sz w:val="18"/>
          <w:lang w:eastAsia="en-GB"/>
        </w:rPr>
        <w:t>ESF</w:t>
      </w:r>
      <w:r>
        <w:rPr>
          <w:rFonts w:ascii="Verdana" w:hAnsi="Verdana"/>
          <w:noProof/>
          <w:sz w:val="18"/>
          <w:lang w:eastAsia="en-GB"/>
        </w:rPr>
        <w:t>, in the context of the closure process, all 239 programmes have been closed (209 fully and 30 partially). The Member States with the highest level of financial corrections confirmed and implemented in 2015 were respectively France (EUR 149 million) and Spain (EUR 30 million). In addition, for Sweden the closure process has been finalised as well.</w:t>
      </w:r>
    </w:p>
    <w:p w:rsidR="00CC45FC" w:rsidRDefault="004A7700">
      <w:pPr>
        <w:spacing w:line="240" w:lineRule="auto"/>
        <w:jc w:val="both"/>
        <w:rPr>
          <w:rFonts w:ascii="Verdana" w:hAnsi="Verdana"/>
          <w:noProof/>
          <w:sz w:val="18"/>
          <w:lang w:eastAsia="en-GB"/>
        </w:rPr>
      </w:pPr>
      <w:r>
        <w:rPr>
          <w:rFonts w:ascii="Verdana" w:hAnsi="Verdana"/>
          <w:noProof/>
          <w:sz w:val="18"/>
          <w:lang w:eastAsia="en-GB"/>
        </w:rPr>
        <w:t>Significant progress was made in 2015 in relation to the closure of the Financial Instrument for Fisheries Guidance (</w:t>
      </w:r>
      <w:r>
        <w:rPr>
          <w:rFonts w:ascii="Verdana" w:hAnsi="Verdana"/>
          <w:b/>
          <w:noProof/>
          <w:sz w:val="18"/>
          <w:lang w:eastAsia="en-GB"/>
        </w:rPr>
        <w:t>FIFG</w:t>
      </w:r>
      <w:r>
        <w:rPr>
          <w:rFonts w:ascii="Verdana" w:hAnsi="Verdana"/>
          <w:noProof/>
          <w:sz w:val="18"/>
          <w:lang w:eastAsia="en-GB"/>
        </w:rPr>
        <w:t>). At the end of 2015, 57 programmes out of 60 were closed. Most financial corrections concerned were implemented via recovery orders.</w:t>
      </w:r>
    </w:p>
    <w:p w:rsidR="00CC45FC" w:rsidRDefault="004A7700">
      <w:pPr>
        <w:spacing w:line="240" w:lineRule="auto"/>
        <w:jc w:val="both"/>
        <w:rPr>
          <w:rFonts w:ascii="Verdana" w:hAnsi="Verdana"/>
          <w:i/>
          <w:noProof/>
          <w:sz w:val="20"/>
          <w:lang w:eastAsia="en-GB"/>
        </w:rPr>
      </w:pPr>
      <w:r>
        <w:rPr>
          <w:rFonts w:ascii="Verdana" w:hAnsi="Verdana"/>
          <w:i/>
          <w:noProof/>
          <w:sz w:val="20"/>
          <w:lang w:eastAsia="en-GB"/>
        </w:rPr>
        <w:t>3.1.3 Cohesion 2007-2013 programming period</w:t>
      </w:r>
    </w:p>
    <w:p w:rsidR="00CC45FC" w:rsidRDefault="004A7700">
      <w:pPr>
        <w:spacing w:line="240" w:lineRule="auto"/>
        <w:jc w:val="both"/>
        <w:rPr>
          <w:rFonts w:ascii="Verdana" w:eastAsia="Times New Roman" w:hAnsi="Verdana"/>
          <w:noProof/>
          <w:sz w:val="18"/>
          <w:lang w:eastAsia="x-none"/>
        </w:rPr>
      </w:pPr>
      <w:r>
        <w:rPr>
          <w:rFonts w:ascii="Verdana" w:eastAsia="Times New Roman" w:hAnsi="Verdana"/>
          <w:noProof/>
          <w:sz w:val="18"/>
          <w:lang w:eastAsia="x-none"/>
        </w:rPr>
        <w:t xml:space="preserve">Financial corrections under </w:t>
      </w:r>
      <w:r>
        <w:rPr>
          <w:rFonts w:ascii="Verdana" w:eastAsia="Times New Roman" w:hAnsi="Verdana"/>
          <w:b/>
          <w:noProof/>
          <w:sz w:val="18"/>
          <w:lang w:eastAsia="x-none"/>
        </w:rPr>
        <w:t>ERDF / CF</w:t>
      </w:r>
      <w:r>
        <w:rPr>
          <w:rFonts w:ascii="Verdana" w:eastAsia="Times New Roman" w:hAnsi="Verdana"/>
          <w:noProof/>
          <w:sz w:val="18"/>
          <w:lang w:eastAsia="x-none"/>
        </w:rPr>
        <w:t xml:space="preserve"> in 2015 increased significantly compared to previous years, thus confirming the effectiveness of these multiannual controls of the policy. This is also the result of the strict policy of interruption / suspension procedures by the Commission since the beginning of the programming period and the fact that in 2015 some longstanding cases, for which payment applications were blocked for months or even years, came to an end after the implementation of financial corrections. For those cases, the corrections applied by Member States could only be reported in 2015 after the lifting of the interruption / suspension procedures. The increase of financial corrections in 2015 is also supported by the higher error rates reported by the national audit authorities in the 2015 Annual Control Reports (ACR) compared to the error rates reported in the past. The Member States with the highest corrections (excluding at source corrections) in 2015 were Slovakia (EUR 236 million), Italy (EUR 161 million), Germany (EUR 143 million), Greece (EUR 120 million) and Spain (EUR 117 million).</w:t>
      </w:r>
    </w:p>
    <w:tbl>
      <w:tblPr>
        <w:tblStyle w:val="TableGrid"/>
        <w:tblW w:w="0" w:type="auto"/>
        <w:tblLook w:val="04A0" w:firstRow="1" w:lastRow="0" w:firstColumn="1" w:lastColumn="0" w:noHBand="0" w:noVBand="1"/>
      </w:tblPr>
      <w:tblGrid>
        <w:gridCol w:w="3510"/>
        <w:gridCol w:w="5812"/>
      </w:tblGrid>
      <w:tr w:rsidR="00CC45FC">
        <w:tc>
          <w:tcPr>
            <w:tcW w:w="351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C45FC" w:rsidRDefault="004A7700">
            <w:pPr>
              <w:spacing w:after="120"/>
              <w:rPr>
                <w:rFonts w:ascii="Verdana" w:hAnsi="Verdana" w:cs="Calibri"/>
                <w:b/>
                <w:noProof/>
                <w:sz w:val="18"/>
                <w:szCs w:val="20"/>
                <w:lang w:val="fr-BE" w:eastAsia="en-GB"/>
              </w:rPr>
            </w:pPr>
            <w:r>
              <w:rPr>
                <w:rFonts w:ascii="Verdana" w:hAnsi="Verdana" w:cs="Calibri"/>
                <w:b/>
                <w:noProof/>
                <w:sz w:val="18"/>
                <w:szCs w:val="20"/>
                <w:lang w:val="fr-BE" w:eastAsia="en-GB"/>
              </w:rPr>
              <w:t>Financial corrections confirmed:</w:t>
            </w:r>
          </w:p>
          <w:p w:rsidR="00CC45FC" w:rsidRDefault="004A7700">
            <w:pPr>
              <w:spacing w:after="120"/>
              <w:rPr>
                <w:rFonts w:ascii="Verdana" w:hAnsi="Verdana" w:cs="Calibri"/>
                <w:b/>
                <w:noProof/>
                <w:sz w:val="18"/>
                <w:szCs w:val="20"/>
                <w:lang w:val="fr-BE" w:eastAsia="en-GB"/>
              </w:rPr>
            </w:pPr>
            <w:r>
              <w:rPr>
                <w:rFonts w:ascii="Verdana" w:hAnsi="Verdana" w:cs="Calibri"/>
                <w:b/>
                <w:noProof/>
                <w:sz w:val="18"/>
                <w:szCs w:val="20"/>
                <w:lang w:val="fr-BE" w:eastAsia="en-GB"/>
              </w:rPr>
              <w:t>ERDF / CF - EUR 1 532 million</w:t>
            </w:r>
          </w:p>
          <w:p w:rsidR="00CC45FC" w:rsidRDefault="004A7700">
            <w:pPr>
              <w:spacing w:after="120" w:line="240" w:lineRule="auto"/>
              <w:rPr>
                <w:rFonts w:ascii="Verdana" w:hAnsi="Verdana"/>
                <w:b/>
                <w:i/>
                <w:noProof/>
                <w:sz w:val="20"/>
                <w:lang w:val="fr-BE"/>
              </w:rPr>
            </w:pPr>
            <w:r>
              <w:rPr>
                <w:rFonts w:ascii="Verdana" w:hAnsi="Verdana" w:cs="Calibri"/>
                <w:b/>
                <w:noProof/>
                <w:sz w:val="18"/>
                <w:szCs w:val="20"/>
                <w:lang w:val="fr-BE" w:eastAsia="en-GB"/>
              </w:rPr>
              <w:t>ESF - EUR 169 million</w:t>
            </w:r>
          </w:p>
        </w:tc>
        <w:tc>
          <w:tcPr>
            <w:tcW w:w="5812" w:type="dxa"/>
            <w:tcBorders>
              <w:top w:val="nil"/>
              <w:left w:val="single" w:sz="12" w:space="0" w:color="auto"/>
              <w:bottom w:val="nil"/>
              <w:right w:val="nil"/>
            </w:tcBorders>
          </w:tcPr>
          <w:p w:rsidR="00CC45FC" w:rsidRDefault="004A7700">
            <w:pPr>
              <w:spacing w:after="120" w:line="240" w:lineRule="auto"/>
              <w:jc w:val="both"/>
              <w:rPr>
                <w:rFonts w:ascii="Verdana" w:hAnsi="Verdana"/>
                <w:b/>
                <w:i/>
                <w:noProof/>
                <w:sz w:val="20"/>
              </w:rPr>
            </w:pPr>
            <w:r>
              <w:rPr>
                <w:rFonts w:ascii="Verdana" w:hAnsi="Verdana"/>
                <w:noProof/>
                <w:sz w:val="18"/>
                <w:lang w:eastAsia="x-none"/>
              </w:rPr>
              <w:t>As a result, at end 2015 the cumulative amount of financial corrections for the 2007-2013 period confirmed by Member States as consequence of the Commission supervisory role is above EUR 2.3 billion.</w:t>
            </w:r>
          </w:p>
        </w:tc>
      </w:tr>
    </w:tbl>
    <w:p w:rsidR="00CC45FC" w:rsidRDefault="004A7700">
      <w:pPr>
        <w:spacing w:before="120" w:after="120" w:line="240" w:lineRule="auto"/>
        <w:jc w:val="both"/>
        <w:rPr>
          <w:rFonts w:ascii="Verdana" w:hAnsi="Verdana"/>
          <w:noProof/>
          <w:sz w:val="18"/>
          <w:lang w:eastAsia="en-GB"/>
        </w:rPr>
      </w:pPr>
      <w:r>
        <w:rPr>
          <w:rFonts w:ascii="Verdana" w:hAnsi="Verdana"/>
          <w:noProof/>
          <w:sz w:val="18"/>
          <w:lang w:eastAsia="en-GB"/>
        </w:rPr>
        <w:t xml:space="preserve">Under </w:t>
      </w:r>
      <w:r>
        <w:rPr>
          <w:rFonts w:ascii="Verdana" w:hAnsi="Verdana"/>
          <w:b/>
          <w:noProof/>
          <w:sz w:val="18"/>
          <w:lang w:eastAsia="en-GB"/>
        </w:rPr>
        <w:t>ESF</w:t>
      </w:r>
      <w:r>
        <w:rPr>
          <w:rFonts w:ascii="Verdana" w:hAnsi="Verdana"/>
          <w:noProof/>
          <w:sz w:val="18"/>
          <w:lang w:eastAsia="en-GB"/>
        </w:rPr>
        <w:t>, financial corrections of EUR 169 million have been confirmed and EUR 227 million have been implemented, out of which EUR 142 million were confirmed in 2015 and EUR 85 million in the previous years. 95 % of financial corrections confirmed during the year 2015 and previous years have been implemented, leaving an amount of EUR 60 million (cumulative) as not yet implemented at year end. Member States with the highest level of corrections implemented in 2015 are Romania (EUR 133 million) and Spain (EUR 29 million) corresponding to the lifting of suspension of payments.</w:t>
      </w:r>
    </w:p>
    <w:p w:rsidR="00CC45FC" w:rsidRDefault="004A7700">
      <w:pPr>
        <w:spacing w:after="360" w:line="240" w:lineRule="auto"/>
        <w:jc w:val="both"/>
        <w:rPr>
          <w:noProof/>
          <w:sz w:val="20"/>
        </w:rPr>
      </w:pPr>
      <w:r>
        <w:rPr>
          <w:rFonts w:ascii="Verdana" w:hAnsi="Verdana"/>
          <w:noProof/>
          <w:sz w:val="18"/>
          <w:lang w:eastAsia="en-GB"/>
        </w:rPr>
        <w:t xml:space="preserve">Financial corrections confirmed for </w:t>
      </w:r>
      <w:r>
        <w:rPr>
          <w:rFonts w:ascii="Verdana" w:hAnsi="Verdana"/>
          <w:b/>
          <w:noProof/>
          <w:sz w:val="18"/>
          <w:lang w:eastAsia="en-GB"/>
        </w:rPr>
        <w:t xml:space="preserve">European Fisheries Fund </w:t>
      </w:r>
      <w:r>
        <w:rPr>
          <w:rFonts w:ascii="Verdana" w:hAnsi="Verdana"/>
          <w:noProof/>
          <w:sz w:val="18"/>
          <w:lang w:eastAsia="en-GB"/>
        </w:rPr>
        <w:t>(</w:t>
      </w:r>
      <w:r>
        <w:rPr>
          <w:rFonts w:ascii="Verdana" w:hAnsi="Verdana"/>
          <w:b/>
          <w:noProof/>
          <w:sz w:val="18"/>
          <w:lang w:eastAsia="en-GB"/>
        </w:rPr>
        <w:t>EFF</w:t>
      </w:r>
      <w:r>
        <w:rPr>
          <w:rFonts w:ascii="Verdana" w:hAnsi="Verdana"/>
          <w:noProof/>
          <w:sz w:val="18"/>
          <w:lang w:eastAsia="en-GB"/>
        </w:rPr>
        <w:t>)</w:t>
      </w:r>
      <w:r>
        <w:rPr>
          <w:rFonts w:ascii="Verdana" w:hAnsi="Verdana"/>
          <w:b/>
          <w:noProof/>
          <w:sz w:val="18"/>
          <w:lang w:eastAsia="en-GB"/>
        </w:rPr>
        <w:t xml:space="preserve"> </w:t>
      </w:r>
      <w:r>
        <w:rPr>
          <w:rFonts w:ascii="Verdana" w:hAnsi="Verdana"/>
          <w:noProof/>
          <w:sz w:val="18"/>
          <w:lang w:eastAsia="en-GB"/>
        </w:rPr>
        <w:t>decreased</w:t>
      </w:r>
      <w:r>
        <w:rPr>
          <w:rFonts w:ascii="Verdana" w:hAnsi="Verdana"/>
          <w:b/>
          <w:noProof/>
          <w:sz w:val="18"/>
          <w:lang w:eastAsia="en-GB"/>
        </w:rPr>
        <w:t xml:space="preserve"> </w:t>
      </w:r>
      <w:r>
        <w:rPr>
          <w:rFonts w:ascii="Verdana" w:hAnsi="Verdana"/>
          <w:noProof/>
          <w:sz w:val="18"/>
          <w:lang w:eastAsia="en-GB"/>
        </w:rPr>
        <w:t>by about 70 % from 2014. The withdrawal of ineligible expenditure from the subsequent payment claim following audits and desk reviews from the Commission allows such financial corrections to be implemented rapidly.</w:t>
      </w:r>
    </w:p>
    <w:p w:rsidR="00CC45FC" w:rsidRDefault="004A7700">
      <w:pPr>
        <w:keepNext/>
        <w:spacing w:line="240" w:lineRule="auto"/>
        <w:jc w:val="both"/>
        <w:rPr>
          <w:rFonts w:ascii="Verdana" w:hAnsi="Verdana"/>
          <w:i/>
          <w:noProof/>
          <w:sz w:val="20"/>
          <w:lang w:eastAsia="en-GB"/>
        </w:rPr>
      </w:pPr>
      <w:r>
        <w:rPr>
          <w:rFonts w:ascii="Verdana" w:hAnsi="Verdana"/>
          <w:i/>
          <w:noProof/>
          <w:sz w:val="20"/>
          <w:lang w:eastAsia="en-GB"/>
        </w:rPr>
        <w:t>3.1.4 Cohesion 2014-2020 programming period</w:t>
      </w:r>
    </w:p>
    <w:p w:rsidR="00CC45FC" w:rsidRDefault="004A7700">
      <w:pPr>
        <w:spacing w:after="360" w:line="240" w:lineRule="auto"/>
        <w:jc w:val="both"/>
        <w:rPr>
          <w:rFonts w:ascii="Verdana" w:hAnsi="Verdana" w:cs="Verdana"/>
          <w:noProof/>
          <w:sz w:val="20"/>
          <w:szCs w:val="20"/>
          <w:lang w:eastAsia="en-GB"/>
        </w:rPr>
      </w:pPr>
      <w:r>
        <w:rPr>
          <w:rFonts w:ascii="Verdana" w:hAnsi="Verdana"/>
          <w:noProof/>
          <w:sz w:val="18"/>
          <w:lang w:eastAsia="en-GB"/>
        </w:rPr>
        <w:t>The second accounting year was ongoing in the course of 2015 and the designation of authorities has not yet taken place for almost all the operational programmes, therefore no audit activity related to the declaration of expenditure has yet been processed. Consequently, no financial corrections can be reported.</w:t>
      </w:r>
    </w:p>
    <w:p w:rsidR="00CC45FC" w:rsidRDefault="004A7700">
      <w:pPr>
        <w:rPr>
          <w:rFonts w:ascii="Verdana" w:hAnsi="Verdana"/>
          <w:b/>
          <w:i/>
          <w:noProof/>
          <w:sz w:val="20"/>
          <w:szCs w:val="20"/>
          <w:lang w:eastAsia="en-GB"/>
        </w:rPr>
      </w:pPr>
      <w:bookmarkStart w:id="28" w:name="_Toc422840096"/>
      <w:bookmarkStart w:id="29" w:name="_Toc423524329"/>
      <w:r>
        <w:rPr>
          <w:rFonts w:ascii="Verdana" w:hAnsi="Verdana"/>
          <w:i/>
          <w:noProof/>
          <w:sz w:val="20"/>
          <w:szCs w:val="20"/>
          <w:lang w:eastAsia="en-GB"/>
        </w:rPr>
        <w:t>3.1.5. Financial corrections &amp; recoveries 2015: further details</w:t>
      </w:r>
    </w:p>
    <w:p w:rsidR="00CC45FC" w:rsidRDefault="004A7700">
      <w:pPr>
        <w:spacing w:after="120" w:line="240" w:lineRule="auto"/>
        <w:jc w:val="both"/>
        <w:rPr>
          <w:rFonts w:ascii="Verdana" w:hAnsi="Verdana"/>
          <w:noProof/>
          <w:sz w:val="18"/>
          <w:lang w:eastAsia="en-GB"/>
        </w:rPr>
      </w:pPr>
      <w:r>
        <w:rPr>
          <w:rFonts w:ascii="Verdana" w:hAnsi="Verdana"/>
          <w:noProof/>
          <w:sz w:val="18"/>
        </w:rPr>
        <w:t>D</w:t>
      </w:r>
      <w:r>
        <w:rPr>
          <w:rFonts w:ascii="Verdana" w:hAnsi="Verdana"/>
          <w:noProof/>
          <w:sz w:val="18"/>
          <w:lang w:eastAsia="en-GB"/>
        </w:rPr>
        <w:t xml:space="preserve">ifferent views of the financial corrections amounts in 2015 are provided in the annexes. </w:t>
      </w:r>
      <w:r>
        <w:rPr>
          <w:rFonts w:ascii="Verdana" w:hAnsi="Verdana"/>
          <w:noProof/>
          <w:sz w:val="18"/>
        </w:rPr>
        <w:t>Attention is drawn to the fact that the data presented below relates to one year only, 2015. The level of both the global corrections amount and the split by Member State can change significantly depending on the year. Therefore, a meaningful assessment of the effectiveness of supervisory and control systems has to be based, in line with the nature of this expenditure, on a multiannual perspective (see section</w:t>
      </w:r>
      <w:r>
        <w:rPr>
          <w:rFonts w:ascii="Verdana" w:hAnsi="Verdana"/>
          <w:noProof/>
          <w:sz w:val="18"/>
          <w:lang w:eastAsia="en-GB"/>
        </w:rPr>
        <w:t xml:space="preserve"> </w:t>
      </w:r>
      <w:r>
        <w:rPr>
          <w:rFonts w:ascii="Verdana" w:hAnsi="Verdana"/>
          <w:b/>
          <w:noProof/>
          <w:sz w:val="18"/>
          <w:lang w:eastAsia="en-GB"/>
        </w:rPr>
        <w:t>3.2</w:t>
      </w:r>
      <w:r>
        <w:rPr>
          <w:rFonts w:ascii="Verdana" w:hAnsi="Verdana"/>
          <w:noProof/>
          <w:sz w:val="18"/>
          <w:lang w:eastAsia="en-GB"/>
        </w:rPr>
        <w:t>).</w:t>
      </w:r>
    </w:p>
    <w:p w:rsidR="00CC45FC" w:rsidRDefault="004A7700">
      <w:pPr>
        <w:spacing w:after="240" w:line="240" w:lineRule="auto"/>
        <w:jc w:val="both"/>
        <w:rPr>
          <w:rFonts w:ascii="Verdana" w:hAnsi="Verdana"/>
          <w:noProof/>
          <w:sz w:val="18"/>
          <w:lang w:eastAsia="en-GB"/>
        </w:rPr>
      </w:pPr>
      <w:r>
        <w:rPr>
          <w:rFonts w:ascii="Verdana" w:hAnsi="Verdana"/>
          <w:noProof/>
          <w:sz w:val="18"/>
          <w:lang w:eastAsia="en-GB"/>
        </w:rPr>
        <w:t>The information provided in the Annexes can be summarised as follows:</w:t>
      </w:r>
    </w:p>
    <w:p w:rsidR="00CC45FC" w:rsidRDefault="004A7700">
      <w:pPr>
        <w:rPr>
          <w:rFonts w:ascii="Verdana" w:hAnsi="Verdana"/>
          <w:i/>
          <w:noProof/>
          <w:sz w:val="20"/>
          <w:szCs w:val="20"/>
          <w:lang w:eastAsia="en-GB"/>
        </w:rPr>
      </w:pPr>
      <w:bookmarkStart w:id="30" w:name="_Toc424121116"/>
      <w:bookmarkStart w:id="31" w:name="_Toc425855831"/>
      <w:bookmarkStart w:id="32" w:name="_Toc427677008"/>
      <w:bookmarkStart w:id="33" w:name="_Toc427850284"/>
      <w:bookmarkStart w:id="34" w:name="_Toc429388538"/>
      <w:bookmarkStart w:id="35" w:name="_Toc429556435"/>
      <w:bookmarkStart w:id="36" w:name="_Toc430008695"/>
      <w:bookmarkStart w:id="37" w:name="_Toc430008842"/>
      <w:r>
        <w:rPr>
          <w:rFonts w:ascii="Verdana" w:hAnsi="Verdana"/>
          <w:i/>
          <w:noProof/>
          <w:sz w:val="20"/>
          <w:szCs w:val="20"/>
          <w:lang w:eastAsia="en-GB"/>
        </w:rPr>
        <w:t xml:space="preserve">1. </w:t>
      </w:r>
      <w:r>
        <w:rPr>
          <w:rFonts w:ascii="Verdana" w:hAnsi="Verdana"/>
          <w:i/>
          <w:noProof/>
          <w:sz w:val="20"/>
          <w:szCs w:val="20"/>
          <w:lang w:eastAsia="en-GB"/>
        </w:rPr>
        <w:tab/>
        <w:t>Breakdown by Member State</w:t>
      </w:r>
      <w:bookmarkEnd w:id="28"/>
      <w:bookmarkEnd w:id="29"/>
      <w:bookmarkEnd w:id="30"/>
      <w:bookmarkEnd w:id="31"/>
      <w:bookmarkEnd w:id="32"/>
      <w:bookmarkEnd w:id="33"/>
      <w:bookmarkEnd w:id="34"/>
      <w:bookmarkEnd w:id="35"/>
      <w:bookmarkEnd w:id="36"/>
      <w:bookmarkEnd w:id="37"/>
      <w:r>
        <w:rPr>
          <w:rFonts w:ascii="Verdana" w:hAnsi="Verdana"/>
          <w:i/>
          <w:noProof/>
          <w:sz w:val="20"/>
          <w:szCs w:val="20"/>
          <w:lang w:eastAsia="en-GB"/>
        </w:rPr>
        <w:t xml:space="preserve"> </w:t>
      </w:r>
    </w:p>
    <w:p w:rsidR="00CC45FC" w:rsidRDefault="004A7700">
      <w:pPr>
        <w:ind w:left="720"/>
        <w:rPr>
          <w:rFonts w:ascii="Verdana" w:hAnsi="Verdana"/>
          <w:noProof/>
          <w:sz w:val="18"/>
          <w:szCs w:val="20"/>
          <w:lang w:eastAsia="en-GB"/>
        </w:rPr>
      </w:pPr>
      <w:r>
        <w:rPr>
          <w:rFonts w:ascii="Verdana" w:hAnsi="Verdana"/>
          <w:noProof/>
          <w:sz w:val="18"/>
          <w:szCs w:val="20"/>
          <w:lang w:eastAsia="en-GB"/>
        </w:rPr>
        <w:t>The most important Member States in terms of confirmed financial corrections compared to EU payments received are Greece (9.9 %), Romania (8 %) and Slovakia (7.3 %).</w:t>
      </w:r>
    </w:p>
    <w:p w:rsidR="00CC45FC" w:rsidRDefault="00CC45FC">
      <w:pPr>
        <w:spacing w:after="0" w:line="240" w:lineRule="auto"/>
        <w:rPr>
          <w:rFonts w:ascii="Verdana" w:hAnsi="Verdana"/>
          <w:i/>
          <w:noProof/>
          <w:sz w:val="20"/>
          <w:szCs w:val="20"/>
          <w:lang w:eastAsia="en-GB"/>
        </w:rPr>
      </w:pPr>
      <w:bookmarkStart w:id="38" w:name="_Toc422840097"/>
      <w:bookmarkStart w:id="39" w:name="_Toc423524330"/>
      <w:bookmarkStart w:id="40" w:name="_Toc424121117"/>
      <w:bookmarkStart w:id="41" w:name="_Toc425855832"/>
      <w:bookmarkStart w:id="42" w:name="_Toc427677009"/>
      <w:bookmarkStart w:id="43" w:name="_Toc427850285"/>
    </w:p>
    <w:p w:rsidR="00CC45FC" w:rsidRDefault="004A7700">
      <w:pPr>
        <w:spacing w:after="0" w:line="240" w:lineRule="auto"/>
        <w:rPr>
          <w:rFonts w:ascii="Verdana" w:hAnsi="Verdana"/>
          <w:i/>
          <w:noProof/>
          <w:sz w:val="20"/>
          <w:szCs w:val="20"/>
          <w:lang w:eastAsia="en-GB"/>
        </w:rPr>
      </w:pPr>
      <w:r>
        <w:rPr>
          <w:rFonts w:ascii="Verdana" w:hAnsi="Verdana"/>
          <w:i/>
          <w:noProof/>
          <w:sz w:val="20"/>
          <w:szCs w:val="20"/>
          <w:lang w:eastAsia="en-GB"/>
        </w:rPr>
        <w:t xml:space="preserve">2. </w:t>
      </w:r>
      <w:r>
        <w:rPr>
          <w:rFonts w:ascii="Verdana" w:hAnsi="Verdana"/>
          <w:i/>
          <w:noProof/>
          <w:sz w:val="20"/>
          <w:szCs w:val="20"/>
          <w:lang w:eastAsia="en-GB"/>
        </w:rPr>
        <w:tab/>
        <w:t>Breakdown of flat-rate corrections</w:t>
      </w:r>
      <w:bookmarkEnd w:id="38"/>
      <w:bookmarkEnd w:id="39"/>
      <w:bookmarkEnd w:id="40"/>
      <w:bookmarkEnd w:id="41"/>
      <w:bookmarkEnd w:id="42"/>
      <w:bookmarkEnd w:id="43"/>
      <w:r>
        <w:rPr>
          <w:rFonts w:ascii="Verdana" w:hAnsi="Verdana"/>
          <w:i/>
          <w:noProof/>
          <w:sz w:val="20"/>
          <w:szCs w:val="20"/>
          <w:lang w:eastAsia="en-GB"/>
        </w:rPr>
        <w:t xml:space="preserve"> </w:t>
      </w:r>
    </w:p>
    <w:p w:rsidR="00CC45FC" w:rsidRDefault="00CC45FC">
      <w:pPr>
        <w:spacing w:after="0" w:line="240" w:lineRule="auto"/>
        <w:rPr>
          <w:rFonts w:ascii="Verdana" w:hAnsi="Verdana"/>
          <w:i/>
          <w:noProof/>
          <w:sz w:val="20"/>
          <w:szCs w:val="20"/>
          <w:lang w:eastAsia="en-GB"/>
        </w:rPr>
      </w:pPr>
    </w:p>
    <w:p w:rsidR="00CC45FC" w:rsidRDefault="004A7700">
      <w:pPr>
        <w:spacing w:after="0" w:line="240" w:lineRule="auto"/>
        <w:ind w:left="709"/>
        <w:jc w:val="both"/>
        <w:rPr>
          <w:rFonts w:ascii="Verdana" w:hAnsi="Verdana"/>
          <w:noProof/>
          <w:sz w:val="18"/>
          <w:lang w:eastAsia="en-GB"/>
        </w:rPr>
      </w:pPr>
      <w:bookmarkStart w:id="44" w:name="_Toc422840098"/>
      <w:bookmarkStart w:id="45" w:name="_Toc423524331"/>
      <w:bookmarkStart w:id="46" w:name="_Toc424121118"/>
      <w:bookmarkStart w:id="47" w:name="_Toc425855833"/>
      <w:bookmarkStart w:id="48" w:name="_Toc427677010"/>
      <w:bookmarkStart w:id="49" w:name="_Toc427850286"/>
      <w:r>
        <w:rPr>
          <w:rFonts w:ascii="Verdana" w:hAnsi="Verdana"/>
          <w:noProof/>
          <w:sz w:val="18"/>
          <w:szCs w:val="20"/>
          <w:lang w:eastAsia="en-GB"/>
        </w:rPr>
        <w:t>Flat rate corrections are a valuable tool that is used when the related amount cannot be quantified on the basis of a representative statistical sample or when the impact on expenditure of individual errors cannot be quantified precisely. However, t</w:t>
      </w:r>
      <w:r>
        <w:rPr>
          <w:rFonts w:ascii="Verdana" w:hAnsi="Verdana"/>
          <w:noProof/>
          <w:sz w:val="18"/>
          <w:lang w:eastAsia="en-GB"/>
        </w:rPr>
        <w:t xml:space="preserve">his means that the Member State subject to a flat correction bears the financial consequences as the corrections are not directly linked to individual irregularities at project level, i.e. there is no individual final beneficiary to recover monies from. </w:t>
      </w:r>
    </w:p>
    <w:p w:rsidR="00CC45FC" w:rsidRDefault="00CC45FC">
      <w:pPr>
        <w:spacing w:after="0" w:line="240" w:lineRule="auto"/>
        <w:ind w:left="720"/>
        <w:jc w:val="both"/>
        <w:rPr>
          <w:rFonts w:ascii="Verdana" w:hAnsi="Verdana"/>
          <w:noProof/>
          <w:sz w:val="18"/>
          <w:lang w:eastAsia="en-GB"/>
        </w:rPr>
      </w:pPr>
    </w:p>
    <w:tbl>
      <w:tblPr>
        <w:tblStyle w:val="TableGrid"/>
        <w:tblW w:w="8646" w:type="dxa"/>
        <w:tblInd w:w="675" w:type="dxa"/>
        <w:tblLook w:val="04A0" w:firstRow="1" w:lastRow="0" w:firstColumn="1" w:lastColumn="0" w:noHBand="0" w:noVBand="1"/>
      </w:tblPr>
      <w:tblGrid>
        <w:gridCol w:w="5103"/>
        <w:gridCol w:w="3543"/>
      </w:tblGrid>
      <w:tr w:rsidR="00CC45FC">
        <w:trPr>
          <w:trHeight w:val="1269"/>
        </w:trPr>
        <w:tc>
          <w:tcPr>
            <w:tcW w:w="5103" w:type="dxa"/>
            <w:tcBorders>
              <w:top w:val="nil"/>
              <w:left w:val="nil"/>
              <w:bottom w:val="nil"/>
              <w:right w:val="single" w:sz="12" w:space="0" w:color="auto"/>
            </w:tcBorders>
          </w:tcPr>
          <w:p w:rsidR="00CC45FC" w:rsidRDefault="004A7700">
            <w:pPr>
              <w:widowControl w:val="0"/>
              <w:tabs>
                <w:tab w:val="left" w:pos="284"/>
              </w:tabs>
              <w:autoSpaceDE w:val="0"/>
              <w:autoSpaceDN w:val="0"/>
              <w:adjustRightInd w:val="0"/>
              <w:spacing w:line="240" w:lineRule="auto"/>
              <w:ind w:right="57"/>
              <w:jc w:val="both"/>
              <w:rPr>
                <w:rFonts w:ascii="Verdana" w:hAnsi="Verdana"/>
                <w:noProof/>
                <w:sz w:val="18"/>
                <w:szCs w:val="20"/>
                <w:lang w:eastAsia="x-none"/>
              </w:rPr>
            </w:pPr>
            <w:r>
              <w:rPr>
                <w:rFonts w:ascii="Verdana" w:hAnsi="Verdana"/>
                <w:noProof/>
                <w:sz w:val="18"/>
              </w:rPr>
              <w:t>For ERDF / CF, flat rate corrections should be seen as an estimation of the financial corrections (flat rate and / or extrapolated) which are not directly linked to individual operations / projects.</w:t>
            </w:r>
            <w:r>
              <w:rPr>
                <w:rStyle w:val="FootnoteReference"/>
                <w:rFonts w:ascii="Verdana" w:hAnsi="Verdana"/>
                <w:noProof/>
                <w:sz w:val="18"/>
              </w:rPr>
              <w:footnoteReference w:id="9"/>
            </w:r>
          </w:p>
        </w:tc>
        <w:tc>
          <w:tcPr>
            <w:tcW w:w="354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C45FC" w:rsidRDefault="004A7700">
            <w:pPr>
              <w:spacing w:after="0"/>
              <w:rPr>
                <w:rFonts w:ascii="Verdana" w:hAnsi="Verdana" w:cs="Calibri"/>
                <w:b/>
                <w:noProof/>
                <w:sz w:val="18"/>
                <w:szCs w:val="20"/>
                <w:lang w:val="en-US" w:eastAsia="en-GB"/>
              </w:rPr>
            </w:pPr>
            <w:r>
              <w:rPr>
                <w:rFonts w:ascii="Verdana" w:hAnsi="Verdana" w:cs="Calibri"/>
                <w:b/>
                <w:noProof/>
                <w:sz w:val="18"/>
                <w:szCs w:val="20"/>
                <w:lang w:eastAsia="en-GB"/>
              </w:rPr>
              <w:t>Flat rate corrections i</w:t>
            </w:r>
            <w:r>
              <w:rPr>
                <w:rFonts w:ascii="Verdana" w:hAnsi="Verdana" w:cs="Calibri"/>
                <w:b/>
                <w:noProof/>
                <w:sz w:val="18"/>
                <w:szCs w:val="20"/>
                <w:lang w:val="en-US" w:eastAsia="en-GB"/>
              </w:rPr>
              <w:t>n 2015:</w:t>
            </w:r>
          </w:p>
          <w:p w:rsidR="00CC45FC" w:rsidRDefault="004A7700">
            <w:pPr>
              <w:spacing w:before="120"/>
              <w:rPr>
                <w:noProof/>
                <w:sz w:val="24"/>
              </w:rPr>
            </w:pPr>
            <w:r>
              <w:rPr>
                <w:rFonts w:ascii="Verdana" w:hAnsi="Verdana" w:cs="Calibri"/>
                <w:b/>
                <w:noProof/>
                <w:sz w:val="18"/>
                <w:lang w:val="en-US" w:eastAsia="en-GB"/>
              </w:rPr>
              <w:t xml:space="preserve">EUR 2.2 billion confirmed </w:t>
            </w:r>
          </w:p>
          <w:p w:rsidR="00CC45FC" w:rsidRDefault="004A7700">
            <w:pPr>
              <w:widowControl w:val="0"/>
              <w:tabs>
                <w:tab w:val="left" w:pos="1280"/>
              </w:tabs>
              <w:autoSpaceDE w:val="0"/>
              <w:autoSpaceDN w:val="0"/>
              <w:adjustRightInd w:val="0"/>
              <w:spacing w:line="240" w:lineRule="auto"/>
              <w:ind w:right="57"/>
              <w:rPr>
                <w:rFonts w:ascii="Verdana" w:hAnsi="Verdana"/>
                <w:noProof/>
                <w:sz w:val="18"/>
                <w:szCs w:val="20"/>
                <w:lang w:eastAsia="x-none"/>
              </w:rPr>
            </w:pPr>
            <w:r>
              <w:rPr>
                <w:rFonts w:ascii="Verdana" w:hAnsi="Verdana" w:cs="Calibri"/>
                <w:b/>
                <w:noProof/>
                <w:sz w:val="18"/>
                <w:lang w:val="en-US" w:eastAsia="en-GB"/>
              </w:rPr>
              <w:t>EUR 1.3 billion implemented</w:t>
            </w:r>
          </w:p>
        </w:tc>
      </w:tr>
    </w:tbl>
    <w:p w:rsidR="00CC45FC" w:rsidRDefault="004A7700">
      <w:pPr>
        <w:spacing w:before="240"/>
        <w:rPr>
          <w:rFonts w:ascii="Verdana" w:hAnsi="Verdana"/>
          <w:b/>
          <w:i/>
          <w:noProof/>
          <w:sz w:val="20"/>
          <w:szCs w:val="20"/>
          <w:lang w:eastAsia="en-GB"/>
        </w:rPr>
      </w:pPr>
      <w:bookmarkStart w:id="50" w:name="_Toc429388539"/>
      <w:bookmarkStart w:id="51" w:name="_Toc429556436"/>
      <w:bookmarkStart w:id="52" w:name="_Toc430008696"/>
      <w:bookmarkStart w:id="53" w:name="_Toc430008843"/>
      <w:r>
        <w:rPr>
          <w:rFonts w:ascii="Verdana" w:hAnsi="Verdana"/>
          <w:i/>
          <w:noProof/>
          <w:sz w:val="20"/>
          <w:szCs w:val="20"/>
          <w:lang w:eastAsia="en-GB"/>
        </w:rPr>
        <w:t>3.</w:t>
      </w:r>
      <w:r>
        <w:rPr>
          <w:rFonts w:ascii="Verdana" w:hAnsi="Verdana"/>
          <w:i/>
          <w:noProof/>
          <w:sz w:val="20"/>
          <w:szCs w:val="20"/>
          <w:lang w:eastAsia="en-GB"/>
        </w:rPr>
        <w:tab/>
        <w:t>Breakdown of financial corrections made at source</w:t>
      </w:r>
      <w:bookmarkEnd w:id="44"/>
      <w:bookmarkEnd w:id="45"/>
      <w:bookmarkEnd w:id="46"/>
      <w:bookmarkEnd w:id="47"/>
      <w:bookmarkEnd w:id="48"/>
      <w:bookmarkEnd w:id="49"/>
      <w:bookmarkEnd w:id="50"/>
      <w:bookmarkEnd w:id="51"/>
      <w:bookmarkEnd w:id="52"/>
      <w:bookmarkEnd w:id="53"/>
      <w:r>
        <w:rPr>
          <w:rFonts w:ascii="Verdana" w:hAnsi="Verdana"/>
          <w:i/>
          <w:noProof/>
          <w:sz w:val="20"/>
          <w:szCs w:val="20"/>
          <w:lang w:eastAsia="en-GB"/>
        </w:rPr>
        <w:t xml:space="preserve"> </w:t>
      </w:r>
    </w:p>
    <w:p w:rsidR="00CC45FC" w:rsidRDefault="004A7700">
      <w:pPr>
        <w:spacing w:after="120" w:line="240" w:lineRule="auto"/>
        <w:ind w:left="720"/>
        <w:jc w:val="both"/>
        <w:rPr>
          <w:rFonts w:ascii="Verdana" w:hAnsi="Verdana"/>
          <w:noProof/>
          <w:sz w:val="18"/>
          <w:lang w:eastAsia="en-GB"/>
        </w:rPr>
      </w:pPr>
      <w:r>
        <w:rPr>
          <w:rFonts w:ascii="Verdana" w:hAnsi="Verdana"/>
          <w:noProof/>
          <w:sz w:val="18"/>
          <w:lang w:eastAsia="en-GB"/>
        </w:rPr>
        <w:t xml:space="preserve">At source financial corrections are applied by the Member State authorities at the same time the expenditure is declared to the Commission resulting from flat rate corrections following Commission audits. </w:t>
      </w:r>
    </w:p>
    <w:p w:rsidR="00CC45FC" w:rsidRDefault="004A7700">
      <w:pPr>
        <w:spacing w:after="120" w:line="240" w:lineRule="auto"/>
        <w:ind w:left="720"/>
        <w:jc w:val="both"/>
        <w:rPr>
          <w:rFonts w:ascii="Verdana" w:hAnsi="Verdana"/>
          <w:noProof/>
          <w:sz w:val="18"/>
          <w:lang w:eastAsia="en-GB"/>
        </w:rPr>
      </w:pPr>
      <w:r>
        <w:rPr>
          <w:rFonts w:ascii="Verdana" w:hAnsi="Verdana"/>
          <w:noProof/>
          <w:sz w:val="18"/>
        </w:rPr>
        <w:t xml:space="preserve">The main at source financial corrections for </w:t>
      </w:r>
      <w:r>
        <w:rPr>
          <w:rFonts w:ascii="Verdana" w:hAnsi="Verdana"/>
          <w:b/>
          <w:noProof/>
          <w:sz w:val="18"/>
        </w:rPr>
        <w:t>ERDF/CF</w:t>
      </w:r>
      <w:r>
        <w:rPr>
          <w:rFonts w:ascii="Verdana" w:hAnsi="Verdana"/>
          <w:noProof/>
          <w:sz w:val="18"/>
        </w:rPr>
        <w:t xml:space="preserve"> concern Romania (EUR 345 million).</w:t>
      </w:r>
      <w:r>
        <w:rPr>
          <w:rStyle w:val="FootnoteReference"/>
          <w:rFonts w:ascii="Verdana" w:hAnsi="Verdana"/>
          <w:noProof/>
          <w:sz w:val="18"/>
        </w:rPr>
        <w:footnoteReference w:id="10"/>
      </w:r>
    </w:p>
    <w:tbl>
      <w:tblPr>
        <w:tblStyle w:val="TableGrid"/>
        <w:tblW w:w="8647" w:type="dxa"/>
        <w:tblInd w:w="817" w:type="dxa"/>
        <w:tblLook w:val="04A0" w:firstRow="1" w:lastRow="0" w:firstColumn="1" w:lastColumn="0" w:noHBand="0" w:noVBand="1"/>
      </w:tblPr>
      <w:tblGrid>
        <w:gridCol w:w="3510"/>
        <w:gridCol w:w="5137"/>
      </w:tblGrid>
      <w:tr w:rsidR="00CC45FC">
        <w:tc>
          <w:tcPr>
            <w:tcW w:w="351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C45FC" w:rsidRDefault="004A7700">
            <w:pPr>
              <w:spacing w:after="0"/>
              <w:rPr>
                <w:rFonts w:ascii="Verdana" w:hAnsi="Verdana" w:cs="Calibri"/>
                <w:b/>
                <w:noProof/>
                <w:sz w:val="18"/>
                <w:szCs w:val="20"/>
                <w:lang w:val="en-US" w:eastAsia="en-GB"/>
              </w:rPr>
            </w:pPr>
            <w:r>
              <w:rPr>
                <w:rFonts w:ascii="Verdana" w:hAnsi="Verdana" w:cs="Calibri"/>
                <w:b/>
                <w:noProof/>
                <w:sz w:val="18"/>
                <w:szCs w:val="20"/>
                <w:lang w:eastAsia="en-GB"/>
              </w:rPr>
              <w:t>At source corrections i</w:t>
            </w:r>
            <w:r>
              <w:rPr>
                <w:rFonts w:ascii="Verdana" w:hAnsi="Verdana" w:cs="Calibri"/>
                <w:b/>
                <w:noProof/>
                <w:sz w:val="18"/>
                <w:szCs w:val="20"/>
                <w:lang w:val="en-US" w:eastAsia="en-GB"/>
              </w:rPr>
              <w:t>n 2015:</w:t>
            </w:r>
          </w:p>
          <w:p w:rsidR="00CC45FC" w:rsidRDefault="004A7700">
            <w:pPr>
              <w:spacing w:before="120"/>
              <w:rPr>
                <w:noProof/>
                <w:sz w:val="24"/>
              </w:rPr>
            </w:pPr>
            <w:r>
              <w:rPr>
                <w:rFonts w:ascii="Verdana" w:hAnsi="Verdana" w:cs="Calibri"/>
                <w:b/>
                <w:noProof/>
                <w:sz w:val="18"/>
                <w:lang w:val="en-US" w:eastAsia="en-GB"/>
              </w:rPr>
              <w:t xml:space="preserve">EUR 0.5 billion confirmed </w:t>
            </w:r>
          </w:p>
          <w:p w:rsidR="00CC45FC" w:rsidRDefault="004A7700">
            <w:pPr>
              <w:spacing w:after="120" w:line="240" w:lineRule="auto"/>
              <w:rPr>
                <w:rFonts w:ascii="Verdana" w:hAnsi="Verdana"/>
                <w:b/>
                <w:i/>
                <w:noProof/>
                <w:sz w:val="20"/>
              </w:rPr>
            </w:pPr>
            <w:r>
              <w:rPr>
                <w:rFonts w:ascii="Verdana" w:hAnsi="Verdana" w:cs="Calibri"/>
                <w:b/>
                <w:noProof/>
                <w:sz w:val="18"/>
                <w:lang w:val="en-US" w:eastAsia="en-GB"/>
              </w:rPr>
              <w:t>EUR 0.8 billion implemented</w:t>
            </w:r>
          </w:p>
        </w:tc>
        <w:tc>
          <w:tcPr>
            <w:tcW w:w="5137" w:type="dxa"/>
            <w:tcBorders>
              <w:top w:val="nil"/>
              <w:left w:val="single" w:sz="12" w:space="0" w:color="auto"/>
              <w:bottom w:val="nil"/>
              <w:right w:val="nil"/>
            </w:tcBorders>
          </w:tcPr>
          <w:p w:rsidR="00CC45FC" w:rsidRDefault="004A7700">
            <w:pPr>
              <w:spacing w:after="120" w:line="240" w:lineRule="auto"/>
              <w:jc w:val="both"/>
              <w:rPr>
                <w:rFonts w:ascii="Verdana" w:hAnsi="Verdana"/>
                <w:b/>
                <w:i/>
                <w:noProof/>
                <w:sz w:val="20"/>
              </w:rPr>
            </w:pPr>
            <w:r>
              <w:rPr>
                <w:rFonts w:ascii="Verdana" w:hAnsi="Verdana"/>
                <w:noProof/>
                <w:sz w:val="18"/>
              </w:rPr>
              <w:t xml:space="preserve">For </w:t>
            </w:r>
            <w:r>
              <w:rPr>
                <w:rFonts w:ascii="Verdana" w:hAnsi="Verdana"/>
                <w:b/>
                <w:noProof/>
                <w:sz w:val="18"/>
              </w:rPr>
              <w:t>ESF</w:t>
            </w:r>
            <w:r>
              <w:rPr>
                <w:rFonts w:ascii="Verdana" w:hAnsi="Verdana"/>
                <w:noProof/>
                <w:sz w:val="18"/>
              </w:rPr>
              <w:t xml:space="preserve">, </w:t>
            </w:r>
            <w:r>
              <w:rPr>
                <w:rFonts w:ascii="Verdana" w:hAnsi="Verdana"/>
                <w:noProof/>
                <w:sz w:val="18"/>
                <w:lang w:eastAsia="en-GB"/>
              </w:rPr>
              <w:t xml:space="preserve">the amount of financial corrections at source confirmed in 2015 for 2007-2013 programming period stands at EUR 81 million. </w:t>
            </w:r>
            <w:r>
              <w:rPr>
                <w:rFonts w:ascii="Verdana" w:hAnsi="Verdana"/>
                <w:noProof/>
                <w:sz w:val="18"/>
              </w:rPr>
              <w:t>The main Member States concerned by at source financial corrections are: Czech Republic, France, Poland, Slovakia and Romania.</w:t>
            </w:r>
          </w:p>
        </w:tc>
      </w:tr>
    </w:tbl>
    <w:p w:rsidR="00CC45FC" w:rsidRDefault="004A7700">
      <w:pPr>
        <w:spacing w:before="120" w:after="120" w:line="240" w:lineRule="auto"/>
        <w:ind w:left="720"/>
        <w:jc w:val="both"/>
        <w:rPr>
          <w:rFonts w:ascii="Verdana" w:hAnsi="Verdana"/>
          <w:noProof/>
          <w:sz w:val="18"/>
        </w:rPr>
      </w:pPr>
      <w:r>
        <w:rPr>
          <w:rFonts w:ascii="Verdana" w:hAnsi="Verdana"/>
          <w:noProof/>
          <w:sz w:val="18"/>
        </w:rPr>
        <w:t xml:space="preserve">Among the financial corrections implemented for the </w:t>
      </w:r>
      <w:r>
        <w:rPr>
          <w:rFonts w:ascii="Verdana" w:hAnsi="Verdana"/>
          <w:noProof/>
          <w:sz w:val="18"/>
          <w:lang w:eastAsia="en-GB"/>
        </w:rPr>
        <w:t>2007-2013</w:t>
      </w:r>
      <w:r>
        <w:rPr>
          <w:rFonts w:ascii="Verdana" w:hAnsi="Verdana"/>
          <w:noProof/>
          <w:sz w:val="18"/>
        </w:rPr>
        <w:t xml:space="preserve"> programming period, EUR 115 million are at source financial corrections out of which EUR 66 million confirmed in 2015 and EUR 49 million confirmed in the previous year.</w:t>
      </w:r>
    </w:p>
    <w:p w:rsidR="00CC45FC" w:rsidRDefault="004A7700">
      <w:pPr>
        <w:rPr>
          <w:rFonts w:ascii="Verdana" w:hAnsi="Verdana"/>
          <w:i/>
          <w:noProof/>
          <w:sz w:val="20"/>
          <w:szCs w:val="20"/>
          <w:lang w:eastAsia="en-GB"/>
        </w:rPr>
      </w:pPr>
      <w:r>
        <w:rPr>
          <w:rFonts w:ascii="Verdana" w:hAnsi="Verdana"/>
          <w:i/>
          <w:noProof/>
          <w:sz w:val="20"/>
          <w:szCs w:val="20"/>
          <w:lang w:eastAsia="en-GB"/>
        </w:rPr>
        <w:t>4.</w:t>
      </w:r>
      <w:r>
        <w:rPr>
          <w:rFonts w:ascii="Verdana" w:hAnsi="Verdana"/>
          <w:i/>
          <w:noProof/>
          <w:sz w:val="20"/>
          <w:szCs w:val="20"/>
          <w:lang w:eastAsia="en-GB"/>
        </w:rPr>
        <w:tab/>
        <w:t xml:space="preserve">Net financial corrections 2015 </w:t>
      </w:r>
    </w:p>
    <w:tbl>
      <w:tblPr>
        <w:tblStyle w:val="TableGrid"/>
        <w:tblW w:w="8789" w:type="dxa"/>
        <w:tblInd w:w="675" w:type="dxa"/>
        <w:tblLook w:val="04A0" w:firstRow="1" w:lastRow="0" w:firstColumn="1" w:lastColumn="0" w:noHBand="0" w:noVBand="1"/>
      </w:tblPr>
      <w:tblGrid>
        <w:gridCol w:w="5103"/>
        <w:gridCol w:w="3686"/>
      </w:tblGrid>
      <w:tr w:rsidR="00CC45FC">
        <w:trPr>
          <w:trHeight w:val="743"/>
        </w:trPr>
        <w:tc>
          <w:tcPr>
            <w:tcW w:w="5103" w:type="dxa"/>
            <w:vMerge w:val="restart"/>
            <w:tcBorders>
              <w:top w:val="nil"/>
              <w:left w:val="nil"/>
              <w:bottom w:val="nil"/>
              <w:right w:val="single" w:sz="12" w:space="0" w:color="auto"/>
            </w:tcBorders>
          </w:tcPr>
          <w:p w:rsidR="00CC45FC" w:rsidRDefault="004A7700">
            <w:pPr>
              <w:widowControl w:val="0"/>
              <w:tabs>
                <w:tab w:val="left" w:pos="284"/>
              </w:tabs>
              <w:autoSpaceDE w:val="0"/>
              <w:autoSpaceDN w:val="0"/>
              <w:adjustRightInd w:val="0"/>
              <w:spacing w:line="240" w:lineRule="auto"/>
              <w:ind w:right="57"/>
              <w:jc w:val="both"/>
              <w:rPr>
                <w:rFonts w:ascii="Verdana" w:hAnsi="Verdana"/>
                <w:noProof/>
                <w:sz w:val="18"/>
                <w:szCs w:val="20"/>
                <w:lang w:eastAsia="x-none"/>
              </w:rPr>
            </w:pPr>
            <w:r>
              <w:rPr>
                <w:rFonts w:ascii="Verdana" w:hAnsi="Verdana"/>
                <w:noProof/>
                <w:sz w:val="18"/>
              </w:rPr>
              <w:t xml:space="preserve">The </w:t>
            </w:r>
            <w:r>
              <w:rPr>
                <w:rFonts w:ascii="Verdana" w:hAnsi="Verdana"/>
                <w:noProof/>
                <w:sz w:val="18"/>
                <w:lang w:eastAsia="en-GB"/>
              </w:rPr>
              <w:t>budget implementation type, the sectorial management and the financial rules of the policy area influence how the EU budget is impacted by the different correction mechanisms. In all cases, the correction mechanisms result in the EU budget being protected from expenditure incurred in breach of law.</w:t>
            </w:r>
          </w:p>
        </w:tc>
        <w:tc>
          <w:tcPr>
            <w:tcW w:w="368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C45FC" w:rsidRDefault="004A7700">
            <w:pPr>
              <w:spacing w:after="0"/>
              <w:rPr>
                <w:rFonts w:ascii="Verdana" w:hAnsi="Verdana" w:cs="Calibri"/>
                <w:b/>
                <w:noProof/>
                <w:sz w:val="18"/>
                <w:szCs w:val="20"/>
                <w:lang w:val="en-US" w:eastAsia="en-GB"/>
              </w:rPr>
            </w:pPr>
            <w:r>
              <w:rPr>
                <w:rFonts w:ascii="Verdana" w:hAnsi="Verdana" w:cs="Calibri"/>
                <w:b/>
                <w:noProof/>
                <w:sz w:val="18"/>
                <w:szCs w:val="20"/>
                <w:lang w:eastAsia="en-GB"/>
              </w:rPr>
              <w:t>Net financial corrections i</w:t>
            </w:r>
            <w:r>
              <w:rPr>
                <w:rFonts w:ascii="Verdana" w:hAnsi="Verdana" w:cs="Calibri"/>
                <w:b/>
                <w:noProof/>
                <w:sz w:val="18"/>
                <w:szCs w:val="20"/>
                <w:lang w:val="en-US" w:eastAsia="en-GB"/>
              </w:rPr>
              <w:t>n 2015:</w:t>
            </w:r>
          </w:p>
          <w:p w:rsidR="00CC45FC" w:rsidRDefault="004A7700">
            <w:pPr>
              <w:spacing w:before="120"/>
              <w:rPr>
                <w:noProof/>
                <w:sz w:val="24"/>
              </w:rPr>
            </w:pPr>
            <w:r>
              <w:rPr>
                <w:rFonts w:ascii="Verdana" w:hAnsi="Verdana" w:cs="Calibri"/>
                <w:b/>
                <w:noProof/>
                <w:sz w:val="18"/>
                <w:lang w:val="en-US" w:eastAsia="en-GB"/>
              </w:rPr>
              <w:t xml:space="preserve">EUR 0.8 billion confirmed </w:t>
            </w:r>
          </w:p>
          <w:p w:rsidR="00CC45FC" w:rsidRDefault="004A7700">
            <w:pPr>
              <w:widowControl w:val="0"/>
              <w:tabs>
                <w:tab w:val="left" w:pos="1280"/>
              </w:tabs>
              <w:autoSpaceDE w:val="0"/>
              <w:autoSpaceDN w:val="0"/>
              <w:adjustRightInd w:val="0"/>
              <w:spacing w:line="240" w:lineRule="auto"/>
              <w:ind w:right="57"/>
              <w:rPr>
                <w:rFonts w:ascii="Verdana" w:hAnsi="Verdana"/>
                <w:noProof/>
                <w:sz w:val="18"/>
                <w:szCs w:val="20"/>
                <w:lang w:eastAsia="x-none"/>
              </w:rPr>
            </w:pPr>
            <w:r>
              <w:rPr>
                <w:rFonts w:ascii="Verdana" w:hAnsi="Verdana" w:cs="Calibri"/>
                <w:b/>
                <w:noProof/>
                <w:sz w:val="18"/>
                <w:lang w:val="en-US" w:eastAsia="en-GB"/>
              </w:rPr>
              <w:t>EUR 1.2 billion implemented</w:t>
            </w:r>
          </w:p>
        </w:tc>
      </w:tr>
      <w:tr w:rsidR="00CC45FC">
        <w:trPr>
          <w:trHeight w:val="700"/>
        </w:trPr>
        <w:tc>
          <w:tcPr>
            <w:tcW w:w="5103" w:type="dxa"/>
            <w:vMerge/>
            <w:tcBorders>
              <w:top w:val="nil"/>
              <w:left w:val="nil"/>
              <w:bottom w:val="nil"/>
              <w:right w:val="nil"/>
            </w:tcBorders>
          </w:tcPr>
          <w:p w:rsidR="00CC45FC" w:rsidRDefault="00CC45FC">
            <w:pPr>
              <w:widowControl w:val="0"/>
              <w:tabs>
                <w:tab w:val="left" w:pos="284"/>
              </w:tabs>
              <w:autoSpaceDE w:val="0"/>
              <w:autoSpaceDN w:val="0"/>
              <w:adjustRightInd w:val="0"/>
              <w:spacing w:line="240" w:lineRule="auto"/>
              <w:ind w:right="57"/>
              <w:jc w:val="both"/>
              <w:rPr>
                <w:rFonts w:ascii="Verdana" w:hAnsi="Verdana"/>
                <w:noProof/>
                <w:sz w:val="18"/>
                <w:szCs w:val="20"/>
                <w:lang w:eastAsia="x-none"/>
              </w:rPr>
            </w:pPr>
          </w:p>
        </w:tc>
        <w:tc>
          <w:tcPr>
            <w:tcW w:w="3686" w:type="dxa"/>
            <w:tcBorders>
              <w:top w:val="single" w:sz="12" w:space="0" w:color="auto"/>
              <w:left w:val="nil"/>
              <w:bottom w:val="nil"/>
              <w:right w:val="nil"/>
            </w:tcBorders>
            <w:shd w:val="clear" w:color="auto" w:fill="FFFFFF" w:themeFill="background1"/>
          </w:tcPr>
          <w:p w:rsidR="00CC45FC" w:rsidRDefault="00CC45FC">
            <w:pPr>
              <w:spacing w:after="120"/>
              <w:rPr>
                <w:rFonts w:ascii="Verdana" w:hAnsi="Verdana" w:cs="Calibri"/>
                <w:b/>
                <w:noProof/>
                <w:sz w:val="18"/>
                <w:szCs w:val="20"/>
                <w:lang w:val="fr-BE" w:eastAsia="en-GB"/>
              </w:rPr>
            </w:pPr>
          </w:p>
        </w:tc>
      </w:tr>
    </w:tbl>
    <w:p w:rsidR="00CC45FC" w:rsidRDefault="00CC45FC">
      <w:pPr>
        <w:pStyle w:val="ListParagraph"/>
        <w:spacing w:after="480"/>
        <w:contextualSpacing w:val="0"/>
        <w:rPr>
          <w:rFonts w:ascii="Verdana" w:hAnsi="Verdana"/>
          <w:noProof/>
          <w:sz w:val="18"/>
        </w:rPr>
      </w:pPr>
    </w:p>
    <w:p w:rsidR="00CC45FC" w:rsidRDefault="004A7700">
      <w:pPr>
        <w:spacing w:after="0" w:line="240" w:lineRule="auto"/>
        <w:rPr>
          <w:rFonts w:ascii="Verdana" w:eastAsia="Times New Roman" w:hAnsi="Verdana"/>
          <w:b/>
          <w:bCs/>
          <w:iCs/>
          <w:noProof/>
          <w:lang w:val="x-none"/>
        </w:rPr>
      </w:pPr>
      <w:r>
        <w:rPr>
          <w:rFonts w:ascii="Verdana" w:hAnsi="Verdana"/>
          <w:i/>
          <w:noProof/>
        </w:rPr>
        <w:br w:type="page"/>
      </w:r>
    </w:p>
    <w:p w:rsidR="00CC45FC" w:rsidRDefault="004A7700">
      <w:pPr>
        <w:pStyle w:val="ManualHeading2"/>
        <w:rPr>
          <w:i/>
          <w:noProof/>
        </w:rPr>
      </w:pPr>
      <w:bookmarkStart w:id="54" w:name="_Toc456258162"/>
      <w:bookmarkStart w:id="55" w:name="_Toc456686570"/>
      <w:r>
        <w:t>3.2.</w:t>
      </w:r>
      <w:r>
        <w:tab/>
      </w:r>
      <w:r>
        <w:rPr>
          <w:noProof/>
        </w:rPr>
        <w:t>Cumulative financial corrections and recoveries to end 2015</w:t>
      </w:r>
      <w:bookmarkEnd w:id="54"/>
      <w:bookmarkEnd w:id="55"/>
      <w:r>
        <w:rPr>
          <w:noProof/>
        </w:rPr>
        <w:t xml:space="preserve"> </w:t>
      </w:r>
    </w:p>
    <w:p w:rsidR="00CC45FC" w:rsidRDefault="004A7700">
      <w:pPr>
        <w:spacing w:before="240" w:after="360" w:line="240" w:lineRule="auto"/>
        <w:jc w:val="both"/>
        <w:rPr>
          <w:rFonts w:ascii="Verdana" w:hAnsi="Verdana"/>
          <w:noProof/>
          <w:sz w:val="18"/>
        </w:rPr>
      </w:pPr>
      <w:r>
        <w:rPr>
          <w:rFonts w:ascii="Verdana" w:hAnsi="Verdana"/>
          <w:noProof/>
          <w:sz w:val="18"/>
        </w:rPr>
        <w:t xml:space="preserve">Cumulative figures provide useful information on the significance of the corrective mechanisms used by the Commission, in particular as they take into account the multiannual character of programmes and projects and neutralise the impact of one-off events. </w:t>
      </w:r>
    </w:p>
    <w:p w:rsidR="00CC45FC" w:rsidRDefault="004A7700">
      <w:pPr>
        <w:spacing w:after="120"/>
        <w:jc w:val="both"/>
        <w:rPr>
          <w:rFonts w:ascii="Verdana" w:hAnsi="Verdana"/>
          <w:i/>
          <w:noProof/>
          <w:sz w:val="20"/>
        </w:rPr>
      </w:pPr>
      <w:r>
        <w:rPr>
          <w:rFonts w:ascii="Verdana" w:hAnsi="Verdana"/>
          <w:i/>
          <w:noProof/>
          <w:sz w:val="20"/>
        </w:rPr>
        <w:t>3.2.1.</w:t>
      </w:r>
      <w:r>
        <w:rPr>
          <w:rFonts w:ascii="Verdana" w:hAnsi="Verdana"/>
          <w:i/>
          <w:noProof/>
          <w:sz w:val="20"/>
        </w:rPr>
        <w:tab/>
        <w:t>Period 2009-2015</w:t>
      </w:r>
    </w:p>
    <w:p w:rsidR="00CC45FC" w:rsidRDefault="004A7700">
      <w:pPr>
        <w:spacing w:before="240" w:after="360" w:line="240" w:lineRule="auto"/>
        <w:jc w:val="both"/>
        <w:rPr>
          <w:rFonts w:ascii="Verdana" w:hAnsi="Verdana"/>
          <w:noProof/>
          <w:sz w:val="18"/>
        </w:rPr>
      </w:pPr>
      <w:r>
        <w:rPr>
          <w:rFonts w:ascii="Verdana" w:hAnsi="Verdana"/>
          <w:noProof/>
          <w:sz w:val="18"/>
        </w:rPr>
        <w:t>The graphs below show the evolution of financial corrections and recoveries confirmed and implemented during the last 7 years.</w:t>
      </w:r>
    </w:p>
    <w:p w:rsidR="00CC45FC" w:rsidRDefault="004A7700">
      <w:pPr>
        <w:spacing w:after="0" w:line="240" w:lineRule="auto"/>
        <w:rPr>
          <w:rFonts w:ascii="Verdana" w:hAnsi="Verdana" w:cs="Arial"/>
          <w:b/>
          <w:bCs/>
          <w:i/>
          <w:noProof/>
          <w:sz w:val="18"/>
        </w:rPr>
      </w:pPr>
      <w:r>
        <w:rPr>
          <w:rFonts w:ascii="Verdana" w:hAnsi="Verdana"/>
          <w:b/>
          <w:i/>
          <w:noProof/>
          <w:sz w:val="18"/>
        </w:rPr>
        <w:t>Graphs 3.2.1:</w:t>
      </w:r>
      <w:r>
        <w:rPr>
          <w:rFonts w:ascii="Verdana" w:hAnsi="Verdana"/>
          <w:i/>
          <w:noProof/>
          <w:sz w:val="18"/>
        </w:rPr>
        <w:t xml:space="preserve"> </w:t>
      </w:r>
      <w:r>
        <w:rPr>
          <w:rFonts w:ascii="Verdana" w:hAnsi="Verdana" w:cs="Arial"/>
          <w:b/>
          <w:bCs/>
          <w:i/>
          <w:noProof/>
          <w:sz w:val="18"/>
        </w:rPr>
        <w:t>Financial corrections and recoveries 2009-2015</w:t>
      </w:r>
    </w:p>
    <w:p w:rsidR="00CC45FC" w:rsidRDefault="004A7700">
      <w:pPr>
        <w:spacing w:after="120"/>
        <w:jc w:val="both"/>
        <w:rPr>
          <w:rFonts w:ascii="Verdana" w:hAnsi="Verdana"/>
          <w:i/>
          <w:noProof/>
          <w:sz w:val="16"/>
          <w:lang w:eastAsia="en-GB"/>
        </w:rPr>
      </w:pPr>
      <w:r>
        <w:rPr>
          <w:rFonts w:ascii="Verdana" w:hAnsi="Verdana"/>
          <w:i/>
          <w:noProof/>
          <w:sz w:val="16"/>
          <w:lang w:eastAsia="en-GB"/>
        </w:rPr>
        <w:t xml:space="preserve">Financial corrections and recoveries </w:t>
      </w:r>
      <w:r>
        <w:rPr>
          <w:rFonts w:ascii="Verdana" w:hAnsi="Verdana"/>
          <w:b/>
          <w:i/>
          <w:noProof/>
          <w:sz w:val="16"/>
          <w:lang w:eastAsia="en-GB"/>
        </w:rPr>
        <w:t>confirmed</w:t>
      </w:r>
      <w:r>
        <w:rPr>
          <w:rFonts w:ascii="Verdana" w:hAnsi="Verdana"/>
          <w:i/>
          <w:noProof/>
          <w:sz w:val="16"/>
          <w:lang w:eastAsia="en-GB"/>
        </w:rPr>
        <w:t xml:space="preserve"> 2009-2015 (EUR billions)</w:t>
      </w:r>
    </w:p>
    <w:p w:rsidR="00CC45FC" w:rsidRDefault="004A7700">
      <w:pPr>
        <w:spacing w:after="120"/>
        <w:jc w:val="both"/>
        <w:rPr>
          <w:rFonts w:ascii="Verdana" w:hAnsi="Verdana" w:cs="Arial"/>
          <w:b/>
          <w:bCs/>
          <w:i/>
          <w:noProof/>
          <w:sz w:val="20"/>
        </w:rPr>
      </w:pPr>
      <w:r>
        <w:rPr>
          <w:noProof/>
          <w:lang w:eastAsia="en-GB"/>
        </w:rPr>
        <w:drawing>
          <wp:inline distT="0" distB="0" distL="0" distR="0">
            <wp:extent cx="5397690" cy="3910084"/>
            <wp:effectExtent l="0" t="0" r="12700" b="14605"/>
            <wp:docPr id="74" name="Chart 74"/>
            <wp:cNvGraphicFramePr/>
            <a:graphic xmlns:a="http://schemas.openxmlformats.org/drawingml/2006/main">
              <a:graphicData uri="http://schemas.openxmlformats.org/drawingml/2006/chart">
                <c:chart xmlns:c="http://schemas.openxmlformats.org/drawingml/2006/chart" xmlns:r="http://schemas.openxmlformats.org/officeDocument/2006/relationships" r:id="rId25"/>
              </a:graphicData>
            </a:graphic>
          </wp:inline>
        </w:drawing>
      </w:r>
    </w:p>
    <w:p w:rsidR="00CC45FC" w:rsidRDefault="00CC45FC">
      <w:pPr>
        <w:spacing w:after="0" w:line="240" w:lineRule="auto"/>
        <w:rPr>
          <w:rFonts w:ascii="Verdana" w:hAnsi="Verdana"/>
          <w:noProof/>
          <w:sz w:val="18"/>
        </w:rPr>
      </w:pPr>
    </w:p>
    <w:p w:rsidR="00CC45FC" w:rsidRDefault="00CC45FC">
      <w:pPr>
        <w:spacing w:after="0" w:line="240" w:lineRule="auto"/>
        <w:rPr>
          <w:rFonts w:ascii="Verdana" w:hAnsi="Verdana"/>
          <w:i/>
          <w:noProof/>
          <w:sz w:val="16"/>
          <w:lang w:eastAsia="en-GB"/>
        </w:rPr>
      </w:pPr>
    </w:p>
    <w:tbl>
      <w:tblPr>
        <w:tblStyle w:val="TableGrid"/>
        <w:tblW w:w="9748" w:type="dxa"/>
        <w:tblLook w:val="04A0" w:firstRow="1" w:lastRow="0" w:firstColumn="1" w:lastColumn="0" w:noHBand="0" w:noVBand="1"/>
      </w:tblPr>
      <w:tblGrid>
        <w:gridCol w:w="3936"/>
        <w:gridCol w:w="5812"/>
      </w:tblGrid>
      <w:tr w:rsidR="00CC45FC">
        <w:tc>
          <w:tcPr>
            <w:tcW w:w="3936"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C45FC" w:rsidRDefault="004A7700">
            <w:pPr>
              <w:spacing w:after="0"/>
              <w:rPr>
                <w:rFonts w:ascii="Verdana" w:hAnsi="Verdana" w:cs="Calibri"/>
                <w:b/>
                <w:noProof/>
                <w:sz w:val="18"/>
                <w:szCs w:val="20"/>
                <w:lang w:val="en-US" w:eastAsia="en-GB"/>
              </w:rPr>
            </w:pPr>
            <w:r>
              <w:rPr>
                <w:rFonts w:ascii="Verdana" w:hAnsi="Verdana" w:cs="Calibri"/>
                <w:b/>
                <w:noProof/>
                <w:sz w:val="18"/>
                <w:szCs w:val="20"/>
                <w:lang w:eastAsia="en-GB"/>
              </w:rPr>
              <w:t>Average confirmed financial corrections 2009-2015</w:t>
            </w:r>
            <w:r>
              <w:rPr>
                <w:rFonts w:ascii="Verdana" w:hAnsi="Verdana" w:cs="Calibri"/>
                <w:b/>
                <w:noProof/>
                <w:sz w:val="18"/>
                <w:szCs w:val="20"/>
                <w:lang w:val="en-US" w:eastAsia="en-GB"/>
              </w:rPr>
              <w:t>:</w:t>
            </w:r>
          </w:p>
          <w:p w:rsidR="00CC45FC" w:rsidRDefault="004A7700">
            <w:pPr>
              <w:spacing w:before="120" w:after="120"/>
              <w:rPr>
                <w:noProof/>
                <w:sz w:val="24"/>
              </w:rPr>
            </w:pPr>
            <w:r>
              <w:rPr>
                <w:rFonts w:ascii="Verdana" w:hAnsi="Verdana" w:cs="Calibri"/>
                <w:b/>
                <w:noProof/>
                <w:sz w:val="18"/>
                <w:lang w:val="en-US" w:eastAsia="en-GB"/>
              </w:rPr>
              <w:t xml:space="preserve">EUR 3.3 billion </w:t>
            </w:r>
          </w:p>
          <w:p w:rsidR="00CC45FC" w:rsidRDefault="004A7700">
            <w:pPr>
              <w:spacing w:after="120" w:line="240" w:lineRule="auto"/>
              <w:rPr>
                <w:rFonts w:ascii="Verdana" w:hAnsi="Verdana"/>
                <w:b/>
                <w:i/>
                <w:noProof/>
                <w:sz w:val="20"/>
              </w:rPr>
            </w:pPr>
            <w:r>
              <w:rPr>
                <w:rFonts w:ascii="Verdana" w:hAnsi="Verdana" w:cs="Calibri"/>
                <w:b/>
                <w:noProof/>
                <w:sz w:val="18"/>
                <w:lang w:val="en-US" w:eastAsia="en-GB"/>
              </w:rPr>
              <w:t>2.4 % of average budget payments</w:t>
            </w:r>
          </w:p>
        </w:tc>
        <w:tc>
          <w:tcPr>
            <w:tcW w:w="5812" w:type="dxa"/>
            <w:tcBorders>
              <w:top w:val="nil"/>
              <w:left w:val="single" w:sz="12" w:space="0" w:color="auto"/>
              <w:bottom w:val="nil"/>
              <w:right w:val="nil"/>
            </w:tcBorders>
          </w:tcPr>
          <w:p w:rsidR="00CC45FC" w:rsidRDefault="004A7700">
            <w:pPr>
              <w:spacing w:after="120" w:line="240" w:lineRule="auto"/>
              <w:jc w:val="both"/>
              <w:rPr>
                <w:rFonts w:ascii="Verdana" w:hAnsi="Verdana"/>
                <w:b/>
                <w:i/>
                <w:noProof/>
                <w:sz w:val="20"/>
              </w:rPr>
            </w:pPr>
            <w:r>
              <w:rPr>
                <w:rFonts w:ascii="Verdana" w:hAnsi="Verdana"/>
                <w:noProof/>
                <w:sz w:val="18"/>
              </w:rPr>
              <w:t>The trend for confirmed amounts is slightly increasing, which demonstrates that the multiannual control framework is successfully protecting the EU budget over time.</w:t>
            </w:r>
          </w:p>
        </w:tc>
      </w:tr>
    </w:tbl>
    <w:p w:rsidR="00CC45FC" w:rsidRDefault="00CC45FC">
      <w:pPr>
        <w:spacing w:after="120"/>
        <w:jc w:val="both"/>
        <w:rPr>
          <w:rFonts w:ascii="Verdana" w:hAnsi="Verdana"/>
          <w:noProof/>
          <w:sz w:val="16"/>
          <w:lang w:eastAsia="en-GB"/>
        </w:rPr>
      </w:pPr>
    </w:p>
    <w:p w:rsidR="00CC45FC" w:rsidRDefault="00CC45FC">
      <w:pPr>
        <w:spacing w:after="120"/>
        <w:jc w:val="both"/>
        <w:rPr>
          <w:rFonts w:ascii="Verdana" w:hAnsi="Verdana"/>
          <w:i/>
          <w:noProof/>
          <w:sz w:val="16"/>
          <w:lang w:eastAsia="en-GB"/>
        </w:rPr>
      </w:pPr>
    </w:p>
    <w:p w:rsidR="00CC45FC" w:rsidRDefault="004A7700">
      <w:pPr>
        <w:spacing w:after="0" w:line="240" w:lineRule="auto"/>
        <w:rPr>
          <w:rFonts w:ascii="Verdana" w:hAnsi="Verdana"/>
          <w:i/>
          <w:noProof/>
          <w:sz w:val="16"/>
          <w:lang w:eastAsia="en-GB"/>
        </w:rPr>
      </w:pPr>
      <w:r>
        <w:rPr>
          <w:rFonts w:ascii="Verdana" w:hAnsi="Verdana"/>
          <w:i/>
          <w:noProof/>
          <w:sz w:val="16"/>
          <w:lang w:eastAsia="en-GB"/>
        </w:rPr>
        <w:br w:type="page"/>
      </w:r>
    </w:p>
    <w:p w:rsidR="00CC45FC" w:rsidRDefault="004A7700">
      <w:pPr>
        <w:spacing w:after="120"/>
        <w:rPr>
          <w:rFonts w:ascii="Verdana" w:hAnsi="Verdana" w:cs="Arial"/>
          <w:b/>
          <w:bCs/>
          <w:i/>
          <w:noProof/>
          <w:sz w:val="20"/>
        </w:rPr>
      </w:pPr>
      <w:r>
        <w:rPr>
          <w:rFonts w:ascii="Verdana" w:hAnsi="Verdana"/>
          <w:i/>
          <w:noProof/>
          <w:sz w:val="16"/>
          <w:lang w:eastAsia="en-GB"/>
        </w:rPr>
        <w:t xml:space="preserve">Financial corrections and recoveries </w:t>
      </w:r>
      <w:r>
        <w:rPr>
          <w:rFonts w:ascii="Verdana" w:hAnsi="Verdana"/>
          <w:b/>
          <w:i/>
          <w:noProof/>
          <w:sz w:val="16"/>
          <w:lang w:eastAsia="en-GB"/>
        </w:rPr>
        <w:t>implemented</w:t>
      </w:r>
      <w:r>
        <w:rPr>
          <w:rFonts w:ascii="Verdana" w:hAnsi="Verdana"/>
          <w:i/>
          <w:noProof/>
          <w:sz w:val="16"/>
          <w:lang w:eastAsia="en-GB"/>
        </w:rPr>
        <w:t xml:space="preserve"> 2009-2015 (EUR billions)</w:t>
      </w:r>
      <w:r>
        <w:rPr>
          <w:noProof/>
          <w:lang w:eastAsia="en-GB"/>
        </w:rPr>
        <w:drawing>
          <wp:inline distT="0" distB="0" distL="0" distR="0">
            <wp:extent cx="5397690" cy="3493827"/>
            <wp:effectExtent l="0" t="0" r="12700" b="11430"/>
            <wp:docPr id="75" name="Chart 75"/>
            <wp:cNvGraphicFramePr/>
            <a:graphic xmlns:a="http://schemas.openxmlformats.org/drawingml/2006/main">
              <a:graphicData uri="http://schemas.openxmlformats.org/drawingml/2006/chart">
                <c:chart xmlns:c="http://schemas.openxmlformats.org/drawingml/2006/chart" xmlns:r="http://schemas.openxmlformats.org/officeDocument/2006/relationships" r:id="rId26"/>
              </a:graphicData>
            </a:graphic>
          </wp:inline>
        </w:drawing>
      </w:r>
    </w:p>
    <w:p w:rsidR="00CC45FC" w:rsidRDefault="004A7700">
      <w:pPr>
        <w:spacing w:after="240" w:line="240" w:lineRule="auto"/>
        <w:jc w:val="both"/>
        <w:rPr>
          <w:rFonts w:ascii="Verdana" w:hAnsi="Verdana"/>
          <w:noProof/>
          <w:sz w:val="18"/>
        </w:rPr>
      </w:pPr>
      <w:r>
        <w:rPr>
          <w:rFonts w:ascii="Verdana" w:hAnsi="Verdana"/>
          <w:noProof/>
          <w:sz w:val="18"/>
        </w:rPr>
        <w:t xml:space="preserve">The average amount of financial corrections and recoveries </w:t>
      </w:r>
      <w:r>
        <w:rPr>
          <w:rFonts w:ascii="Verdana" w:hAnsi="Verdana"/>
          <w:b/>
          <w:noProof/>
          <w:sz w:val="18"/>
        </w:rPr>
        <w:t>implemented</w:t>
      </w:r>
      <w:r>
        <w:rPr>
          <w:rFonts w:ascii="Verdana" w:hAnsi="Verdana"/>
          <w:noProof/>
          <w:sz w:val="18"/>
        </w:rPr>
        <w:t xml:space="preserve"> for 2009-2015 was EUR 3 billion, which represents 2.2 % of the average amount of payments from the EU budget in that period.</w:t>
      </w:r>
    </w:p>
    <w:p w:rsidR="00CC45FC" w:rsidRDefault="00CC45FC">
      <w:pPr>
        <w:spacing w:after="120"/>
        <w:jc w:val="both"/>
        <w:rPr>
          <w:rFonts w:ascii="Verdana" w:hAnsi="Verdana"/>
          <w:i/>
          <w:noProof/>
          <w:sz w:val="20"/>
        </w:rPr>
      </w:pPr>
    </w:p>
    <w:p w:rsidR="00CC45FC" w:rsidRDefault="004A7700">
      <w:pPr>
        <w:spacing w:after="120"/>
        <w:jc w:val="both"/>
        <w:rPr>
          <w:rFonts w:ascii="Verdana" w:hAnsi="Verdana"/>
          <w:i/>
          <w:noProof/>
          <w:sz w:val="20"/>
        </w:rPr>
      </w:pPr>
      <w:r>
        <w:rPr>
          <w:rFonts w:ascii="Verdana" w:hAnsi="Verdana"/>
          <w:i/>
          <w:noProof/>
          <w:sz w:val="20"/>
        </w:rPr>
        <w:t>3.2.2.</w:t>
      </w:r>
      <w:r>
        <w:rPr>
          <w:rFonts w:ascii="Verdana" w:hAnsi="Verdana"/>
          <w:i/>
          <w:noProof/>
          <w:sz w:val="20"/>
        </w:rPr>
        <w:tab/>
        <w:t>Decisions of the Court of Justice concerning Regional policy financial corrections</w:t>
      </w:r>
    </w:p>
    <w:p w:rsidR="00CC45FC" w:rsidRDefault="004A7700">
      <w:pPr>
        <w:spacing w:after="240" w:line="240" w:lineRule="auto"/>
        <w:jc w:val="both"/>
        <w:rPr>
          <w:rFonts w:ascii="Verdana" w:hAnsi="Verdana"/>
          <w:noProof/>
          <w:sz w:val="18"/>
        </w:rPr>
      </w:pPr>
      <w:r>
        <w:rPr>
          <w:rFonts w:ascii="Verdana" w:hAnsi="Verdana"/>
          <w:noProof/>
          <w:sz w:val="18"/>
        </w:rPr>
        <w:t>During 2015, Court of Justice judgements were issued annulling a number of regional policy financial corrections' decisions taken between 2008 and 2010 (for a total amount of EUR 457 million corrections related to the programming period 1994-1999). The annulment was based on a new legal interpretation of the rules laid down in Regulation 1083/2006 and represents a change in relation to previous judgements of the Court of Justice. These annulled corrections have been deducted from both the confirmed and implemented amounts of the year 2015 and from the cumulative amounts in the table below.</w:t>
      </w:r>
    </w:p>
    <w:p w:rsidR="00CC45FC" w:rsidRDefault="004A7700">
      <w:pPr>
        <w:spacing w:after="0" w:line="240" w:lineRule="auto"/>
        <w:rPr>
          <w:rFonts w:ascii="Verdana" w:hAnsi="Verdana"/>
          <w:i/>
          <w:noProof/>
          <w:sz w:val="20"/>
        </w:rPr>
      </w:pPr>
      <w:r>
        <w:rPr>
          <w:rFonts w:ascii="Verdana" w:hAnsi="Verdana"/>
          <w:i/>
          <w:noProof/>
          <w:sz w:val="20"/>
        </w:rPr>
        <w:br w:type="page"/>
      </w:r>
    </w:p>
    <w:p w:rsidR="00CC45FC" w:rsidRDefault="004A7700">
      <w:pPr>
        <w:spacing w:after="120"/>
        <w:jc w:val="both"/>
        <w:rPr>
          <w:rFonts w:ascii="Verdana" w:hAnsi="Verdana"/>
          <w:i/>
          <w:noProof/>
          <w:sz w:val="20"/>
        </w:rPr>
      </w:pPr>
      <w:r>
        <w:rPr>
          <w:rFonts w:ascii="Verdana" w:hAnsi="Verdana"/>
          <w:i/>
          <w:noProof/>
          <w:sz w:val="20"/>
        </w:rPr>
        <w:t>3.2.3.</w:t>
      </w:r>
      <w:r>
        <w:rPr>
          <w:rFonts w:ascii="Verdana" w:hAnsi="Verdana"/>
          <w:i/>
          <w:noProof/>
          <w:sz w:val="20"/>
        </w:rPr>
        <w:tab/>
        <w:t>Financial corrections implementation percentage at end 2015</w:t>
      </w:r>
    </w:p>
    <w:p w:rsidR="00CC45FC" w:rsidRDefault="004A7700">
      <w:pPr>
        <w:spacing w:after="0" w:line="240" w:lineRule="auto"/>
        <w:jc w:val="both"/>
        <w:rPr>
          <w:rFonts w:ascii="Verdana" w:hAnsi="Verdana" w:cs="Arial"/>
          <w:b/>
          <w:bCs/>
          <w:i/>
          <w:noProof/>
          <w:sz w:val="20"/>
        </w:rPr>
      </w:pPr>
      <w:r>
        <w:rPr>
          <w:rFonts w:ascii="Verdana" w:hAnsi="Verdana" w:cs="Arial"/>
          <w:b/>
          <w:bCs/>
          <w:i/>
          <w:noProof/>
          <w:sz w:val="18"/>
        </w:rPr>
        <w:t>Table 3.2.3: Cumulative financial corrections confirmed &amp; implementation percentage to end 2015</w:t>
      </w:r>
    </w:p>
    <w:tbl>
      <w:tblPr>
        <w:tblW w:w="5261" w:type="pct"/>
        <w:tblInd w:w="-176" w:type="dxa"/>
        <w:tblLayout w:type="fixed"/>
        <w:tblLook w:val="04A0" w:firstRow="1" w:lastRow="0" w:firstColumn="1" w:lastColumn="0" w:noHBand="0" w:noVBand="1"/>
      </w:tblPr>
      <w:tblGrid>
        <w:gridCol w:w="1800"/>
        <w:gridCol w:w="816"/>
        <w:gridCol w:w="818"/>
        <w:gridCol w:w="829"/>
        <w:gridCol w:w="1095"/>
        <w:gridCol w:w="1163"/>
        <w:gridCol w:w="1087"/>
        <w:gridCol w:w="1179"/>
        <w:gridCol w:w="1135"/>
      </w:tblGrid>
      <w:tr w:rsidR="00CC45FC">
        <w:trPr>
          <w:trHeight w:val="270"/>
        </w:trPr>
        <w:tc>
          <w:tcPr>
            <w:tcW w:w="5000" w:type="pct"/>
            <w:gridSpan w:val="9"/>
            <w:tcBorders>
              <w:top w:val="nil"/>
              <w:left w:val="nil"/>
              <w:bottom w:val="single" w:sz="8" w:space="0" w:color="auto"/>
              <w:right w:val="nil"/>
            </w:tcBorders>
            <w:shd w:val="clear" w:color="auto" w:fill="auto"/>
            <w:noWrap/>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 xml:space="preserve">          EUR millions</w:t>
            </w:r>
          </w:p>
        </w:tc>
      </w:tr>
      <w:tr w:rsidR="00CC45FC">
        <w:trPr>
          <w:trHeight w:val="270"/>
        </w:trPr>
        <w:tc>
          <w:tcPr>
            <w:tcW w:w="907" w:type="pct"/>
            <w:vMerge w:val="restart"/>
            <w:tcBorders>
              <w:top w:val="single" w:sz="8" w:space="0" w:color="auto"/>
              <w:left w:val="single" w:sz="8" w:space="0" w:color="auto"/>
              <w:bottom w:val="single" w:sz="8" w:space="0" w:color="000000"/>
              <w:right w:val="single" w:sz="8" w:space="0" w:color="000000"/>
            </w:tcBorders>
            <w:shd w:val="clear" w:color="000000" w:fill="99CCFF"/>
            <w:noWrap/>
            <w:vAlign w:val="center"/>
            <w:hideMark/>
          </w:tcPr>
          <w:p w:rsidR="00CC45FC" w:rsidRDefault="00CC45FC">
            <w:pPr>
              <w:spacing w:after="0" w:line="240" w:lineRule="auto"/>
              <w:jc w:val="center"/>
              <w:rPr>
                <w:rFonts w:ascii="Verdana" w:eastAsia="Times New Roman" w:hAnsi="Verdana"/>
                <w:b/>
                <w:bCs/>
                <w:noProof/>
                <w:color w:val="000000"/>
                <w:sz w:val="14"/>
                <w:szCs w:val="14"/>
                <w:lang w:eastAsia="en-GB"/>
              </w:rPr>
            </w:pPr>
          </w:p>
        </w:tc>
        <w:tc>
          <w:tcPr>
            <w:tcW w:w="1241" w:type="pct"/>
            <w:gridSpan w:val="3"/>
            <w:vMerge w:val="restart"/>
            <w:tcBorders>
              <w:top w:val="single" w:sz="8" w:space="0" w:color="auto"/>
              <w:left w:val="single" w:sz="8" w:space="0" w:color="auto"/>
              <w:bottom w:val="single" w:sz="8" w:space="0" w:color="000000"/>
              <w:right w:val="nil"/>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Programming Period</w:t>
            </w:r>
          </w:p>
        </w:tc>
        <w:tc>
          <w:tcPr>
            <w:tcW w:w="552" w:type="pct"/>
            <w:vMerge w:val="restart"/>
            <w:tcBorders>
              <w:top w:val="nil"/>
              <w:left w:val="single" w:sz="8" w:space="0" w:color="auto"/>
              <w:bottom w:val="single" w:sz="8" w:space="0" w:color="000000"/>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 xml:space="preserve">Cumulated EAGF decisions </w:t>
            </w:r>
          </w:p>
        </w:tc>
        <w:tc>
          <w:tcPr>
            <w:tcW w:w="586" w:type="pct"/>
            <w:vMerge w:val="restart"/>
            <w:tcBorders>
              <w:top w:val="nil"/>
              <w:left w:val="single" w:sz="8" w:space="0" w:color="auto"/>
              <w:bottom w:val="single" w:sz="8" w:space="0" w:color="000000"/>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Total financial corrections confirmed at end 2015</w:t>
            </w:r>
          </w:p>
        </w:tc>
        <w:tc>
          <w:tcPr>
            <w:tcW w:w="548" w:type="pct"/>
            <w:vMerge w:val="restart"/>
            <w:tcBorders>
              <w:top w:val="nil"/>
              <w:left w:val="single" w:sz="8" w:space="0" w:color="auto"/>
              <w:bottom w:val="single" w:sz="8" w:space="0" w:color="000000"/>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Implemen-tation % end 2015</w:t>
            </w:r>
          </w:p>
        </w:tc>
        <w:tc>
          <w:tcPr>
            <w:tcW w:w="594" w:type="pct"/>
            <w:vMerge w:val="restart"/>
            <w:tcBorders>
              <w:top w:val="nil"/>
              <w:left w:val="single" w:sz="8" w:space="0" w:color="auto"/>
              <w:bottom w:val="single" w:sz="8" w:space="0" w:color="000000"/>
              <w:right w:val="single" w:sz="8" w:space="0" w:color="auto"/>
            </w:tcBorders>
            <w:shd w:val="clear" w:color="000000" w:fill="99CCFF"/>
            <w:vAlign w:val="center"/>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Financial corrections confirmed at end 2014</w:t>
            </w:r>
          </w:p>
        </w:tc>
        <w:tc>
          <w:tcPr>
            <w:tcW w:w="572" w:type="pct"/>
            <w:vMerge w:val="restart"/>
            <w:tcBorders>
              <w:top w:val="nil"/>
              <w:left w:val="single" w:sz="8" w:space="0" w:color="auto"/>
              <w:bottom w:val="single" w:sz="8" w:space="0" w:color="000000"/>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Implemen-tation % end 2014</w:t>
            </w:r>
          </w:p>
        </w:tc>
      </w:tr>
      <w:tr w:rsidR="00CC45FC">
        <w:trPr>
          <w:trHeight w:val="180"/>
        </w:trPr>
        <w:tc>
          <w:tcPr>
            <w:tcW w:w="907" w:type="pct"/>
            <w:vMerge/>
            <w:tcBorders>
              <w:top w:val="single" w:sz="8" w:space="0" w:color="auto"/>
              <w:left w:val="single" w:sz="8" w:space="0" w:color="auto"/>
              <w:bottom w:val="single" w:sz="8" w:space="0" w:color="000000"/>
              <w:right w:val="single" w:sz="8" w:space="0" w:color="000000"/>
            </w:tcBorders>
            <w:vAlign w:val="center"/>
            <w:hideMark/>
          </w:tcPr>
          <w:p w:rsidR="00CC45FC" w:rsidRDefault="00CC45FC">
            <w:pPr>
              <w:spacing w:after="0" w:line="240" w:lineRule="auto"/>
              <w:rPr>
                <w:rFonts w:ascii="Verdana" w:eastAsia="Times New Roman" w:hAnsi="Verdana"/>
                <w:b/>
                <w:bCs/>
                <w:noProof/>
                <w:color w:val="000000"/>
                <w:sz w:val="14"/>
                <w:szCs w:val="14"/>
                <w:lang w:eastAsia="en-GB"/>
              </w:rPr>
            </w:pPr>
          </w:p>
        </w:tc>
        <w:tc>
          <w:tcPr>
            <w:tcW w:w="1241" w:type="pct"/>
            <w:gridSpan w:val="3"/>
            <w:vMerge/>
            <w:tcBorders>
              <w:top w:val="single" w:sz="8" w:space="0" w:color="auto"/>
              <w:left w:val="single" w:sz="8" w:space="0" w:color="auto"/>
              <w:bottom w:val="single" w:sz="8" w:space="0" w:color="000000"/>
              <w:right w:val="nil"/>
            </w:tcBorders>
            <w:vAlign w:val="center"/>
            <w:hideMark/>
          </w:tcPr>
          <w:p w:rsidR="00CC45FC" w:rsidRDefault="00CC45FC">
            <w:pPr>
              <w:spacing w:after="0" w:line="240" w:lineRule="auto"/>
              <w:rPr>
                <w:rFonts w:ascii="Verdana" w:eastAsia="Times New Roman" w:hAnsi="Verdana"/>
                <w:b/>
                <w:bCs/>
                <w:noProof/>
                <w:color w:val="000000"/>
                <w:sz w:val="14"/>
                <w:szCs w:val="14"/>
                <w:lang w:eastAsia="en-GB"/>
              </w:rPr>
            </w:pPr>
          </w:p>
        </w:tc>
        <w:tc>
          <w:tcPr>
            <w:tcW w:w="552" w:type="pct"/>
            <w:vMerge/>
            <w:tcBorders>
              <w:top w:val="nil"/>
              <w:left w:val="single" w:sz="8" w:space="0" w:color="auto"/>
              <w:bottom w:val="single" w:sz="8" w:space="0" w:color="000000"/>
              <w:right w:val="single" w:sz="8" w:space="0" w:color="auto"/>
            </w:tcBorders>
            <w:vAlign w:val="center"/>
            <w:hideMark/>
          </w:tcPr>
          <w:p w:rsidR="00CC45FC" w:rsidRDefault="00CC45FC">
            <w:pPr>
              <w:spacing w:after="0" w:line="240" w:lineRule="auto"/>
              <w:rPr>
                <w:rFonts w:ascii="Verdana" w:eastAsia="Times New Roman" w:hAnsi="Verdana"/>
                <w:b/>
                <w:bCs/>
                <w:noProof/>
                <w:color w:val="000000"/>
                <w:sz w:val="16"/>
                <w:szCs w:val="16"/>
                <w:lang w:eastAsia="en-GB"/>
              </w:rPr>
            </w:pPr>
          </w:p>
        </w:tc>
        <w:tc>
          <w:tcPr>
            <w:tcW w:w="586" w:type="pct"/>
            <w:vMerge/>
            <w:tcBorders>
              <w:top w:val="nil"/>
              <w:left w:val="single" w:sz="8" w:space="0" w:color="auto"/>
              <w:bottom w:val="single" w:sz="8" w:space="0" w:color="000000"/>
              <w:right w:val="single" w:sz="8" w:space="0" w:color="auto"/>
            </w:tcBorders>
            <w:vAlign w:val="center"/>
            <w:hideMark/>
          </w:tcPr>
          <w:p w:rsidR="00CC45FC" w:rsidRDefault="00CC45FC">
            <w:pPr>
              <w:spacing w:after="0" w:line="240" w:lineRule="auto"/>
              <w:rPr>
                <w:rFonts w:ascii="Verdana" w:eastAsia="Times New Roman" w:hAnsi="Verdana"/>
                <w:b/>
                <w:bCs/>
                <w:noProof/>
                <w:color w:val="000000"/>
                <w:sz w:val="16"/>
                <w:szCs w:val="16"/>
                <w:lang w:eastAsia="en-GB"/>
              </w:rPr>
            </w:pPr>
          </w:p>
        </w:tc>
        <w:tc>
          <w:tcPr>
            <w:tcW w:w="548" w:type="pct"/>
            <w:vMerge/>
            <w:tcBorders>
              <w:top w:val="nil"/>
              <w:left w:val="single" w:sz="8" w:space="0" w:color="auto"/>
              <w:bottom w:val="single" w:sz="8" w:space="0" w:color="000000"/>
              <w:right w:val="single" w:sz="8" w:space="0" w:color="auto"/>
            </w:tcBorders>
            <w:vAlign w:val="center"/>
            <w:hideMark/>
          </w:tcPr>
          <w:p w:rsidR="00CC45FC" w:rsidRDefault="00CC45FC">
            <w:pPr>
              <w:spacing w:after="0" w:line="240" w:lineRule="auto"/>
              <w:rPr>
                <w:rFonts w:ascii="Verdana" w:eastAsia="Times New Roman" w:hAnsi="Verdana"/>
                <w:b/>
                <w:bCs/>
                <w:noProof/>
                <w:color w:val="000000"/>
                <w:sz w:val="16"/>
                <w:szCs w:val="16"/>
                <w:lang w:eastAsia="en-GB"/>
              </w:rPr>
            </w:pPr>
          </w:p>
        </w:tc>
        <w:tc>
          <w:tcPr>
            <w:tcW w:w="594" w:type="pct"/>
            <w:vMerge/>
            <w:tcBorders>
              <w:top w:val="nil"/>
              <w:left w:val="single" w:sz="8" w:space="0" w:color="auto"/>
              <w:bottom w:val="single" w:sz="8" w:space="0" w:color="000000"/>
              <w:right w:val="single" w:sz="8" w:space="0" w:color="auto"/>
            </w:tcBorders>
            <w:vAlign w:val="center"/>
          </w:tcPr>
          <w:p w:rsidR="00CC45FC" w:rsidRDefault="00CC45FC">
            <w:pPr>
              <w:spacing w:after="0" w:line="240" w:lineRule="auto"/>
              <w:rPr>
                <w:rFonts w:ascii="Verdana" w:eastAsia="Times New Roman" w:hAnsi="Verdana"/>
                <w:b/>
                <w:bCs/>
                <w:noProof/>
                <w:color w:val="000000"/>
                <w:sz w:val="16"/>
                <w:szCs w:val="16"/>
                <w:lang w:eastAsia="en-GB"/>
              </w:rPr>
            </w:pPr>
          </w:p>
        </w:tc>
        <w:tc>
          <w:tcPr>
            <w:tcW w:w="572" w:type="pct"/>
            <w:vMerge/>
            <w:tcBorders>
              <w:top w:val="nil"/>
              <w:left w:val="single" w:sz="8" w:space="0" w:color="auto"/>
              <w:bottom w:val="single" w:sz="8" w:space="0" w:color="000000"/>
              <w:right w:val="single" w:sz="8" w:space="0" w:color="auto"/>
            </w:tcBorders>
            <w:vAlign w:val="center"/>
            <w:hideMark/>
          </w:tcPr>
          <w:p w:rsidR="00CC45FC" w:rsidRDefault="00CC45FC">
            <w:pPr>
              <w:spacing w:after="0" w:line="240" w:lineRule="auto"/>
              <w:rPr>
                <w:rFonts w:ascii="Verdana" w:eastAsia="Times New Roman" w:hAnsi="Verdana"/>
                <w:b/>
                <w:bCs/>
                <w:noProof/>
                <w:color w:val="000000"/>
                <w:sz w:val="16"/>
                <w:szCs w:val="16"/>
                <w:lang w:eastAsia="en-GB"/>
              </w:rPr>
            </w:pPr>
          </w:p>
        </w:tc>
      </w:tr>
      <w:tr w:rsidR="00CC45FC">
        <w:trPr>
          <w:trHeight w:val="615"/>
        </w:trPr>
        <w:tc>
          <w:tcPr>
            <w:tcW w:w="907" w:type="pct"/>
            <w:vMerge/>
            <w:tcBorders>
              <w:top w:val="single" w:sz="8" w:space="0" w:color="auto"/>
              <w:left w:val="single" w:sz="8" w:space="0" w:color="auto"/>
              <w:bottom w:val="single" w:sz="8" w:space="0" w:color="000000"/>
              <w:right w:val="single" w:sz="8" w:space="0" w:color="000000"/>
            </w:tcBorders>
            <w:vAlign w:val="center"/>
            <w:hideMark/>
          </w:tcPr>
          <w:p w:rsidR="00CC45FC" w:rsidRDefault="00CC45FC">
            <w:pPr>
              <w:spacing w:after="0" w:line="240" w:lineRule="auto"/>
              <w:rPr>
                <w:rFonts w:ascii="Verdana" w:eastAsia="Times New Roman" w:hAnsi="Verdana"/>
                <w:b/>
                <w:bCs/>
                <w:noProof/>
                <w:color w:val="000000"/>
                <w:sz w:val="14"/>
                <w:szCs w:val="14"/>
                <w:lang w:eastAsia="en-GB"/>
              </w:rPr>
            </w:pPr>
          </w:p>
        </w:tc>
        <w:tc>
          <w:tcPr>
            <w:tcW w:w="411" w:type="pct"/>
            <w:tcBorders>
              <w:top w:val="nil"/>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1994-1999 Period</w:t>
            </w:r>
          </w:p>
        </w:tc>
        <w:tc>
          <w:tcPr>
            <w:tcW w:w="412" w:type="pct"/>
            <w:tcBorders>
              <w:top w:val="nil"/>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2000-2006 Period</w:t>
            </w:r>
          </w:p>
        </w:tc>
        <w:tc>
          <w:tcPr>
            <w:tcW w:w="418" w:type="pct"/>
            <w:tcBorders>
              <w:top w:val="nil"/>
              <w:left w:val="nil"/>
              <w:bottom w:val="single" w:sz="8" w:space="0" w:color="auto"/>
              <w:right w:val="nil"/>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2007-2013 Period</w:t>
            </w:r>
          </w:p>
        </w:tc>
        <w:tc>
          <w:tcPr>
            <w:tcW w:w="552" w:type="pct"/>
            <w:vMerge/>
            <w:tcBorders>
              <w:top w:val="nil"/>
              <w:left w:val="single" w:sz="8" w:space="0" w:color="auto"/>
              <w:bottom w:val="single" w:sz="8" w:space="0" w:color="000000"/>
              <w:right w:val="single" w:sz="8" w:space="0" w:color="auto"/>
            </w:tcBorders>
            <w:vAlign w:val="center"/>
            <w:hideMark/>
          </w:tcPr>
          <w:p w:rsidR="00CC45FC" w:rsidRDefault="00CC45FC">
            <w:pPr>
              <w:spacing w:after="0" w:line="240" w:lineRule="auto"/>
              <w:rPr>
                <w:rFonts w:ascii="Verdana" w:eastAsia="Times New Roman" w:hAnsi="Verdana"/>
                <w:b/>
                <w:bCs/>
                <w:noProof/>
                <w:color w:val="000000"/>
                <w:sz w:val="16"/>
                <w:szCs w:val="16"/>
                <w:lang w:eastAsia="en-GB"/>
              </w:rPr>
            </w:pPr>
          </w:p>
        </w:tc>
        <w:tc>
          <w:tcPr>
            <w:tcW w:w="586" w:type="pct"/>
            <w:vMerge/>
            <w:tcBorders>
              <w:top w:val="nil"/>
              <w:left w:val="single" w:sz="8" w:space="0" w:color="auto"/>
              <w:bottom w:val="single" w:sz="8" w:space="0" w:color="000000"/>
              <w:right w:val="single" w:sz="8" w:space="0" w:color="auto"/>
            </w:tcBorders>
            <w:vAlign w:val="center"/>
            <w:hideMark/>
          </w:tcPr>
          <w:p w:rsidR="00CC45FC" w:rsidRDefault="00CC45FC">
            <w:pPr>
              <w:spacing w:after="0" w:line="240" w:lineRule="auto"/>
              <w:rPr>
                <w:rFonts w:ascii="Verdana" w:eastAsia="Times New Roman" w:hAnsi="Verdana"/>
                <w:b/>
                <w:bCs/>
                <w:noProof/>
                <w:color w:val="000000"/>
                <w:sz w:val="16"/>
                <w:szCs w:val="16"/>
                <w:lang w:eastAsia="en-GB"/>
              </w:rPr>
            </w:pPr>
          </w:p>
        </w:tc>
        <w:tc>
          <w:tcPr>
            <w:tcW w:w="548" w:type="pct"/>
            <w:vMerge/>
            <w:tcBorders>
              <w:top w:val="nil"/>
              <w:left w:val="single" w:sz="8" w:space="0" w:color="auto"/>
              <w:bottom w:val="single" w:sz="8" w:space="0" w:color="000000"/>
              <w:right w:val="single" w:sz="8" w:space="0" w:color="auto"/>
            </w:tcBorders>
            <w:vAlign w:val="center"/>
            <w:hideMark/>
          </w:tcPr>
          <w:p w:rsidR="00CC45FC" w:rsidRDefault="00CC45FC">
            <w:pPr>
              <w:spacing w:after="0" w:line="240" w:lineRule="auto"/>
              <w:rPr>
                <w:rFonts w:ascii="Verdana" w:eastAsia="Times New Roman" w:hAnsi="Verdana"/>
                <w:b/>
                <w:bCs/>
                <w:noProof/>
                <w:color w:val="000000"/>
                <w:sz w:val="16"/>
                <w:szCs w:val="16"/>
                <w:lang w:eastAsia="en-GB"/>
              </w:rPr>
            </w:pPr>
          </w:p>
        </w:tc>
        <w:tc>
          <w:tcPr>
            <w:tcW w:w="594" w:type="pct"/>
            <w:vMerge/>
            <w:tcBorders>
              <w:top w:val="nil"/>
              <w:left w:val="single" w:sz="8" w:space="0" w:color="auto"/>
              <w:bottom w:val="single" w:sz="8" w:space="0" w:color="000000"/>
              <w:right w:val="single" w:sz="8" w:space="0" w:color="auto"/>
            </w:tcBorders>
            <w:vAlign w:val="center"/>
          </w:tcPr>
          <w:p w:rsidR="00CC45FC" w:rsidRDefault="00CC45FC">
            <w:pPr>
              <w:spacing w:after="0" w:line="240" w:lineRule="auto"/>
              <w:rPr>
                <w:rFonts w:ascii="Verdana" w:eastAsia="Times New Roman" w:hAnsi="Verdana"/>
                <w:b/>
                <w:bCs/>
                <w:noProof/>
                <w:color w:val="000000"/>
                <w:sz w:val="16"/>
                <w:szCs w:val="16"/>
                <w:lang w:eastAsia="en-GB"/>
              </w:rPr>
            </w:pPr>
          </w:p>
        </w:tc>
        <w:tc>
          <w:tcPr>
            <w:tcW w:w="572" w:type="pct"/>
            <w:vMerge/>
            <w:tcBorders>
              <w:top w:val="nil"/>
              <w:left w:val="single" w:sz="8" w:space="0" w:color="auto"/>
              <w:bottom w:val="single" w:sz="8" w:space="0" w:color="000000"/>
              <w:right w:val="single" w:sz="8" w:space="0" w:color="auto"/>
            </w:tcBorders>
            <w:vAlign w:val="center"/>
            <w:hideMark/>
          </w:tcPr>
          <w:p w:rsidR="00CC45FC" w:rsidRDefault="00CC45FC">
            <w:pPr>
              <w:spacing w:after="0" w:line="240" w:lineRule="auto"/>
              <w:rPr>
                <w:rFonts w:ascii="Verdana" w:eastAsia="Times New Roman" w:hAnsi="Verdana"/>
                <w:b/>
                <w:bCs/>
                <w:noProof/>
                <w:color w:val="000000"/>
                <w:sz w:val="16"/>
                <w:szCs w:val="16"/>
                <w:lang w:eastAsia="en-GB"/>
              </w:rPr>
            </w:pPr>
          </w:p>
        </w:tc>
      </w:tr>
      <w:tr w:rsidR="00CC45FC">
        <w:trPr>
          <w:trHeight w:val="227"/>
        </w:trPr>
        <w:tc>
          <w:tcPr>
            <w:tcW w:w="907" w:type="pct"/>
            <w:tcBorders>
              <w:top w:val="single" w:sz="8" w:space="0" w:color="auto"/>
              <w:left w:val="single" w:sz="8" w:space="0" w:color="auto"/>
              <w:bottom w:val="nil"/>
              <w:right w:val="single" w:sz="8" w:space="0" w:color="000000"/>
            </w:tcBorders>
            <w:shd w:val="clear" w:color="auto" w:fill="auto"/>
            <w:noWrap/>
            <w:vAlign w:val="center"/>
            <w:hideMark/>
          </w:tcPr>
          <w:p w:rsidR="00CC45FC" w:rsidRDefault="004A7700">
            <w:pPr>
              <w:spacing w:after="0" w:line="240" w:lineRule="auto"/>
              <w:jc w:val="both"/>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Agriculture</w:t>
            </w:r>
          </w:p>
        </w:tc>
        <w:tc>
          <w:tcPr>
            <w:tcW w:w="411"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w:t>
            </w:r>
          </w:p>
        </w:tc>
        <w:tc>
          <w:tcPr>
            <w:tcW w:w="412"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139</w:t>
            </w:r>
          </w:p>
        </w:tc>
        <w:tc>
          <w:tcPr>
            <w:tcW w:w="418"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787</w:t>
            </w:r>
          </w:p>
        </w:tc>
        <w:tc>
          <w:tcPr>
            <w:tcW w:w="552" w:type="pct"/>
            <w:tcBorders>
              <w:top w:val="nil"/>
              <w:left w:val="nil"/>
              <w:bottom w:val="nil"/>
              <w:right w:val="single" w:sz="8" w:space="0" w:color="auto"/>
            </w:tcBorders>
            <w:shd w:val="clear" w:color="auto" w:fill="auto"/>
            <w:noWrap/>
            <w:vAlign w:val="center"/>
          </w:tcPr>
          <w:p w:rsidR="00CC45FC" w:rsidRDefault="004A7700">
            <w:pPr>
              <w:spacing w:after="0"/>
              <w:jc w:val="right"/>
              <w:rPr>
                <w:rFonts w:ascii="Verdana" w:hAnsi="Verdana"/>
                <w:b/>
                <w:bCs/>
                <w:noProof/>
                <w:color w:val="000000"/>
                <w:sz w:val="16"/>
                <w:szCs w:val="16"/>
              </w:rPr>
            </w:pPr>
            <w:r>
              <w:rPr>
                <w:rFonts w:ascii="Verdana" w:hAnsi="Verdana"/>
                <w:b/>
                <w:bCs/>
                <w:noProof/>
                <w:color w:val="000000"/>
                <w:sz w:val="16"/>
                <w:szCs w:val="16"/>
              </w:rPr>
              <w:t>11 766</w:t>
            </w:r>
          </w:p>
        </w:tc>
        <w:tc>
          <w:tcPr>
            <w:tcW w:w="586" w:type="pct"/>
            <w:tcBorders>
              <w:top w:val="nil"/>
              <w:left w:val="nil"/>
              <w:bottom w:val="nil"/>
              <w:right w:val="single" w:sz="8" w:space="0" w:color="auto"/>
            </w:tcBorders>
            <w:shd w:val="clear" w:color="auto" w:fill="auto"/>
            <w:noWrap/>
            <w:vAlign w:val="center"/>
          </w:tcPr>
          <w:p w:rsidR="00CC45FC" w:rsidRDefault="004A7700">
            <w:pPr>
              <w:spacing w:after="0"/>
              <w:jc w:val="right"/>
              <w:rPr>
                <w:rFonts w:ascii="Verdana" w:hAnsi="Verdana"/>
                <w:b/>
                <w:bCs/>
                <w:noProof/>
                <w:color w:val="000000"/>
                <w:sz w:val="16"/>
                <w:szCs w:val="16"/>
              </w:rPr>
            </w:pPr>
            <w:r>
              <w:rPr>
                <w:rFonts w:ascii="Verdana" w:hAnsi="Verdana"/>
                <w:b/>
                <w:bCs/>
                <w:noProof/>
                <w:color w:val="000000"/>
                <w:sz w:val="16"/>
                <w:szCs w:val="16"/>
              </w:rPr>
              <w:t>12 692</w:t>
            </w:r>
          </w:p>
        </w:tc>
        <w:tc>
          <w:tcPr>
            <w:tcW w:w="548"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b/>
                <w:bCs/>
                <w:noProof/>
                <w:color w:val="000000"/>
                <w:sz w:val="16"/>
                <w:szCs w:val="16"/>
              </w:rPr>
            </w:pPr>
            <w:r>
              <w:rPr>
                <w:rFonts w:ascii="Verdana" w:hAnsi="Verdana"/>
                <w:b/>
                <w:bCs/>
                <w:noProof/>
                <w:color w:val="000000"/>
                <w:sz w:val="16"/>
                <w:szCs w:val="16"/>
              </w:rPr>
              <w:t>85.4%</w:t>
            </w:r>
          </w:p>
        </w:tc>
        <w:tc>
          <w:tcPr>
            <w:tcW w:w="594"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b/>
                <w:bCs/>
                <w:noProof/>
                <w:color w:val="000000"/>
                <w:sz w:val="16"/>
                <w:szCs w:val="16"/>
              </w:rPr>
            </w:pPr>
            <w:r>
              <w:rPr>
                <w:rFonts w:ascii="Verdana" w:hAnsi="Verdana"/>
                <w:b/>
                <w:bCs/>
                <w:noProof/>
                <w:color w:val="000000"/>
                <w:sz w:val="16"/>
                <w:szCs w:val="16"/>
              </w:rPr>
              <w:t>11 514</w:t>
            </w:r>
          </w:p>
        </w:tc>
        <w:tc>
          <w:tcPr>
            <w:tcW w:w="572"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b/>
                <w:bCs/>
                <w:noProof/>
                <w:color w:val="000000"/>
                <w:sz w:val="16"/>
                <w:szCs w:val="16"/>
              </w:rPr>
            </w:pPr>
            <w:r>
              <w:rPr>
                <w:rFonts w:ascii="Verdana" w:hAnsi="Verdana"/>
                <w:b/>
                <w:bCs/>
                <w:noProof/>
                <w:color w:val="000000"/>
                <w:sz w:val="16"/>
                <w:szCs w:val="16"/>
              </w:rPr>
              <w:t>82.8%</w:t>
            </w:r>
          </w:p>
        </w:tc>
      </w:tr>
      <w:tr w:rsidR="00CC45FC">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EAGF</w:t>
            </w:r>
          </w:p>
        </w:tc>
        <w:tc>
          <w:tcPr>
            <w:tcW w:w="411"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w:t>
            </w:r>
          </w:p>
        </w:tc>
        <w:tc>
          <w:tcPr>
            <w:tcW w:w="412"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w:t>
            </w:r>
          </w:p>
        </w:tc>
        <w:tc>
          <w:tcPr>
            <w:tcW w:w="418"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w:t>
            </w:r>
          </w:p>
        </w:tc>
        <w:tc>
          <w:tcPr>
            <w:tcW w:w="552"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noProof/>
                <w:color w:val="000000"/>
                <w:sz w:val="16"/>
                <w:szCs w:val="16"/>
              </w:rPr>
            </w:pPr>
            <w:r>
              <w:rPr>
                <w:rFonts w:ascii="Verdana" w:hAnsi="Verdana"/>
                <w:noProof/>
                <w:color w:val="000000"/>
                <w:sz w:val="16"/>
                <w:szCs w:val="16"/>
              </w:rPr>
              <w:t>11 766</w:t>
            </w:r>
          </w:p>
        </w:tc>
        <w:tc>
          <w:tcPr>
            <w:tcW w:w="586" w:type="pct"/>
            <w:tcBorders>
              <w:top w:val="nil"/>
              <w:left w:val="nil"/>
              <w:bottom w:val="nil"/>
              <w:right w:val="single" w:sz="8" w:space="0" w:color="auto"/>
            </w:tcBorders>
            <w:shd w:val="clear" w:color="auto" w:fill="auto"/>
            <w:noWrap/>
            <w:vAlign w:val="center"/>
          </w:tcPr>
          <w:p w:rsidR="00CC45FC" w:rsidRDefault="004A7700">
            <w:pPr>
              <w:spacing w:after="0"/>
              <w:jc w:val="right"/>
              <w:rPr>
                <w:rFonts w:ascii="Verdana" w:hAnsi="Verdana"/>
                <w:bCs/>
                <w:noProof/>
                <w:color w:val="000000"/>
                <w:sz w:val="16"/>
                <w:szCs w:val="16"/>
              </w:rPr>
            </w:pPr>
            <w:r>
              <w:rPr>
                <w:rFonts w:ascii="Verdana" w:hAnsi="Verdana"/>
                <w:bCs/>
                <w:noProof/>
                <w:color w:val="000000"/>
                <w:sz w:val="16"/>
                <w:szCs w:val="16"/>
              </w:rPr>
              <w:t>11 766</w:t>
            </w:r>
          </w:p>
        </w:tc>
        <w:tc>
          <w:tcPr>
            <w:tcW w:w="548"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noProof/>
                <w:color w:val="000000"/>
                <w:sz w:val="16"/>
                <w:szCs w:val="16"/>
              </w:rPr>
            </w:pPr>
            <w:r>
              <w:rPr>
                <w:rFonts w:ascii="Verdana" w:hAnsi="Verdana"/>
                <w:noProof/>
                <w:color w:val="000000"/>
                <w:sz w:val="16"/>
                <w:szCs w:val="16"/>
              </w:rPr>
              <w:t>85.7%</w:t>
            </w:r>
          </w:p>
        </w:tc>
        <w:tc>
          <w:tcPr>
            <w:tcW w:w="594"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bCs/>
                <w:noProof/>
                <w:color w:val="000000"/>
                <w:sz w:val="16"/>
                <w:szCs w:val="16"/>
              </w:rPr>
            </w:pPr>
            <w:r>
              <w:rPr>
                <w:rFonts w:ascii="Verdana" w:hAnsi="Verdana"/>
                <w:bCs/>
                <w:noProof/>
                <w:color w:val="000000"/>
                <w:sz w:val="16"/>
                <w:szCs w:val="16"/>
              </w:rPr>
              <w:t>10 808</w:t>
            </w:r>
          </w:p>
        </w:tc>
        <w:tc>
          <w:tcPr>
            <w:tcW w:w="572"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noProof/>
                <w:color w:val="000000"/>
                <w:sz w:val="16"/>
                <w:szCs w:val="16"/>
              </w:rPr>
            </w:pPr>
            <w:r>
              <w:rPr>
                <w:rFonts w:ascii="Verdana" w:hAnsi="Verdana"/>
                <w:noProof/>
                <w:color w:val="000000"/>
                <w:sz w:val="16"/>
                <w:szCs w:val="16"/>
              </w:rPr>
              <w:t>83.7%</w:t>
            </w:r>
          </w:p>
        </w:tc>
      </w:tr>
      <w:tr w:rsidR="00CC45FC">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Rural Development</w:t>
            </w:r>
          </w:p>
        </w:tc>
        <w:tc>
          <w:tcPr>
            <w:tcW w:w="411"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w:t>
            </w:r>
          </w:p>
        </w:tc>
        <w:tc>
          <w:tcPr>
            <w:tcW w:w="412"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139</w:t>
            </w:r>
          </w:p>
        </w:tc>
        <w:tc>
          <w:tcPr>
            <w:tcW w:w="418"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787</w:t>
            </w:r>
          </w:p>
        </w:tc>
        <w:tc>
          <w:tcPr>
            <w:tcW w:w="552"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noProof/>
                <w:color w:val="000000"/>
                <w:sz w:val="16"/>
                <w:szCs w:val="16"/>
              </w:rPr>
            </w:pPr>
            <w:r>
              <w:rPr>
                <w:rFonts w:ascii="Verdana" w:hAnsi="Verdana"/>
                <w:noProof/>
                <w:color w:val="000000"/>
                <w:sz w:val="16"/>
                <w:szCs w:val="16"/>
              </w:rPr>
              <w:t>N/A</w:t>
            </w:r>
          </w:p>
        </w:tc>
        <w:tc>
          <w:tcPr>
            <w:tcW w:w="586" w:type="pct"/>
            <w:tcBorders>
              <w:top w:val="nil"/>
              <w:left w:val="nil"/>
              <w:bottom w:val="nil"/>
              <w:right w:val="single" w:sz="8" w:space="0" w:color="auto"/>
            </w:tcBorders>
            <w:shd w:val="clear" w:color="auto" w:fill="auto"/>
            <w:noWrap/>
            <w:vAlign w:val="center"/>
          </w:tcPr>
          <w:p w:rsidR="00CC45FC" w:rsidRDefault="004A7700">
            <w:pPr>
              <w:spacing w:after="0"/>
              <w:jc w:val="right"/>
              <w:rPr>
                <w:rFonts w:ascii="Verdana" w:hAnsi="Verdana"/>
                <w:bCs/>
                <w:noProof/>
                <w:color w:val="000000"/>
                <w:sz w:val="16"/>
                <w:szCs w:val="16"/>
              </w:rPr>
            </w:pPr>
            <w:r>
              <w:rPr>
                <w:rFonts w:ascii="Verdana" w:hAnsi="Verdana"/>
                <w:bCs/>
                <w:noProof/>
                <w:color w:val="000000"/>
                <w:sz w:val="16"/>
                <w:szCs w:val="16"/>
              </w:rPr>
              <w:t>926</w:t>
            </w:r>
          </w:p>
        </w:tc>
        <w:tc>
          <w:tcPr>
            <w:tcW w:w="548"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noProof/>
                <w:color w:val="000000"/>
                <w:sz w:val="16"/>
                <w:szCs w:val="16"/>
              </w:rPr>
            </w:pPr>
            <w:r>
              <w:rPr>
                <w:rFonts w:ascii="Verdana" w:hAnsi="Verdana"/>
                <w:noProof/>
                <w:color w:val="000000"/>
                <w:sz w:val="16"/>
                <w:szCs w:val="16"/>
              </w:rPr>
              <w:t>81.3%</w:t>
            </w:r>
          </w:p>
        </w:tc>
        <w:tc>
          <w:tcPr>
            <w:tcW w:w="594"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bCs/>
                <w:noProof/>
                <w:color w:val="000000"/>
                <w:sz w:val="16"/>
                <w:szCs w:val="16"/>
              </w:rPr>
            </w:pPr>
            <w:r>
              <w:rPr>
                <w:rFonts w:ascii="Verdana" w:hAnsi="Verdana"/>
                <w:bCs/>
                <w:noProof/>
                <w:color w:val="000000"/>
                <w:sz w:val="16"/>
                <w:szCs w:val="16"/>
              </w:rPr>
              <w:t>706</w:t>
            </w:r>
          </w:p>
        </w:tc>
        <w:tc>
          <w:tcPr>
            <w:tcW w:w="572"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noProof/>
                <w:color w:val="000000"/>
                <w:sz w:val="16"/>
                <w:szCs w:val="16"/>
              </w:rPr>
            </w:pPr>
            <w:r>
              <w:rPr>
                <w:rFonts w:ascii="Verdana" w:hAnsi="Verdana"/>
                <w:noProof/>
                <w:color w:val="000000"/>
                <w:sz w:val="16"/>
                <w:szCs w:val="16"/>
              </w:rPr>
              <w:t>69.3%</w:t>
            </w:r>
          </w:p>
        </w:tc>
      </w:tr>
      <w:tr w:rsidR="00CC45FC">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rsidR="00CC45FC" w:rsidRDefault="004A7700">
            <w:pPr>
              <w:spacing w:after="0" w:line="240" w:lineRule="auto"/>
              <w:jc w:val="both"/>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Cohesion Policy</w:t>
            </w:r>
          </w:p>
        </w:tc>
        <w:tc>
          <w:tcPr>
            <w:tcW w:w="411"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hAnsi="Verdana"/>
                <w:b/>
                <w:bCs/>
                <w:noProof/>
                <w:color w:val="000000"/>
                <w:sz w:val="16"/>
                <w:szCs w:val="16"/>
              </w:rPr>
              <w:t>2 273</w:t>
            </w:r>
          </w:p>
        </w:tc>
        <w:tc>
          <w:tcPr>
            <w:tcW w:w="412"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hAnsi="Verdana"/>
                <w:b/>
                <w:bCs/>
                <w:noProof/>
                <w:color w:val="000000"/>
                <w:sz w:val="16"/>
                <w:szCs w:val="16"/>
              </w:rPr>
              <w:t>8 922</w:t>
            </w:r>
          </w:p>
        </w:tc>
        <w:tc>
          <w:tcPr>
            <w:tcW w:w="418"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hAnsi="Verdana"/>
                <w:b/>
                <w:bCs/>
                <w:noProof/>
                <w:color w:val="000000"/>
                <w:sz w:val="16"/>
                <w:szCs w:val="16"/>
              </w:rPr>
              <w:t>4 748</w:t>
            </w:r>
          </w:p>
        </w:tc>
        <w:tc>
          <w:tcPr>
            <w:tcW w:w="552"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N/A</w:t>
            </w:r>
          </w:p>
        </w:tc>
        <w:tc>
          <w:tcPr>
            <w:tcW w:w="586" w:type="pct"/>
            <w:tcBorders>
              <w:top w:val="nil"/>
              <w:left w:val="nil"/>
              <w:bottom w:val="nil"/>
              <w:right w:val="single" w:sz="8" w:space="0" w:color="auto"/>
            </w:tcBorders>
            <w:shd w:val="clear" w:color="auto" w:fill="auto"/>
            <w:noWrap/>
            <w:vAlign w:val="center"/>
          </w:tcPr>
          <w:p w:rsidR="00CC45FC" w:rsidRDefault="004A7700">
            <w:pPr>
              <w:spacing w:after="0"/>
              <w:jc w:val="right"/>
              <w:rPr>
                <w:rFonts w:ascii="Verdana" w:hAnsi="Verdana"/>
                <w:b/>
                <w:bCs/>
                <w:noProof/>
                <w:color w:val="000000"/>
                <w:sz w:val="16"/>
                <w:szCs w:val="16"/>
              </w:rPr>
            </w:pPr>
            <w:r>
              <w:rPr>
                <w:rFonts w:ascii="Verdana" w:hAnsi="Verdana"/>
                <w:b/>
                <w:bCs/>
                <w:noProof/>
                <w:color w:val="000000"/>
                <w:sz w:val="16"/>
                <w:szCs w:val="16"/>
              </w:rPr>
              <w:t>15 943</w:t>
            </w:r>
          </w:p>
        </w:tc>
        <w:tc>
          <w:tcPr>
            <w:tcW w:w="548"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b/>
                <w:bCs/>
                <w:noProof/>
                <w:color w:val="000000"/>
                <w:sz w:val="16"/>
                <w:szCs w:val="16"/>
              </w:rPr>
            </w:pPr>
            <w:r>
              <w:rPr>
                <w:rFonts w:ascii="Verdana" w:hAnsi="Verdana"/>
                <w:b/>
                <w:bCs/>
                <w:noProof/>
                <w:color w:val="000000"/>
                <w:sz w:val="16"/>
                <w:szCs w:val="16"/>
              </w:rPr>
              <w:t>93.4%</w:t>
            </w:r>
          </w:p>
        </w:tc>
        <w:tc>
          <w:tcPr>
            <w:tcW w:w="594"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b/>
                <w:bCs/>
                <w:noProof/>
                <w:color w:val="000000"/>
                <w:sz w:val="16"/>
                <w:szCs w:val="16"/>
              </w:rPr>
            </w:pPr>
            <w:r>
              <w:rPr>
                <w:rFonts w:ascii="Verdana" w:hAnsi="Verdana"/>
                <w:b/>
                <w:bCs/>
                <w:noProof/>
                <w:color w:val="000000"/>
                <w:sz w:val="16"/>
                <w:szCs w:val="16"/>
              </w:rPr>
              <w:t>14 203</w:t>
            </w:r>
          </w:p>
        </w:tc>
        <w:tc>
          <w:tcPr>
            <w:tcW w:w="572"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b/>
                <w:bCs/>
                <w:noProof/>
                <w:color w:val="000000"/>
                <w:sz w:val="16"/>
                <w:szCs w:val="16"/>
              </w:rPr>
            </w:pPr>
            <w:r>
              <w:rPr>
                <w:rFonts w:ascii="Verdana" w:hAnsi="Verdana"/>
                <w:b/>
                <w:bCs/>
                <w:noProof/>
                <w:color w:val="000000"/>
                <w:sz w:val="16"/>
                <w:szCs w:val="16"/>
              </w:rPr>
              <w:t>92.2%</w:t>
            </w:r>
          </w:p>
        </w:tc>
      </w:tr>
      <w:tr w:rsidR="00CC45FC">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4"/>
                <w:szCs w:val="16"/>
                <w:lang w:eastAsia="en-GB"/>
              </w:rPr>
            </w:pPr>
            <w:r>
              <w:rPr>
                <w:rFonts w:ascii="Verdana" w:eastAsia="Times New Roman" w:hAnsi="Verdana"/>
                <w:i/>
                <w:iCs/>
                <w:noProof/>
                <w:color w:val="000000"/>
                <w:sz w:val="14"/>
                <w:szCs w:val="16"/>
                <w:lang w:eastAsia="en-GB"/>
              </w:rPr>
              <w:t xml:space="preserve">    ERDF </w:t>
            </w:r>
          </w:p>
        </w:tc>
        <w:tc>
          <w:tcPr>
            <w:tcW w:w="411"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Cs/>
                <w:i/>
                <w:noProof/>
                <w:color w:val="000000"/>
                <w:sz w:val="14"/>
                <w:szCs w:val="16"/>
                <w:lang w:eastAsia="en-GB"/>
              </w:rPr>
            </w:pPr>
            <w:r>
              <w:rPr>
                <w:rFonts w:ascii="Verdana" w:hAnsi="Verdana"/>
                <w:i/>
                <w:noProof/>
                <w:color w:val="000000"/>
                <w:sz w:val="14"/>
                <w:szCs w:val="16"/>
              </w:rPr>
              <w:t>1 799</w:t>
            </w:r>
          </w:p>
        </w:tc>
        <w:tc>
          <w:tcPr>
            <w:tcW w:w="412"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i/>
                <w:noProof/>
                <w:color w:val="000000"/>
                <w:sz w:val="14"/>
                <w:szCs w:val="16"/>
                <w:lang w:eastAsia="en-GB"/>
              </w:rPr>
            </w:pPr>
            <w:r>
              <w:rPr>
                <w:rFonts w:ascii="Verdana" w:hAnsi="Verdana"/>
                <w:i/>
                <w:noProof/>
                <w:color w:val="000000"/>
                <w:sz w:val="14"/>
                <w:szCs w:val="16"/>
              </w:rPr>
              <w:t>5 794</w:t>
            </w:r>
          </w:p>
        </w:tc>
        <w:tc>
          <w:tcPr>
            <w:tcW w:w="418"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i/>
                <w:noProof/>
                <w:color w:val="000000"/>
                <w:sz w:val="14"/>
                <w:szCs w:val="16"/>
                <w:lang w:eastAsia="en-GB"/>
              </w:rPr>
            </w:pPr>
            <w:r>
              <w:rPr>
                <w:rFonts w:ascii="Verdana" w:hAnsi="Verdana"/>
                <w:i/>
                <w:noProof/>
                <w:color w:val="000000"/>
                <w:sz w:val="14"/>
                <w:szCs w:val="16"/>
              </w:rPr>
              <w:t>2 664</w:t>
            </w:r>
          </w:p>
        </w:tc>
        <w:tc>
          <w:tcPr>
            <w:tcW w:w="552" w:type="pct"/>
            <w:tcBorders>
              <w:top w:val="nil"/>
              <w:left w:val="nil"/>
              <w:bottom w:val="nil"/>
              <w:right w:val="single" w:sz="8" w:space="0" w:color="auto"/>
            </w:tcBorders>
            <w:shd w:val="clear" w:color="auto" w:fill="auto"/>
            <w:vAlign w:val="center"/>
          </w:tcPr>
          <w:p w:rsidR="00CC45FC" w:rsidRDefault="004A7700">
            <w:pPr>
              <w:spacing w:after="0" w:line="240" w:lineRule="auto"/>
              <w:jc w:val="right"/>
              <w:rPr>
                <w:rFonts w:ascii="Verdana" w:eastAsia="Times New Roman" w:hAnsi="Verdana"/>
                <w:i/>
                <w:noProof/>
                <w:color w:val="000000"/>
                <w:sz w:val="14"/>
                <w:szCs w:val="16"/>
                <w:lang w:eastAsia="en-GB"/>
              </w:rPr>
            </w:pPr>
            <w:r>
              <w:rPr>
                <w:rFonts w:ascii="Verdana" w:eastAsia="Times New Roman" w:hAnsi="Verdana"/>
                <w:i/>
                <w:noProof/>
                <w:color w:val="000000"/>
                <w:sz w:val="14"/>
                <w:szCs w:val="16"/>
                <w:lang w:eastAsia="en-GB"/>
              </w:rPr>
              <w:t>N/A</w:t>
            </w:r>
          </w:p>
        </w:tc>
        <w:tc>
          <w:tcPr>
            <w:tcW w:w="586" w:type="pct"/>
            <w:tcBorders>
              <w:top w:val="nil"/>
              <w:left w:val="nil"/>
              <w:bottom w:val="nil"/>
              <w:right w:val="single" w:sz="8" w:space="0" w:color="auto"/>
            </w:tcBorders>
            <w:shd w:val="clear" w:color="auto" w:fill="auto"/>
            <w:noWrap/>
            <w:vAlign w:val="center"/>
          </w:tcPr>
          <w:p w:rsidR="00CC45FC" w:rsidRDefault="004A7700">
            <w:pPr>
              <w:spacing w:after="0"/>
              <w:jc w:val="right"/>
              <w:rPr>
                <w:rFonts w:ascii="Verdana" w:hAnsi="Verdana"/>
                <w:bCs/>
                <w:i/>
                <w:noProof/>
                <w:color w:val="000000"/>
                <w:sz w:val="14"/>
                <w:szCs w:val="16"/>
              </w:rPr>
            </w:pPr>
            <w:r>
              <w:rPr>
                <w:rFonts w:ascii="Verdana" w:hAnsi="Verdana"/>
                <w:i/>
                <w:noProof/>
                <w:color w:val="000000"/>
                <w:sz w:val="14"/>
                <w:szCs w:val="16"/>
              </w:rPr>
              <w:t>10 257</w:t>
            </w:r>
          </w:p>
        </w:tc>
        <w:tc>
          <w:tcPr>
            <w:tcW w:w="548"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i/>
                <w:iCs/>
                <w:noProof/>
                <w:color w:val="000000"/>
                <w:sz w:val="14"/>
                <w:szCs w:val="16"/>
              </w:rPr>
            </w:pPr>
            <w:r>
              <w:rPr>
                <w:rFonts w:ascii="Verdana" w:hAnsi="Verdana"/>
                <w:i/>
                <w:iCs/>
                <w:noProof/>
                <w:color w:val="000000"/>
                <w:sz w:val="14"/>
                <w:szCs w:val="16"/>
              </w:rPr>
              <w:t>92.4%</w:t>
            </w:r>
          </w:p>
        </w:tc>
        <w:tc>
          <w:tcPr>
            <w:tcW w:w="594"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bCs/>
                <w:i/>
                <w:noProof/>
                <w:color w:val="000000"/>
                <w:sz w:val="14"/>
                <w:szCs w:val="16"/>
              </w:rPr>
            </w:pPr>
            <w:r>
              <w:rPr>
                <w:rFonts w:ascii="Verdana" w:hAnsi="Verdana"/>
                <w:bCs/>
                <w:i/>
                <w:noProof/>
                <w:color w:val="000000"/>
                <w:sz w:val="14"/>
                <w:szCs w:val="16"/>
              </w:rPr>
              <w:t>8 973</w:t>
            </w:r>
          </w:p>
        </w:tc>
        <w:tc>
          <w:tcPr>
            <w:tcW w:w="572"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i/>
                <w:iCs/>
                <w:noProof/>
                <w:color w:val="000000"/>
                <w:sz w:val="14"/>
                <w:szCs w:val="16"/>
              </w:rPr>
            </w:pPr>
            <w:r>
              <w:rPr>
                <w:rFonts w:ascii="Verdana" w:hAnsi="Verdana"/>
                <w:i/>
                <w:iCs/>
                <w:noProof/>
                <w:color w:val="000000"/>
                <w:sz w:val="14"/>
                <w:szCs w:val="16"/>
              </w:rPr>
              <w:t>91.9%</w:t>
            </w:r>
          </w:p>
        </w:tc>
      </w:tr>
      <w:tr w:rsidR="00CC45FC">
        <w:trPr>
          <w:trHeight w:val="227"/>
        </w:trPr>
        <w:tc>
          <w:tcPr>
            <w:tcW w:w="907" w:type="pct"/>
            <w:tcBorders>
              <w:top w:val="nil"/>
              <w:left w:val="single" w:sz="8" w:space="0" w:color="auto"/>
              <w:bottom w:val="nil"/>
              <w:right w:val="single" w:sz="8" w:space="0" w:color="000000"/>
            </w:tcBorders>
            <w:shd w:val="clear" w:color="auto" w:fill="auto"/>
            <w:noWrap/>
            <w:vAlign w:val="center"/>
          </w:tcPr>
          <w:p w:rsidR="00CC45FC" w:rsidRDefault="004A7700">
            <w:pPr>
              <w:spacing w:after="0" w:line="240" w:lineRule="auto"/>
              <w:jc w:val="both"/>
              <w:rPr>
                <w:rFonts w:ascii="Verdana" w:eastAsia="Times New Roman" w:hAnsi="Verdana"/>
                <w:i/>
                <w:iCs/>
                <w:noProof/>
                <w:color w:val="000000"/>
                <w:sz w:val="14"/>
                <w:szCs w:val="16"/>
                <w:lang w:eastAsia="en-GB"/>
              </w:rPr>
            </w:pPr>
            <w:r>
              <w:rPr>
                <w:rFonts w:ascii="Verdana" w:eastAsia="Times New Roman" w:hAnsi="Verdana"/>
                <w:i/>
                <w:iCs/>
                <w:noProof/>
                <w:color w:val="000000"/>
                <w:sz w:val="14"/>
                <w:szCs w:val="16"/>
                <w:lang w:eastAsia="en-GB"/>
              </w:rPr>
              <w:t xml:space="preserve">    Court of Justice   </w:t>
            </w:r>
          </w:p>
          <w:p w:rsidR="00CC45FC" w:rsidRDefault="004A7700">
            <w:pPr>
              <w:spacing w:after="0" w:line="240" w:lineRule="auto"/>
              <w:jc w:val="both"/>
              <w:rPr>
                <w:rFonts w:ascii="Verdana" w:eastAsia="Times New Roman" w:hAnsi="Verdana"/>
                <w:i/>
                <w:iCs/>
                <w:noProof/>
                <w:color w:val="000000"/>
                <w:sz w:val="14"/>
                <w:szCs w:val="16"/>
                <w:lang w:eastAsia="en-GB"/>
              </w:rPr>
            </w:pPr>
            <w:r>
              <w:rPr>
                <w:rFonts w:ascii="Verdana" w:eastAsia="Times New Roman" w:hAnsi="Verdana"/>
                <w:i/>
                <w:iCs/>
                <w:noProof/>
                <w:color w:val="000000"/>
                <w:sz w:val="14"/>
                <w:szCs w:val="16"/>
                <w:lang w:eastAsia="en-GB"/>
              </w:rPr>
              <w:t xml:space="preserve">    judgements</w:t>
            </w:r>
          </w:p>
        </w:tc>
        <w:tc>
          <w:tcPr>
            <w:tcW w:w="411"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Cs/>
                <w:i/>
                <w:noProof/>
                <w:color w:val="000000"/>
                <w:sz w:val="14"/>
                <w:szCs w:val="16"/>
                <w:lang w:eastAsia="en-GB"/>
              </w:rPr>
            </w:pPr>
            <w:r>
              <w:rPr>
                <w:rFonts w:ascii="Verdana" w:hAnsi="Verdana"/>
                <w:i/>
                <w:noProof/>
                <w:color w:val="000000"/>
                <w:sz w:val="14"/>
                <w:szCs w:val="16"/>
              </w:rPr>
              <w:t>(457)</w:t>
            </w:r>
          </w:p>
        </w:tc>
        <w:tc>
          <w:tcPr>
            <w:tcW w:w="412"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i/>
                <w:noProof/>
                <w:color w:val="000000"/>
                <w:sz w:val="14"/>
                <w:szCs w:val="16"/>
                <w:lang w:eastAsia="en-GB"/>
              </w:rPr>
            </w:pPr>
            <w:r>
              <w:rPr>
                <w:rFonts w:ascii="Verdana" w:hAnsi="Verdana"/>
                <w:i/>
                <w:noProof/>
                <w:color w:val="000000"/>
                <w:sz w:val="14"/>
                <w:szCs w:val="16"/>
              </w:rPr>
              <w:t xml:space="preserve"> 0</w:t>
            </w:r>
          </w:p>
        </w:tc>
        <w:tc>
          <w:tcPr>
            <w:tcW w:w="418"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i/>
                <w:noProof/>
                <w:color w:val="000000"/>
                <w:sz w:val="14"/>
                <w:szCs w:val="16"/>
                <w:lang w:eastAsia="en-GB"/>
              </w:rPr>
            </w:pPr>
            <w:r>
              <w:rPr>
                <w:rFonts w:ascii="Verdana" w:hAnsi="Verdana"/>
                <w:i/>
                <w:noProof/>
                <w:color w:val="000000"/>
                <w:sz w:val="14"/>
                <w:szCs w:val="16"/>
              </w:rPr>
              <w:t xml:space="preserve"> 0</w:t>
            </w:r>
          </w:p>
        </w:tc>
        <w:tc>
          <w:tcPr>
            <w:tcW w:w="552" w:type="pct"/>
            <w:tcBorders>
              <w:top w:val="nil"/>
              <w:left w:val="nil"/>
              <w:bottom w:val="nil"/>
              <w:right w:val="single" w:sz="8" w:space="0" w:color="auto"/>
            </w:tcBorders>
            <w:shd w:val="clear" w:color="auto" w:fill="auto"/>
            <w:vAlign w:val="center"/>
          </w:tcPr>
          <w:p w:rsidR="00CC45FC" w:rsidRDefault="004A7700">
            <w:pPr>
              <w:spacing w:after="0" w:line="240" w:lineRule="auto"/>
              <w:jc w:val="right"/>
              <w:rPr>
                <w:rFonts w:ascii="Verdana" w:eastAsia="Times New Roman" w:hAnsi="Verdana"/>
                <w:i/>
                <w:noProof/>
                <w:color w:val="000000"/>
                <w:sz w:val="14"/>
                <w:szCs w:val="16"/>
                <w:lang w:eastAsia="en-GB"/>
              </w:rPr>
            </w:pPr>
            <w:r>
              <w:rPr>
                <w:rFonts w:ascii="Verdana" w:eastAsia="Times New Roman" w:hAnsi="Verdana"/>
                <w:i/>
                <w:noProof/>
                <w:color w:val="000000"/>
                <w:sz w:val="14"/>
                <w:szCs w:val="16"/>
                <w:lang w:eastAsia="en-GB"/>
              </w:rPr>
              <w:t>N/A</w:t>
            </w:r>
          </w:p>
        </w:tc>
        <w:tc>
          <w:tcPr>
            <w:tcW w:w="586" w:type="pct"/>
            <w:tcBorders>
              <w:top w:val="nil"/>
              <w:left w:val="nil"/>
              <w:bottom w:val="nil"/>
              <w:right w:val="single" w:sz="8" w:space="0" w:color="auto"/>
            </w:tcBorders>
            <w:shd w:val="clear" w:color="auto" w:fill="auto"/>
            <w:noWrap/>
            <w:vAlign w:val="center"/>
          </w:tcPr>
          <w:p w:rsidR="00CC45FC" w:rsidRDefault="004A7700">
            <w:pPr>
              <w:spacing w:after="0"/>
              <w:jc w:val="right"/>
              <w:rPr>
                <w:rFonts w:ascii="Verdana" w:hAnsi="Verdana"/>
                <w:bCs/>
                <w:i/>
                <w:noProof/>
                <w:color w:val="000000"/>
                <w:sz w:val="14"/>
                <w:szCs w:val="16"/>
              </w:rPr>
            </w:pPr>
            <w:r>
              <w:rPr>
                <w:rFonts w:ascii="Verdana" w:hAnsi="Verdana"/>
                <w:i/>
                <w:noProof/>
                <w:color w:val="000000"/>
                <w:sz w:val="14"/>
                <w:szCs w:val="16"/>
              </w:rPr>
              <w:t>(457)</w:t>
            </w:r>
          </w:p>
        </w:tc>
        <w:tc>
          <w:tcPr>
            <w:tcW w:w="548"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i/>
                <w:iCs/>
                <w:noProof/>
                <w:color w:val="000000"/>
                <w:sz w:val="14"/>
                <w:szCs w:val="16"/>
              </w:rPr>
            </w:pPr>
            <w:r>
              <w:rPr>
                <w:rFonts w:ascii="Verdana" w:hAnsi="Verdana"/>
                <w:i/>
                <w:iCs/>
                <w:noProof/>
                <w:color w:val="000000"/>
                <w:sz w:val="14"/>
                <w:szCs w:val="16"/>
              </w:rPr>
              <w:t>-</w:t>
            </w:r>
          </w:p>
        </w:tc>
        <w:tc>
          <w:tcPr>
            <w:tcW w:w="594"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bCs/>
                <w:i/>
                <w:noProof/>
                <w:color w:val="000000"/>
                <w:sz w:val="14"/>
                <w:szCs w:val="16"/>
              </w:rPr>
            </w:pPr>
            <w:r>
              <w:rPr>
                <w:rFonts w:ascii="Verdana" w:hAnsi="Verdana"/>
                <w:bCs/>
                <w:i/>
                <w:noProof/>
                <w:color w:val="000000"/>
                <w:sz w:val="14"/>
                <w:szCs w:val="16"/>
              </w:rPr>
              <w:t>-</w:t>
            </w:r>
          </w:p>
        </w:tc>
        <w:tc>
          <w:tcPr>
            <w:tcW w:w="572"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i/>
                <w:iCs/>
                <w:noProof/>
                <w:color w:val="000000"/>
                <w:sz w:val="14"/>
                <w:szCs w:val="16"/>
              </w:rPr>
            </w:pPr>
            <w:r>
              <w:rPr>
                <w:rFonts w:ascii="Verdana" w:hAnsi="Verdana"/>
                <w:i/>
                <w:iCs/>
                <w:noProof/>
                <w:color w:val="000000"/>
                <w:sz w:val="14"/>
                <w:szCs w:val="16"/>
              </w:rPr>
              <w:t>-</w:t>
            </w:r>
          </w:p>
        </w:tc>
      </w:tr>
      <w:tr w:rsidR="00CC45FC">
        <w:trPr>
          <w:trHeight w:val="227"/>
        </w:trPr>
        <w:tc>
          <w:tcPr>
            <w:tcW w:w="907" w:type="pct"/>
            <w:tcBorders>
              <w:top w:val="nil"/>
              <w:left w:val="single" w:sz="8" w:space="0" w:color="auto"/>
              <w:bottom w:val="nil"/>
              <w:right w:val="single" w:sz="8" w:space="0" w:color="000000"/>
            </w:tcBorders>
            <w:shd w:val="clear" w:color="auto" w:fill="auto"/>
            <w:noWrap/>
            <w:vAlign w:val="center"/>
          </w:tcPr>
          <w:p w:rsidR="00CC45FC" w:rsidRDefault="004A7700">
            <w:pPr>
              <w:spacing w:after="0" w:line="240" w:lineRule="auto"/>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ERDF total</w:t>
            </w:r>
          </w:p>
        </w:tc>
        <w:tc>
          <w:tcPr>
            <w:tcW w:w="411"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Cs/>
                <w:noProof/>
                <w:color w:val="000000"/>
                <w:sz w:val="16"/>
                <w:szCs w:val="16"/>
                <w:lang w:eastAsia="en-GB"/>
              </w:rPr>
            </w:pPr>
            <w:r>
              <w:rPr>
                <w:rFonts w:ascii="Verdana" w:hAnsi="Verdana"/>
                <w:noProof/>
                <w:color w:val="000000"/>
                <w:sz w:val="16"/>
                <w:szCs w:val="16"/>
              </w:rPr>
              <w:t>1 342</w:t>
            </w:r>
          </w:p>
        </w:tc>
        <w:tc>
          <w:tcPr>
            <w:tcW w:w="412"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hAnsi="Verdana"/>
                <w:noProof/>
                <w:color w:val="000000"/>
                <w:sz w:val="16"/>
                <w:szCs w:val="16"/>
              </w:rPr>
              <w:t>5 794</w:t>
            </w:r>
          </w:p>
        </w:tc>
        <w:tc>
          <w:tcPr>
            <w:tcW w:w="418"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hAnsi="Verdana"/>
                <w:noProof/>
                <w:color w:val="000000"/>
                <w:sz w:val="16"/>
                <w:szCs w:val="16"/>
              </w:rPr>
              <w:t>2 664</w:t>
            </w:r>
          </w:p>
        </w:tc>
        <w:tc>
          <w:tcPr>
            <w:tcW w:w="552" w:type="pct"/>
            <w:tcBorders>
              <w:top w:val="nil"/>
              <w:left w:val="nil"/>
              <w:bottom w:val="nil"/>
              <w:right w:val="single" w:sz="8" w:space="0" w:color="auto"/>
            </w:tcBorders>
            <w:shd w:val="clear" w:color="auto" w:fill="auto"/>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N/A</w:t>
            </w:r>
          </w:p>
        </w:tc>
        <w:tc>
          <w:tcPr>
            <w:tcW w:w="586" w:type="pct"/>
            <w:tcBorders>
              <w:top w:val="nil"/>
              <w:left w:val="nil"/>
              <w:bottom w:val="nil"/>
              <w:right w:val="single" w:sz="8" w:space="0" w:color="auto"/>
            </w:tcBorders>
            <w:shd w:val="clear" w:color="auto" w:fill="auto"/>
            <w:noWrap/>
            <w:vAlign w:val="center"/>
          </w:tcPr>
          <w:p w:rsidR="00CC45FC" w:rsidRDefault="004A7700">
            <w:pPr>
              <w:spacing w:after="0"/>
              <w:jc w:val="right"/>
              <w:rPr>
                <w:rFonts w:ascii="Verdana" w:hAnsi="Verdana"/>
                <w:bCs/>
                <w:noProof/>
                <w:color w:val="000000"/>
                <w:sz w:val="16"/>
                <w:szCs w:val="16"/>
              </w:rPr>
            </w:pPr>
            <w:r>
              <w:rPr>
                <w:rFonts w:ascii="Verdana" w:hAnsi="Verdana"/>
                <w:noProof/>
                <w:color w:val="000000"/>
                <w:sz w:val="16"/>
                <w:szCs w:val="16"/>
              </w:rPr>
              <w:t>9 800</w:t>
            </w:r>
          </w:p>
        </w:tc>
        <w:tc>
          <w:tcPr>
            <w:tcW w:w="548"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i/>
                <w:iCs/>
                <w:noProof/>
                <w:color w:val="000000"/>
                <w:sz w:val="16"/>
                <w:szCs w:val="16"/>
              </w:rPr>
            </w:pPr>
            <w:r>
              <w:rPr>
                <w:rFonts w:ascii="Verdana" w:hAnsi="Verdana"/>
                <w:i/>
                <w:iCs/>
                <w:noProof/>
                <w:color w:val="000000"/>
                <w:sz w:val="16"/>
                <w:szCs w:val="16"/>
              </w:rPr>
              <w:t>92.1%</w:t>
            </w:r>
          </w:p>
        </w:tc>
        <w:tc>
          <w:tcPr>
            <w:tcW w:w="594"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bCs/>
                <w:noProof/>
                <w:color w:val="000000"/>
                <w:sz w:val="16"/>
                <w:szCs w:val="16"/>
              </w:rPr>
            </w:pPr>
            <w:r>
              <w:rPr>
                <w:rFonts w:ascii="Verdana" w:hAnsi="Verdana"/>
                <w:bCs/>
                <w:noProof/>
                <w:color w:val="000000"/>
                <w:sz w:val="16"/>
                <w:szCs w:val="16"/>
              </w:rPr>
              <w:t>8 973</w:t>
            </w:r>
          </w:p>
        </w:tc>
        <w:tc>
          <w:tcPr>
            <w:tcW w:w="572"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i/>
                <w:iCs/>
                <w:noProof/>
                <w:color w:val="000000"/>
                <w:sz w:val="16"/>
                <w:szCs w:val="16"/>
              </w:rPr>
            </w:pPr>
            <w:r>
              <w:rPr>
                <w:rFonts w:ascii="Verdana" w:hAnsi="Verdana"/>
                <w:i/>
                <w:iCs/>
                <w:noProof/>
                <w:color w:val="000000"/>
                <w:sz w:val="16"/>
                <w:szCs w:val="16"/>
              </w:rPr>
              <w:t>91.9%</w:t>
            </w:r>
          </w:p>
        </w:tc>
      </w:tr>
      <w:tr w:rsidR="00CC45FC">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4"/>
                <w:szCs w:val="16"/>
                <w:lang w:eastAsia="en-GB"/>
              </w:rPr>
            </w:pPr>
            <w:r>
              <w:rPr>
                <w:rFonts w:ascii="Verdana" w:eastAsia="Times New Roman" w:hAnsi="Verdana"/>
                <w:i/>
                <w:iCs/>
                <w:noProof/>
                <w:color w:val="000000"/>
                <w:sz w:val="14"/>
                <w:szCs w:val="16"/>
                <w:lang w:eastAsia="en-GB"/>
              </w:rPr>
              <w:t xml:space="preserve">    Cohesion Fund</w:t>
            </w:r>
          </w:p>
        </w:tc>
        <w:tc>
          <w:tcPr>
            <w:tcW w:w="411"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Cs/>
                <w:i/>
                <w:noProof/>
                <w:color w:val="000000"/>
                <w:sz w:val="14"/>
                <w:szCs w:val="16"/>
                <w:lang w:eastAsia="en-GB"/>
              </w:rPr>
            </w:pPr>
            <w:r>
              <w:rPr>
                <w:rFonts w:ascii="Verdana" w:hAnsi="Verdana"/>
                <w:i/>
                <w:noProof/>
                <w:color w:val="000000"/>
                <w:sz w:val="14"/>
                <w:szCs w:val="16"/>
              </w:rPr>
              <w:t>268</w:t>
            </w:r>
          </w:p>
        </w:tc>
        <w:tc>
          <w:tcPr>
            <w:tcW w:w="412"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i/>
                <w:noProof/>
                <w:color w:val="000000"/>
                <w:sz w:val="14"/>
                <w:szCs w:val="16"/>
                <w:lang w:eastAsia="en-GB"/>
              </w:rPr>
            </w:pPr>
            <w:r>
              <w:rPr>
                <w:rFonts w:ascii="Verdana" w:hAnsi="Verdana"/>
                <w:i/>
                <w:noProof/>
                <w:color w:val="000000"/>
                <w:sz w:val="14"/>
                <w:szCs w:val="16"/>
              </w:rPr>
              <w:t xml:space="preserve"> 842</w:t>
            </w:r>
          </w:p>
        </w:tc>
        <w:tc>
          <w:tcPr>
            <w:tcW w:w="418"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i/>
                <w:noProof/>
                <w:color w:val="000000"/>
                <w:sz w:val="14"/>
                <w:szCs w:val="16"/>
                <w:lang w:eastAsia="en-GB"/>
              </w:rPr>
            </w:pPr>
            <w:r>
              <w:rPr>
                <w:rFonts w:ascii="Verdana" w:hAnsi="Verdana"/>
                <w:i/>
                <w:noProof/>
                <w:color w:val="000000"/>
                <w:sz w:val="14"/>
                <w:szCs w:val="16"/>
              </w:rPr>
              <w:t xml:space="preserve"> 857</w:t>
            </w:r>
          </w:p>
        </w:tc>
        <w:tc>
          <w:tcPr>
            <w:tcW w:w="552" w:type="pct"/>
            <w:tcBorders>
              <w:top w:val="nil"/>
              <w:left w:val="nil"/>
              <w:bottom w:val="nil"/>
              <w:right w:val="single" w:sz="8" w:space="0" w:color="auto"/>
            </w:tcBorders>
            <w:shd w:val="clear" w:color="auto" w:fill="auto"/>
            <w:vAlign w:val="center"/>
          </w:tcPr>
          <w:p w:rsidR="00CC45FC" w:rsidRDefault="004A7700">
            <w:pPr>
              <w:spacing w:after="0" w:line="240" w:lineRule="auto"/>
              <w:jc w:val="right"/>
              <w:rPr>
                <w:rFonts w:ascii="Verdana" w:eastAsia="Times New Roman" w:hAnsi="Verdana"/>
                <w:i/>
                <w:noProof/>
                <w:color w:val="000000"/>
                <w:sz w:val="14"/>
                <w:szCs w:val="16"/>
                <w:lang w:eastAsia="en-GB"/>
              </w:rPr>
            </w:pPr>
            <w:r>
              <w:rPr>
                <w:rFonts w:ascii="Verdana" w:eastAsia="Times New Roman" w:hAnsi="Verdana"/>
                <w:i/>
                <w:noProof/>
                <w:color w:val="000000"/>
                <w:sz w:val="14"/>
                <w:szCs w:val="16"/>
                <w:lang w:eastAsia="en-GB"/>
              </w:rPr>
              <w:t>N/A</w:t>
            </w:r>
          </w:p>
        </w:tc>
        <w:tc>
          <w:tcPr>
            <w:tcW w:w="586" w:type="pct"/>
            <w:tcBorders>
              <w:top w:val="nil"/>
              <w:left w:val="nil"/>
              <w:bottom w:val="nil"/>
              <w:right w:val="single" w:sz="8" w:space="0" w:color="auto"/>
            </w:tcBorders>
            <w:shd w:val="clear" w:color="auto" w:fill="auto"/>
            <w:noWrap/>
            <w:vAlign w:val="center"/>
          </w:tcPr>
          <w:p w:rsidR="00CC45FC" w:rsidRDefault="004A7700">
            <w:pPr>
              <w:spacing w:after="0"/>
              <w:jc w:val="right"/>
              <w:rPr>
                <w:rFonts w:ascii="Verdana" w:hAnsi="Verdana"/>
                <w:bCs/>
                <w:i/>
                <w:noProof/>
                <w:color w:val="000000"/>
                <w:sz w:val="14"/>
                <w:szCs w:val="16"/>
              </w:rPr>
            </w:pPr>
            <w:r>
              <w:rPr>
                <w:rFonts w:ascii="Verdana" w:hAnsi="Verdana"/>
                <w:i/>
                <w:noProof/>
                <w:color w:val="000000"/>
                <w:sz w:val="14"/>
                <w:szCs w:val="16"/>
              </w:rPr>
              <w:t>1 968</w:t>
            </w:r>
          </w:p>
        </w:tc>
        <w:tc>
          <w:tcPr>
            <w:tcW w:w="548"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i/>
                <w:iCs/>
                <w:noProof/>
                <w:color w:val="000000"/>
                <w:sz w:val="14"/>
                <w:szCs w:val="16"/>
              </w:rPr>
            </w:pPr>
            <w:r>
              <w:rPr>
                <w:rFonts w:ascii="Verdana" w:hAnsi="Verdana"/>
                <w:i/>
                <w:iCs/>
                <w:noProof/>
                <w:color w:val="000000"/>
                <w:sz w:val="14"/>
                <w:szCs w:val="16"/>
              </w:rPr>
              <w:t>99.9%</w:t>
            </w:r>
          </w:p>
        </w:tc>
        <w:tc>
          <w:tcPr>
            <w:tcW w:w="594"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bCs/>
                <w:i/>
                <w:noProof/>
                <w:color w:val="000000"/>
                <w:sz w:val="14"/>
                <w:szCs w:val="16"/>
              </w:rPr>
            </w:pPr>
            <w:r>
              <w:rPr>
                <w:rFonts w:ascii="Verdana" w:hAnsi="Verdana"/>
                <w:bCs/>
                <w:i/>
                <w:noProof/>
                <w:color w:val="000000"/>
                <w:sz w:val="14"/>
                <w:szCs w:val="16"/>
              </w:rPr>
              <w:t>1 496</w:t>
            </w:r>
          </w:p>
        </w:tc>
        <w:tc>
          <w:tcPr>
            <w:tcW w:w="572"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i/>
                <w:iCs/>
                <w:noProof/>
                <w:color w:val="000000"/>
                <w:sz w:val="14"/>
                <w:szCs w:val="16"/>
              </w:rPr>
            </w:pPr>
            <w:r>
              <w:rPr>
                <w:rFonts w:ascii="Verdana" w:hAnsi="Verdana"/>
                <w:i/>
                <w:iCs/>
                <w:noProof/>
                <w:color w:val="000000"/>
                <w:sz w:val="14"/>
                <w:szCs w:val="16"/>
              </w:rPr>
              <w:t>88.7%</w:t>
            </w:r>
          </w:p>
        </w:tc>
      </w:tr>
      <w:tr w:rsidR="00CC45FC">
        <w:trPr>
          <w:trHeight w:val="227"/>
        </w:trPr>
        <w:tc>
          <w:tcPr>
            <w:tcW w:w="907" w:type="pct"/>
            <w:tcBorders>
              <w:top w:val="nil"/>
              <w:left w:val="single" w:sz="8" w:space="0" w:color="auto"/>
              <w:bottom w:val="nil"/>
              <w:right w:val="single" w:sz="8" w:space="0" w:color="000000"/>
            </w:tcBorders>
            <w:shd w:val="clear" w:color="auto" w:fill="auto"/>
            <w:noWrap/>
            <w:vAlign w:val="center"/>
          </w:tcPr>
          <w:p w:rsidR="00CC45FC" w:rsidRDefault="004A7700">
            <w:pPr>
              <w:spacing w:after="0" w:line="240" w:lineRule="auto"/>
              <w:jc w:val="both"/>
              <w:rPr>
                <w:rFonts w:ascii="Verdana" w:eastAsia="Times New Roman" w:hAnsi="Verdana"/>
                <w:i/>
                <w:iCs/>
                <w:noProof/>
                <w:color w:val="000000"/>
                <w:sz w:val="14"/>
                <w:szCs w:val="16"/>
                <w:lang w:eastAsia="en-GB"/>
              </w:rPr>
            </w:pPr>
            <w:r>
              <w:rPr>
                <w:rFonts w:ascii="Verdana" w:eastAsia="Times New Roman" w:hAnsi="Verdana"/>
                <w:i/>
                <w:iCs/>
                <w:noProof/>
                <w:color w:val="000000"/>
                <w:sz w:val="14"/>
                <w:szCs w:val="16"/>
                <w:lang w:eastAsia="en-GB"/>
              </w:rPr>
              <w:t xml:space="preserve">    Court of Justice</w:t>
            </w:r>
          </w:p>
          <w:p w:rsidR="00CC45FC" w:rsidRDefault="004A7700">
            <w:pPr>
              <w:spacing w:after="0" w:line="240" w:lineRule="auto"/>
              <w:jc w:val="both"/>
              <w:rPr>
                <w:rFonts w:ascii="Verdana" w:eastAsia="Times New Roman" w:hAnsi="Verdana"/>
                <w:i/>
                <w:iCs/>
                <w:noProof/>
                <w:color w:val="000000"/>
                <w:sz w:val="14"/>
                <w:szCs w:val="16"/>
                <w:lang w:eastAsia="en-GB"/>
              </w:rPr>
            </w:pPr>
            <w:r>
              <w:rPr>
                <w:rFonts w:ascii="Verdana" w:eastAsia="Times New Roman" w:hAnsi="Verdana"/>
                <w:i/>
                <w:iCs/>
                <w:noProof/>
                <w:color w:val="000000"/>
                <w:sz w:val="14"/>
                <w:szCs w:val="16"/>
                <w:lang w:eastAsia="en-GB"/>
              </w:rPr>
              <w:t xml:space="preserve">    judgements</w:t>
            </w:r>
          </w:p>
        </w:tc>
        <w:tc>
          <w:tcPr>
            <w:tcW w:w="411"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Cs/>
                <w:i/>
                <w:noProof/>
                <w:color w:val="000000"/>
                <w:sz w:val="14"/>
                <w:szCs w:val="16"/>
                <w:lang w:eastAsia="en-GB"/>
              </w:rPr>
            </w:pPr>
            <w:r>
              <w:rPr>
                <w:rFonts w:ascii="Verdana" w:hAnsi="Verdana"/>
                <w:i/>
                <w:noProof/>
                <w:color w:val="000000"/>
                <w:sz w:val="14"/>
                <w:szCs w:val="16"/>
              </w:rPr>
              <w:t>0</w:t>
            </w:r>
          </w:p>
        </w:tc>
        <w:tc>
          <w:tcPr>
            <w:tcW w:w="412"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i/>
                <w:noProof/>
                <w:color w:val="000000"/>
                <w:sz w:val="14"/>
                <w:szCs w:val="16"/>
                <w:lang w:eastAsia="en-GB"/>
              </w:rPr>
            </w:pPr>
            <w:r>
              <w:rPr>
                <w:rFonts w:ascii="Verdana" w:hAnsi="Verdana"/>
                <w:i/>
                <w:noProof/>
                <w:color w:val="000000"/>
                <w:sz w:val="14"/>
                <w:szCs w:val="16"/>
              </w:rPr>
              <w:t>(9)</w:t>
            </w:r>
          </w:p>
        </w:tc>
        <w:tc>
          <w:tcPr>
            <w:tcW w:w="418"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i/>
                <w:noProof/>
                <w:color w:val="000000"/>
                <w:sz w:val="14"/>
                <w:szCs w:val="16"/>
                <w:lang w:eastAsia="en-GB"/>
              </w:rPr>
            </w:pPr>
            <w:r>
              <w:rPr>
                <w:rFonts w:ascii="Verdana" w:hAnsi="Verdana"/>
                <w:i/>
                <w:noProof/>
                <w:color w:val="000000"/>
                <w:sz w:val="14"/>
                <w:szCs w:val="16"/>
              </w:rPr>
              <w:t xml:space="preserve"> 0</w:t>
            </w:r>
          </w:p>
        </w:tc>
        <w:tc>
          <w:tcPr>
            <w:tcW w:w="552" w:type="pct"/>
            <w:tcBorders>
              <w:top w:val="nil"/>
              <w:left w:val="nil"/>
              <w:bottom w:val="nil"/>
              <w:right w:val="single" w:sz="8" w:space="0" w:color="auto"/>
            </w:tcBorders>
            <w:shd w:val="clear" w:color="auto" w:fill="auto"/>
            <w:vAlign w:val="center"/>
          </w:tcPr>
          <w:p w:rsidR="00CC45FC" w:rsidRDefault="004A7700">
            <w:pPr>
              <w:spacing w:after="0" w:line="240" w:lineRule="auto"/>
              <w:jc w:val="right"/>
              <w:rPr>
                <w:rFonts w:ascii="Verdana" w:eastAsia="Times New Roman" w:hAnsi="Verdana"/>
                <w:i/>
                <w:noProof/>
                <w:color w:val="000000"/>
                <w:sz w:val="14"/>
                <w:szCs w:val="16"/>
                <w:lang w:eastAsia="en-GB"/>
              </w:rPr>
            </w:pPr>
            <w:r>
              <w:rPr>
                <w:rFonts w:ascii="Verdana" w:eastAsia="Times New Roman" w:hAnsi="Verdana"/>
                <w:i/>
                <w:noProof/>
                <w:color w:val="000000"/>
                <w:sz w:val="14"/>
                <w:szCs w:val="16"/>
                <w:lang w:eastAsia="en-GB"/>
              </w:rPr>
              <w:t>N/A</w:t>
            </w:r>
          </w:p>
        </w:tc>
        <w:tc>
          <w:tcPr>
            <w:tcW w:w="586" w:type="pct"/>
            <w:tcBorders>
              <w:top w:val="nil"/>
              <w:left w:val="nil"/>
              <w:bottom w:val="nil"/>
              <w:right w:val="single" w:sz="8" w:space="0" w:color="auto"/>
            </w:tcBorders>
            <w:shd w:val="clear" w:color="auto" w:fill="auto"/>
            <w:noWrap/>
            <w:vAlign w:val="center"/>
          </w:tcPr>
          <w:p w:rsidR="00CC45FC" w:rsidRDefault="004A7700">
            <w:pPr>
              <w:spacing w:after="0"/>
              <w:jc w:val="right"/>
              <w:rPr>
                <w:rFonts w:ascii="Verdana" w:hAnsi="Verdana"/>
                <w:bCs/>
                <w:i/>
                <w:noProof/>
                <w:color w:val="000000"/>
                <w:sz w:val="14"/>
                <w:szCs w:val="16"/>
              </w:rPr>
            </w:pPr>
            <w:r>
              <w:rPr>
                <w:rFonts w:ascii="Verdana" w:hAnsi="Verdana"/>
                <w:i/>
                <w:noProof/>
                <w:color w:val="000000"/>
                <w:sz w:val="14"/>
                <w:szCs w:val="16"/>
              </w:rPr>
              <w:t>(9)</w:t>
            </w:r>
          </w:p>
        </w:tc>
        <w:tc>
          <w:tcPr>
            <w:tcW w:w="548"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i/>
                <w:iCs/>
                <w:noProof/>
                <w:color w:val="000000"/>
                <w:sz w:val="14"/>
                <w:szCs w:val="16"/>
              </w:rPr>
            </w:pPr>
            <w:r>
              <w:rPr>
                <w:rFonts w:ascii="Verdana" w:hAnsi="Verdana"/>
                <w:i/>
                <w:iCs/>
                <w:noProof/>
                <w:color w:val="000000"/>
                <w:sz w:val="14"/>
                <w:szCs w:val="16"/>
              </w:rPr>
              <w:t>-</w:t>
            </w:r>
          </w:p>
        </w:tc>
        <w:tc>
          <w:tcPr>
            <w:tcW w:w="594"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bCs/>
                <w:i/>
                <w:noProof/>
                <w:color w:val="000000"/>
                <w:sz w:val="14"/>
                <w:szCs w:val="16"/>
              </w:rPr>
            </w:pPr>
            <w:r>
              <w:rPr>
                <w:rFonts w:ascii="Verdana" w:hAnsi="Verdana"/>
                <w:bCs/>
                <w:i/>
                <w:noProof/>
                <w:color w:val="000000"/>
                <w:sz w:val="14"/>
                <w:szCs w:val="16"/>
              </w:rPr>
              <w:t>-</w:t>
            </w:r>
          </w:p>
        </w:tc>
        <w:tc>
          <w:tcPr>
            <w:tcW w:w="572"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i/>
                <w:iCs/>
                <w:noProof/>
                <w:color w:val="000000"/>
                <w:sz w:val="14"/>
                <w:szCs w:val="16"/>
              </w:rPr>
            </w:pPr>
            <w:r>
              <w:rPr>
                <w:rFonts w:ascii="Verdana" w:hAnsi="Verdana"/>
                <w:i/>
                <w:iCs/>
                <w:noProof/>
                <w:color w:val="000000"/>
                <w:sz w:val="14"/>
                <w:szCs w:val="16"/>
              </w:rPr>
              <w:t>-</w:t>
            </w:r>
          </w:p>
        </w:tc>
      </w:tr>
      <w:tr w:rsidR="00CC45FC">
        <w:trPr>
          <w:trHeight w:val="227"/>
        </w:trPr>
        <w:tc>
          <w:tcPr>
            <w:tcW w:w="907" w:type="pct"/>
            <w:tcBorders>
              <w:top w:val="nil"/>
              <w:left w:val="single" w:sz="8" w:space="0" w:color="auto"/>
              <w:bottom w:val="nil"/>
              <w:right w:val="single" w:sz="8" w:space="0" w:color="000000"/>
            </w:tcBorders>
            <w:shd w:val="clear" w:color="auto" w:fill="auto"/>
            <w:noWrap/>
            <w:vAlign w:val="center"/>
          </w:tcPr>
          <w:p w:rsidR="00CC45FC" w:rsidRDefault="004A7700">
            <w:pPr>
              <w:spacing w:after="0" w:line="240" w:lineRule="auto"/>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Cohesion fund total</w:t>
            </w:r>
          </w:p>
        </w:tc>
        <w:tc>
          <w:tcPr>
            <w:tcW w:w="411"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Cs/>
                <w:noProof/>
                <w:color w:val="000000"/>
                <w:sz w:val="16"/>
                <w:szCs w:val="16"/>
                <w:lang w:eastAsia="en-GB"/>
              </w:rPr>
            </w:pPr>
            <w:r>
              <w:rPr>
                <w:rFonts w:ascii="Verdana" w:eastAsia="Times New Roman" w:hAnsi="Verdana"/>
                <w:bCs/>
                <w:noProof/>
                <w:color w:val="000000"/>
                <w:sz w:val="16"/>
                <w:szCs w:val="16"/>
                <w:lang w:eastAsia="en-GB"/>
              </w:rPr>
              <w:t>268</w:t>
            </w:r>
          </w:p>
        </w:tc>
        <w:tc>
          <w:tcPr>
            <w:tcW w:w="412"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833</w:t>
            </w:r>
          </w:p>
        </w:tc>
        <w:tc>
          <w:tcPr>
            <w:tcW w:w="418"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857</w:t>
            </w:r>
          </w:p>
        </w:tc>
        <w:tc>
          <w:tcPr>
            <w:tcW w:w="552" w:type="pct"/>
            <w:tcBorders>
              <w:top w:val="nil"/>
              <w:left w:val="nil"/>
              <w:bottom w:val="nil"/>
              <w:right w:val="single" w:sz="8" w:space="0" w:color="auto"/>
            </w:tcBorders>
            <w:shd w:val="clear" w:color="auto" w:fill="auto"/>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N/A</w:t>
            </w:r>
          </w:p>
        </w:tc>
        <w:tc>
          <w:tcPr>
            <w:tcW w:w="586" w:type="pct"/>
            <w:tcBorders>
              <w:top w:val="nil"/>
              <w:left w:val="nil"/>
              <w:bottom w:val="nil"/>
              <w:right w:val="single" w:sz="8" w:space="0" w:color="auto"/>
            </w:tcBorders>
            <w:shd w:val="clear" w:color="auto" w:fill="auto"/>
            <w:noWrap/>
            <w:vAlign w:val="center"/>
          </w:tcPr>
          <w:p w:rsidR="00CC45FC" w:rsidRDefault="004A7700">
            <w:pPr>
              <w:spacing w:after="0"/>
              <w:jc w:val="right"/>
              <w:rPr>
                <w:rFonts w:ascii="Verdana" w:hAnsi="Verdana"/>
                <w:bCs/>
                <w:noProof/>
                <w:color w:val="000000"/>
                <w:sz w:val="16"/>
                <w:szCs w:val="16"/>
              </w:rPr>
            </w:pPr>
            <w:r>
              <w:rPr>
                <w:rFonts w:ascii="Verdana" w:hAnsi="Verdana"/>
                <w:noProof/>
                <w:color w:val="000000"/>
                <w:sz w:val="16"/>
                <w:szCs w:val="16"/>
              </w:rPr>
              <w:t>1 958</w:t>
            </w:r>
          </w:p>
        </w:tc>
        <w:tc>
          <w:tcPr>
            <w:tcW w:w="548"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i/>
                <w:iCs/>
                <w:noProof/>
                <w:color w:val="000000"/>
                <w:sz w:val="16"/>
                <w:szCs w:val="16"/>
              </w:rPr>
            </w:pPr>
            <w:r>
              <w:rPr>
                <w:rFonts w:ascii="Verdana" w:hAnsi="Verdana"/>
                <w:i/>
                <w:iCs/>
                <w:noProof/>
                <w:color w:val="000000"/>
                <w:sz w:val="16"/>
                <w:szCs w:val="16"/>
              </w:rPr>
              <w:t>97.6%</w:t>
            </w:r>
          </w:p>
        </w:tc>
        <w:tc>
          <w:tcPr>
            <w:tcW w:w="594"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bCs/>
                <w:noProof/>
                <w:color w:val="000000"/>
                <w:sz w:val="16"/>
                <w:szCs w:val="16"/>
              </w:rPr>
            </w:pPr>
            <w:r>
              <w:rPr>
                <w:rFonts w:ascii="Verdana" w:hAnsi="Verdana"/>
                <w:bCs/>
                <w:noProof/>
                <w:color w:val="000000"/>
                <w:sz w:val="16"/>
                <w:szCs w:val="16"/>
              </w:rPr>
              <w:t>1 496</w:t>
            </w:r>
          </w:p>
        </w:tc>
        <w:tc>
          <w:tcPr>
            <w:tcW w:w="572"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i/>
                <w:iCs/>
                <w:noProof/>
                <w:color w:val="000000"/>
                <w:sz w:val="16"/>
                <w:szCs w:val="16"/>
              </w:rPr>
            </w:pPr>
            <w:r>
              <w:rPr>
                <w:rFonts w:ascii="Verdana" w:hAnsi="Verdana"/>
                <w:i/>
                <w:iCs/>
                <w:noProof/>
                <w:color w:val="000000"/>
                <w:sz w:val="16"/>
                <w:szCs w:val="16"/>
              </w:rPr>
              <w:t>88.7%</w:t>
            </w:r>
          </w:p>
        </w:tc>
      </w:tr>
      <w:tr w:rsidR="00CC45FC">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ESF</w:t>
            </w:r>
          </w:p>
        </w:tc>
        <w:tc>
          <w:tcPr>
            <w:tcW w:w="411"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Cs/>
                <w:noProof/>
                <w:color w:val="000000"/>
                <w:sz w:val="16"/>
                <w:szCs w:val="16"/>
                <w:lang w:eastAsia="en-GB"/>
              </w:rPr>
            </w:pPr>
            <w:r>
              <w:rPr>
                <w:rFonts w:ascii="Verdana" w:eastAsia="Times New Roman" w:hAnsi="Verdana"/>
                <w:bCs/>
                <w:noProof/>
                <w:color w:val="000000"/>
                <w:sz w:val="16"/>
                <w:szCs w:val="16"/>
                <w:lang w:eastAsia="en-GB"/>
              </w:rPr>
              <w:t>560</w:t>
            </w:r>
          </w:p>
        </w:tc>
        <w:tc>
          <w:tcPr>
            <w:tcW w:w="412"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1 990</w:t>
            </w:r>
          </w:p>
        </w:tc>
        <w:tc>
          <w:tcPr>
            <w:tcW w:w="418"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1 198</w:t>
            </w:r>
          </w:p>
        </w:tc>
        <w:tc>
          <w:tcPr>
            <w:tcW w:w="552" w:type="pct"/>
            <w:tcBorders>
              <w:top w:val="nil"/>
              <w:left w:val="nil"/>
              <w:bottom w:val="nil"/>
              <w:right w:val="single" w:sz="8" w:space="0" w:color="auto"/>
            </w:tcBorders>
            <w:shd w:val="clear" w:color="auto" w:fill="auto"/>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N/A</w:t>
            </w:r>
          </w:p>
        </w:tc>
        <w:tc>
          <w:tcPr>
            <w:tcW w:w="586" w:type="pct"/>
            <w:tcBorders>
              <w:top w:val="nil"/>
              <w:left w:val="nil"/>
              <w:bottom w:val="nil"/>
              <w:right w:val="single" w:sz="8" w:space="0" w:color="auto"/>
            </w:tcBorders>
            <w:shd w:val="clear" w:color="auto" w:fill="auto"/>
            <w:noWrap/>
            <w:vAlign w:val="center"/>
          </w:tcPr>
          <w:p w:rsidR="00CC45FC" w:rsidRDefault="004A7700">
            <w:pPr>
              <w:spacing w:after="0"/>
              <w:jc w:val="right"/>
              <w:rPr>
                <w:rFonts w:ascii="Verdana" w:hAnsi="Verdana"/>
                <w:bCs/>
                <w:noProof/>
                <w:color w:val="000000"/>
                <w:sz w:val="16"/>
                <w:szCs w:val="16"/>
              </w:rPr>
            </w:pPr>
            <w:r>
              <w:rPr>
                <w:rFonts w:ascii="Verdana" w:hAnsi="Verdana"/>
                <w:bCs/>
                <w:noProof/>
                <w:color w:val="000000"/>
                <w:sz w:val="16"/>
                <w:szCs w:val="16"/>
              </w:rPr>
              <w:t>3 748</w:t>
            </w:r>
          </w:p>
        </w:tc>
        <w:tc>
          <w:tcPr>
            <w:tcW w:w="548"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noProof/>
                <w:color w:val="000000"/>
                <w:sz w:val="16"/>
                <w:szCs w:val="16"/>
                <w:lang w:val="pt-PT"/>
              </w:rPr>
            </w:pPr>
            <w:r>
              <w:rPr>
                <w:rFonts w:ascii="Verdana" w:hAnsi="Verdana"/>
                <w:noProof/>
                <w:color w:val="000000"/>
                <w:sz w:val="16"/>
                <w:szCs w:val="16"/>
                <w:lang w:val="pt-PT"/>
              </w:rPr>
              <w:t>98.4%</w:t>
            </w:r>
          </w:p>
        </w:tc>
        <w:tc>
          <w:tcPr>
            <w:tcW w:w="594"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bCs/>
                <w:noProof/>
                <w:color w:val="000000"/>
                <w:sz w:val="16"/>
                <w:szCs w:val="16"/>
                <w:lang w:val="pt-PT"/>
              </w:rPr>
            </w:pPr>
            <w:r>
              <w:rPr>
                <w:rFonts w:ascii="Verdana" w:hAnsi="Verdana"/>
                <w:bCs/>
                <w:noProof/>
                <w:color w:val="000000"/>
                <w:sz w:val="16"/>
                <w:szCs w:val="16"/>
                <w:lang w:val="pt-PT"/>
              </w:rPr>
              <w:t>3 399</w:t>
            </w:r>
          </w:p>
        </w:tc>
        <w:tc>
          <w:tcPr>
            <w:tcW w:w="572"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noProof/>
                <w:color w:val="000000"/>
                <w:sz w:val="16"/>
                <w:szCs w:val="16"/>
                <w:lang w:val="pt-PT"/>
              </w:rPr>
            </w:pPr>
            <w:r>
              <w:rPr>
                <w:rFonts w:ascii="Verdana" w:hAnsi="Verdana"/>
                <w:noProof/>
                <w:color w:val="000000"/>
                <w:sz w:val="16"/>
                <w:szCs w:val="16"/>
                <w:lang w:val="pt-PT"/>
              </w:rPr>
              <w:t>96.5%</w:t>
            </w:r>
          </w:p>
        </w:tc>
      </w:tr>
      <w:tr w:rsidR="00CC45FC">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6"/>
                <w:szCs w:val="16"/>
                <w:lang w:val="pt-PT" w:eastAsia="en-GB"/>
              </w:rPr>
            </w:pPr>
            <w:r>
              <w:rPr>
                <w:rFonts w:ascii="Verdana" w:eastAsia="Times New Roman" w:hAnsi="Verdana"/>
                <w:i/>
                <w:iCs/>
                <w:noProof/>
                <w:color w:val="000000"/>
                <w:sz w:val="16"/>
                <w:szCs w:val="16"/>
                <w:lang w:val="pt-PT" w:eastAsia="en-GB"/>
              </w:rPr>
              <w:t>FIFG/EFF</w:t>
            </w:r>
          </w:p>
        </w:tc>
        <w:tc>
          <w:tcPr>
            <w:tcW w:w="411"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Cs/>
                <w:noProof/>
                <w:color w:val="000000"/>
                <w:sz w:val="16"/>
                <w:szCs w:val="16"/>
                <w:lang w:val="pt-PT" w:eastAsia="en-GB"/>
              </w:rPr>
            </w:pPr>
            <w:r>
              <w:rPr>
                <w:rFonts w:ascii="Verdana" w:eastAsia="Times New Roman" w:hAnsi="Verdana"/>
                <w:bCs/>
                <w:noProof/>
                <w:color w:val="000000"/>
                <w:sz w:val="16"/>
                <w:szCs w:val="16"/>
                <w:lang w:val="pt-PT" w:eastAsia="en-GB"/>
              </w:rPr>
              <w:t>100</w:t>
            </w:r>
          </w:p>
        </w:tc>
        <w:tc>
          <w:tcPr>
            <w:tcW w:w="412"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val="pt-PT" w:eastAsia="en-GB"/>
              </w:rPr>
            </w:pPr>
            <w:r>
              <w:rPr>
                <w:rFonts w:ascii="Verdana" w:eastAsia="Times New Roman" w:hAnsi="Verdana"/>
                <w:noProof/>
                <w:color w:val="000000"/>
                <w:sz w:val="16"/>
                <w:szCs w:val="16"/>
                <w:lang w:val="pt-PT" w:eastAsia="en-GB"/>
              </w:rPr>
              <w:t>127</w:t>
            </w:r>
          </w:p>
        </w:tc>
        <w:tc>
          <w:tcPr>
            <w:tcW w:w="418"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val="pt-PT" w:eastAsia="en-GB"/>
              </w:rPr>
            </w:pPr>
            <w:r>
              <w:rPr>
                <w:rFonts w:ascii="Verdana" w:eastAsia="Times New Roman" w:hAnsi="Verdana"/>
                <w:noProof/>
                <w:color w:val="000000"/>
                <w:sz w:val="16"/>
                <w:szCs w:val="16"/>
                <w:lang w:val="pt-PT" w:eastAsia="en-GB"/>
              </w:rPr>
              <w:t>29</w:t>
            </w:r>
          </w:p>
        </w:tc>
        <w:tc>
          <w:tcPr>
            <w:tcW w:w="552" w:type="pct"/>
            <w:tcBorders>
              <w:top w:val="nil"/>
              <w:left w:val="nil"/>
              <w:bottom w:val="nil"/>
              <w:right w:val="single" w:sz="8" w:space="0" w:color="auto"/>
            </w:tcBorders>
            <w:shd w:val="clear" w:color="auto" w:fill="auto"/>
            <w:vAlign w:val="center"/>
          </w:tcPr>
          <w:p w:rsidR="00CC45FC" w:rsidRDefault="004A7700">
            <w:pPr>
              <w:spacing w:after="0" w:line="240" w:lineRule="auto"/>
              <w:jc w:val="right"/>
              <w:rPr>
                <w:rFonts w:ascii="Verdana" w:eastAsia="Times New Roman" w:hAnsi="Verdana"/>
                <w:noProof/>
                <w:color w:val="000000"/>
                <w:sz w:val="16"/>
                <w:szCs w:val="16"/>
                <w:lang w:val="pt-PT" w:eastAsia="en-GB"/>
              </w:rPr>
            </w:pPr>
            <w:r>
              <w:rPr>
                <w:rFonts w:ascii="Verdana" w:eastAsia="Times New Roman" w:hAnsi="Verdana"/>
                <w:noProof/>
                <w:color w:val="000000"/>
                <w:sz w:val="16"/>
                <w:szCs w:val="16"/>
                <w:lang w:val="pt-PT" w:eastAsia="en-GB"/>
              </w:rPr>
              <w:t>N/A</w:t>
            </w:r>
          </w:p>
        </w:tc>
        <w:tc>
          <w:tcPr>
            <w:tcW w:w="586" w:type="pct"/>
            <w:tcBorders>
              <w:top w:val="nil"/>
              <w:left w:val="nil"/>
              <w:bottom w:val="nil"/>
              <w:right w:val="single" w:sz="8" w:space="0" w:color="auto"/>
            </w:tcBorders>
            <w:shd w:val="clear" w:color="auto" w:fill="auto"/>
            <w:noWrap/>
            <w:vAlign w:val="center"/>
          </w:tcPr>
          <w:p w:rsidR="00CC45FC" w:rsidRDefault="004A7700">
            <w:pPr>
              <w:spacing w:after="0"/>
              <w:jc w:val="right"/>
              <w:rPr>
                <w:rFonts w:ascii="Verdana" w:hAnsi="Verdana"/>
                <w:bCs/>
                <w:noProof/>
                <w:color w:val="000000"/>
                <w:sz w:val="16"/>
                <w:szCs w:val="16"/>
                <w:lang w:val="pt-PT"/>
              </w:rPr>
            </w:pPr>
            <w:r>
              <w:rPr>
                <w:rFonts w:ascii="Verdana" w:hAnsi="Verdana"/>
                <w:bCs/>
                <w:noProof/>
                <w:color w:val="000000"/>
                <w:sz w:val="16"/>
                <w:szCs w:val="16"/>
                <w:lang w:val="pt-PT"/>
              </w:rPr>
              <w:t>256</w:t>
            </w:r>
          </w:p>
        </w:tc>
        <w:tc>
          <w:tcPr>
            <w:tcW w:w="548"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noProof/>
                <w:color w:val="000000"/>
                <w:sz w:val="16"/>
                <w:szCs w:val="16"/>
                <w:lang w:val="pt-PT"/>
              </w:rPr>
            </w:pPr>
            <w:r>
              <w:rPr>
                <w:rFonts w:ascii="Verdana" w:hAnsi="Verdana"/>
                <w:noProof/>
                <w:color w:val="000000"/>
                <w:sz w:val="16"/>
                <w:szCs w:val="16"/>
                <w:lang w:val="pt-PT"/>
              </w:rPr>
              <w:t>63.0%</w:t>
            </w:r>
          </w:p>
        </w:tc>
        <w:tc>
          <w:tcPr>
            <w:tcW w:w="594"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bCs/>
                <w:noProof/>
                <w:color w:val="000000"/>
                <w:sz w:val="16"/>
                <w:szCs w:val="16"/>
                <w:lang w:val="pt-PT"/>
              </w:rPr>
            </w:pPr>
            <w:r>
              <w:rPr>
                <w:rFonts w:ascii="Verdana" w:hAnsi="Verdana"/>
                <w:bCs/>
                <w:noProof/>
                <w:color w:val="000000"/>
                <w:sz w:val="16"/>
                <w:szCs w:val="16"/>
                <w:lang w:val="pt-PT"/>
              </w:rPr>
              <w:t>250</w:t>
            </w:r>
          </w:p>
        </w:tc>
        <w:tc>
          <w:tcPr>
            <w:tcW w:w="572"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noProof/>
                <w:color w:val="000000"/>
                <w:sz w:val="16"/>
                <w:szCs w:val="16"/>
                <w:lang w:val="pt-PT"/>
              </w:rPr>
            </w:pPr>
            <w:r>
              <w:rPr>
                <w:rFonts w:ascii="Verdana" w:hAnsi="Verdana"/>
                <w:noProof/>
                <w:color w:val="000000"/>
                <w:sz w:val="16"/>
                <w:szCs w:val="16"/>
                <w:lang w:val="pt-PT"/>
              </w:rPr>
              <w:t>60.4%</w:t>
            </w:r>
          </w:p>
        </w:tc>
      </w:tr>
      <w:tr w:rsidR="00CC45FC">
        <w:trPr>
          <w:trHeight w:val="227"/>
        </w:trPr>
        <w:tc>
          <w:tcPr>
            <w:tcW w:w="907" w:type="pct"/>
            <w:tcBorders>
              <w:top w:val="nil"/>
              <w:left w:val="single" w:sz="8" w:space="0" w:color="auto"/>
              <w:bottom w:val="nil"/>
              <w:right w:val="single" w:sz="8" w:space="0" w:color="000000"/>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6"/>
                <w:szCs w:val="16"/>
                <w:lang w:val="pt-PT" w:eastAsia="en-GB"/>
              </w:rPr>
            </w:pPr>
            <w:r>
              <w:rPr>
                <w:rFonts w:ascii="Verdana" w:eastAsia="Times New Roman" w:hAnsi="Verdana"/>
                <w:i/>
                <w:iCs/>
                <w:noProof/>
                <w:color w:val="000000"/>
                <w:sz w:val="16"/>
                <w:szCs w:val="16"/>
                <w:lang w:val="pt-PT" w:eastAsia="en-GB"/>
              </w:rPr>
              <w:t>EAGGF Guidance</w:t>
            </w:r>
          </w:p>
        </w:tc>
        <w:tc>
          <w:tcPr>
            <w:tcW w:w="411"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Cs/>
                <w:noProof/>
                <w:color w:val="000000"/>
                <w:sz w:val="16"/>
                <w:szCs w:val="16"/>
                <w:lang w:val="pt-PT" w:eastAsia="en-GB"/>
              </w:rPr>
            </w:pPr>
            <w:r>
              <w:rPr>
                <w:rFonts w:ascii="Verdana" w:eastAsia="Times New Roman" w:hAnsi="Verdana"/>
                <w:bCs/>
                <w:noProof/>
                <w:color w:val="000000"/>
                <w:sz w:val="16"/>
                <w:szCs w:val="16"/>
                <w:lang w:val="pt-PT" w:eastAsia="en-GB"/>
              </w:rPr>
              <w:t>3</w:t>
            </w:r>
          </w:p>
        </w:tc>
        <w:tc>
          <w:tcPr>
            <w:tcW w:w="412"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val="pt-PT" w:eastAsia="en-GB"/>
              </w:rPr>
            </w:pPr>
            <w:r>
              <w:rPr>
                <w:rFonts w:ascii="Verdana" w:eastAsia="Times New Roman" w:hAnsi="Verdana"/>
                <w:noProof/>
                <w:color w:val="000000"/>
                <w:sz w:val="16"/>
                <w:szCs w:val="16"/>
                <w:lang w:val="pt-PT" w:eastAsia="en-GB"/>
              </w:rPr>
              <w:t>178</w:t>
            </w:r>
          </w:p>
        </w:tc>
        <w:tc>
          <w:tcPr>
            <w:tcW w:w="418" w:type="pct"/>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val="pt-PT" w:eastAsia="en-GB"/>
              </w:rPr>
            </w:pPr>
            <w:r>
              <w:rPr>
                <w:rFonts w:ascii="Verdana" w:eastAsia="Times New Roman" w:hAnsi="Verdana"/>
                <w:noProof/>
                <w:color w:val="000000"/>
                <w:sz w:val="16"/>
                <w:szCs w:val="16"/>
                <w:lang w:val="pt-PT" w:eastAsia="en-GB"/>
              </w:rPr>
              <w:t>-</w:t>
            </w:r>
          </w:p>
        </w:tc>
        <w:tc>
          <w:tcPr>
            <w:tcW w:w="552" w:type="pct"/>
            <w:tcBorders>
              <w:top w:val="nil"/>
              <w:left w:val="nil"/>
              <w:bottom w:val="nil"/>
              <w:right w:val="single" w:sz="8" w:space="0" w:color="auto"/>
            </w:tcBorders>
            <w:shd w:val="clear" w:color="auto" w:fill="auto"/>
            <w:vAlign w:val="center"/>
          </w:tcPr>
          <w:p w:rsidR="00CC45FC" w:rsidRDefault="004A7700">
            <w:pPr>
              <w:spacing w:after="0" w:line="240" w:lineRule="auto"/>
              <w:jc w:val="right"/>
              <w:rPr>
                <w:rFonts w:ascii="Verdana" w:eastAsia="Times New Roman" w:hAnsi="Verdana"/>
                <w:noProof/>
                <w:color w:val="000000"/>
                <w:sz w:val="16"/>
                <w:szCs w:val="16"/>
                <w:lang w:val="pt-PT" w:eastAsia="en-GB"/>
              </w:rPr>
            </w:pPr>
            <w:r>
              <w:rPr>
                <w:rFonts w:ascii="Verdana" w:eastAsia="Times New Roman" w:hAnsi="Verdana"/>
                <w:noProof/>
                <w:color w:val="000000"/>
                <w:sz w:val="16"/>
                <w:szCs w:val="16"/>
                <w:lang w:val="pt-PT" w:eastAsia="en-GB"/>
              </w:rPr>
              <w:t>N/A</w:t>
            </w:r>
          </w:p>
        </w:tc>
        <w:tc>
          <w:tcPr>
            <w:tcW w:w="586" w:type="pct"/>
            <w:tcBorders>
              <w:top w:val="nil"/>
              <w:left w:val="nil"/>
              <w:bottom w:val="nil"/>
              <w:right w:val="single" w:sz="8" w:space="0" w:color="auto"/>
            </w:tcBorders>
            <w:shd w:val="clear" w:color="auto" w:fill="auto"/>
            <w:noWrap/>
            <w:vAlign w:val="center"/>
          </w:tcPr>
          <w:p w:rsidR="00CC45FC" w:rsidRDefault="004A7700">
            <w:pPr>
              <w:spacing w:after="0"/>
              <w:jc w:val="right"/>
              <w:rPr>
                <w:rFonts w:ascii="Verdana" w:hAnsi="Verdana"/>
                <w:bCs/>
                <w:noProof/>
                <w:color w:val="000000"/>
                <w:sz w:val="16"/>
                <w:szCs w:val="16"/>
                <w:lang w:val="pt-PT"/>
              </w:rPr>
            </w:pPr>
            <w:r>
              <w:rPr>
                <w:rFonts w:ascii="Verdana" w:hAnsi="Verdana"/>
                <w:bCs/>
                <w:noProof/>
                <w:color w:val="000000"/>
                <w:sz w:val="16"/>
                <w:szCs w:val="16"/>
                <w:lang w:val="pt-PT"/>
              </w:rPr>
              <w:t>181</w:t>
            </w:r>
          </w:p>
        </w:tc>
        <w:tc>
          <w:tcPr>
            <w:tcW w:w="548"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noProof/>
                <w:color w:val="000000"/>
                <w:sz w:val="16"/>
                <w:szCs w:val="16"/>
                <w:lang w:val="pt-PT"/>
              </w:rPr>
            </w:pPr>
            <w:r>
              <w:rPr>
                <w:rFonts w:ascii="Verdana" w:hAnsi="Verdana"/>
                <w:noProof/>
                <w:color w:val="000000"/>
                <w:sz w:val="16"/>
                <w:szCs w:val="16"/>
                <w:lang w:val="pt-PT"/>
              </w:rPr>
              <w:t>60.1%</w:t>
            </w:r>
          </w:p>
        </w:tc>
        <w:tc>
          <w:tcPr>
            <w:tcW w:w="594"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bCs/>
                <w:noProof/>
                <w:color w:val="000000"/>
                <w:sz w:val="16"/>
                <w:szCs w:val="16"/>
                <w:lang w:val="pt-PT"/>
              </w:rPr>
            </w:pPr>
            <w:r>
              <w:rPr>
                <w:rFonts w:ascii="Verdana" w:hAnsi="Verdana"/>
                <w:bCs/>
                <w:noProof/>
                <w:color w:val="000000"/>
                <w:sz w:val="16"/>
                <w:szCs w:val="16"/>
                <w:lang w:val="pt-PT"/>
              </w:rPr>
              <w:t>85</w:t>
            </w:r>
          </w:p>
        </w:tc>
        <w:tc>
          <w:tcPr>
            <w:tcW w:w="572"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noProof/>
                <w:color w:val="000000"/>
                <w:sz w:val="16"/>
                <w:szCs w:val="16"/>
                <w:lang w:val="pt-PT"/>
              </w:rPr>
            </w:pPr>
            <w:r>
              <w:rPr>
                <w:rFonts w:ascii="Verdana" w:hAnsi="Verdana"/>
                <w:noProof/>
                <w:color w:val="000000"/>
                <w:sz w:val="16"/>
                <w:szCs w:val="16"/>
                <w:lang w:val="pt-PT"/>
              </w:rPr>
              <w:t>100.0%</w:t>
            </w:r>
          </w:p>
        </w:tc>
      </w:tr>
      <w:tr w:rsidR="00CC45FC">
        <w:trPr>
          <w:trHeight w:val="227"/>
        </w:trPr>
        <w:tc>
          <w:tcPr>
            <w:tcW w:w="907" w:type="pct"/>
            <w:tcBorders>
              <w:top w:val="nil"/>
              <w:left w:val="single" w:sz="8" w:space="0" w:color="auto"/>
              <w:bottom w:val="single" w:sz="8" w:space="0" w:color="auto"/>
              <w:right w:val="single" w:sz="8" w:space="0" w:color="000000"/>
            </w:tcBorders>
            <w:shd w:val="clear" w:color="auto" w:fill="auto"/>
            <w:noWrap/>
            <w:vAlign w:val="center"/>
            <w:hideMark/>
          </w:tcPr>
          <w:p w:rsidR="00CC45FC" w:rsidRDefault="004A7700">
            <w:pPr>
              <w:spacing w:after="0" w:line="240" w:lineRule="auto"/>
              <w:jc w:val="both"/>
              <w:rPr>
                <w:rFonts w:ascii="Verdana" w:eastAsia="Times New Roman" w:hAnsi="Verdana"/>
                <w:b/>
                <w:bCs/>
                <w:noProof/>
                <w:color w:val="000000"/>
                <w:sz w:val="16"/>
                <w:szCs w:val="16"/>
                <w:lang w:val="pt-PT" w:eastAsia="en-GB"/>
              </w:rPr>
            </w:pPr>
            <w:r>
              <w:rPr>
                <w:rFonts w:ascii="Verdana" w:eastAsia="Times New Roman" w:hAnsi="Verdana"/>
                <w:b/>
                <w:bCs/>
                <w:noProof/>
                <w:color w:val="000000"/>
                <w:sz w:val="16"/>
                <w:szCs w:val="16"/>
                <w:lang w:val="pt-PT" w:eastAsia="en-GB"/>
              </w:rPr>
              <w:t>Other</w:t>
            </w:r>
          </w:p>
        </w:tc>
        <w:tc>
          <w:tcPr>
            <w:tcW w:w="411" w:type="pct"/>
            <w:tcBorders>
              <w:top w:val="nil"/>
              <w:left w:val="nil"/>
              <w:bottom w:val="single" w:sz="8" w:space="0" w:color="auto"/>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val="pt-PT" w:eastAsia="en-GB"/>
              </w:rPr>
            </w:pPr>
            <w:r>
              <w:rPr>
                <w:rFonts w:ascii="Verdana" w:eastAsia="Times New Roman" w:hAnsi="Verdana"/>
                <w:b/>
                <w:bCs/>
                <w:noProof/>
                <w:color w:val="000000"/>
                <w:sz w:val="16"/>
                <w:szCs w:val="16"/>
                <w:lang w:val="pt-PT" w:eastAsia="en-GB"/>
              </w:rPr>
              <w:t>-</w:t>
            </w:r>
          </w:p>
        </w:tc>
        <w:tc>
          <w:tcPr>
            <w:tcW w:w="412" w:type="pct"/>
            <w:tcBorders>
              <w:top w:val="nil"/>
              <w:left w:val="nil"/>
              <w:bottom w:val="single" w:sz="8" w:space="0" w:color="auto"/>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val="pt-PT" w:eastAsia="en-GB"/>
              </w:rPr>
            </w:pPr>
            <w:r>
              <w:rPr>
                <w:rFonts w:ascii="Verdana" w:eastAsia="Times New Roman" w:hAnsi="Verdana"/>
                <w:b/>
                <w:bCs/>
                <w:noProof/>
                <w:color w:val="000000"/>
                <w:sz w:val="16"/>
                <w:szCs w:val="16"/>
                <w:lang w:val="pt-PT" w:eastAsia="en-GB"/>
              </w:rPr>
              <w:t>-</w:t>
            </w:r>
          </w:p>
        </w:tc>
        <w:tc>
          <w:tcPr>
            <w:tcW w:w="418" w:type="pct"/>
            <w:tcBorders>
              <w:top w:val="nil"/>
              <w:left w:val="nil"/>
              <w:bottom w:val="single" w:sz="8" w:space="0" w:color="auto"/>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val="pt-PT" w:eastAsia="en-GB"/>
              </w:rPr>
            </w:pPr>
            <w:r>
              <w:rPr>
                <w:rFonts w:ascii="Verdana" w:eastAsia="Times New Roman" w:hAnsi="Verdana"/>
                <w:b/>
                <w:bCs/>
                <w:noProof/>
                <w:color w:val="000000"/>
                <w:sz w:val="16"/>
                <w:szCs w:val="16"/>
                <w:lang w:val="pt-PT" w:eastAsia="en-GB"/>
              </w:rPr>
              <w:t>-</w:t>
            </w:r>
          </w:p>
        </w:tc>
        <w:tc>
          <w:tcPr>
            <w:tcW w:w="552" w:type="pct"/>
            <w:tcBorders>
              <w:top w:val="nil"/>
              <w:left w:val="nil"/>
              <w:bottom w:val="nil"/>
              <w:right w:val="single" w:sz="8" w:space="0" w:color="auto"/>
            </w:tcBorders>
            <w:shd w:val="clear" w:color="auto" w:fill="auto"/>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val="pt-PT" w:eastAsia="en-GB"/>
              </w:rPr>
              <w:t>N/</w:t>
            </w:r>
            <w:r>
              <w:rPr>
                <w:rFonts w:ascii="Verdana" w:eastAsia="Times New Roman" w:hAnsi="Verdana"/>
                <w:b/>
                <w:bCs/>
                <w:noProof/>
                <w:color w:val="000000"/>
                <w:sz w:val="16"/>
                <w:szCs w:val="16"/>
                <w:lang w:eastAsia="en-GB"/>
              </w:rPr>
              <w:t>A</w:t>
            </w:r>
          </w:p>
        </w:tc>
        <w:tc>
          <w:tcPr>
            <w:tcW w:w="586" w:type="pct"/>
            <w:tcBorders>
              <w:top w:val="nil"/>
              <w:left w:val="nil"/>
              <w:bottom w:val="single" w:sz="8" w:space="0" w:color="auto"/>
              <w:right w:val="single" w:sz="8" w:space="0" w:color="auto"/>
            </w:tcBorders>
            <w:shd w:val="clear" w:color="auto" w:fill="auto"/>
            <w:noWrap/>
            <w:vAlign w:val="center"/>
          </w:tcPr>
          <w:p w:rsidR="00CC45FC" w:rsidRDefault="004A7700">
            <w:pPr>
              <w:spacing w:after="0"/>
              <w:jc w:val="right"/>
              <w:rPr>
                <w:rFonts w:ascii="Verdana" w:hAnsi="Verdana"/>
                <w:b/>
                <w:bCs/>
                <w:noProof/>
                <w:color w:val="000000"/>
                <w:sz w:val="16"/>
                <w:szCs w:val="16"/>
              </w:rPr>
            </w:pPr>
            <w:r>
              <w:rPr>
                <w:rFonts w:ascii="Verdana" w:hAnsi="Verdana"/>
                <w:b/>
                <w:bCs/>
                <w:noProof/>
                <w:color w:val="000000"/>
                <w:sz w:val="16"/>
                <w:szCs w:val="16"/>
              </w:rPr>
              <w:t>32</w:t>
            </w:r>
          </w:p>
        </w:tc>
        <w:tc>
          <w:tcPr>
            <w:tcW w:w="548"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b/>
                <w:bCs/>
                <w:noProof/>
                <w:color w:val="000000"/>
                <w:sz w:val="16"/>
                <w:szCs w:val="16"/>
              </w:rPr>
            </w:pPr>
            <w:r>
              <w:rPr>
                <w:rFonts w:ascii="Verdana" w:hAnsi="Verdana"/>
                <w:b/>
                <w:bCs/>
                <w:noProof/>
                <w:color w:val="000000"/>
                <w:sz w:val="16"/>
                <w:szCs w:val="16"/>
              </w:rPr>
              <w:t>100.0%</w:t>
            </w:r>
          </w:p>
        </w:tc>
        <w:tc>
          <w:tcPr>
            <w:tcW w:w="594"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b/>
                <w:bCs/>
                <w:noProof/>
                <w:color w:val="000000"/>
                <w:sz w:val="16"/>
                <w:szCs w:val="16"/>
              </w:rPr>
            </w:pPr>
            <w:r>
              <w:rPr>
                <w:rFonts w:ascii="Verdana" w:hAnsi="Verdana"/>
                <w:b/>
                <w:bCs/>
                <w:noProof/>
                <w:color w:val="000000"/>
                <w:sz w:val="16"/>
                <w:szCs w:val="16"/>
              </w:rPr>
              <w:t>9</w:t>
            </w:r>
          </w:p>
        </w:tc>
        <w:tc>
          <w:tcPr>
            <w:tcW w:w="572" w:type="pct"/>
            <w:tcBorders>
              <w:top w:val="nil"/>
              <w:left w:val="nil"/>
              <w:bottom w:val="nil"/>
              <w:right w:val="single" w:sz="8" w:space="0" w:color="auto"/>
            </w:tcBorders>
            <w:shd w:val="clear" w:color="auto" w:fill="auto"/>
            <w:vAlign w:val="center"/>
          </w:tcPr>
          <w:p w:rsidR="00CC45FC" w:rsidRDefault="004A7700">
            <w:pPr>
              <w:spacing w:after="0"/>
              <w:jc w:val="right"/>
              <w:rPr>
                <w:rFonts w:ascii="Verdana" w:hAnsi="Verdana"/>
                <w:b/>
                <w:bCs/>
                <w:noProof/>
                <w:color w:val="000000"/>
                <w:sz w:val="16"/>
                <w:szCs w:val="16"/>
              </w:rPr>
            </w:pPr>
            <w:r>
              <w:rPr>
                <w:rFonts w:ascii="Verdana" w:hAnsi="Verdana"/>
                <w:b/>
                <w:bCs/>
                <w:noProof/>
                <w:color w:val="000000"/>
                <w:sz w:val="16"/>
                <w:szCs w:val="16"/>
              </w:rPr>
              <w:t>100.0%</w:t>
            </w:r>
          </w:p>
        </w:tc>
      </w:tr>
      <w:tr w:rsidR="00CC45FC">
        <w:trPr>
          <w:trHeight w:val="270"/>
        </w:trPr>
        <w:tc>
          <w:tcPr>
            <w:tcW w:w="907" w:type="pct"/>
            <w:tcBorders>
              <w:top w:val="single" w:sz="8" w:space="0" w:color="auto"/>
              <w:left w:val="single" w:sz="8" w:space="0" w:color="auto"/>
              <w:bottom w:val="single" w:sz="8" w:space="0" w:color="auto"/>
              <w:right w:val="single" w:sz="8" w:space="0" w:color="000000"/>
            </w:tcBorders>
            <w:shd w:val="clear" w:color="auto" w:fill="auto"/>
            <w:noWrap/>
            <w:vAlign w:val="center"/>
            <w:hideMark/>
          </w:tcPr>
          <w:p w:rsidR="00CC45FC" w:rsidRDefault="004A7700">
            <w:pPr>
              <w:spacing w:after="0" w:line="240" w:lineRule="auto"/>
              <w:jc w:val="both"/>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Total</w:t>
            </w:r>
          </w:p>
        </w:tc>
        <w:tc>
          <w:tcPr>
            <w:tcW w:w="411" w:type="pct"/>
            <w:tcBorders>
              <w:top w:val="nil"/>
              <w:left w:val="nil"/>
              <w:bottom w:val="single" w:sz="8" w:space="0" w:color="auto"/>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hAnsi="Verdana"/>
                <w:b/>
                <w:bCs/>
                <w:noProof/>
                <w:color w:val="000000"/>
                <w:sz w:val="16"/>
                <w:szCs w:val="16"/>
              </w:rPr>
              <w:t>2 273</w:t>
            </w:r>
          </w:p>
        </w:tc>
        <w:tc>
          <w:tcPr>
            <w:tcW w:w="412" w:type="pct"/>
            <w:tcBorders>
              <w:top w:val="nil"/>
              <w:left w:val="nil"/>
              <w:bottom w:val="single" w:sz="8" w:space="0" w:color="auto"/>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hAnsi="Verdana"/>
                <w:b/>
                <w:bCs/>
                <w:noProof/>
                <w:color w:val="000000"/>
                <w:sz w:val="16"/>
                <w:szCs w:val="16"/>
              </w:rPr>
              <w:t>9 060</w:t>
            </w:r>
          </w:p>
        </w:tc>
        <w:tc>
          <w:tcPr>
            <w:tcW w:w="418" w:type="pct"/>
            <w:tcBorders>
              <w:top w:val="nil"/>
              <w:left w:val="nil"/>
              <w:bottom w:val="single" w:sz="8" w:space="0" w:color="auto"/>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hAnsi="Verdana"/>
                <w:b/>
                <w:bCs/>
                <w:noProof/>
                <w:color w:val="000000"/>
                <w:sz w:val="16"/>
                <w:szCs w:val="16"/>
              </w:rPr>
              <w:t>5 535</w:t>
            </w:r>
          </w:p>
        </w:tc>
        <w:tc>
          <w:tcPr>
            <w:tcW w:w="552" w:type="pct"/>
            <w:tcBorders>
              <w:top w:val="single" w:sz="8" w:space="0" w:color="auto"/>
              <w:left w:val="nil"/>
              <w:bottom w:val="single" w:sz="8" w:space="0" w:color="auto"/>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11 766</w:t>
            </w:r>
          </w:p>
        </w:tc>
        <w:tc>
          <w:tcPr>
            <w:tcW w:w="586" w:type="pct"/>
            <w:tcBorders>
              <w:top w:val="nil"/>
              <w:left w:val="nil"/>
              <w:bottom w:val="single" w:sz="8" w:space="0" w:color="auto"/>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28 666</w:t>
            </w:r>
          </w:p>
        </w:tc>
        <w:tc>
          <w:tcPr>
            <w:tcW w:w="548" w:type="pct"/>
            <w:tcBorders>
              <w:top w:val="single" w:sz="8" w:space="0" w:color="auto"/>
              <w:left w:val="nil"/>
              <w:bottom w:val="single" w:sz="8" w:space="0" w:color="auto"/>
              <w:right w:val="single" w:sz="8" w:space="0" w:color="auto"/>
            </w:tcBorders>
            <w:shd w:val="clear" w:color="auto" w:fill="auto"/>
            <w:noWrap/>
            <w:vAlign w:val="center"/>
          </w:tcPr>
          <w:p w:rsidR="00CC45FC" w:rsidRDefault="004A7700">
            <w:pPr>
              <w:spacing w:after="0"/>
              <w:jc w:val="right"/>
              <w:rPr>
                <w:rFonts w:ascii="Verdana" w:hAnsi="Verdana"/>
                <w:b/>
                <w:bCs/>
                <w:noProof/>
                <w:color w:val="000000"/>
                <w:sz w:val="16"/>
                <w:szCs w:val="16"/>
              </w:rPr>
            </w:pPr>
            <w:r>
              <w:rPr>
                <w:rFonts w:ascii="Verdana" w:hAnsi="Verdana"/>
                <w:b/>
                <w:bCs/>
                <w:noProof/>
                <w:color w:val="000000"/>
                <w:sz w:val="16"/>
                <w:szCs w:val="16"/>
              </w:rPr>
              <w:t>89.9%</w:t>
            </w:r>
          </w:p>
        </w:tc>
        <w:tc>
          <w:tcPr>
            <w:tcW w:w="594" w:type="pct"/>
            <w:tcBorders>
              <w:top w:val="single" w:sz="8" w:space="0" w:color="auto"/>
              <w:left w:val="nil"/>
              <w:bottom w:val="single" w:sz="8" w:space="0" w:color="auto"/>
              <w:right w:val="single" w:sz="8" w:space="0" w:color="auto"/>
            </w:tcBorders>
            <w:shd w:val="clear" w:color="auto" w:fill="auto"/>
            <w:vAlign w:val="center"/>
          </w:tcPr>
          <w:p w:rsidR="00CC45FC" w:rsidRDefault="004A7700">
            <w:pPr>
              <w:spacing w:after="0"/>
              <w:jc w:val="right"/>
              <w:rPr>
                <w:rFonts w:ascii="Verdana" w:hAnsi="Verdana"/>
                <w:b/>
                <w:bCs/>
                <w:noProof/>
                <w:color w:val="000000"/>
                <w:sz w:val="16"/>
                <w:szCs w:val="16"/>
              </w:rPr>
            </w:pPr>
            <w:r>
              <w:rPr>
                <w:rFonts w:ascii="Verdana" w:hAnsi="Verdana"/>
                <w:b/>
                <w:bCs/>
                <w:noProof/>
                <w:color w:val="000000"/>
                <w:sz w:val="16"/>
                <w:szCs w:val="16"/>
              </w:rPr>
              <w:t>25 726</w:t>
            </w:r>
          </w:p>
        </w:tc>
        <w:tc>
          <w:tcPr>
            <w:tcW w:w="572" w:type="pct"/>
            <w:tcBorders>
              <w:top w:val="single" w:sz="8" w:space="0" w:color="auto"/>
              <w:left w:val="nil"/>
              <w:bottom w:val="single" w:sz="8" w:space="0" w:color="auto"/>
              <w:right w:val="single" w:sz="8" w:space="0" w:color="auto"/>
            </w:tcBorders>
            <w:shd w:val="clear" w:color="auto" w:fill="auto"/>
            <w:noWrap/>
            <w:vAlign w:val="center"/>
          </w:tcPr>
          <w:p w:rsidR="00CC45FC" w:rsidRDefault="004A7700">
            <w:pPr>
              <w:spacing w:after="0"/>
              <w:jc w:val="right"/>
              <w:rPr>
                <w:rFonts w:ascii="Verdana" w:hAnsi="Verdana"/>
                <w:b/>
                <w:bCs/>
                <w:noProof/>
                <w:color w:val="000000"/>
                <w:sz w:val="16"/>
                <w:szCs w:val="16"/>
              </w:rPr>
            </w:pPr>
            <w:r>
              <w:rPr>
                <w:rFonts w:ascii="Verdana" w:hAnsi="Verdana"/>
                <w:b/>
                <w:bCs/>
                <w:noProof/>
                <w:color w:val="000000"/>
                <w:sz w:val="16"/>
                <w:szCs w:val="16"/>
              </w:rPr>
              <w:t>88.0%</w:t>
            </w:r>
          </w:p>
        </w:tc>
      </w:tr>
    </w:tbl>
    <w:p w:rsidR="00CC45FC" w:rsidRDefault="004A7700">
      <w:pPr>
        <w:spacing w:before="240" w:after="360" w:line="240" w:lineRule="auto"/>
        <w:jc w:val="both"/>
        <w:rPr>
          <w:rFonts w:ascii="Verdana" w:hAnsi="Verdana" w:cs="Arial"/>
          <w:bCs/>
          <w:noProof/>
          <w:sz w:val="20"/>
        </w:rPr>
      </w:pPr>
      <w:r>
        <w:rPr>
          <w:rFonts w:ascii="Verdana" w:hAnsi="Verdana" w:cs="Arial"/>
          <w:bCs/>
          <w:noProof/>
          <w:sz w:val="18"/>
        </w:rPr>
        <w:t>The different programming periods in Cohesion policy clearly show the multiannual nature of the EU budget cycle. Since the 2000-2006 period is approaching the end of the closure process, the amount of financial corrections is considerably higher, especially when compared to the 2007-2013 period.</w:t>
      </w:r>
    </w:p>
    <w:p w:rsidR="00CC45FC" w:rsidRDefault="00CC45FC">
      <w:pPr>
        <w:spacing w:after="0" w:line="240" w:lineRule="auto"/>
        <w:rPr>
          <w:rFonts w:ascii="Verdana" w:hAnsi="Verdana"/>
          <w:i/>
          <w:noProof/>
          <w:sz w:val="20"/>
        </w:rPr>
      </w:pPr>
    </w:p>
    <w:p w:rsidR="00CC45FC" w:rsidRDefault="004A7700">
      <w:pPr>
        <w:spacing w:after="120"/>
        <w:jc w:val="both"/>
        <w:rPr>
          <w:rFonts w:ascii="Verdana" w:hAnsi="Verdana"/>
          <w:i/>
          <w:noProof/>
          <w:sz w:val="20"/>
        </w:rPr>
      </w:pPr>
      <w:r>
        <w:rPr>
          <w:rFonts w:ascii="Verdana" w:hAnsi="Verdana"/>
          <w:i/>
          <w:noProof/>
          <w:sz w:val="20"/>
        </w:rPr>
        <w:t>3.2.4.</w:t>
      </w:r>
      <w:r>
        <w:rPr>
          <w:rFonts w:ascii="Verdana" w:hAnsi="Verdana"/>
          <w:i/>
          <w:noProof/>
          <w:sz w:val="20"/>
        </w:rPr>
        <w:tab/>
        <w:t>Cumulative recoveries 2009-2015</w:t>
      </w:r>
    </w:p>
    <w:p w:rsidR="00CC45FC" w:rsidRDefault="004A7700">
      <w:pPr>
        <w:spacing w:after="240" w:line="240" w:lineRule="auto"/>
        <w:jc w:val="both"/>
        <w:rPr>
          <w:rFonts w:ascii="Verdana" w:hAnsi="Verdana"/>
          <w:noProof/>
          <w:sz w:val="18"/>
        </w:rPr>
      </w:pPr>
      <w:r>
        <w:rPr>
          <w:rFonts w:ascii="Verdana" w:hAnsi="Verdana"/>
          <w:noProof/>
          <w:sz w:val="18"/>
        </w:rPr>
        <w:t xml:space="preserve">The tables below provide the amounts of recoveries confirmed and implemented for the period 2009-2015. See also section </w:t>
      </w:r>
      <w:r>
        <w:rPr>
          <w:rFonts w:ascii="Verdana" w:hAnsi="Verdana"/>
          <w:b/>
          <w:noProof/>
          <w:sz w:val="18"/>
        </w:rPr>
        <w:t>3.3.1</w:t>
      </w:r>
      <w:r>
        <w:rPr>
          <w:rFonts w:ascii="Verdana" w:hAnsi="Verdana"/>
          <w:noProof/>
          <w:sz w:val="18"/>
        </w:rPr>
        <w:t xml:space="preserve"> below concerning the impact on the EU budget.</w:t>
      </w:r>
    </w:p>
    <w:p w:rsidR="00CC45FC" w:rsidRDefault="00CC45FC">
      <w:pPr>
        <w:spacing w:after="0" w:line="240" w:lineRule="auto"/>
        <w:rPr>
          <w:rFonts w:ascii="Verdana" w:hAnsi="Verdana" w:cs="Arial"/>
          <w:b/>
          <w:bCs/>
          <w:i/>
          <w:noProof/>
          <w:sz w:val="18"/>
        </w:rPr>
      </w:pPr>
    </w:p>
    <w:p w:rsidR="00CC45FC" w:rsidRDefault="004A7700">
      <w:pPr>
        <w:spacing w:after="0"/>
        <w:jc w:val="both"/>
        <w:rPr>
          <w:rFonts w:ascii="Verdana" w:hAnsi="Verdana" w:cs="Arial"/>
          <w:b/>
          <w:bCs/>
          <w:i/>
          <w:noProof/>
          <w:sz w:val="18"/>
        </w:rPr>
      </w:pPr>
      <w:r>
        <w:rPr>
          <w:rFonts w:ascii="Verdana" w:hAnsi="Verdana" w:cs="Arial"/>
          <w:b/>
          <w:bCs/>
          <w:i/>
          <w:noProof/>
          <w:sz w:val="18"/>
        </w:rPr>
        <w:t>Table 3.2.4: Recoveries confirmed 2009-2015</w:t>
      </w:r>
    </w:p>
    <w:tbl>
      <w:tblPr>
        <w:tblW w:w="0" w:type="auto"/>
        <w:tblInd w:w="108" w:type="dxa"/>
        <w:tblLayout w:type="fixed"/>
        <w:tblLook w:val="04A0" w:firstRow="1" w:lastRow="0" w:firstColumn="1" w:lastColumn="0" w:noHBand="0" w:noVBand="1"/>
      </w:tblPr>
      <w:tblGrid>
        <w:gridCol w:w="1985"/>
        <w:gridCol w:w="850"/>
        <w:gridCol w:w="851"/>
        <w:gridCol w:w="850"/>
        <w:gridCol w:w="851"/>
        <w:gridCol w:w="850"/>
        <w:gridCol w:w="851"/>
        <w:gridCol w:w="838"/>
        <w:gridCol w:w="993"/>
      </w:tblGrid>
      <w:tr w:rsidR="00CC45FC">
        <w:trPr>
          <w:trHeight w:val="270"/>
        </w:trPr>
        <w:tc>
          <w:tcPr>
            <w:tcW w:w="8919" w:type="dxa"/>
            <w:gridSpan w:val="9"/>
            <w:tcBorders>
              <w:top w:val="nil"/>
              <w:left w:val="nil"/>
              <w:bottom w:val="single" w:sz="8" w:space="0" w:color="auto"/>
              <w:right w:val="nil"/>
            </w:tcBorders>
            <w:shd w:val="clear" w:color="auto" w:fill="auto"/>
            <w:noWrap/>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bookmarkStart w:id="56" w:name="_Toc365022341"/>
            <w:r>
              <w:rPr>
                <w:rFonts w:ascii="Verdana" w:eastAsia="Times New Roman" w:hAnsi="Verdana"/>
                <w:i/>
                <w:iCs/>
                <w:noProof/>
                <w:color w:val="000000"/>
                <w:sz w:val="16"/>
                <w:szCs w:val="16"/>
                <w:lang w:eastAsia="en-GB"/>
              </w:rPr>
              <w:t>EUR millions</w:t>
            </w:r>
          </w:p>
        </w:tc>
      </w:tr>
      <w:tr w:rsidR="00CC45FC">
        <w:trPr>
          <w:trHeight w:val="255"/>
        </w:trPr>
        <w:tc>
          <w:tcPr>
            <w:tcW w:w="1985" w:type="dxa"/>
            <w:tcBorders>
              <w:top w:val="single" w:sz="8" w:space="0" w:color="000000"/>
              <w:left w:val="single" w:sz="8" w:space="0" w:color="000000"/>
              <w:bottom w:val="nil"/>
              <w:right w:val="single" w:sz="8" w:space="0" w:color="000000"/>
            </w:tcBorders>
            <w:shd w:val="clear" w:color="000000" w:fill="99CCFF"/>
            <w:noWrap/>
            <w:vAlign w:val="center"/>
            <w:hideMark/>
          </w:tcPr>
          <w:p w:rsidR="00CC45FC" w:rsidRDefault="004A7700">
            <w:pPr>
              <w:spacing w:after="0" w:line="240" w:lineRule="auto"/>
              <w:jc w:val="both"/>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 </w:t>
            </w:r>
          </w:p>
        </w:tc>
        <w:tc>
          <w:tcPr>
            <w:tcW w:w="5103" w:type="dxa"/>
            <w:gridSpan w:val="6"/>
            <w:vMerge w:val="restart"/>
            <w:tcBorders>
              <w:top w:val="single" w:sz="8" w:space="0" w:color="auto"/>
              <w:left w:val="single" w:sz="8" w:space="0" w:color="000000"/>
              <w:bottom w:val="single" w:sz="8" w:space="0" w:color="000000"/>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Years</w:t>
            </w:r>
          </w:p>
        </w:tc>
        <w:tc>
          <w:tcPr>
            <w:tcW w:w="838" w:type="dxa"/>
            <w:vMerge w:val="restart"/>
            <w:tcBorders>
              <w:top w:val="nil"/>
              <w:bottom w:val="single" w:sz="8" w:space="0" w:color="000000"/>
              <w:right w:val="single" w:sz="8" w:space="0" w:color="auto"/>
            </w:tcBorders>
            <w:shd w:val="clear" w:color="000000" w:fill="99CCFF"/>
            <w:vAlign w:val="center"/>
            <w:hideMark/>
          </w:tcPr>
          <w:p w:rsidR="00CC45FC" w:rsidRDefault="00CC45FC">
            <w:pPr>
              <w:spacing w:after="0" w:line="240" w:lineRule="auto"/>
              <w:jc w:val="center"/>
              <w:rPr>
                <w:rFonts w:ascii="Verdana" w:eastAsia="Times New Roman" w:hAnsi="Verdana"/>
                <w:b/>
                <w:bCs/>
                <w:noProof/>
                <w:color w:val="000000"/>
                <w:sz w:val="16"/>
                <w:szCs w:val="16"/>
                <w:lang w:eastAsia="en-GB"/>
              </w:rPr>
            </w:pPr>
          </w:p>
        </w:tc>
        <w:tc>
          <w:tcPr>
            <w:tcW w:w="993" w:type="dxa"/>
            <w:vMerge w:val="restart"/>
            <w:tcBorders>
              <w:top w:val="nil"/>
              <w:left w:val="nil"/>
              <w:right w:val="single" w:sz="8" w:space="0" w:color="auto"/>
            </w:tcBorders>
            <w:shd w:val="clear" w:color="000000" w:fill="99CCFF"/>
            <w:vAlign w:val="center"/>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Total</w:t>
            </w:r>
          </w:p>
        </w:tc>
      </w:tr>
      <w:tr w:rsidR="00CC45FC">
        <w:trPr>
          <w:trHeight w:val="270"/>
        </w:trPr>
        <w:tc>
          <w:tcPr>
            <w:tcW w:w="1985" w:type="dxa"/>
            <w:tcBorders>
              <w:top w:val="nil"/>
              <w:left w:val="single" w:sz="8" w:space="0" w:color="000000"/>
              <w:right w:val="single" w:sz="8" w:space="0" w:color="000000"/>
            </w:tcBorders>
            <w:shd w:val="clear" w:color="000000" w:fill="99CCFF"/>
            <w:noWrap/>
            <w:vAlign w:val="center"/>
            <w:hideMark/>
          </w:tcPr>
          <w:p w:rsidR="00CC45FC" w:rsidRDefault="004A7700">
            <w:pPr>
              <w:spacing w:after="0" w:line="240" w:lineRule="auto"/>
              <w:jc w:val="both"/>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Recoveries</w:t>
            </w:r>
          </w:p>
        </w:tc>
        <w:tc>
          <w:tcPr>
            <w:tcW w:w="5103" w:type="dxa"/>
            <w:gridSpan w:val="6"/>
            <w:vMerge/>
            <w:tcBorders>
              <w:top w:val="single" w:sz="8" w:space="0" w:color="000000"/>
              <w:left w:val="single" w:sz="8" w:space="0" w:color="auto"/>
              <w:bottom w:val="single" w:sz="8" w:space="0" w:color="000000"/>
            </w:tcBorders>
            <w:vAlign w:val="center"/>
            <w:hideMark/>
          </w:tcPr>
          <w:p w:rsidR="00CC45FC" w:rsidRDefault="00CC45FC">
            <w:pPr>
              <w:spacing w:after="0" w:line="240" w:lineRule="auto"/>
              <w:rPr>
                <w:rFonts w:ascii="Verdana" w:eastAsia="Times New Roman" w:hAnsi="Verdana"/>
                <w:b/>
                <w:bCs/>
                <w:noProof/>
                <w:color w:val="000000"/>
                <w:sz w:val="16"/>
                <w:szCs w:val="16"/>
                <w:lang w:eastAsia="en-GB"/>
              </w:rPr>
            </w:pPr>
          </w:p>
        </w:tc>
        <w:tc>
          <w:tcPr>
            <w:tcW w:w="838" w:type="dxa"/>
            <w:vMerge/>
            <w:tcBorders>
              <w:top w:val="single" w:sz="8" w:space="0" w:color="000000"/>
              <w:bottom w:val="single" w:sz="8" w:space="0" w:color="000000"/>
              <w:right w:val="single" w:sz="8" w:space="0" w:color="auto"/>
            </w:tcBorders>
            <w:vAlign w:val="center"/>
            <w:hideMark/>
          </w:tcPr>
          <w:p w:rsidR="00CC45FC" w:rsidRDefault="00CC45FC">
            <w:pPr>
              <w:spacing w:after="0" w:line="240" w:lineRule="auto"/>
              <w:rPr>
                <w:rFonts w:ascii="Verdana" w:eastAsia="Times New Roman" w:hAnsi="Verdana"/>
                <w:b/>
                <w:bCs/>
                <w:noProof/>
                <w:color w:val="000000"/>
                <w:sz w:val="16"/>
                <w:szCs w:val="16"/>
                <w:lang w:eastAsia="en-GB"/>
              </w:rPr>
            </w:pPr>
          </w:p>
        </w:tc>
        <w:tc>
          <w:tcPr>
            <w:tcW w:w="993" w:type="dxa"/>
            <w:vMerge/>
            <w:tcBorders>
              <w:left w:val="nil"/>
              <w:right w:val="single" w:sz="8" w:space="0" w:color="auto"/>
            </w:tcBorders>
            <w:vAlign w:val="center"/>
          </w:tcPr>
          <w:p w:rsidR="00CC45FC" w:rsidRDefault="00CC45FC">
            <w:pPr>
              <w:spacing w:after="0" w:line="240" w:lineRule="auto"/>
              <w:rPr>
                <w:rFonts w:ascii="Verdana" w:eastAsia="Times New Roman" w:hAnsi="Verdana"/>
                <w:b/>
                <w:bCs/>
                <w:noProof/>
                <w:color w:val="000000"/>
                <w:sz w:val="16"/>
                <w:szCs w:val="16"/>
                <w:lang w:eastAsia="en-GB"/>
              </w:rPr>
            </w:pPr>
          </w:p>
        </w:tc>
      </w:tr>
      <w:tr w:rsidR="00CC45FC">
        <w:trPr>
          <w:trHeight w:val="270"/>
        </w:trPr>
        <w:tc>
          <w:tcPr>
            <w:tcW w:w="1985" w:type="dxa"/>
            <w:tcBorders>
              <w:top w:val="nil"/>
              <w:left w:val="single" w:sz="8" w:space="0" w:color="000000"/>
              <w:bottom w:val="single" w:sz="8" w:space="0" w:color="000000"/>
              <w:right w:val="single" w:sz="8" w:space="0" w:color="000000"/>
            </w:tcBorders>
            <w:shd w:val="clear" w:color="000000" w:fill="99CCFF"/>
            <w:noWrap/>
            <w:vAlign w:val="center"/>
            <w:hideMark/>
          </w:tcPr>
          <w:p w:rsidR="00CC45FC" w:rsidRDefault="004A7700">
            <w:pPr>
              <w:spacing w:after="0" w:line="240" w:lineRule="auto"/>
              <w:jc w:val="both"/>
              <w:rPr>
                <w:rFonts w:ascii="Verdana" w:eastAsia="Times New Roman" w:hAnsi="Verdana"/>
                <w:noProof/>
                <w:color w:val="000000"/>
                <w:sz w:val="20"/>
                <w:szCs w:val="20"/>
                <w:lang w:eastAsia="en-GB"/>
              </w:rPr>
            </w:pPr>
            <w:r>
              <w:rPr>
                <w:rFonts w:ascii="Verdana" w:eastAsia="Times New Roman" w:hAnsi="Verdana"/>
                <w:noProof/>
                <w:color w:val="000000"/>
                <w:sz w:val="20"/>
                <w:szCs w:val="20"/>
                <w:lang w:eastAsia="en-GB"/>
              </w:rPr>
              <w:t> </w:t>
            </w:r>
          </w:p>
        </w:tc>
        <w:tc>
          <w:tcPr>
            <w:tcW w:w="850" w:type="dxa"/>
            <w:tcBorders>
              <w:top w:val="single" w:sz="8" w:space="0" w:color="000000"/>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2009</w:t>
            </w:r>
          </w:p>
        </w:tc>
        <w:tc>
          <w:tcPr>
            <w:tcW w:w="851" w:type="dxa"/>
            <w:tcBorders>
              <w:top w:val="single" w:sz="8" w:space="0" w:color="000000"/>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2010</w:t>
            </w:r>
          </w:p>
        </w:tc>
        <w:tc>
          <w:tcPr>
            <w:tcW w:w="850" w:type="dxa"/>
            <w:tcBorders>
              <w:top w:val="single" w:sz="8" w:space="0" w:color="000000"/>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2011</w:t>
            </w:r>
          </w:p>
        </w:tc>
        <w:tc>
          <w:tcPr>
            <w:tcW w:w="851" w:type="dxa"/>
            <w:tcBorders>
              <w:top w:val="single" w:sz="8" w:space="0" w:color="000000"/>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2012</w:t>
            </w:r>
          </w:p>
        </w:tc>
        <w:tc>
          <w:tcPr>
            <w:tcW w:w="850" w:type="dxa"/>
            <w:tcBorders>
              <w:top w:val="single" w:sz="8" w:space="0" w:color="000000"/>
              <w:left w:val="nil"/>
              <w:bottom w:val="single" w:sz="8" w:space="0" w:color="auto"/>
              <w:right w:val="single" w:sz="8" w:space="0" w:color="000000"/>
            </w:tcBorders>
            <w:shd w:val="clear" w:color="000000" w:fill="99CCFF"/>
            <w:vAlign w:val="center"/>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2013</w:t>
            </w:r>
          </w:p>
        </w:tc>
        <w:tc>
          <w:tcPr>
            <w:tcW w:w="851" w:type="dxa"/>
            <w:tcBorders>
              <w:top w:val="single" w:sz="8" w:space="0" w:color="000000"/>
              <w:left w:val="single" w:sz="8" w:space="0" w:color="000000"/>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2014</w:t>
            </w:r>
          </w:p>
        </w:tc>
        <w:tc>
          <w:tcPr>
            <w:tcW w:w="838" w:type="dxa"/>
            <w:tcBorders>
              <w:top w:val="single" w:sz="8" w:space="0" w:color="000000"/>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2015</w:t>
            </w:r>
          </w:p>
        </w:tc>
        <w:tc>
          <w:tcPr>
            <w:tcW w:w="993" w:type="dxa"/>
            <w:vMerge/>
            <w:tcBorders>
              <w:left w:val="nil"/>
              <w:bottom w:val="single" w:sz="8" w:space="0" w:color="000000"/>
              <w:right w:val="single" w:sz="8" w:space="0" w:color="auto"/>
            </w:tcBorders>
            <w:vAlign w:val="center"/>
            <w:hideMark/>
          </w:tcPr>
          <w:p w:rsidR="00CC45FC" w:rsidRDefault="00CC45FC">
            <w:pPr>
              <w:spacing w:after="0" w:line="240" w:lineRule="auto"/>
              <w:rPr>
                <w:rFonts w:ascii="Verdana" w:eastAsia="Times New Roman" w:hAnsi="Verdana"/>
                <w:b/>
                <w:bCs/>
                <w:noProof/>
                <w:color w:val="000000"/>
                <w:sz w:val="16"/>
                <w:szCs w:val="16"/>
                <w:lang w:eastAsia="en-GB"/>
              </w:rPr>
            </w:pPr>
          </w:p>
        </w:tc>
      </w:tr>
      <w:tr w:rsidR="00CC45FC">
        <w:trPr>
          <w:trHeight w:val="255"/>
        </w:trPr>
        <w:tc>
          <w:tcPr>
            <w:tcW w:w="1985" w:type="dxa"/>
            <w:tcBorders>
              <w:top w:val="single" w:sz="8" w:space="0" w:color="000000"/>
              <w:left w:val="single" w:sz="8" w:space="0" w:color="000000"/>
              <w:bottom w:val="nil"/>
              <w:right w:val="single" w:sz="8" w:space="0" w:color="000000"/>
            </w:tcBorders>
            <w:shd w:val="clear" w:color="auto" w:fill="auto"/>
            <w:noWrap/>
            <w:vAlign w:val="center"/>
            <w:hideMark/>
          </w:tcPr>
          <w:p w:rsidR="00CC45FC" w:rsidRDefault="004A7700">
            <w:pPr>
              <w:spacing w:after="0" w:line="240" w:lineRule="auto"/>
              <w:contextualSpacing/>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Agriculture:</w:t>
            </w:r>
          </w:p>
        </w:tc>
        <w:tc>
          <w:tcPr>
            <w:tcW w:w="850" w:type="dxa"/>
            <w:tcBorders>
              <w:top w:val="nil"/>
              <w:left w:val="nil"/>
              <w:bottom w:val="nil"/>
              <w:right w:val="single" w:sz="8" w:space="0" w:color="auto"/>
            </w:tcBorders>
            <w:shd w:val="clear" w:color="auto" w:fill="auto"/>
            <w:vAlign w:val="center"/>
            <w:hideMark/>
          </w:tcPr>
          <w:p w:rsidR="00CC45FC" w:rsidRDefault="004A7700">
            <w:pPr>
              <w:spacing w:after="0" w:line="240" w:lineRule="auto"/>
              <w:contextualSpacing/>
              <w:jc w:val="center"/>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contextualSpacing/>
              <w:jc w:val="center"/>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w:t>
            </w:r>
          </w:p>
        </w:tc>
        <w:tc>
          <w:tcPr>
            <w:tcW w:w="850"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contextualSpacing/>
              <w:jc w:val="center"/>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contextualSpacing/>
              <w:jc w:val="center"/>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w:t>
            </w:r>
          </w:p>
        </w:tc>
        <w:tc>
          <w:tcPr>
            <w:tcW w:w="850" w:type="dxa"/>
            <w:tcBorders>
              <w:top w:val="nil"/>
              <w:left w:val="nil"/>
              <w:bottom w:val="nil"/>
              <w:right w:val="single" w:sz="8" w:space="0" w:color="000000"/>
            </w:tcBorders>
            <w:vAlign w:val="center"/>
          </w:tcPr>
          <w:p w:rsidR="00CC45FC" w:rsidRDefault="004A7700">
            <w:pPr>
              <w:spacing w:after="0" w:line="240" w:lineRule="auto"/>
              <w:contextualSpacing/>
              <w:jc w:val="center"/>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w:t>
            </w:r>
          </w:p>
        </w:tc>
        <w:tc>
          <w:tcPr>
            <w:tcW w:w="851" w:type="dxa"/>
            <w:tcBorders>
              <w:top w:val="nil"/>
              <w:left w:val="single" w:sz="8" w:space="0" w:color="000000"/>
              <w:bottom w:val="nil"/>
              <w:right w:val="single" w:sz="8" w:space="0" w:color="auto"/>
            </w:tcBorders>
            <w:shd w:val="clear" w:color="auto" w:fill="auto"/>
            <w:noWrap/>
            <w:vAlign w:val="center"/>
            <w:hideMark/>
          </w:tcPr>
          <w:p w:rsidR="00CC45FC" w:rsidRDefault="004A7700">
            <w:pPr>
              <w:spacing w:after="0" w:line="240" w:lineRule="auto"/>
              <w:contextualSpacing/>
              <w:jc w:val="center"/>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w:t>
            </w:r>
          </w:p>
        </w:tc>
        <w:tc>
          <w:tcPr>
            <w:tcW w:w="838"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contextualSpacing/>
              <w:jc w:val="center"/>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w:t>
            </w:r>
          </w:p>
        </w:tc>
        <w:tc>
          <w:tcPr>
            <w:tcW w:w="993"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contextualSpacing/>
              <w:jc w:val="center"/>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w:t>
            </w:r>
          </w:p>
        </w:tc>
      </w:tr>
      <w:tr w:rsidR="00CC45FC">
        <w:trPr>
          <w:trHeight w:val="123"/>
        </w:trPr>
        <w:tc>
          <w:tcPr>
            <w:tcW w:w="1985" w:type="dxa"/>
            <w:tcBorders>
              <w:top w:val="nil"/>
              <w:left w:val="single" w:sz="8" w:space="0" w:color="000000"/>
              <w:bottom w:val="nil"/>
              <w:right w:val="single" w:sz="8" w:space="0" w:color="000000"/>
            </w:tcBorders>
            <w:shd w:val="clear" w:color="auto" w:fill="auto"/>
            <w:noWrap/>
            <w:vAlign w:val="center"/>
            <w:hideMark/>
          </w:tcPr>
          <w:p w:rsidR="00CC45FC" w:rsidRDefault="004A7700">
            <w:pPr>
              <w:spacing w:after="0" w:line="240" w:lineRule="auto"/>
              <w:ind w:left="176"/>
              <w:contextualSpacing/>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EAGF</w:t>
            </w:r>
          </w:p>
        </w:tc>
        <w:tc>
          <w:tcPr>
            <w:tcW w:w="850" w:type="dxa"/>
            <w:tcBorders>
              <w:top w:val="nil"/>
              <w:left w:val="nil"/>
              <w:bottom w:val="nil"/>
              <w:right w:val="single" w:sz="8" w:space="0" w:color="auto"/>
            </w:tcBorders>
            <w:shd w:val="clear" w:color="auto" w:fill="auto"/>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163</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178</w:t>
            </w:r>
          </w:p>
        </w:tc>
        <w:tc>
          <w:tcPr>
            <w:tcW w:w="850"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174</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162</w:t>
            </w:r>
          </w:p>
        </w:tc>
        <w:tc>
          <w:tcPr>
            <w:tcW w:w="850" w:type="dxa"/>
            <w:tcBorders>
              <w:top w:val="nil"/>
              <w:left w:val="nil"/>
              <w:bottom w:val="nil"/>
              <w:right w:val="single" w:sz="8" w:space="0" w:color="000000"/>
            </w:tcBorders>
            <w:vAlign w:val="center"/>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227</w:t>
            </w:r>
          </w:p>
        </w:tc>
        <w:tc>
          <w:tcPr>
            <w:tcW w:w="851" w:type="dxa"/>
            <w:tcBorders>
              <w:top w:val="nil"/>
              <w:left w:val="single" w:sz="8" w:space="0" w:color="000000"/>
              <w:bottom w:val="nil"/>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213</w:t>
            </w:r>
          </w:p>
        </w:tc>
        <w:tc>
          <w:tcPr>
            <w:tcW w:w="838" w:type="dxa"/>
            <w:tcBorders>
              <w:top w:val="nil"/>
              <w:left w:val="nil"/>
              <w:bottom w:val="nil"/>
              <w:right w:val="single" w:sz="8" w:space="0" w:color="auto"/>
            </w:tcBorders>
            <w:shd w:val="clear" w:color="auto" w:fill="auto"/>
            <w:noWrap/>
            <w:vAlign w:val="center"/>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117</w:t>
            </w:r>
          </w:p>
        </w:tc>
        <w:tc>
          <w:tcPr>
            <w:tcW w:w="993" w:type="dxa"/>
            <w:tcBorders>
              <w:top w:val="nil"/>
              <w:left w:val="nil"/>
              <w:bottom w:val="nil"/>
              <w:right w:val="single" w:sz="8" w:space="0" w:color="auto"/>
            </w:tcBorders>
            <w:shd w:val="clear" w:color="auto" w:fill="auto"/>
            <w:noWrap/>
            <w:vAlign w:val="center"/>
          </w:tcPr>
          <w:p w:rsidR="00CC45FC" w:rsidRDefault="004A7700">
            <w:pPr>
              <w:spacing w:after="0" w:line="240" w:lineRule="auto"/>
              <w:contextualSpacing/>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1 234</w:t>
            </w:r>
          </w:p>
        </w:tc>
      </w:tr>
      <w:tr w:rsidR="00CC45FC">
        <w:trPr>
          <w:trHeight w:val="212"/>
        </w:trPr>
        <w:tc>
          <w:tcPr>
            <w:tcW w:w="1985" w:type="dxa"/>
            <w:tcBorders>
              <w:top w:val="nil"/>
              <w:left w:val="single" w:sz="8" w:space="0" w:color="000000"/>
              <w:bottom w:val="nil"/>
              <w:right w:val="single" w:sz="8" w:space="0" w:color="000000"/>
            </w:tcBorders>
            <w:shd w:val="clear" w:color="auto" w:fill="auto"/>
            <w:noWrap/>
            <w:vAlign w:val="center"/>
            <w:hideMark/>
          </w:tcPr>
          <w:p w:rsidR="00CC45FC" w:rsidRDefault="004A7700">
            <w:pPr>
              <w:spacing w:after="0" w:line="240" w:lineRule="auto"/>
              <w:ind w:left="176"/>
              <w:contextualSpacing/>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Rural Development</w:t>
            </w:r>
          </w:p>
        </w:tc>
        <w:tc>
          <w:tcPr>
            <w:tcW w:w="850" w:type="dxa"/>
            <w:tcBorders>
              <w:top w:val="nil"/>
              <w:left w:val="nil"/>
              <w:bottom w:val="nil"/>
              <w:right w:val="single" w:sz="8" w:space="0" w:color="auto"/>
            </w:tcBorders>
            <w:shd w:val="clear" w:color="auto" w:fill="auto"/>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25</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114</w:t>
            </w:r>
          </w:p>
        </w:tc>
        <w:tc>
          <w:tcPr>
            <w:tcW w:w="850"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161</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145</w:t>
            </w:r>
          </w:p>
        </w:tc>
        <w:tc>
          <w:tcPr>
            <w:tcW w:w="850" w:type="dxa"/>
            <w:tcBorders>
              <w:top w:val="nil"/>
              <w:left w:val="nil"/>
              <w:bottom w:val="nil"/>
              <w:right w:val="single" w:sz="8" w:space="0" w:color="000000"/>
            </w:tcBorders>
            <w:vAlign w:val="center"/>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139</w:t>
            </w:r>
          </w:p>
        </w:tc>
        <w:tc>
          <w:tcPr>
            <w:tcW w:w="851" w:type="dxa"/>
            <w:tcBorders>
              <w:top w:val="nil"/>
              <w:left w:val="single" w:sz="8" w:space="0" w:color="000000"/>
              <w:bottom w:val="nil"/>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165</w:t>
            </w:r>
          </w:p>
        </w:tc>
        <w:tc>
          <w:tcPr>
            <w:tcW w:w="838" w:type="dxa"/>
            <w:tcBorders>
              <w:top w:val="nil"/>
              <w:left w:val="nil"/>
              <w:bottom w:val="nil"/>
              <w:right w:val="single" w:sz="8" w:space="0" w:color="auto"/>
            </w:tcBorders>
            <w:shd w:val="clear" w:color="auto" w:fill="auto"/>
            <w:noWrap/>
            <w:vAlign w:val="center"/>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206</w:t>
            </w:r>
          </w:p>
        </w:tc>
        <w:tc>
          <w:tcPr>
            <w:tcW w:w="993" w:type="dxa"/>
            <w:tcBorders>
              <w:top w:val="nil"/>
              <w:left w:val="nil"/>
              <w:bottom w:val="nil"/>
              <w:right w:val="single" w:sz="8" w:space="0" w:color="auto"/>
            </w:tcBorders>
            <w:shd w:val="clear" w:color="auto" w:fill="auto"/>
            <w:noWrap/>
            <w:vAlign w:val="center"/>
          </w:tcPr>
          <w:p w:rsidR="00CC45FC" w:rsidRDefault="004A7700">
            <w:pPr>
              <w:spacing w:after="0" w:line="240" w:lineRule="auto"/>
              <w:contextualSpacing/>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956</w:t>
            </w:r>
          </w:p>
        </w:tc>
      </w:tr>
      <w:tr w:rsidR="00CC45FC">
        <w:trPr>
          <w:trHeight w:val="255"/>
        </w:trPr>
        <w:tc>
          <w:tcPr>
            <w:tcW w:w="1985" w:type="dxa"/>
            <w:tcBorders>
              <w:top w:val="nil"/>
              <w:left w:val="single" w:sz="8" w:space="0" w:color="000000"/>
              <w:bottom w:val="nil"/>
              <w:right w:val="single" w:sz="8" w:space="0" w:color="000000"/>
            </w:tcBorders>
            <w:shd w:val="clear" w:color="auto" w:fill="auto"/>
            <w:noWrap/>
            <w:vAlign w:val="center"/>
            <w:hideMark/>
          </w:tcPr>
          <w:p w:rsidR="00CC45FC" w:rsidRDefault="004A7700">
            <w:pPr>
              <w:spacing w:after="0" w:line="240" w:lineRule="auto"/>
              <w:contextualSpacing/>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Cohesion</w:t>
            </w:r>
          </w:p>
        </w:tc>
        <w:tc>
          <w:tcPr>
            <w:tcW w:w="850" w:type="dxa"/>
            <w:tcBorders>
              <w:top w:val="nil"/>
              <w:left w:val="nil"/>
              <w:bottom w:val="nil"/>
              <w:right w:val="single" w:sz="8" w:space="0" w:color="auto"/>
            </w:tcBorders>
            <w:shd w:val="clear" w:color="auto" w:fill="auto"/>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102</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24</w:t>
            </w:r>
          </w:p>
        </w:tc>
        <w:tc>
          <w:tcPr>
            <w:tcW w:w="850"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50</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22</w:t>
            </w:r>
          </w:p>
        </w:tc>
        <w:tc>
          <w:tcPr>
            <w:tcW w:w="850" w:type="dxa"/>
            <w:tcBorders>
              <w:top w:val="nil"/>
              <w:left w:val="nil"/>
              <w:bottom w:val="nil"/>
              <w:right w:val="single" w:sz="8" w:space="0" w:color="000000"/>
            </w:tcBorders>
            <w:vAlign w:val="center"/>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83</w:t>
            </w:r>
          </w:p>
        </w:tc>
        <w:tc>
          <w:tcPr>
            <w:tcW w:w="851" w:type="dxa"/>
            <w:tcBorders>
              <w:top w:val="nil"/>
              <w:left w:val="single" w:sz="8" w:space="0" w:color="000000"/>
              <w:bottom w:val="nil"/>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35</w:t>
            </w:r>
          </w:p>
        </w:tc>
        <w:tc>
          <w:tcPr>
            <w:tcW w:w="838" w:type="dxa"/>
            <w:tcBorders>
              <w:top w:val="nil"/>
              <w:left w:val="nil"/>
              <w:bottom w:val="nil"/>
              <w:right w:val="single" w:sz="8" w:space="0" w:color="auto"/>
            </w:tcBorders>
            <w:shd w:val="clear" w:color="auto" w:fill="auto"/>
            <w:noWrap/>
            <w:vAlign w:val="center"/>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5</w:t>
            </w:r>
          </w:p>
        </w:tc>
        <w:tc>
          <w:tcPr>
            <w:tcW w:w="993" w:type="dxa"/>
            <w:tcBorders>
              <w:top w:val="nil"/>
              <w:left w:val="nil"/>
              <w:bottom w:val="nil"/>
              <w:right w:val="single" w:sz="8" w:space="0" w:color="auto"/>
            </w:tcBorders>
            <w:shd w:val="clear" w:color="auto" w:fill="auto"/>
            <w:noWrap/>
            <w:vAlign w:val="center"/>
          </w:tcPr>
          <w:p w:rsidR="00CC45FC" w:rsidRDefault="004A7700">
            <w:pPr>
              <w:spacing w:after="0" w:line="240" w:lineRule="auto"/>
              <w:contextualSpacing/>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320</w:t>
            </w:r>
          </w:p>
        </w:tc>
      </w:tr>
      <w:tr w:rsidR="00CC45FC">
        <w:trPr>
          <w:trHeight w:val="255"/>
        </w:trPr>
        <w:tc>
          <w:tcPr>
            <w:tcW w:w="1985" w:type="dxa"/>
            <w:tcBorders>
              <w:top w:val="nil"/>
              <w:left w:val="single" w:sz="8" w:space="0" w:color="000000"/>
              <w:bottom w:val="nil"/>
              <w:right w:val="single" w:sz="8" w:space="0" w:color="000000"/>
            </w:tcBorders>
            <w:shd w:val="clear" w:color="auto" w:fill="auto"/>
            <w:noWrap/>
            <w:vAlign w:val="center"/>
            <w:hideMark/>
          </w:tcPr>
          <w:p w:rsidR="00CC45FC" w:rsidRDefault="004A7700">
            <w:pPr>
              <w:spacing w:after="0" w:line="240" w:lineRule="auto"/>
              <w:contextualSpacing/>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Internal policy areas</w:t>
            </w:r>
          </w:p>
        </w:tc>
        <w:tc>
          <w:tcPr>
            <w:tcW w:w="850" w:type="dxa"/>
            <w:tcBorders>
              <w:top w:val="nil"/>
              <w:left w:val="nil"/>
              <w:bottom w:val="nil"/>
              <w:right w:val="single" w:sz="8" w:space="0" w:color="auto"/>
            </w:tcBorders>
            <w:shd w:val="clear" w:color="auto" w:fill="auto"/>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100</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188</w:t>
            </w:r>
          </w:p>
        </w:tc>
        <w:tc>
          <w:tcPr>
            <w:tcW w:w="850"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270</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252</w:t>
            </w:r>
          </w:p>
        </w:tc>
        <w:tc>
          <w:tcPr>
            <w:tcW w:w="850" w:type="dxa"/>
            <w:tcBorders>
              <w:top w:val="nil"/>
              <w:left w:val="nil"/>
              <w:bottom w:val="nil"/>
              <w:right w:val="single" w:sz="8" w:space="0" w:color="000000"/>
            </w:tcBorders>
            <w:vAlign w:val="center"/>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393</w:t>
            </w:r>
          </w:p>
        </w:tc>
        <w:tc>
          <w:tcPr>
            <w:tcW w:w="851" w:type="dxa"/>
            <w:tcBorders>
              <w:top w:val="nil"/>
              <w:left w:val="single" w:sz="8" w:space="0" w:color="000000"/>
              <w:bottom w:val="nil"/>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293</w:t>
            </w:r>
          </w:p>
        </w:tc>
        <w:tc>
          <w:tcPr>
            <w:tcW w:w="838" w:type="dxa"/>
            <w:tcBorders>
              <w:top w:val="nil"/>
              <w:left w:val="nil"/>
              <w:bottom w:val="nil"/>
              <w:right w:val="single" w:sz="8" w:space="0" w:color="auto"/>
            </w:tcBorders>
            <w:shd w:val="clear" w:color="auto" w:fill="auto"/>
            <w:noWrap/>
            <w:vAlign w:val="center"/>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302</w:t>
            </w:r>
          </w:p>
        </w:tc>
        <w:tc>
          <w:tcPr>
            <w:tcW w:w="993" w:type="dxa"/>
            <w:tcBorders>
              <w:top w:val="nil"/>
              <w:left w:val="nil"/>
              <w:bottom w:val="nil"/>
              <w:right w:val="single" w:sz="8" w:space="0" w:color="auto"/>
            </w:tcBorders>
            <w:shd w:val="clear" w:color="auto" w:fill="auto"/>
            <w:noWrap/>
            <w:vAlign w:val="center"/>
          </w:tcPr>
          <w:p w:rsidR="00CC45FC" w:rsidRDefault="004A7700">
            <w:pPr>
              <w:spacing w:after="0" w:line="240" w:lineRule="auto"/>
              <w:contextualSpacing/>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1 798</w:t>
            </w:r>
          </w:p>
        </w:tc>
      </w:tr>
      <w:tr w:rsidR="00CC45FC">
        <w:trPr>
          <w:trHeight w:val="253"/>
        </w:trPr>
        <w:tc>
          <w:tcPr>
            <w:tcW w:w="1985" w:type="dxa"/>
            <w:tcBorders>
              <w:top w:val="nil"/>
              <w:left w:val="single" w:sz="8" w:space="0" w:color="000000"/>
              <w:right w:val="single" w:sz="8" w:space="0" w:color="000000"/>
            </w:tcBorders>
            <w:shd w:val="clear" w:color="auto" w:fill="auto"/>
            <w:noWrap/>
            <w:vAlign w:val="center"/>
            <w:hideMark/>
          </w:tcPr>
          <w:p w:rsidR="00CC45FC" w:rsidRDefault="004A7700">
            <w:pPr>
              <w:spacing w:after="0" w:line="240" w:lineRule="auto"/>
              <w:contextualSpacing/>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External policy areas</w:t>
            </w:r>
          </w:p>
        </w:tc>
        <w:tc>
          <w:tcPr>
            <w:tcW w:w="850" w:type="dxa"/>
            <w:tcBorders>
              <w:top w:val="nil"/>
              <w:left w:val="nil"/>
              <w:bottom w:val="nil"/>
              <w:right w:val="single" w:sz="8" w:space="0" w:color="auto"/>
            </w:tcBorders>
            <w:shd w:val="clear" w:color="auto" w:fill="auto"/>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81</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137</w:t>
            </w:r>
          </w:p>
        </w:tc>
        <w:tc>
          <w:tcPr>
            <w:tcW w:w="850"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107</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107</w:t>
            </w:r>
          </w:p>
        </w:tc>
        <w:tc>
          <w:tcPr>
            <w:tcW w:w="850" w:type="dxa"/>
            <w:tcBorders>
              <w:top w:val="nil"/>
              <w:left w:val="nil"/>
              <w:bottom w:val="nil"/>
              <w:right w:val="single" w:sz="8" w:space="0" w:color="000000"/>
            </w:tcBorders>
            <w:vAlign w:val="center"/>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93</w:t>
            </w:r>
          </w:p>
        </w:tc>
        <w:tc>
          <w:tcPr>
            <w:tcW w:w="851" w:type="dxa"/>
            <w:tcBorders>
              <w:top w:val="nil"/>
              <w:left w:val="single" w:sz="8" w:space="0" w:color="000000"/>
              <w:bottom w:val="nil"/>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127</w:t>
            </w:r>
          </w:p>
        </w:tc>
        <w:tc>
          <w:tcPr>
            <w:tcW w:w="838" w:type="dxa"/>
            <w:tcBorders>
              <w:top w:val="nil"/>
              <w:left w:val="nil"/>
              <w:bottom w:val="nil"/>
              <w:right w:val="single" w:sz="8" w:space="0" w:color="auto"/>
            </w:tcBorders>
            <w:shd w:val="clear" w:color="auto" w:fill="auto"/>
            <w:noWrap/>
            <w:vAlign w:val="center"/>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132</w:t>
            </w:r>
          </w:p>
        </w:tc>
        <w:tc>
          <w:tcPr>
            <w:tcW w:w="993" w:type="dxa"/>
            <w:tcBorders>
              <w:top w:val="nil"/>
              <w:left w:val="nil"/>
              <w:bottom w:val="nil"/>
              <w:right w:val="single" w:sz="8" w:space="0" w:color="auto"/>
            </w:tcBorders>
            <w:shd w:val="clear" w:color="auto" w:fill="auto"/>
            <w:noWrap/>
            <w:vAlign w:val="center"/>
          </w:tcPr>
          <w:p w:rsidR="00CC45FC" w:rsidRDefault="004A7700">
            <w:pPr>
              <w:spacing w:after="0" w:line="240" w:lineRule="auto"/>
              <w:contextualSpacing/>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784</w:t>
            </w:r>
          </w:p>
        </w:tc>
      </w:tr>
      <w:tr w:rsidR="00CC45FC">
        <w:trPr>
          <w:trHeight w:val="270"/>
        </w:trPr>
        <w:tc>
          <w:tcPr>
            <w:tcW w:w="1985" w:type="dxa"/>
            <w:tcBorders>
              <w:top w:val="nil"/>
              <w:left w:val="single" w:sz="8" w:space="0" w:color="000000"/>
              <w:bottom w:val="single" w:sz="8" w:space="0" w:color="000000"/>
              <w:right w:val="single" w:sz="8" w:space="0" w:color="000000"/>
            </w:tcBorders>
            <w:shd w:val="clear" w:color="auto" w:fill="auto"/>
            <w:noWrap/>
            <w:vAlign w:val="center"/>
            <w:hideMark/>
          </w:tcPr>
          <w:p w:rsidR="00CC45FC" w:rsidRDefault="004A7700">
            <w:pPr>
              <w:spacing w:after="0" w:line="240" w:lineRule="auto"/>
              <w:contextualSpacing/>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Administration</w:t>
            </w:r>
          </w:p>
        </w:tc>
        <w:tc>
          <w:tcPr>
            <w:tcW w:w="850" w:type="dxa"/>
            <w:tcBorders>
              <w:top w:val="nil"/>
              <w:left w:val="nil"/>
              <w:bottom w:val="single" w:sz="8" w:space="0" w:color="auto"/>
              <w:right w:val="single" w:sz="8" w:space="0" w:color="auto"/>
            </w:tcBorders>
            <w:shd w:val="clear" w:color="auto" w:fill="auto"/>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9</w:t>
            </w:r>
          </w:p>
        </w:tc>
        <w:tc>
          <w:tcPr>
            <w:tcW w:w="851" w:type="dxa"/>
            <w:tcBorders>
              <w:top w:val="nil"/>
              <w:left w:val="nil"/>
              <w:bottom w:val="single" w:sz="8" w:space="0" w:color="auto"/>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5</w:t>
            </w:r>
          </w:p>
        </w:tc>
        <w:tc>
          <w:tcPr>
            <w:tcW w:w="850" w:type="dxa"/>
            <w:tcBorders>
              <w:top w:val="nil"/>
              <w:left w:val="nil"/>
              <w:bottom w:val="single" w:sz="8" w:space="0" w:color="auto"/>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8</w:t>
            </w:r>
          </w:p>
        </w:tc>
        <w:tc>
          <w:tcPr>
            <w:tcW w:w="851" w:type="dxa"/>
            <w:tcBorders>
              <w:top w:val="nil"/>
              <w:left w:val="nil"/>
              <w:bottom w:val="single" w:sz="8" w:space="0" w:color="auto"/>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7</w:t>
            </w:r>
          </w:p>
        </w:tc>
        <w:tc>
          <w:tcPr>
            <w:tcW w:w="850" w:type="dxa"/>
            <w:tcBorders>
              <w:top w:val="nil"/>
              <w:left w:val="nil"/>
              <w:bottom w:val="single" w:sz="8" w:space="0" w:color="auto"/>
              <w:right w:val="single" w:sz="8" w:space="0" w:color="000000"/>
            </w:tcBorders>
            <w:vAlign w:val="center"/>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6</w:t>
            </w:r>
          </w:p>
        </w:tc>
        <w:tc>
          <w:tcPr>
            <w:tcW w:w="851" w:type="dxa"/>
            <w:tcBorders>
              <w:top w:val="nil"/>
              <w:left w:val="single" w:sz="8" w:space="0" w:color="000000"/>
              <w:bottom w:val="single" w:sz="8" w:space="0" w:color="auto"/>
              <w:right w:val="single" w:sz="8" w:space="0" w:color="auto"/>
            </w:tcBorders>
            <w:shd w:val="clear" w:color="auto" w:fill="auto"/>
            <w:noWrap/>
            <w:vAlign w:val="center"/>
            <w:hideMark/>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5</w:t>
            </w:r>
          </w:p>
        </w:tc>
        <w:tc>
          <w:tcPr>
            <w:tcW w:w="838" w:type="dxa"/>
            <w:tcBorders>
              <w:top w:val="nil"/>
              <w:left w:val="nil"/>
              <w:bottom w:val="single" w:sz="8" w:space="0" w:color="auto"/>
              <w:right w:val="single" w:sz="8" w:space="0" w:color="auto"/>
            </w:tcBorders>
            <w:shd w:val="clear" w:color="auto" w:fill="auto"/>
            <w:noWrap/>
            <w:vAlign w:val="center"/>
          </w:tcPr>
          <w:p w:rsidR="00CC45FC" w:rsidRDefault="004A7700">
            <w:pPr>
              <w:spacing w:after="0" w:line="240" w:lineRule="auto"/>
              <w:contextualSpacing/>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5</w:t>
            </w:r>
          </w:p>
        </w:tc>
        <w:tc>
          <w:tcPr>
            <w:tcW w:w="993" w:type="dxa"/>
            <w:tcBorders>
              <w:top w:val="nil"/>
              <w:left w:val="nil"/>
              <w:bottom w:val="single" w:sz="8" w:space="0" w:color="auto"/>
              <w:right w:val="single" w:sz="8" w:space="0" w:color="auto"/>
            </w:tcBorders>
            <w:shd w:val="clear" w:color="auto" w:fill="auto"/>
            <w:noWrap/>
            <w:vAlign w:val="center"/>
          </w:tcPr>
          <w:p w:rsidR="00CC45FC" w:rsidRDefault="004A7700">
            <w:pPr>
              <w:spacing w:after="0" w:line="240" w:lineRule="auto"/>
              <w:contextualSpacing/>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45</w:t>
            </w:r>
          </w:p>
        </w:tc>
      </w:tr>
      <w:tr w:rsidR="00CC45FC">
        <w:trPr>
          <w:trHeight w:val="270"/>
        </w:trPr>
        <w:tc>
          <w:tcPr>
            <w:tcW w:w="1985" w:type="dxa"/>
            <w:tcBorders>
              <w:top w:val="single" w:sz="8" w:space="0" w:color="000000"/>
              <w:left w:val="single" w:sz="8" w:space="0" w:color="000000"/>
              <w:bottom w:val="single" w:sz="8" w:space="0" w:color="000000"/>
              <w:right w:val="single" w:sz="8" w:space="0" w:color="000000"/>
            </w:tcBorders>
            <w:shd w:val="clear" w:color="auto" w:fill="auto"/>
            <w:noWrap/>
            <w:vAlign w:val="center"/>
            <w:hideMark/>
          </w:tcPr>
          <w:p w:rsidR="00CC45FC" w:rsidRDefault="004A7700">
            <w:pPr>
              <w:spacing w:after="0" w:line="240" w:lineRule="auto"/>
              <w:contextualSpacing/>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Total</w:t>
            </w:r>
          </w:p>
        </w:tc>
        <w:tc>
          <w:tcPr>
            <w:tcW w:w="850" w:type="dxa"/>
            <w:tcBorders>
              <w:top w:val="nil"/>
              <w:left w:val="nil"/>
              <w:bottom w:val="single" w:sz="8" w:space="0" w:color="auto"/>
              <w:right w:val="single" w:sz="8" w:space="0" w:color="auto"/>
            </w:tcBorders>
            <w:shd w:val="clear" w:color="auto" w:fill="auto"/>
            <w:vAlign w:val="center"/>
            <w:hideMark/>
          </w:tcPr>
          <w:p w:rsidR="00CC45FC" w:rsidRDefault="004A7700">
            <w:pPr>
              <w:spacing w:after="0" w:line="240" w:lineRule="auto"/>
              <w:contextualSpacing/>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 xml:space="preserve"> 480</w:t>
            </w:r>
          </w:p>
        </w:tc>
        <w:tc>
          <w:tcPr>
            <w:tcW w:w="851" w:type="dxa"/>
            <w:tcBorders>
              <w:top w:val="nil"/>
              <w:left w:val="nil"/>
              <w:bottom w:val="single" w:sz="8" w:space="0" w:color="auto"/>
              <w:right w:val="single" w:sz="8" w:space="0" w:color="auto"/>
            </w:tcBorders>
            <w:shd w:val="clear" w:color="auto" w:fill="auto"/>
            <w:vAlign w:val="center"/>
            <w:hideMark/>
          </w:tcPr>
          <w:p w:rsidR="00CC45FC" w:rsidRDefault="004A7700">
            <w:pPr>
              <w:spacing w:after="0" w:line="240" w:lineRule="auto"/>
              <w:contextualSpacing/>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 xml:space="preserve"> 646</w:t>
            </w:r>
          </w:p>
        </w:tc>
        <w:tc>
          <w:tcPr>
            <w:tcW w:w="850" w:type="dxa"/>
            <w:tcBorders>
              <w:top w:val="nil"/>
              <w:left w:val="nil"/>
              <w:bottom w:val="single" w:sz="8" w:space="0" w:color="auto"/>
              <w:right w:val="single" w:sz="8" w:space="0" w:color="auto"/>
            </w:tcBorders>
            <w:shd w:val="clear" w:color="auto" w:fill="auto"/>
            <w:vAlign w:val="center"/>
            <w:hideMark/>
          </w:tcPr>
          <w:p w:rsidR="00CC45FC" w:rsidRDefault="004A7700">
            <w:pPr>
              <w:spacing w:after="0" w:line="240" w:lineRule="auto"/>
              <w:contextualSpacing/>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 xml:space="preserve"> 770</w:t>
            </w:r>
          </w:p>
        </w:tc>
        <w:tc>
          <w:tcPr>
            <w:tcW w:w="851" w:type="dxa"/>
            <w:tcBorders>
              <w:top w:val="nil"/>
              <w:left w:val="nil"/>
              <w:bottom w:val="single" w:sz="8" w:space="0" w:color="auto"/>
              <w:right w:val="single" w:sz="8" w:space="0" w:color="auto"/>
            </w:tcBorders>
            <w:shd w:val="clear" w:color="auto" w:fill="auto"/>
            <w:vAlign w:val="center"/>
            <w:hideMark/>
          </w:tcPr>
          <w:p w:rsidR="00CC45FC" w:rsidRDefault="004A7700">
            <w:pPr>
              <w:spacing w:after="0" w:line="240" w:lineRule="auto"/>
              <w:contextualSpacing/>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 xml:space="preserve"> 695</w:t>
            </w:r>
          </w:p>
        </w:tc>
        <w:tc>
          <w:tcPr>
            <w:tcW w:w="850" w:type="dxa"/>
            <w:tcBorders>
              <w:top w:val="nil"/>
              <w:left w:val="nil"/>
              <w:bottom w:val="single" w:sz="8" w:space="0" w:color="auto"/>
              <w:right w:val="single" w:sz="8" w:space="0" w:color="000000"/>
            </w:tcBorders>
            <w:vAlign w:val="center"/>
          </w:tcPr>
          <w:p w:rsidR="00CC45FC" w:rsidRDefault="004A7700">
            <w:pPr>
              <w:spacing w:after="0" w:line="240" w:lineRule="auto"/>
              <w:contextualSpacing/>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 xml:space="preserve"> 941</w:t>
            </w:r>
          </w:p>
        </w:tc>
        <w:tc>
          <w:tcPr>
            <w:tcW w:w="851" w:type="dxa"/>
            <w:tcBorders>
              <w:top w:val="nil"/>
              <w:left w:val="single" w:sz="8" w:space="0" w:color="000000"/>
              <w:bottom w:val="single" w:sz="8" w:space="0" w:color="auto"/>
              <w:right w:val="single" w:sz="8" w:space="0" w:color="auto"/>
            </w:tcBorders>
            <w:shd w:val="clear" w:color="auto" w:fill="auto"/>
            <w:vAlign w:val="center"/>
            <w:hideMark/>
          </w:tcPr>
          <w:p w:rsidR="00CC45FC" w:rsidRDefault="004A7700">
            <w:pPr>
              <w:spacing w:after="0" w:line="240" w:lineRule="auto"/>
              <w:contextualSpacing/>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 xml:space="preserve"> 838</w:t>
            </w:r>
          </w:p>
        </w:tc>
        <w:tc>
          <w:tcPr>
            <w:tcW w:w="838" w:type="dxa"/>
            <w:tcBorders>
              <w:top w:val="nil"/>
              <w:left w:val="nil"/>
              <w:bottom w:val="single" w:sz="8" w:space="0" w:color="auto"/>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767</w:t>
            </w:r>
          </w:p>
        </w:tc>
        <w:tc>
          <w:tcPr>
            <w:tcW w:w="993" w:type="dxa"/>
            <w:tcBorders>
              <w:top w:val="nil"/>
              <w:left w:val="nil"/>
              <w:bottom w:val="single" w:sz="8" w:space="0" w:color="auto"/>
              <w:right w:val="single" w:sz="8" w:space="0" w:color="auto"/>
            </w:tcBorders>
            <w:shd w:val="clear" w:color="auto" w:fill="auto"/>
            <w:vAlign w:val="center"/>
          </w:tcPr>
          <w:p w:rsidR="00CC45FC" w:rsidRDefault="004A7700">
            <w:pPr>
              <w:spacing w:after="0" w:line="240" w:lineRule="auto"/>
              <w:contextualSpacing/>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5 137</w:t>
            </w:r>
          </w:p>
        </w:tc>
      </w:tr>
    </w:tbl>
    <w:p w:rsidR="00CC45FC" w:rsidRDefault="00CC45FC">
      <w:pPr>
        <w:rPr>
          <w:noProof/>
        </w:rPr>
      </w:pPr>
    </w:p>
    <w:p w:rsidR="00CC45FC" w:rsidRDefault="004A7700">
      <w:pPr>
        <w:spacing w:after="0" w:line="240" w:lineRule="auto"/>
        <w:rPr>
          <w:rFonts w:ascii="Verdana" w:hAnsi="Verdana" w:cs="Arial"/>
          <w:b/>
          <w:bCs/>
          <w:i/>
          <w:noProof/>
          <w:sz w:val="18"/>
        </w:rPr>
      </w:pPr>
      <w:r>
        <w:rPr>
          <w:rFonts w:ascii="Verdana" w:hAnsi="Verdana" w:cs="Arial"/>
          <w:b/>
          <w:bCs/>
          <w:i/>
          <w:noProof/>
          <w:sz w:val="18"/>
        </w:rPr>
        <w:br w:type="page"/>
      </w:r>
    </w:p>
    <w:p w:rsidR="00CC45FC" w:rsidRDefault="004A7700">
      <w:pPr>
        <w:spacing w:before="240" w:after="0"/>
        <w:jc w:val="both"/>
        <w:rPr>
          <w:rFonts w:ascii="Verdana" w:hAnsi="Verdana" w:cs="Arial"/>
          <w:b/>
          <w:bCs/>
          <w:i/>
          <w:noProof/>
          <w:sz w:val="18"/>
        </w:rPr>
      </w:pPr>
      <w:r>
        <w:rPr>
          <w:rFonts w:ascii="Verdana" w:hAnsi="Verdana" w:cs="Arial"/>
          <w:b/>
          <w:bCs/>
          <w:i/>
          <w:noProof/>
          <w:sz w:val="18"/>
        </w:rPr>
        <w:t>Table 3.2.5: Recoveries implemented 2009-2015</w:t>
      </w:r>
    </w:p>
    <w:tbl>
      <w:tblPr>
        <w:tblW w:w="8918" w:type="dxa"/>
        <w:tblInd w:w="108" w:type="dxa"/>
        <w:tblLook w:val="04A0" w:firstRow="1" w:lastRow="0" w:firstColumn="1" w:lastColumn="0" w:noHBand="0" w:noVBand="1"/>
      </w:tblPr>
      <w:tblGrid>
        <w:gridCol w:w="1985"/>
        <w:gridCol w:w="850"/>
        <w:gridCol w:w="851"/>
        <w:gridCol w:w="850"/>
        <w:gridCol w:w="851"/>
        <w:gridCol w:w="850"/>
        <w:gridCol w:w="851"/>
        <w:gridCol w:w="838"/>
        <w:gridCol w:w="992"/>
      </w:tblGrid>
      <w:tr w:rsidR="00CC45FC">
        <w:trPr>
          <w:trHeight w:val="270"/>
        </w:trPr>
        <w:tc>
          <w:tcPr>
            <w:tcW w:w="8918" w:type="dxa"/>
            <w:gridSpan w:val="9"/>
            <w:tcBorders>
              <w:top w:val="nil"/>
              <w:left w:val="nil"/>
              <w:bottom w:val="single" w:sz="8" w:space="0" w:color="auto"/>
              <w:right w:val="nil"/>
            </w:tcBorders>
            <w:shd w:val="clear" w:color="auto" w:fill="auto"/>
            <w:noWrap/>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EUR millions</w:t>
            </w:r>
          </w:p>
        </w:tc>
      </w:tr>
      <w:tr w:rsidR="00CC45FC">
        <w:trPr>
          <w:trHeight w:val="255"/>
        </w:trPr>
        <w:tc>
          <w:tcPr>
            <w:tcW w:w="1985" w:type="dxa"/>
            <w:tcBorders>
              <w:top w:val="nil"/>
              <w:left w:val="single" w:sz="8" w:space="0" w:color="auto"/>
              <w:bottom w:val="nil"/>
              <w:right w:val="single" w:sz="8" w:space="0" w:color="000000"/>
            </w:tcBorders>
            <w:shd w:val="clear" w:color="000000" w:fill="99CCFF"/>
            <w:noWrap/>
            <w:vAlign w:val="center"/>
            <w:hideMark/>
          </w:tcPr>
          <w:p w:rsidR="00CC45FC" w:rsidRDefault="004A7700">
            <w:pPr>
              <w:spacing w:after="0" w:line="240" w:lineRule="auto"/>
              <w:jc w:val="both"/>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 </w:t>
            </w:r>
          </w:p>
        </w:tc>
        <w:tc>
          <w:tcPr>
            <w:tcW w:w="5103" w:type="dxa"/>
            <w:gridSpan w:val="6"/>
            <w:vMerge w:val="restart"/>
            <w:tcBorders>
              <w:top w:val="single" w:sz="8" w:space="0" w:color="auto"/>
              <w:left w:val="single" w:sz="8" w:space="0" w:color="000000"/>
              <w:bottom w:val="single" w:sz="8" w:space="0" w:color="000000"/>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Years</w:t>
            </w:r>
          </w:p>
        </w:tc>
        <w:tc>
          <w:tcPr>
            <w:tcW w:w="838" w:type="dxa"/>
            <w:vMerge w:val="restart"/>
            <w:tcBorders>
              <w:top w:val="nil"/>
              <w:bottom w:val="single" w:sz="8" w:space="0" w:color="000000"/>
              <w:right w:val="single" w:sz="8" w:space="0" w:color="auto"/>
            </w:tcBorders>
            <w:shd w:val="clear" w:color="000000" w:fill="99CCFF"/>
            <w:vAlign w:val="center"/>
            <w:hideMark/>
          </w:tcPr>
          <w:p w:rsidR="00CC45FC" w:rsidRDefault="00CC45FC">
            <w:pPr>
              <w:spacing w:after="0" w:line="240" w:lineRule="auto"/>
              <w:jc w:val="center"/>
              <w:rPr>
                <w:rFonts w:ascii="Verdana" w:eastAsia="Times New Roman" w:hAnsi="Verdana"/>
                <w:b/>
                <w:bCs/>
                <w:noProof/>
                <w:color w:val="000000"/>
                <w:sz w:val="16"/>
                <w:szCs w:val="16"/>
                <w:lang w:eastAsia="en-GB"/>
              </w:rPr>
            </w:pPr>
          </w:p>
        </w:tc>
        <w:tc>
          <w:tcPr>
            <w:tcW w:w="992" w:type="dxa"/>
            <w:vMerge w:val="restart"/>
            <w:tcBorders>
              <w:top w:val="nil"/>
              <w:left w:val="nil"/>
              <w:right w:val="single" w:sz="8" w:space="0" w:color="auto"/>
            </w:tcBorders>
            <w:shd w:val="clear" w:color="000000" w:fill="99CCFF"/>
            <w:vAlign w:val="center"/>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Total</w:t>
            </w:r>
          </w:p>
        </w:tc>
      </w:tr>
      <w:tr w:rsidR="00CC45FC">
        <w:trPr>
          <w:trHeight w:val="270"/>
        </w:trPr>
        <w:tc>
          <w:tcPr>
            <w:tcW w:w="1985" w:type="dxa"/>
            <w:tcBorders>
              <w:top w:val="nil"/>
              <w:left w:val="single" w:sz="8" w:space="0" w:color="auto"/>
              <w:bottom w:val="nil"/>
              <w:right w:val="single" w:sz="8" w:space="0" w:color="000000"/>
            </w:tcBorders>
            <w:shd w:val="clear" w:color="000000" w:fill="99CCFF"/>
            <w:noWrap/>
            <w:vAlign w:val="center"/>
            <w:hideMark/>
          </w:tcPr>
          <w:p w:rsidR="00CC45FC" w:rsidRDefault="004A7700">
            <w:pPr>
              <w:spacing w:after="0" w:line="240" w:lineRule="auto"/>
              <w:jc w:val="both"/>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Recoveries</w:t>
            </w:r>
          </w:p>
        </w:tc>
        <w:tc>
          <w:tcPr>
            <w:tcW w:w="5103" w:type="dxa"/>
            <w:gridSpan w:val="6"/>
            <w:vMerge/>
            <w:tcBorders>
              <w:top w:val="single" w:sz="8" w:space="0" w:color="000000"/>
              <w:left w:val="single" w:sz="8" w:space="0" w:color="auto"/>
              <w:bottom w:val="single" w:sz="8" w:space="0" w:color="000000"/>
            </w:tcBorders>
            <w:vAlign w:val="center"/>
            <w:hideMark/>
          </w:tcPr>
          <w:p w:rsidR="00CC45FC" w:rsidRDefault="00CC45FC">
            <w:pPr>
              <w:spacing w:after="0" w:line="240" w:lineRule="auto"/>
              <w:rPr>
                <w:rFonts w:ascii="Verdana" w:eastAsia="Times New Roman" w:hAnsi="Verdana"/>
                <w:b/>
                <w:bCs/>
                <w:noProof/>
                <w:color w:val="000000"/>
                <w:sz w:val="16"/>
                <w:szCs w:val="16"/>
                <w:lang w:eastAsia="en-GB"/>
              </w:rPr>
            </w:pPr>
          </w:p>
        </w:tc>
        <w:tc>
          <w:tcPr>
            <w:tcW w:w="838" w:type="dxa"/>
            <w:vMerge/>
            <w:tcBorders>
              <w:top w:val="single" w:sz="8" w:space="0" w:color="000000"/>
              <w:bottom w:val="single" w:sz="8" w:space="0" w:color="000000"/>
              <w:right w:val="single" w:sz="8" w:space="0" w:color="auto"/>
            </w:tcBorders>
            <w:vAlign w:val="center"/>
            <w:hideMark/>
          </w:tcPr>
          <w:p w:rsidR="00CC45FC" w:rsidRDefault="00CC45FC">
            <w:pPr>
              <w:spacing w:after="0" w:line="240" w:lineRule="auto"/>
              <w:rPr>
                <w:rFonts w:ascii="Verdana" w:eastAsia="Times New Roman" w:hAnsi="Verdana"/>
                <w:b/>
                <w:bCs/>
                <w:noProof/>
                <w:color w:val="000000"/>
                <w:sz w:val="16"/>
                <w:szCs w:val="16"/>
                <w:lang w:eastAsia="en-GB"/>
              </w:rPr>
            </w:pPr>
          </w:p>
        </w:tc>
        <w:tc>
          <w:tcPr>
            <w:tcW w:w="992" w:type="dxa"/>
            <w:vMerge/>
            <w:tcBorders>
              <w:left w:val="nil"/>
              <w:right w:val="single" w:sz="8" w:space="0" w:color="auto"/>
            </w:tcBorders>
            <w:vAlign w:val="center"/>
          </w:tcPr>
          <w:p w:rsidR="00CC45FC" w:rsidRDefault="00CC45FC">
            <w:pPr>
              <w:spacing w:after="0" w:line="240" w:lineRule="auto"/>
              <w:rPr>
                <w:rFonts w:ascii="Verdana" w:eastAsia="Times New Roman" w:hAnsi="Verdana"/>
                <w:b/>
                <w:bCs/>
                <w:noProof/>
                <w:color w:val="000000"/>
                <w:sz w:val="16"/>
                <w:szCs w:val="16"/>
                <w:lang w:eastAsia="en-GB"/>
              </w:rPr>
            </w:pPr>
          </w:p>
        </w:tc>
      </w:tr>
      <w:tr w:rsidR="00CC45FC">
        <w:trPr>
          <w:trHeight w:val="270"/>
        </w:trPr>
        <w:tc>
          <w:tcPr>
            <w:tcW w:w="1985" w:type="dxa"/>
            <w:tcBorders>
              <w:top w:val="nil"/>
              <w:left w:val="single" w:sz="8" w:space="0" w:color="auto"/>
              <w:bottom w:val="single" w:sz="8" w:space="0" w:color="auto"/>
              <w:right w:val="single" w:sz="8" w:space="0" w:color="000000"/>
            </w:tcBorders>
            <w:shd w:val="clear" w:color="000000" w:fill="99CCFF"/>
            <w:noWrap/>
            <w:vAlign w:val="center"/>
            <w:hideMark/>
          </w:tcPr>
          <w:p w:rsidR="00CC45FC" w:rsidRDefault="004A7700">
            <w:pPr>
              <w:spacing w:after="0" w:line="240" w:lineRule="auto"/>
              <w:jc w:val="both"/>
              <w:rPr>
                <w:rFonts w:ascii="Verdana" w:eastAsia="Times New Roman" w:hAnsi="Verdana"/>
                <w:noProof/>
                <w:color w:val="000000"/>
                <w:sz w:val="20"/>
                <w:szCs w:val="20"/>
                <w:lang w:eastAsia="en-GB"/>
              </w:rPr>
            </w:pPr>
            <w:r>
              <w:rPr>
                <w:rFonts w:ascii="Verdana" w:eastAsia="Times New Roman" w:hAnsi="Verdana"/>
                <w:noProof/>
                <w:color w:val="000000"/>
                <w:sz w:val="20"/>
                <w:szCs w:val="20"/>
                <w:lang w:eastAsia="en-GB"/>
              </w:rPr>
              <w:t> </w:t>
            </w:r>
          </w:p>
        </w:tc>
        <w:tc>
          <w:tcPr>
            <w:tcW w:w="850" w:type="dxa"/>
            <w:tcBorders>
              <w:top w:val="single" w:sz="8" w:space="0" w:color="000000"/>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2009</w:t>
            </w:r>
          </w:p>
        </w:tc>
        <w:tc>
          <w:tcPr>
            <w:tcW w:w="851" w:type="dxa"/>
            <w:tcBorders>
              <w:top w:val="single" w:sz="8" w:space="0" w:color="000000"/>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2010</w:t>
            </w:r>
          </w:p>
        </w:tc>
        <w:tc>
          <w:tcPr>
            <w:tcW w:w="850" w:type="dxa"/>
            <w:tcBorders>
              <w:top w:val="single" w:sz="8" w:space="0" w:color="000000"/>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2011</w:t>
            </w:r>
          </w:p>
        </w:tc>
        <w:tc>
          <w:tcPr>
            <w:tcW w:w="851" w:type="dxa"/>
            <w:tcBorders>
              <w:top w:val="single" w:sz="8" w:space="0" w:color="000000"/>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2012</w:t>
            </w:r>
          </w:p>
        </w:tc>
        <w:tc>
          <w:tcPr>
            <w:tcW w:w="850" w:type="dxa"/>
            <w:tcBorders>
              <w:top w:val="single" w:sz="8" w:space="0" w:color="000000"/>
              <w:left w:val="nil"/>
              <w:bottom w:val="single" w:sz="8" w:space="0" w:color="auto"/>
              <w:right w:val="single" w:sz="8" w:space="0" w:color="000000"/>
            </w:tcBorders>
            <w:shd w:val="clear" w:color="000000" w:fill="99CCFF"/>
            <w:vAlign w:val="center"/>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2013</w:t>
            </w:r>
          </w:p>
        </w:tc>
        <w:tc>
          <w:tcPr>
            <w:tcW w:w="851" w:type="dxa"/>
            <w:tcBorders>
              <w:top w:val="single" w:sz="8" w:space="0" w:color="000000"/>
              <w:left w:val="single" w:sz="8" w:space="0" w:color="000000"/>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2014</w:t>
            </w:r>
          </w:p>
        </w:tc>
        <w:tc>
          <w:tcPr>
            <w:tcW w:w="838" w:type="dxa"/>
            <w:tcBorders>
              <w:top w:val="single" w:sz="8" w:space="0" w:color="000000"/>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2015</w:t>
            </w:r>
          </w:p>
        </w:tc>
        <w:tc>
          <w:tcPr>
            <w:tcW w:w="992" w:type="dxa"/>
            <w:vMerge/>
            <w:tcBorders>
              <w:left w:val="nil"/>
              <w:bottom w:val="single" w:sz="8" w:space="0" w:color="000000"/>
              <w:right w:val="single" w:sz="8" w:space="0" w:color="auto"/>
            </w:tcBorders>
            <w:vAlign w:val="center"/>
            <w:hideMark/>
          </w:tcPr>
          <w:p w:rsidR="00CC45FC" w:rsidRDefault="00CC45FC">
            <w:pPr>
              <w:spacing w:after="0" w:line="240" w:lineRule="auto"/>
              <w:rPr>
                <w:rFonts w:ascii="Verdana" w:eastAsia="Times New Roman" w:hAnsi="Verdana"/>
                <w:b/>
                <w:bCs/>
                <w:noProof/>
                <w:color w:val="000000"/>
                <w:sz w:val="16"/>
                <w:szCs w:val="16"/>
                <w:lang w:eastAsia="en-GB"/>
              </w:rPr>
            </w:pPr>
          </w:p>
        </w:tc>
      </w:tr>
      <w:tr w:rsidR="00CC45FC">
        <w:trPr>
          <w:trHeight w:val="259"/>
        </w:trPr>
        <w:tc>
          <w:tcPr>
            <w:tcW w:w="1985" w:type="dxa"/>
            <w:tcBorders>
              <w:top w:val="nil"/>
              <w:left w:val="single" w:sz="8" w:space="0" w:color="auto"/>
              <w:bottom w:val="nil"/>
              <w:right w:val="single" w:sz="8" w:space="0" w:color="000000"/>
            </w:tcBorders>
            <w:shd w:val="clear" w:color="auto" w:fill="auto"/>
            <w:noWrap/>
            <w:vAlign w:val="center"/>
            <w:hideMark/>
          </w:tcPr>
          <w:p w:rsidR="00CC45FC" w:rsidRDefault="004A7700">
            <w:pPr>
              <w:spacing w:after="0" w:line="240" w:lineRule="auto"/>
              <w:jc w:val="both"/>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Agriculture:</w:t>
            </w:r>
          </w:p>
        </w:tc>
        <w:tc>
          <w:tcPr>
            <w:tcW w:w="850"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w:t>
            </w:r>
          </w:p>
        </w:tc>
        <w:tc>
          <w:tcPr>
            <w:tcW w:w="850"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w:t>
            </w:r>
          </w:p>
        </w:tc>
        <w:tc>
          <w:tcPr>
            <w:tcW w:w="850" w:type="dxa"/>
            <w:tcBorders>
              <w:top w:val="nil"/>
              <w:left w:val="nil"/>
              <w:bottom w:val="nil"/>
              <w:right w:val="single" w:sz="8" w:space="0" w:color="000000"/>
            </w:tcBorders>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w:t>
            </w:r>
          </w:p>
        </w:tc>
        <w:tc>
          <w:tcPr>
            <w:tcW w:w="851" w:type="dxa"/>
            <w:tcBorders>
              <w:top w:val="nil"/>
              <w:left w:val="single" w:sz="8" w:space="0" w:color="000000"/>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w:t>
            </w:r>
          </w:p>
        </w:tc>
        <w:tc>
          <w:tcPr>
            <w:tcW w:w="838"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w:t>
            </w:r>
          </w:p>
        </w:tc>
        <w:tc>
          <w:tcPr>
            <w:tcW w:w="992"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w:t>
            </w:r>
          </w:p>
        </w:tc>
      </w:tr>
      <w:tr w:rsidR="00CC45FC">
        <w:trPr>
          <w:trHeight w:val="165"/>
        </w:trPr>
        <w:tc>
          <w:tcPr>
            <w:tcW w:w="1985" w:type="dxa"/>
            <w:tcBorders>
              <w:top w:val="nil"/>
              <w:left w:val="single" w:sz="8" w:space="0" w:color="auto"/>
              <w:bottom w:val="nil"/>
              <w:right w:val="single" w:sz="8" w:space="0" w:color="000000"/>
            </w:tcBorders>
            <w:shd w:val="clear" w:color="auto" w:fill="auto"/>
            <w:noWrap/>
            <w:vAlign w:val="center"/>
            <w:hideMark/>
          </w:tcPr>
          <w:p w:rsidR="00CC45FC" w:rsidRDefault="004A7700">
            <w:pPr>
              <w:spacing w:after="0" w:line="240" w:lineRule="auto"/>
              <w:ind w:left="176"/>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EAGF</w:t>
            </w:r>
          </w:p>
        </w:tc>
        <w:tc>
          <w:tcPr>
            <w:tcW w:w="850"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148</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172</w:t>
            </w:r>
          </w:p>
        </w:tc>
        <w:tc>
          <w:tcPr>
            <w:tcW w:w="850"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178</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161</w:t>
            </w:r>
          </w:p>
        </w:tc>
        <w:tc>
          <w:tcPr>
            <w:tcW w:w="850" w:type="dxa"/>
            <w:tcBorders>
              <w:top w:val="nil"/>
              <w:left w:val="nil"/>
              <w:bottom w:val="nil"/>
              <w:right w:val="single" w:sz="8" w:space="0" w:color="000000"/>
            </w:tcBorders>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155</w:t>
            </w:r>
          </w:p>
        </w:tc>
        <w:tc>
          <w:tcPr>
            <w:tcW w:w="851" w:type="dxa"/>
            <w:tcBorders>
              <w:top w:val="nil"/>
              <w:left w:val="single" w:sz="8" w:space="0" w:color="000000"/>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150</w:t>
            </w:r>
          </w:p>
        </w:tc>
        <w:tc>
          <w:tcPr>
            <w:tcW w:w="838" w:type="dxa"/>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155</w:t>
            </w:r>
          </w:p>
        </w:tc>
        <w:tc>
          <w:tcPr>
            <w:tcW w:w="992" w:type="dxa"/>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1 119</w:t>
            </w:r>
          </w:p>
        </w:tc>
      </w:tr>
      <w:tr w:rsidR="00CC45FC">
        <w:trPr>
          <w:trHeight w:val="111"/>
        </w:trPr>
        <w:tc>
          <w:tcPr>
            <w:tcW w:w="1985" w:type="dxa"/>
            <w:tcBorders>
              <w:top w:val="nil"/>
              <w:left w:val="single" w:sz="8" w:space="0" w:color="auto"/>
              <w:bottom w:val="nil"/>
              <w:right w:val="single" w:sz="8" w:space="0" w:color="000000"/>
            </w:tcBorders>
            <w:shd w:val="clear" w:color="auto" w:fill="auto"/>
            <w:noWrap/>
            <w:vAlign w:val="center"/>
            <w:hideMark/>
          </w:tcPr>
          <w:p w:rsidR="00CC45FC" w:rsidRDefault="004A7700">
            <w:pPr>
              <w:spacing w:after="0" w:line="240" w:lineRule="auto"/>
              <w:ind w:left="176"/>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Rural Development</w:t>
            </w:r>
          </w:p>
        </w:tc>
        <w:tc>
          <w:tcPr>
            <w:tcW w:w="850"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25</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114</w:t>
            </w:r>
          </w:p>
        </w:tc>
        <w:tc>
          <w:tcPr>
            <w:tcW w:w="850"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161</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166</w:t>
            </w:r>
          </w:p>
        </w:tc>
        <w:tc>
          <w:tcPr>
            <w:tcW w:w="850" w:type="dxa"/>
            <w:tcBorders>
              <w:top w:val="nil"/>
              <w:left w:val="nil"/>
              <w:bottom w:val="nil"/>
              <w:right w:val="single" w:sz="8" w:space="0" w:color="000000"/>
            </w:tcBorders>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129</w:t>
            </w:r>
          </w:p>
        </w:tc>
        <w:tc>
          <w:tcPr>
            <w:tcW w:w="851" w:type="dxa"/>
            <w:tcBorders>
              <w:top w:val="nil"/>
              <w:left w:val="single" w:sz="8" w:space="0" w:color="000000"/>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167</w:t>
            </w:r>
          </w:p>
        </w:tc>
        <w:tc>
          <w:tcPr>
            <w:tcW w:w="838" w:type="dxa"/>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152</w:t>
            </w:r>
          </w:p>
        </w:tc>
        <w:tc>
          <w:tcPr>
            <w:tcW w:w="992" w:type="dxa"/>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914</w:t>
            </w:r>
          </w:p>
        </w:tc>
      </w:tr>
      <w:tr w:rsidR="00CC45FC">
        <w:trPr>
          <w:trHeight w:val="259"/>
        </w:trPr>
        <w:tc>
          <w:tcPr>
            <w:tcW w:w="1985" w:type="dxa"/>
            <w:tcBorders>
              <w:top w:val="nil"/>
              <w:left w:val="single" w:sz="8" w:space="0" w:color="auto"/>
              <w:bottom w:val="nil"/>
              <w:right w:val="single" w:sz="8" w:space="0" w:color="000000"/>
            </w:tcBorders>
            <w:shd w:val="clear" w:color="auto" w:fill="auto"/>
            <w:noWrap/>
            <w:vAlign w:val="center"/>
            <w:hideMark/>
          </w:tcPr>
          <w:p w:rsidR="00CC45FC" w:rsidRDefault="004A7700">
            <w:pPr>
              <w:spacing w:after="0" w:line="240" w:lineRule="auto"/>
              <w:jc w:val="both"/>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Cohesion</w:t>
            </w:r>
          </w:p>
        </w:tc>
        <w:tc>
          <w:tcPr>
            <w:tcW w:w="850"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102</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25</w:t>
            </w:r>
          </w:p>
        </w:tc>
        <w:tc>
          <w:tcPr>
            <w:tcW w:w="850"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48</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14</w:t>
            </w:r>
          </w:p>
        </w:tc>
        <w:tc>
          <w:tcPr>
            <w:tcW w:w="850" w:type="dxa"/>
            <w:tcBorders>
              <w:top w:val="nil"/>
              <w:left w:val="nil"/>
              <w:bottom w:val="nil"/>
              <w:right w:val="single" w:sz="8" w:space="0" w:color="000000"/>
            </w:tcBorders>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81</w:t>
            </w:r>
          </w:p>
        </w:tc>
        <w:tc>
          <w:tcPr>
            <w:tcW w:w="851" w:type="dxa"/>
            <w:tcBorders>
              <w:top w:val="nil"/>
              <w:left w:val="single" w:sz="8" w:space="0" w:color="000000"/>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32</w:t>
            </w:r>
          </w:p>
        </w:tc>
        <w:tc>
          <w:tcPr>
            <w:tcW w:w="838" w:type="dxa"/>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7</w:t>
            </w:r>
          </w:p>
        </w:tc>
        <w:tc>
          <w:tcPr>
            <w:tcW w:w="992" w:type="dxa"/>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309</w:t>
            </w:r>
          </w:p>
        </w:tc>
      </w:tr>
      <w:tr w:rsidR="00CC45FC">
        <w:trPr>
          <w:trHeight w:val="259"/>
        </w:trPr>
        <w:tc>
          <w:tcPr>
            <w:tcW w:w="1985" w:type="dxa"/>
            <w:tcBorders>
              <w:top w:val="nil"/>
              <w:left w:val="single" w:sz="8" w:space="0" w:color="auto"/>
              <w:bottom w:val="nil"/>
              <w:right w:val="single" w:sz="8" w:space="0" w:color="000000"/>
            </w:tcBorders>
            <w:shd w:val="clear" w:color="auto" w:fill="auto"/>
            <w:noWrap/>
            <w:vAlign w:val="center"/>
            <w:hideMark/>
          </w:tcPr>
          <w:p w:rsidR="00CC45FC" w:rsidRDefault="004A7700">
            <w:pPr>
              <w:spacing w:after="0" w:line="240" w:lineRule="auto"/>
              <w:jc w:val="both"/>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Internal policy areas</w:t>
            </w:r>
          </w:p>
        </w:tc>
        <w:tc>
          <w:tcPr>
            <w:tcW w:w="850"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100</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162</w:t>
            </w:r>
          </w:p>
        </w:tc>
        <w:tc>
          <w:tcPr>
            <w:tcW w:w="850"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268</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229</w:t>
            </w:r>
          </w:p>
        </w:tc>
        <w:tc>
          <w:tcPr>
            <w:tcW w:w="850" w:type="dxa"/>
            <w:tcBorders>
              <w:top w:val="nil"/>
              <w:left w:val="nil"/>
              <w:bottom w:val="nil"/>
              <w:right w:val="single" w:sz="8" w:space="0" w:color="000000"/>
            </w:tcBorders>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398</w:t>
            </w:r>
          </w:p>
        </w:tc>
        <w:tc>
          <w:tcPr>
            <w:tcW w:w="851" w:type="dxa"/>
            <w:tcBorders>
              <w:top w:val="nil"/>
              <w:left w:val="single" w:sz="8" w:space="0" w:color="000000"/>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274</w:t>
            </w:r>
          </w:p>
        </w:tc>
        <w:tc>
          <w:tcPr>
            <w:tcW w:w="838" w:type="dxa"/>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293</w:t>
            </w:r>
          </w:p>
        </w:tc>
        <w:tc>
          <w:tcPr>
            <w:tcW w:w="992" w:type="dxa"/>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1 724</w:t>
            </w:r>
          </w:p>
        </w:tc>
      </w:tr>
      <w:tr w:rsidR="00CC45FC">
        <w:trPr>
          <w:trHeight w:val="259"/>
        </w:trPr>
        <w:tc>
          <w:tcPr>
            <w:tcW w:w="1985" w:type="dxa"/>
            <w:tcBorders>
              <w:top w:val="nil"/>
              <w:left w:val="single" w:sz="8" w:space="0" w:color="auto"/>
              <w:bottom w:val="nil"/>
              <w:right w:val="single" w:sz="8" w:space="0" w:color="000000"/>
            </w:tcBorders>
            <w:shd w:val="clear" w:color="auto" w:fill="auto"/>
            <w:noWrap/>
            <w:vAlign w:val="center"/>
            <w:hideMark/>
          </w:tcPr>
          <w:p w:rsidR="00CC45FC" w:rsidRDefault="004A7700">
            <w:pPr>
              <w:spacing w:after="0" w:line="240" w:lineRule="auto"/>
              <w:jc w:val="both"/>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External policy areas</w:t>
            </w:r>
          </w:p>
        </w:tc>
        <w:tc>
          <w:tcPr>
            <w:tcW w:w="850"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81</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136</w:t>
            </w:r>
          </w:p>
        </w:tc>
        <w:tc>
          <w:tcPr>
            <w:tcW w:w="850"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77</w:t>
            </w:r>
          </w:p>
        </w:tc>
        <w:tc>
          <w:tcPr>
            <w:tcW w:w="851" w:type="dxa"/>
            <w:tcBorders>
              <w:top w:val="nil"/>
              <w:left w:val="nil"/>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99</w:t>
            </w:r>
          </w:p>
        </w:tc>
        <w:tc>
          <w:tcPr>
            <w:tcW w:w="850" w:type="dxa"/>
            <w:tcBorders>
              <w:top w:val="nil"/>
              <w:left w:val="nil"/>
              <w:bottom w:val="nil"/>
              <w:right w:val="single" w:sz="8" w:space="0" w:color="000000"/>
            </w:tcBorders>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93</w:t>
            </w:r>
          </w:p>
        </w:tc>
        <w:tc>
          <w:tcPr>
            <w:tcW w:w="851" w:type="dxa"/>
            <w:tcBorders>
              <w:top w:val="nil"/>
              <w:left w:val="single" w:sz="8" w:space="0" w:color="000000"/>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108</w:t>
            </w:r>
          </w:p>
        </w:tc>
        <w:tc>
          <w:tcPr>
            <w:tcW w:w="838" w:type="dxa"/>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136</w:t>
            </w:r>
          </w:p>
        </w:tc>
        <w:tc>
          <w:tcPr>
            <w:tcW w:w="992" w:type="dxa"/>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730</w:t>
            </w:r>
          </w:p>
        </w:tc>
      </w:tr>
      <w:tr w:rsidR="00CC45FC">
        <w:trPr>
          <w:trHeight w:val="259"/>
        </w:trPr>
        <w:tc>
          <w:tcPr>
            <w:tcW w:w="1985" w:type="dxa"/>
            <w:tcBorders>
              <w:top w:val="nil"/>
              <w:left w:val="single" w:sz="8" w:space="0" w:color="auto"/>
              <w:bottom w:val="single" w:sz="8" w:space="0" w:color="auto"/>
              <w:right w:val="single" w:sz="8" w:space="0" w:color="000000"/>
            </w:tcBorders>
            <w:shd w:val="clear" w:color="auto" w:fill="auto"/>
            <w:noWrap/>
            <w:vAlign w:val="center"/>
            <w:hideMark/>
          </w:tcPr>
          <w:p w:rsidR="00CC45FC" w:rsidRDefault="004A7700">
            <w:pPr>
              <w:spacing w:after="0" w:line="240" w:lineRule="auto"/>
              <w:jc w:val="both"/>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Administration</w:t>
            </w:r>
          </w:p>
        </w:tc>
        <w:tc>
          <w:tcPr>
            <w:tcW w:w="850" w:type="dxa"/>
            <w:tcBorders>
              <w:top w:val="nil"/>
              <w:left w:val="nil"/>
              <w:bottom w:val="single" w:sz="8" w:space="0" w:color="auto"/>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9</w:t>
            </w:r>
          </w:p>
        </w:tc>
        <w:tc>
          <w:tcPr>
            <w:tcW w:w="851" w:type="dxa"/>
            <w:tcBorders>
              <w:top w:val="nil"/>
              <w:left w:val="nil"/>
              <w:bottom w:val="single" w:sz="8" w:space="0" w:color="auto"/>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5</w:t>
            </w:r>
          </w:p>
        </w:tc>
        <w:tc>
          <w:tcPr>
            <w:tcW w:w="850" w:type="dxa"/>
            <w:tcBorders>
              <w:top w:val="nil"/>
              <w:left w:val="nil"/>
              <w:bottom w:val="single" w:sz="8" w:space="0" w:color="auto"/>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2</w:t>
            </w:r>
          </w:p>
        </w:tc>
        <w:tc>
          <w:tcPr>
            <w:tcW w:w="851" w:type="dxa"/>
            <w:tcBorders>
              <w:top w:val="nil"/>
              <w:left w:val="nil"/>
              <w:bottom w:val="single" w:sz="8" w:space="0" w:color="auto"/>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9</w:t>
            </w:r>
          </w:p>
        </w:tc>
        <w:tc>
          <w:tcPr>
            <w:tcW w:w="850" w:type="dxa"/>
            <w:tcBorders>
              <w:top w:val="nil"/>
              <w:left w:val="nil"/>
              <w:bottom w:val="single" w:sz="8" w:space="0" w:color="auto"/>
              <w:right w:val="single" w:sz="8" w:space="0" w:color="000000"/>
            </w:tcBorders>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6</w:t>
            </w:r>
          </w:p>
        </w:tc>
        <w:tc>
          <w:tcPr>
            <w:tcW w:w="851" w:type="dxa"/>
            <w:tcBorders>
              <w:top w:val="nil"/>
              <w:left w:val="single" w:sz="8" w:space="0" w:color="000000"/>
              <w:bottom w:val="single" w:sz="8" w:space="0" w:color="auto"/>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5</w:t>
            </w:r>
          </w:p>
        </w:tc>
        <w:tc>
          <w:tcPr>
            <w:tcW w:w="838" w:type="dxa"/>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5</w:t>
            </w:r>
          </w:p>
        </w:tc>
        <w:tc>
          <w:tcPr>
            <w:tcW w:w="992" w:type="dxa"/>
            <w:tcBorders>
              <w:top w:val="nil"/>
              <w:left w:val="nil"/>
              <w:bottom w:val="nil"/>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41</w:t>
            </w:r>
          </w:p>
        </w:tc>
      </w:tr>
      <w:tr w:rsidR="00CC45FC">
        <w:trPr>
          <w:trHeight w:val="259"/>
        </w:trPr>
        <w:tc>
          <w:tcPr>
            <w:tcW w:w="1985" w:type="dxa"/>
            <w:tcBorders>
              <w:top w:val="nil"/>
              <w:left w:val="single" w:sz="8" w:space="0" w:color="auto"/>
              <w:bottom w:val="single" w:sz="8" w:space="0" w:color="auto"/>
              <w:right w:val="single" w:sz="8" w:space="0" w:color="000000"/>
            </w:tcBorders>
            <w:shd w:val="clear" w:color="auto" w:fill="auto"/>
            <w:noWrap/>
            <w:vAlign w:val="center"/>
            <w:hideMark/>
          </w:tcPr>
          <w:p w:rsidR="00CC45FC" w:rsidRDefault="004A7700">
            <w:pPr>
              <w:spacing w:after="0" w:line="240" w:lineRule="auto"/>
              <w:jc w:val="both"/>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Total</w:t>
            </w:r>
          </w:p>
        </w:tc>
        <w:tc>
          <w:tcPr>
            <w:tcW w:w="850" w:type="dxa"/>
            <w:tcBorders>
              <w:top w:val="nil"/>
              <w:left w:val="nil"/>
              <w:bottom w:val="single" w:sz="8" w:space="0" w:color="auto"/>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464</w:t>
            </w:r>
          </w:p>
        </w:tc>
        <w:tc>
          <w:tcPr>
            <w:tcW w:w="851" w:type="dxa"/>
            <w:tcBorders>
              <w:top w:val="nil"/>
              <w:left w:val="nil"/>
              <w:bottom w:val="single" w:sz="8" w:space="0" w:color="auto"/>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614</w:t>
            </w:r>
          </w:p>
        </w:tc>
        <w:tc>
          <w:tcPr>
            <w:tcW w:w="850" w:type="dxa"/>
            <w:tcBorders>
              <w:top w:val="nil"/>
              <w:left w:val="nil"/>
              <w:bottom w:val="single" w:sz="8" w:space="0" w:color="auto"/>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734</w:t>
            </w:r>
          </w:p>
        </w:tc>
        <w:tc>
          <w:tcPr>
            <w:tcW w:w="851" w:type="dxa"/>
            <w:tcBorders>
              <w:top w:val="nil"/>
              <w:left w:val="nil"/>
              <w:bottom w:val="single" w:sz="8" w:space="0" w:color="auto"/>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678</w:t>
            </w:r>
          </w:p>
        </w:tc>
        <w:tc>
          <w:tcPr>
            <w:tcW w:w="850" w:type="dxa"/>
            <w:tcBorders>
              <w:top w:val="nil"/>
              <w:left w:val="nil"/>
              <w:bottom w:val="single" w:sz="8" w:space="0" w:color="auto"/>
              <w:right w:val="single" w:sz="8" w:space="0" w:color="000000"/>
            </w:tcBorders>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862</w:t>
            </w:r>
          </w:p>
        </w:tc>
        <w:tc>
          <w:tcPr>
            <w:tcW w:w="851" w:type="dxa"/>
            <w:tcBorders>
              <w:top w:val="nil"/>
              <w:left w:val="single" w:sz="8" w:space="0" w:color="000000"/>
              <w:bottom w:val="single" w:sz="8" w:space="0" w:color="auto"/>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736</w:t>
            </w:r>
          </w:p>
        </w:tc>
        <w:tc>
          <w:tcPr>
            <w:tcW w:w="838" w:type="dxa"/>
            <w:tcBorders>
              <w:top w:val="single" w:sz="8" w:space="0" w:color="auto"/>
              <w:left w:val="nil"/>
              <w:bottom w:val="single" w:sz="8" w:space="0" w:color="auto"/>
              <w:right w:val="single" w:sz="8" w:space="0" w:color="auto"/>
            </w:tcBorders>
            <w:shd w:val="clear" w:color="auto" w:fill="auto"/>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749</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4 837</w:t>
            </w:r>
          </w:p>
        </w:tc>
      </w:tr>
    </w:tbl>
    <w:p w:rsidR="00CC45FC" w:rsidRDefault="00CC45FC">
      <w:pPr>
        <w:spacing w:after="0" w:line="240" w:lineRule="auto"/>
        <w:rPr>
          <w:rFonts w:ascii="Verdana" w:eastAsia="Times New Roman" w:hAnsi="Verdana"/>
          <w:b/>
          <w:bCs/>
          <w:iCs/>
          <w:noProof/>
        </w:rPr>
      </w:pPr>
      <w:bookmarkStart w:id="57" w:name="_Toc399420062"/>
      <w:bookmarkStart w:id="58" w:name="_Toc365022342"/>
      <w:bookmarkEnd w:id="56"/>
    </w:p>
    <w:p w:rsidR="00CC45FC" w:rsidRDefault="004A7700">
      <w:pPr>
        <w:pStyle w:val="ManualHeading2"/>
        <w:rPr>
          <w:i/>
          <w:noProof/>
        </w:rPr>
      </w:pPr>
      <w:bookmarkStart w:id="59" w:name="_Toc456258163"/>
      <w:bookmarkStart w:id="60" w:name="_Toc456686571"/>
      <w:r>
        <w:t>3.3.</w:t>
      </w:r>
      <w:r>
        <w:tab/>
      </w:r>
      <w:r>
        <w:rPr>
          <w:noProof/>
        </w:rPr>
        <w:t>Impact of financial corrections</w:t>
      </w:r>
      <w:bookmarkEnd w:id="59"/>
      <w:bookmarkEnd w:id="60"/>
    </w:p>
    <w:bookmarkEnd w:id="57"/>
    <w:p w:rsidR="00CC45FC" w:rsidRDefault="004A7700">
      <w:pPr>
        <w:spacing w:after="240"/>
        <w:jc w:val="both"/>
        <w:rPr>
          <w:rFonts w:ascii="Verdana" w:hAnsi="Verdana"/>
          <w:i/>
          <w:noProof/>
          <w:sz w:val="20"/>
        </w:rPr>
      </w:pPr>
      <w:r>
        <w:rPr>
          <w:rFonts w:ascii="Verdana" w:hAnsi="Verdana"/>
          <w:i/>
          <w:noProof/>
          <w:sz w:val="20"/>
        </w:rPr>
        <w:t>3.3.1.</w:t>
      </w:r>
      <w:r>
        <w:rPr>
          <w:rFonts w:ascii="Verdana" w:hAnsi="Verdana"/>
          <w:i/>
          <w:noProof/>
          <w:sz w:val="20"/>
        </w:rPr>
        <w:tab/>
        <w:t>Impact on the EU budget in 2015</w:t>
      </w:r>
    </w:p>
    <w:p w:rsidR="00CC45FC" w:rsidRDefault="004A7700">
      <w:pPr>
        <w:autoSpaceDE w:val="0"/>
        <w:autoSpaceDN w:val="0"/>
        <w:adjustRightInd w:val="0"/>
        <w:spacing w:after="120"/>
        <w:ind w:firstLine="720"/>
        <w:jc w:val="both"/>
        <w:rPr>
          <w:rFonts w:ascii="Verdana" w:hAnsi="Verdana" w:cs="Arial"/>
          <w:b/>
          <w:bCs/>
          <w:i/>
          <w:noProof/>
          <w:sz w:val="18"/>
        </w:rPr>
      </w:pPr>
      <w:r>
        <w:rPr>
          <w:rFonts w:ascii="Verdana" w:hAnsi="Verdana" w:cs="Arial"/>
          <w:b/>
          <w:bCs/>
          <w:i/>
          <w:noProof/>
          <w:sz w:val="18"/>
        </w:rPr>
        <w:t>Graph 3.3.1: Impact on the EU Budget</w:t>
      </w:r>
    </w:p>
    <w:p w:rsidR="00CC45FC" w:rsidRDefault="004A7700">
      <w:pPr>
        <w:autoSpaceDE w:val="0"/>
        <w:autoSpaceDN w:val="0"/>
        <w:adjustRightInd w:val="0"/>
        <w:spacing w:after="0"/>
        <w:ind w:firstLine="720"/>
        <w:jc w:val="both"/>
        <w:rPr>
          <w:rFonts w:ascii="Verdana" w:hAnsi="Verdana"/>
          <w:noProof/>
          <w:sz w:val="14"/>
          <w:szCs w:val="16"/>
          <w:lang w:eastAsia="en-GB"/>
        </w:rPr>
      </w:pPr>
      <w:r>
        <w:rPr>
          <w:noProof/>
          <w:lang w:eastAsia="en-GB"/>
        </w:rPr>
        <w:t xml:space="preserve"> </w:t>
      </w:r>
      <w:r>
        <w:rPr>
          <w:noProof/>
          <w:lang w:eastAsia="en-GB"/>
        </w:rPr>
        <w:drawing>
          <wp:inline distT="0" distB="0" distL="0" distR="0">
            <wp:extent cx="4953001" cy="2743200"/>
            <wp:effectExtent l="0" t="0" r="19050" b="19050"/>
            <wp:docPr id="53" name="Chart 53"/>
            <wp:cNvGraphicFramePr/>
            <a:graphic xmlns:a="http://schemas.openxmlformats.org/drawingml/2006/main">
              <a:graphicData uri="http://schemas.openxmlformats.org/drawingml/2006/chart">
                <c:chart xmlns:c="http://schemas.openxmlformats.org/drawingml/2006/chart" xmlns:r="http://schemas.openxmlformats.org/officeDocument/2006/relationships" r:id="rId27"/>
              </a:graphicData>
            </a:graphic>
          </wp:inline>
        </w:drawing>
      </w:r>
    </w:p>
    <w:p w:rsidR="00CC45FC" w:rsidRDefault="004A7700">
      <w:pPr>
        <w:autoSpaceDE w:val="0"/>
        <w:autoSpaceDN w:val="0"/>
        <w:adjustRightInd w:val="0"/>
        <w:spacing w:after="0"/>
        <w:jc w:val="both"/>
        <w:rPr>
          <w:rFonts w:ascii="Verdana" w:hAnsi="Verdana"/>
          <w:i/>
          <w:noProof/>
          <w:sz w:val="14"/>
          <w:szCs w:val="16"/>
          <w:lang w:eastAsia="en-GB"/>
        </w:rPr>
      </w:pPr>
      <w:r>
        <w:rPr>
          <w:rFonts w:ascii="Verdana" w:hAnsi="Verdana"/>
          <w:i/>
          <w:noProof/>
          <w:sz w:val="14"/>
          <w:szCs w:val="16"/>
          <w:lang w:eastAsia="en-GB"/>
        </w:rPr>
        <w:t xml:space="preserve">* </w:t>
      </w:r>
      <w:r>
        <w:rPr>
          <w:rFonts w:ascii="Verdana" w:hAnsi="Verdana"/>
          <w:i/>
          <w:noProof/>
          <w:sz w:val="14"/>
          <w:szCs w:val="16"/>
          <w:lang w:eastAsia="en-GB"/>
        </w:rPr>
        <w:tab/>
        <w:t>The main expenditure chapters concerned are 0502, 0503, 0504, 1303, 1304, 0402, 1106 and 1803.</w:t>
      </w:r>
    </w:p>
    <w:p w:rsidR="00CC45FC" w:rsidRDefault="004A7700">
      <w:pPr>
        <w:autoSpaceDE w:val="0"/>
        <w:autoSpaceDN w:val="0"/>
        <w:adjustRightInd w:val="0"/>
        <w:spacing w:after="0"/>
        <w:ind w:left="709" w:hanging="709"/>
        <w:jc w:val="both"/>
        <w:rPr>
          <w:rFonts w:ascii="Verdana" w:hAnsi="Verdana"/>
          <w:i/>
          <w:noProof/>
          <w:sz w:val="14"/>
          <w:szCs w:val="16"/>
          <w:lang w:eastAsia="en-GB"/>
        </w:rPr>
      </w:pPr>
      <w:r>
        <w:rPr>
          <w:rFonts w:ascii="Verdana" w:hAnsi="Verdana"/>
          <w:i/>
          <w:noProof/>
          <w:sz w:val="14"/>
          <w:szCs w:val="16"/>
          <w:lang w:eastAsia="en-GB"/>
        </w:rPr>
        <w:t>**</w:t>
      </w:r>
      <w:r>
        <w:rPr>
          <w:rFonts w:ascii="Verdana" w:hAnsi="Verdana"/>
          <w:i/>
          <w:noProof/>
          <w:sz w:val="14"/>
          <w:szCs w:val="16"/>
          <w:lang w:eastAsia="en-GB"/>
        </w:rPr>
        <w:tab/>
        <w:t>Excluding "At source" recoveries. The main expenditure chapters concerned are 0502, 0503, 1303, 1304, 0402 and 1106. For more information on recoveries see 3.2.4.</w:t>
      </w:r>
    </w:p>
    <w:p w:rsidR="00CC45FC" w:rsidRDefault="00CC45FC">
      <w:pPr>
        <w:autoSpaceDE w:val="0"/>
        <w:autoSpaceDN w:val="0"/>
        <w:adjustRightInd w:val="0"/>
        <w:spacing w:after="0"/>
        <w:jc w:val="both"/>
        <w:rPr>
          <w:rFonts w:ascii="Verdana" w:hAnsi="Verdana"/>
          <w:noProof/>
          <w:sz w:val="16"/>
          <w:szCs w:val="16"/>
          <w:lang w:eastAsia="en-GB"/>
        </w:rPr>
      </w:pPr>
    </w:p>
    <w:p w:rsidR="00CC45FC" w:rsidRDefault="004A7700">
      <w:pPr>
        <w:tabs>
          <w:tab w:val="left" w:pos="0"/>
        </w:tabs>
        <w:spacing w:after="120" w:line="240" w:lineRule="auto"/>
        <w:jc w:val="both"/>
        <w:rPr>
          <w:rFonts w:ascii="Verdana" w:hAnsi="Verdana"/>
          <w:noProof/>
          <w:sz w:val="18"/>
          <w:szCs w:val="20"/>
          <w:lang w:val="en-US"/>
        </w:rPr>
      </w:pPr>
      <w:r>
        <w:rPr>
          <w:rFonts w:ascii="Verdana" w:hAnsi="Verdana"/>
          <w:noProof/>
          <w:sz w:val="18"/>
          <w:szCs w:val="20"/>
        </w:rPr>
        <w:t xml:space="preserve">As explained above, revenue arising from net </w:t>
      </w:r>
      <w:r>
        <w:rPr>
          <w:rFonts w:ascii="Verdana" w:hAnsi="Verdana"/>
          <w:noProof/>
          <w:sz w:val="18"/>
          <w:szCs w:val="20"/>
          <w:lang w:val="en-US"/>
        </w:rPr>
        <w:t>financial corrections and recoveries are treated as assigned revenue</w:t>
      </w:r>
      <w:r>
        <w:rPr>
          <w:rStyle w:val="FootnoteReference"/>
          <w:rFonts w:ascii="Verdana" w:hAnsi="Verdana"/>
          <w:noProof/>
          <w:sz w:val="18"/>
          <w:szCs w:val="20"/>
          <w:lang w:val="en-US"/>
        </w:rPr>
        <w:footnoteReference w:id="11"/>
      </w:r>
      <w:r>
        <w:rPr>
          <w:rFonts w:ascii="Verdana" w:hAnsi="Verdana"/>
          <w:noProof/>
          <w:sz w:val="18"/>
          <w:szCs w:val="20"/>
          <w:lang w:val="en-US"/>
        </w:rPr>
        <w:t>, noting that the Commission implements recoveries also "at source" by deducting ineligible expenditure (which has been identified in previous or current cost claims) from payments made.</w:t>
      </w:r>
      <w:r>
        <w:rPr>
          <w:rFonts w:ascii="Verdana" w:hAnsi="Verdana"/>
          <w:noProof/>
          <w:sz w:val="18"/>
          <w:szCs w:val="20"/>
        </w:rPr>
        <w:t xml:space="preserve"> </w:t>
      </w:r>
      <w:r>
        <w:rPr>
          <w:rFonts w:ascii="Verdana" w:hAnsi="Verdana" w:cs="Arial"/>
          <w:bCs/>
          <w:noProof/>
          <w:sz w:val="18"/>
        </w:rPr>
        <w:t>In general, assigned revenue goes back to the budget line or fund from which the expenditure was originally paid and may be spent again but it is</w:t>
      </w:r>
      <w:r>
        <w:rPr>
          <w:rFonts w:ascii="Verdana" w:hAnsi="Verdana"/>
          <w:noProof/>
          <w:sz w:val="18"/>
          <w:szCs w:val="20"/>
          <w:lang w:val="en-US"/>
        </w:rPr>
        <w:t xml:space="preserve"> not earmarked for specific Member States.</w:t>
      </w:r>
    </w:p>
    <w:p w:rsidR="00CC45FC" w:rsidRDefault="00CC45FC">
      <w:pPr>
        <w:tabs>
          <w:tab w:val="left" w:pos="0"/>
        </w:tabs>
        <w:spacing w:after="120" w:line="240" w:lineRule="auto"/>
        <w:jc w:val="both"/>
        <w:rPr>
          <w:rFonts w:ascii="Verdana" w:hAnsi="Verdana"/>
          <w:noProof/>
          <w:sz w:val="18"/>
          <w:szCs w:val="20"/>
          <w:lang w:val="en-US"/>
        </w:rPr>
      </w:pPr>
    </w:p>
    <w:p w:rsidR="00CC45FC" w:rsidRDefault="004A7700">
      <w:pPr>
        <w:spacing w:after="240"/>
        <w:jc w:val="both"/>
        <w:rPr>
          <w:rFonts w:ascii="Verdana" w:hAnsi="Verdana"/>
          <w:i/>
          <w:noProof/>
          <w:sz w:val="20"/>
        </w:rPr>
      </w:pPr>
      <w:r>
        <w:rPr>
          <w:rFonts w:ascii="Verdana" w:hAnsi="Verdana"/>
          <w:i/>
          <w:noProof/>
          <w:sz w:val="20"/>
        </w:rPr>
        <w:t>3.3.2.</w:t>
      </w:r>
      <w:r>
        <w:rPr>
          <w:rFonts w:ascii="Verdana" w:hAnsi="Verdana"/>
          <w:i/>
          <w:noProof/>
          <w:sz w:val="20"/>
        </w:rPr>
        <w:tab/>
        <w:t>Impact on national budgets</w:t>
      </w:r>
    </w:p>
    <w:p w:rsidR="00CC45FC" w:rsidRDefault="004A7700">
      <w:pPr>
        <w:spacing w:after="0" w:line="240" w:lineRule="auto"/>
        <w:jc w:val="both"/>
        <w:rPr>
          <w:rFonts w:ascii="Verdana" w:hAnsi="Verdana"/>
          <w:noProof/>
          <w:sz w:val="18"/>
          <w:lang w:eastAsia="en-GB"/>
        </w:rPr>
      </w:pPr>
      <w:r>
        <w:rPr>
          <w:rFonts w:ascii="Verdana" w:hAnsi="Verdana"/>
          <w:noProof/>
          <w:sz w:val="18"/>
          <w:lang w:eastAsia="en-GB"/>
        </w:rPr>
        <w:t>Under shared management, all financial corrections and recoveries have an impact on national budgets regardless of their method of implementation. It has to be underlined that even if no reimbursement to the EU budget is made, the impact of financial corrections is always negative at Member State’s level. This is because in order not to lose EU funding, the Member State must replace ineligible expenditure by eligible operations. This means that the Member State bears, with its own resources (from the national budget), the financial consequences of the loss of EU co-financing of expenditure considered ineligible under the EU programme rules (in the form of opportunity cost) unless it recovers the amounts from individual beneficiaries. This is not always possible, for example in the case of flat-rate corrections at programme level (due to deficiencies in the national administration managing the programme) which are not directly linked to individual irregularities at project level.</w:t>
      </w:r>
    </w:p>
    <w:bookmarkEnd w:id="58"/>
    <w:p w:rsidR="00CC45FC" w:rsidRDefault="00CC45FC">
      <w:pPr>
        <w:spacing w:after="0" w:line="240" w:lineRule="auto"/>
        <w:rPr>
          <w:rFonts w:ascii="Verdana" w:eastAsia="Times New Roman" w:hAnsi="Verdana"/>
          <w:noProof/>
          <w:sz w:val="24"/>
          <w:szCs w:val="24"/>
          <w:highlight w:val="yellow"/>
        </w:rPr>
      </w:pPr>
    </w:p>
    <w:p w:rsidR="00CC45FC" w:rsidRDefault="004A7700">
      <w:pPr>
        <w:pStyle w:val="ManualHeading1"/>
        <w:rPr>
          <w:caps/>
          <w:noProof/>
        </w:rPr>
      </w:pPr>
      <w:bookmarkStart w:id="61" w:name="_Toc456258164"/>
      <w:bookmarkStart w:id="62" w:name="_Toc456686572"/>
      <w:r>
        <w:t>4.</w:t>
      </w:r>
      <w:r>
        <w:tab/>
      </w:r>
      <w:r>
        <w:rPr>
          <w:noProof/>
        </w:rPr>
        <w:t>AGRICULTURE AND RURAL DEVELOPMENT</w:t>
      </w:r>
      <w:bookmarkEnd w:id="61"/>
      <w:bookmarkEnd w:id="62"/>
    </w:p>
    <w:p w:rsidR="00CC45FC" w:rsidRDefault="004A7700">
      <w:pPr>
        <w:pStyle w:val="ManualHeading2"/>
        <w:rPr>
          <w:noProof/>
        </w:rPr>
      </w:pPr>
      <w:bookmarkStart w:id="63" w:name="_Toc456258165"/>
      <w:bookmarkStart w:id="64" w:name="_Toc456686573"/>
      <w:r>
        <w:t>4.1.</w:t>
      </w:r>
      <w:r>
        <w:tab/>
      </w:r>
      <w:r>
        <w:rPr>
          <w:noProof/>
        </w:rPr>
        <w:t>Preventive actions</w:t>
      </w:r>
      <w:bookmarkEnd w:id="63"/>
      <w:bookmarkEnd w:id="64"/>
    </w:p>
    <w:p w:rsidR="00CC45FC" w:rsidRDefault="004A7700">
      <w:pPr>
        <w:spacing w:after="240" w:line="240" w:lineRule="auto"/>
        <w:jc w:val="both"/>
        <w:rPr>
          <w:rFonts w:ascii="Verdana" w:hAnsi="Verdana"/>
          <w:b/>
          <w:noProof/>
          <w:sz w:val="18"/>
          <w:szCs w:val="20"/>
        </w:rPr>
      </w:pPr>
      <w:r>
        <w:rPr>
          <w:rFonts w:ascii="Verdana" w:hAnsi="Verdana"/>
          <w:b/>
          <w:noProof/>
          <w:sz w:val="18"/>
          <w:szCs w:val="20"/>
        </w:rPr>
        <w:t>Preventive actions by the Member States</w:t>
      </w:r>
    </w:p>
    <w:p w:rsidR="00CC45FC" w:rsidRDefault="004A7700">
      <w:pPr>
        <w:spacing w:after="120" w:line="240" w:lineRule="auto"/>
        <w:jc w:val="both"/>
        <w:rPr>
          <w:rFonts w:ascii="Verdana" w:hAnsi="Verdana"/>
          <w:noProof/>
          <w:sz w:val="18"/>
          <w:szCs w:val="20"/>
        </w:rPr>
      </w:pPr>
      <w:r>
        <w:rPr>
          <w:rFonts w:ascii="Verdana" w:hAnsi="Verdana"/>
          <w:noProof/>
          <w:sz w:val="18"/>
          <w:szCs w:val="20"/>
        </w:rPr>
        <w:t>A compulsory administrative structure has been set up at the level of Member States. The management, control and payment of the expenditure is entrusted to accredited paying agencies (PA). Compliance with strict accreditation criteria (which are laid down in Commission Implementing Regulation (EU) No 908/2014 and in Commission Delegated Regulation (EU) No 907/2014</w:t>
      </w:r>
      <w:r>
        <w:rPr>
          <w:rStyle w:val="FootnoteReference"/>
          <w:rFonts w:ascii="Verdana" w:hAnsi="Verdana"/>
          <w:noProof/>
          <w:sz w:val="18"/>
          <w:szCs w:val="20"/>
        </w:rPr>
        <w:footnoteReference w:id="12"/>
      </w:r>
      <w:r>
        <w:rPr>
          <w:rFonts w:ascii="Verdana" w:hAnsi="Verdana"/>
          <w:noProof/>
          <w:sz w:val="18"/>
          <w:szCs w:val="20"/>
        </w:rPr>
        <w:t>) is subject to a detailed review by an independent external audit body designated at national level (certification body) as well as to constant supervision by the competent national authority (at ministerial level). The PAs are required to provide an annual management declaration which includes a declaration that the system in place provides reasonable assurance on the legality and regularity of the underlying transactions. These management declarations are verified by the above-mentioned certification bodies, which are required to provide an annual opinion.</w:t>
      </w:r>
    </w:p>
    <w:p w:rsidR="00CC45FC" w:rsidRDefault="004A7700">
      <w:pPr>
        <w:spacing w:after="240" w:line="240" w:lineRule="auto"/>
        <w:jc w:val="both"/>
        <w:rPr>
          <w:rFonts w:ascii="Verdana" w:hAnsi="Verdana"/>
          <w:noProof/>
          <w:sz w:val="18"/>
          <w:szCs w:val="20"/>
        </w:rPr>
      </w:pPr>
      <w:r>
        <w:rPr>
          <w:rFonts w:ascii="Verdana" w:hAnsi="Verdana"/>
          <w:noProof/>
          <w:sz w:val="18"/>
          <w:szCs w:val="20"/>
        </w:rPr>
        <w:t>For each support scheme financed by the EAGF or EAFRD, the PAs apply a system of exhaustive ex-ante administrative controls (100 % of aid applications must be checked) and on-the-spot checks (at least 5 % in the case of most schemes) prior to any payment. These controls are made in accordance with precise rules set out in the sector specific legislation (e.g. the Integrated Administration and Control System – IACS, including a Land Parcel Identification System – LPIS). For the majority of these aid schemes Member States are required to send statistical information on the checks carried out and their results on a yearly basis to the Commission (control statistics).</w:t>
      </w:r>
    </w:p>
    <w:p w:rsidR="00CC45FC" w:rsidRDefault="004A7700">
      <w:pPr>
        <w:spacing w:after="240" w:line="240" w:lineRule="auto"/>
        <w:jc w:val="both"/>
        <w:rPr>
          <w:rFonts w:ascii="Verdana" w:hAnsi="Verdana"/>
          <w:b/>
          <w:noProof/>
          <w:sz w:val="18"/>
          <w:szCs w:val="20"/>
        </w:rPr>
      </w:pPr>
      <w:r>
        <w:rPr>
          <w:rFonts w:ascii="Verdana" w:hAnsi="Verdana"/>
          <w:b/>
          <w:noProof/>
          <w:sz w:val="18"/>
          <w:szCs w:val="20"/>
        </w:rPr>
        <w:t>Preventive actions by the Commission</w:t>
      </w:r>
    </w:p>
    <w:tbl>
      <w:tblPr>
        <w:tblStyle w:val="TableGrid"/>
        <w:tblW w:w="9322" w:type="dxa"/>
        <w:tblLook w:val="04A0" w:firstRow="1" w:lastRow="0" w:firstColumn="1" w:lastColumn="0" w:noHBand="0" w:noVBand="1"/>
      </w:tblPr>
      <w:tblGrid>
        <w:gridCol w:w="5920"/>
        <w:gridCol w:w="3402"/>
      </w:tblGrid>
      <w:tr w:rsidR="00CC45FC">
        <w:trPr>
          <w:trHeight w:val="1421"/>
        </w:trPr>
        <w:tc>
          <w:tcPr>
            <w:tcW w:w="5920" w:type="dxa"/>
            <w:tcBorders>
              <w:top w:val="nil"/>
              <w:left w:val="nil"/>
              <w:bottom w:val="nil"/>
              <w:right w:val="single" w:sz="12" w:space="0" w:color="auto"/>
            </w:tcBorders>
            <w:vAlign w:val="center"/>
          </w:tcPr>
          <w:p w:rsidR="00CC45FC" w:rsidRDefault="004A7700">
            <w:pPr>
              <w:widowControl w:val="0"/>
              <w:tabs>
                <w:tab w:val="left" w:pos="284"/>
              </w:tabs>
              <w:autoSpaceDE w:val="0"/>
              <w:autoSpaceDN w:val="0"/>
              <w:adjustRightInd w:val="0"/>
              <w:spacing w:line="240" w:lineRule="auto"/>
              <w:ind w:right="57"/>
              <w:jc w:val="both"/>
              <w:rPr>
                <w:rFonts w:ascii="Verdana" w:hAnsi="Verdana"/>
                <w:noProof/>
                <w:sz w:val="18"/>
                <w:szCs w:val="20"/>
                <w:lang w:eastAsia="x-none"/>
              </w:rPr>
            </w:pPr>
            <w:r>
              <w:rPr>
                <w:rFonts w:ascii="Verdana" w:hAnsi="Verdana"/>
                <w:noProof/>
                <w:sz w:val="18"/>
                <w:szCs w:val="20"/>
              </w:rPr>
              <w:t>Under the new Common Agricultural Policy (CAP) Horizontal Regulation</w:t>
            </w:r>
            <w:r>
              <w:rPr>
                <w:rStyle w:val="FootnoteReference"/>
                <w:rFonts w:ascii="Verdana" w:hAnsi="Verdana"/>
                <w:noProof/>
                <w:sz w:val="18"/>
                <w:szCs w:val="20"/>
              </w:rPr>
              <w:footnoteReference w:id="13"/>
            </w:r>
            <w:r>
              <w:rPr>
                <w:rFonts w:ascii="Verdana" w:hAnsi="Verdana"/>
                <w:noProof/>
                <w:sz w:val="18"/>
                <w:szCs w:val="20"/>
              </w:rPr>
              <w:t>, a new legal framework for reduction, interruptions and suspensions of CAP funds entered into force in 2014, which will strengthen the Commission’s powers to reduce / suspend EU financing in cases where risks of irregular payments have been identified.</w:t>
            </w:r>
          </w:p>
        </w:tc>
        <w:tc>
          <w:tcPr>
            <w:tcW w:w="340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C45FC" w:rsidRDefault="004A7700">
            <w:pPr>
              <w:spacing w:after="120"/>
              <w:rPr>
                <w:rFonts w:ascii="Verdana" w:hAnsi="Verdana" w:cs="Calibri"/>
                <w:b/>
                <w:noProof/>
                <w:sz w:val="18"/>
                <w:szCs w:val="20"/>
                <w:lang w:eastAsia="en-GB"/>
              </w:rPr>
            </w:pPr>
            <w:r>
              <w:rPr>
                <w:rFonts w:ascii="Verdana" w:hAnsi="Verdana" w:cs="Calibri"/>
                <w:b/>
                <w:noProof/>
                <w:sz w:val="18"/>
                <w:szCs w:val="20"/>
                <w:lang w:eastAsia="en-GB"/>
              </w:rPr>
              <w:t>EAGF: Reductions of EUR 27.2 million for 14 MS.</w:t>
            </w:r>
          </w:p>
          <w:p w:rsidR="00CC45FC" w:rsidRDefault="004A7700">
            <w:pPr>
              <w:widowControl w:val="0"/>
              <w:tabs>
                <w:tab w:val="left" w:pos="1280"/>
              </w:tabs>
              <w:autoSpaceDE w:val="0"/>
              <w:autoSpaceDN w:val="0"/>
              <w:adjustRightInd w:val="0"/>
              <w:spacing w:line="240" w:lineRule="auto"/>
              <w:ind w:right="57"/>
              <w:rPr>
                <w:rFonts w:ascii="Verdana" w:hAnsi="Verdana"/>
                <w:noProof/>
                <w:sz w:val="18"/>
                <w:szCs w:val="20"/>
                <w:lang w:eastAsia="x-none"/>
              </w:rPr>
            </w:pPr>
            <w:r>
              <w:rPr>
                <w:rFonts w:ascii="Verdana" w:hAnsi="Verdana" w:cs="Calibri"/>
                <w:b/>
                <w:noProof/>
                <w:sz w:val="18"/>
                <w:szCs w:val="20"/>
                <w:lang w:eastAsia="en-GB"/>
              </w:rPr>
              <w:t>EAFRD: 24 interruptions and 7 suspensions / reductions.</w:t>
            </w:r>
          </w:p>
        </w:tc>
      </w:tr>
    </w:tbl>
    <w:p w:rsidR="00CC45FC" w:rsidRDefault="004A7700">
      <w:pPr>
        <w:spacing w:before="120" w:after="240" w:line="240" w:lineRule="auto"/>
        <w:jc w:val="both"/>
        <w:rPr>
          <w:rFonts w:ascii="Verdana" w:eastAsia="Times New Roman" w:hAnsi="Verdana"/>
          <w:noProof/>
          <w:sz w:val="18"/>
          <w:szCs w:val="20"/>
          <w:lang w:eastAsia="en-GB"/>
        </w:rPr>
      </w:pPr>
      <w:r>
        <w:rPr>
          <w:rFonts w:ascii="Verdana" w:eastAsia="Times New Roman" w:hAnsi="Verdana"/>
          <w:noProof/>
          <w:sz w:val="18"/>
          <w:szCs w:val="20"/>
          <w:lang w:eastAsia="en-GB"/>
        </w:rPr>
        <w:t>Accordingly, the Commission may reduce or suspend monthly (EAGF) or interim (EAFRD) payments where "</w:t>
      </w:r>
      <w:r>
        <w:rPr>
          <w:rFonts w:ascii="Verdana" w:eastAsia="Times New Roman" w:hAnsi="Verdana"/>
          <w:i/>
          <w:noProof/>
          <w:sz w:val="18"/>
          <w:szCs w:val="20"/>
          <w:lang w:eastAsia="en-GB"/>
        </w:rPr>
        <w:t>one or more of the key components of the national control system in question do not exist or are not effective due the gravity or persistence of the deficiencies found"</w:t>
      </w:r>
      <w:r>
        <w:rPr>
          <w:rStyle w:val="FootnoteReference"/>
          <w:rFonts w:ascii="Verdana" w:eastAsia="Times New Roman" w:hAnsi="Verdana"/>
          <w:i/>
          <w:noProof/>
          <w:sz w:val="18"/>
          <w:szCs w:val="20"/>
          <w:lang w:eastAsia="en-GB"/>
        </w:rPr>
        <w:footnoteReference w:id="14"/>
      </w:r>
      <w:r>
        <w:rPr>
          <w:rFonts w:ascii="Verdana" w:eastAsia="Times New Roman" w:hAnsi="Verdana"/>
          <w:noProof/>
          <w:sz w:val="18"/>
          <w:szCs w:val="20"/>
          <w:lang w:eastAsia="en-GB"/>
        </w:rPr>
        <w:t xml:space="preserve"> (or there are similar serious deficiencies in the system for the recovery of irregular payments) and:</w:t>
      </w:r>
    </w:p>
    <w:p w:rsidR="00CC45FC" w:rsidRDefault="004A7700">
      <w:pPr>
        <w:numPr>
          <w:ilvl w:val="0"/>
          <w:numId w:val="35"/>
        </w:numPr>
        <w:spacing w:after="0" w:line="240" w:lineRule="auto"/>
        <w:ind w:left="1077" w:hanging="357"/>
        <w:jc w:val="both"/>
        <w:rPr>
          <w:rFonts w:ascii="Verdana" w:eastAsia="Times New Roman" w:hAnsi="Verdana"/>
          <w:noProof/>
          <w:sz w:val="18"/>
          <w:szCs w:val="20"/>
          <w:lang w:eastAsia="en-GB"/>
        </w:rPr>
      </w:pPr>
      <w:r>
        <w:rPr>
          <w:rFonts w:ascii="Verdana" w:eastAsia="Times New Roman" w:hAnsi="Verdana"/>
          <w:noProof/>
          <w:sz w:val="18"/>
          <w:szCs w:val="20"/>
          <w:lang w:eastAsia="en-GB"/>
        </w:rPr>
        <w:t xml:space="preserve">either the deficiencies are of a continuous nature and have already been the reasons for at least two financial correction decisions, </w:t>
      </w:r>
    </w:p>
    <w:p w:rsidR="00CC45FC" w:rsidRDefault="004A7700">
      <w:pPr>
        <w:spacing w:after="0" w:line="240" w:lineRule="auto"/>
        <w:ind w:left="720"/>
        <w:jc w:val="both"/>
        <w:rPr>
          <w:rFonts w:ascii="Verdana" w:eastAsia="Times New Roman" w:hAnsi="Verdana"/>
          <w:i/>
          <w:noProof/>
          <w:sz w:val="18"/>
          <w:szCs w:val="20"/>
          <w:u w:val="single"/>
          <w:lang w:eastAsia="en-GB"/>
        </w:rPr>
      </w:pPr>
      <w:r>
        <w:rPr>
          <w:rFonts w:ascii="Verdana" w:eastAsia="Times New Roman" w:hAnsi="Verdana"/>
          <w:i/>
          <w:noProof/>
          <w:sz w:val="18"/>
          <w:szCs w:val="20"/>
          <w:u w:val="single"/>
          <w:lang w:eastAsia="en-GB"/>
        </w:rPr>
        <w:t>or</w:t>
      </w:r>
    </w:p>
    <w:p w:rsidR="00CC45FC" w:rsidRDefault="004A7700">
      <w:pPr>
        <w:numPr>
          <w:ilvl w:val="0"/>
          <w:numId w:val="35"/>
        </w:numPr>
        <w:spacing w:after="240" w:line="240" w:lineRule="auto"/>
        <w:ind w:left="1077" w:hanging="357"/>
        <w:jc w:val="both"/>
        <w:rPr>
          <w:rFonts w:ascii="Verdana" w:eastAsia="Times New Roman" w:hAnsi="Verdana"/>
          <w:noProof/>
          <w:sz w:val="18"/>
          <w:szCs w:val="20"/>
          <w:lang w:eastAsia="en-GB"/>
        </w:rPr>
      </w:pPr>
      <w:r>
        <w:rPr>
          <w:rFonts w:ascii="Verdana" w:eastAsia="Times New Roman" w:hAnsi="Verdana"/>
          <w:noProof/>
          <w:sz w:val="18"/>
          <w:szCs w:val="20"/>
          <w:lang w:eastAsia="en-GB"/>
        </w:rPr>
        <w:t xml:space="preserve">the Commission concludes that the Member State concerned is not in a position to implement the necessary remedial measures in the immediate future, in accordance with an action plan with clear progress indicators to be established in consultation with the Commission. </w:t>
      </w:r>
    </w:p>
    <w:p w:rsidR="00CC45FC" w:rsidRDefault="004A7700">
      <w:pPr>
        <w:pStyle w:val="Textstand-alone"/>
        <w:spacing w:before="120" w:after="0"/>
        <w:rPr>
          <w:szCs w:val="20"/>
          <w:lang w:eastAsia="en-GB"/>
        </w:rPr>
      </w:pPr>
      <w:r>
        <w:rPr>
          <w:szCs w:val="20"/>
          <w:lang w:eastAsia="en-GB"/>
        </w:rPr>
        <w:t xml:space="preserve">For </w:t>
      </w:r>
      <w:r>
        <w:rPr>
          <w:b/>
          <w:szCs w:val="20"/>
          <w:lang w:eastAsia="en-GB"/>
        </w:rPr>
        <w:t>EAFRD</w:t>
      </w:r>
      <w:r>
        <w:rPr>
          <w:szCs w:val="20"/>
          <w:lang w:eastAsia="en-GB"/>
        </w:rPr>
        <w:t>, the new Common Provisions Regulation (CPR)</w:t>
      </w:r>
      <w:r>
        <w:rPr>
          <w:rStyle w:val="FootnoteReference"/>
          <w:szCs w:val="20"/>
          <w:lang w:eastAsia="en-GB"/>
        </w:rPr>
        <w:footnoteReference w:id="15"/>
      </w:r>
      <w:r>
        <w:rPr>
          <w:szCs w:val="20"/>
          <w:lang w:eastAsia="en-GB"/>
        </w:rPr>
        <w:t xml:space="preserve"> also provides for the interruption of interim payments by the Authorising Officer by Delegation (i.e. the Director-General) as </w:t>
      </w:r>
      <w:r>
        <w:rPr>
          <w:szCs w:val="20"/>
        </w:rPr>
        <w:t>an additional, quick and reactive tool in case of concerns about the legality and regularity of payments</w:t>
      </w:r>
      <w:r>
        <w:rPr>
          <w:szCs w:val="20"/>
          <w:lang w:eastAsia="en-GB"/>
        </w:rPr>
        <w:t>.</w:t>
      </w:r>
    </w:p>
    <w:p w:rsidR="00CC45FC" w:rsidRDefault="004A7700">
      <w:pPr>
        <w:pStyle w:val="Textstand-alone"/>
        <w:spacing w:before="120" w:after="120"/>
        <w:rPr>
          <w:szCs w:val="20"/>
          <w:lang w:eastAsia="en-GB"/>
        </w:rPr>
      </w:pPr>
      <w:r>
        <w:rPr>
          <w:szCs w:val="20"/>
          <w:lang w:eastAsia="en-GB"/>
        </w:rPr>
        <w:t xml:space="preserve">For </w:t>
      </w:r>
      <w:r>
        <w:rPr>
          <w:b/>
          <w:szCs w:val="20"/>
          <w:lang w:eastAsia="en-GB"/>
        </w:rPr>
        <w:t>EAGF</w:t>
      </w:r>
      <w:r>
        <w:rPr>
          <w:szCs w:val="20"/>
          <w:lang w:eastAsia="en-GB"/>
        </w:rPr>
        <w:t>, the rhythm of the monthly payments would not allow for using such an interruption procedure. For EAGF, there were no suspensions of payment in 2015. Reductions in the monthly payments due to deficiencies in the control system were made for the first time in 2015 for a total amount of EUR 16 million (Greece). The other reductions concern overruns of ceilings, deadlines and other eligibility issues. There were 87 operations in total related to the reductions.</w:t>
      </w:r>
    </w:p>
    <w:p w:rsidR="00CC45FC" w:rsidRDefault="004A7700">
      <w:pPr>
        <w:spacing w:after="240" w:line="240" w:lineRule="auto"/>
        <w:jc w:val="both"/>
        <w:rPr>
          <w:rFonts w:ascii="Verdana" w:hAnsi="Verdana"/>
          <w:noProof/>
          <w:sz w:val="18"/>
          <w:szCs w:val="18"/>
        </w:rPr>
      </w:pPr>
      <w:r>
        <w:rPr>
          <w:rFonts w:ascii="Verdana" w:hAnsi="Verdana"/>
          <w:noProof/>
          <w:sz w:val="18"/>
          <w:szCs w:val="18"/>
          <w:lang w:eastAsia="en-GB"/>
        </w:rPr>
        <w:t>The interruptions and reductions / suspensions are provisional. Where relevant these could be accompanied by an audit. If the deficiency is confirmed, the relevant expenditure is definitely excluded from EU funding by application of a financial correction under the conformity clearance procedure.</w:t>
      </w:r>
    </w:p>
    <w:p w:rsidR="00CC45FC" w:rsidRDefault="004A7700">
      <w:pPr>
        <w:pStyle w:val="ManualHeading2"/>
        <w:rPr>
          <w:i/>
          <w:noProof/>
        </w:rPr>
      </w:pPr>
      <w:bookmarkStart w:id="65" w:name="_Toc456258166"/>
      <w:bookmarkStart w:id="66" w:name="_Toc456686574"/>
      <w:r>
        <w:t>4.2.</w:t>
      </w:r>
      <w:r>
        <w:tab/>
      </w:r>
      <w:r>
        <w:rPr>
          <w:noProof/>
        </w:rPr>
        <w:t>Corrective actions</w:t>
      </w:r>
      <w:bookmarkEnd w:id="65"/>
      <w:bookmarkEnd w:id="66"/>
    </w:p>
    <w:p w:rsidR="00CC45FC" w:rsidRDefault="004A7700">
      <w:pPr>
        <w:spacing w:after="120" w:line="240" w:lineRule="auto"/>
        <w:jc w:val="both"/>
        <w:rPr>
          <w:rFonts w:ascii="Verdana" w:hAnsi="Verdana"/>
          <w:noProof/>
          <w:sz w:val="18"/>
          <w:szCs w:val="20"/>
          <w:lang w:eastAsia="en-GB"/>
        </w:rPr>
      </w:pPr>
      <w:r>
        <w:rPr>
          <w:rFonts w:ascii="Verdana" w:hAnsi="Verdana"/>
          <w:noProof/>
          <w:sz w:val="18"/>
          <w:szCs w:val="20"/>
          <w:lang w:eastAsia="en-GB"/>
        </w:rPr>
        <w:t xml:space="preserve">According to the CAP legal framework, financial corrections imposed by the Commission on Member States </w:t>
      </w:r>
      <w:r>
        <w:rPr>
          <w:rFonts w:ascii="Verdana" w:hAnsi="Verdana"/>
          <w:b/>
          <w:noProof/>
          <w:sz w:val="18"/>
          <w:szCs w:val="20"/>
          <w:lang w:eastAsia="en-GB"/>
        </w:rPr>
        <w:t>have always been net corrections</w:t>
      </w:r>
      <w:r>
        <w:rPr>
          <w:rStyle w:val="FootnoteReference"/>
          <w:rFonts w:ascii="Verdana" w:hAnsi="Verdana"/>
          <w:noProof/>
          <w:sz w:val="18"/>
          <w:szCs w:val="20"/>
          <w:lang w:eastAsia="en-GB"/>
        </w:rPr>
        <w:footnoteReference w:id="16"/>
      </w:r>
      <w:r>
        <w:rPr>
          <w:rFonts w:ascii="Verdana" w:hAnsi="Verdana"/>
          <w:noProof/>
          <w:sz w:val="18"/>
          <w:szCs w:val="20"/>
          <w:lang w:eastAsia="en-GB"/>
        </w:rPr>
        <w:t xml:space="preserve">. The amounts are actually reimbursed by the Member States and are treated as assigned revenue in the EU budget. They are used to finance CAP expenditure as a whole without being earmarked for any particular Member State. The actual execution of the reimbursement to the EU budget may be delayed via instalment (execution in three annual instalments) or deferral decisions. </w:t>
      </w:r>
    </w:p>
    <w:p w:rsidR="00CC45FC" w:rsidRDefault="004A7700">
      <w:pPr>
        <w:spacing w:after="120" w:line="240" w:lineRule="auto"/>
        <w:jc w:val="both"/>
        <w:rPr>
          <w:rFonts w:ascii="Verdana" w:hAnsi="Verdana"/>
          <w:b/>
          <w:noProof/>
          <w:sz w:val="18"/>
        </w:rPr>
      </w:pPr>
      <w:r>
        <w:rPr>
          <w:rFonts w:ascii="Verdana" w:hAnsi="Verdana"/>
          <w:noProof/>
          <w:sz w:val="18"/>
        </w:rPr>
        <w:t xml:space="preserve">In the framework of shared management, the detection and correction of errors is in the direct responsibility of the Member States. Each time deficiencies are found in the management and control system, conformity procedures are opened and, at the same time, Member States are requested to take remedial action. The latter are closely monitored, failures to implement them may lead to interruption, reduction or suspension of the EU payments for the measure concerned. Member States were requested to submit action plans to remedy the weaknesses underlying the reservations. Those action plans were then assessed to check whether they would, if properly implemented, actually remedy the identified deficiencies in due time. The Commission assessed annually the effectiveness of the remedial actions that have already been taken by the Member State. It can be concluded that </w:t>
      </w:r>
      <w:r>
        <w:rPr>
          <w:rFonts w:ascii="Verdana" w:hAnsi="Verdana"/>
          <w:b/>
          <w:noProof/>
          <w:sz w:val="18"/>
        </w:rPr>
        <w:t>the risk for the EU budget is systematically covered by the conformity clearance procedure and net financial corrections.</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260"/>
      </w:tblGrid>
      <w:tr w:rsidR="00CC45FC">
        <w:tc>
          <w:tcPr>
            <w:tcW w:w="6062" w:type="dxa"/>
            <w:tcBorders>
              <w:right w:val="single" w:sz="12" w:space="0" w:color="auto"/>
            </w:tcBorders>
          </w:tcPr>
          <w:p w:rsidR="00CC45FC" w:rsidRDefault="004A7700">
            <w:pPr>
              <w:spacing w:line="240" w:lineRule="auto"/>
              <w:jc w:val="both"/>
              <w:rPr>
                <w:rFonts w:ascii="Verdana" w:hAnsi="Verdana"/>
                <w:noProof/>
                <w:sz w:val="18"/>
              </w:rPr>
            </w:pPr>
            <w:r>
              <w:rPr>
                <w:rFonts w:ascii="Verdana" w:hAnsi="Verdana"/>
                <w:noProof/>
                <w:sz w:val="18"/>
              </w:rPr>
              <w:t xml:space="preserve">For </w:t>
            </w:r>
            <w:r>
              <w:rPr>
                <w:rFonts w:ascii="Verdana" w:hAnsi="Verdana"/>
                <w:b/>
                <w:noProof/>
                <w:sz w:val="18"/>
              </w:rPr>
              <w:t>EAGF</w:t>
            </w:r>
            <w:r>
              <w:rPr>
                <w:rFonts w:ascii="Verdana" w:hAnsi="Verdana"/>
                <w:noProof/>
                <w:sz w:val="18"/>
              </w:rPr>
              <w:t>, financial corrections are executed by deducting the amounts concerned from the monthly payments made by the Commission in the second month following the Commission decision on a financial correction to the Member State concerned.</w:t>
            </w:r>
          </w:p>
        </w:tc>
        <w:tc>
          <w:tcPr>
            <w:tcW w:w="3260"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C45FC" w:rsidRDefault="004A7700">
            <w:pPr>
              <w:spacing w:line="240" w:lineRule="auto"/>
              <w:rPr>
                <w:rFonts w:ascii="Verdana" w:hAnsi="Verdana"/>
                <w:noProof/>
                <w:sz w:val="18"/>
              </w:rPr>
            </w:pPr>
            <w:r>
              <w:rPr>
                <w:rFonts w:ascii="Verdana" w:hAnsi="Verdana" w:cs="Calibri"/>
                <w:b/>
                <w:noProof/>
                <w:sz w:val="18"/>
                <w:szCs w:val="20"/>
                <w:lang w:eastAsia="en-GB"/>
              </w:rPr>
              <w:t>Up to end 2015, instalment decisions for corrections of EUR 2.3 billion have been adopted.</w:t>
            </w:r>
          </w:p>
        </w:tc>
      </w:tr>
    </w:tbl>
    <w:p w:rsidR="00CC45FC" w:rsidRDefault="004A7700">
      <w:pPr>
        <w:spacing w:after="120" w:line="240" w:lineRule="auto"/>
        <w:jc w:val="both"/>
        <w:rPr>
          <w:rFonts w:ascii="Verdana" w:hAnsi="Verdana"/>
          <w:noProof/>
          <w:sz w:val="18"/>
        </w:rPr>
      </w:pPr>
      <w:r>
        <w:rPr>
          <w:rFonts w:ascii="Verdana" w:hAnsi="Verdana"/>
          <w:noProof/>
          <w:sz w:val="18"/>
        </w:rPr>
        <w:t xml:space="preserve">For </w:t>
      </w:r>
      <w:r>
        <w:rPr>
          <w:rFonts w:ascii="Verdana" w:hAnsi="Verdana"/>
          <w:b/>
          <w:noProof/>
          <w:sz w:val="18"/>
        </w:rPr>
        <w:t>EAFRD</w:t>
      </w:r>
      <w:r>
        <w:rPr>
          <w:rFonts w:ascii="Verdana" w:hAnsi="Verdana"/>
          <w:noProof/>
          <w:sz w:val="18"/>
        </w:rPr>
        <w:t>, the financial corrections are executed through a recovery order requesting the Member State concerned to reimburse these amounts to the EU budget mostly executed by set-off in the reimbursement in the following quarter. It therefore occurs that decisions adopted in the end of year N are only executed at the beginning of year N+1. Furthermore, the execution of the decision may be delayed due to instalment and deferral decisions.</w:t>
      </w:r>
    </w:p>
    <w:p w:rsidR="00CC45FC" w:rsidRDefault="004A7700">
      <w:pPr>
        <w:spacing w:line="240" w:lineRule="auto"/>
        <w:jc w:val="both"/>
        <w:rPr>
          <w:rFonts w:ascii="Verdana" w:hAnsi="Verdana"/>
          <w:noProof/>
          <w:sz w:val="18"/>
        </w:rPr>
      </w:pPr>
      <w:r>
        <w:rPr>
          <w:rFonts w:ascii="Verdana" w:hAnsi="Verdana"/>
          <w:noProof/>
          <w:sz w:val="18"/>
        </w:rPr>
        <w:t xml:space="preserve">This is particularly the case since 2010 when, due to the financial and economic crisis, Member States requested more frequently the benefit of an existing provision in the legislation allowing reimbursement of financial corrections via annual instalments (rather than a one-off payment): if the amount to be reimbursed by the Member State is more than 0.01 % of its GDP, it may request that the deductions are made in annual instalments (max. 3) instead of all at once. </w:t>
      </w:r>
    </w:p>
    <w:tbl>
      <w:tblPr>
        <w:tblStyle w:val="TableGrid"/>
        <w:tblW w:w="9464" w:type="dxa"/>
        <w:tblLook w:val="04A0" w:firstRow="1" w:lastRow="0" w:firstColumn="1" w:lastColumn="0" w:noHBand="0" w:noVBand="1"/>
      </w:tblPr>
      <w:tblGrid>
        <w:gridCol w:w="2943"/>
        <w:gridCol w:w="6521"/>
      </w:tblGrid>
      <w:tr w:rsidR="00CC45FC">
        <w:trPr>
          <w:trHeight w:val="963"/>
        </w:trPr>
        <w:tc>
          <w:tcPr>
            <w:tcW w:w="294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C45FC" w:rsidRDefault="004A7700">
            <w:pPr>
              <w:spacing w:after="0" w:line="240" w:lineRule="auto"/>
              <w:rPr>
                <w:rFonts w:ascii="Verdana" w:hAnsi="Verdana" w:cs="Calibri"/>
                <w:b/>
                <w:noProof/>
                <w:sz w:val="18"/>
                <w:szCs w:val="20"/>
                <w:lang w:eastAsia="en-GB"/>
              </w:rPr>
            </w:pPr>
            <w:r>
              <w:rPr>
                <w:rFonts w:ascii="Verdana" w:hAnsi="Verdana" w:cs="Calibri"/>
                <w:b/>
                <w:noProof/>
                <w:sz w:val="18"/>
                <w:szCs w:val="20"/>
                <w:lang w:eastAsia="en-GB"/>
              </w:rPr>
              <w:t>Deferral of reimbursement of financial corrections:</w:t>
            </w:r>
          </w:p>
          <w:p w:rsidR="00CC45FC" w:rsidRDefault="004A7700">
            <w:pPr>
              <w:pStyle w:val="ListParagraph"/>
              <w:numPr>
                <w:ilvl w:val="0"/>
                <w:numId w:val="59"/>
              </w:numPr>
              <w:spacing w:after="120"/>
              <w:rPr>
                <w:rFonts w:ascii="Verdana" w:hAnsi="Verdana"/>
                <w:b/>
                <w:i/>
                <w:noProof/>
                <w:sz w:val="20"/>
              </w:rPr>
            </w:pPr>
            <w:r>
              <w:rPr>
                <w:rFonts w:ascii="Verdana" w:hAnsi="Verdana" w:cs="Calibri"/>
                <w:b/>
                <w:noProof/>
                <w:sz w:val="18"/>
                <w:lang w:eastAsia="en-GB"/>
              </w:rPr>
              <w:t xml:space="preserve">Greece </w:t>
            </w:r>
          </w:p>
          <w:p w:rsidR="00CC45FC" w:rsidRDefault="004A7700">
            <w:pPr>
              <w:pStyle w:val="ListParagraph"/>
              <w:numPr>
                <w:ilvl w:val="0"/>
                <w:numId w:val="59"/>
              </w:numPr>
              <w:spacing w:after="120"/>
              <w:rPr>
                <w:rFonts w:ascii="Verdana" w:hAnsi="Verdana"/>
                <w:b/>
                <w:i/>
                <w:noProof/>
                <w:sz w:val="20"/>
              </w:rPr>
            </w:pPr>
            <w:r>
              <w:rPr>
                <w:rFonts w:ascii="Verdana" w:hAnsi="Verdana" w:cs="Calibri"/>
                <w:b/>
                <w:noProof/>
                <w:sz w:val="18"/>
                <w:lang w:eastAsia="en-GB"/>
              </w:rPr>
              <w:t>Portugal</w:t>
            </w:r>
          </w:p>
        </w:tc>
        <w:tc>
          <w:tcPr>
            <w:tcW w:w="6521" w:type="dxa"/>
            <w:tcBorders>
              <w:top w:val="nil"/>
              <w:left w:val="single" w:sz="12" w:space="0" w:color="auto"/>
              <w:bottom w:val="nil"/>
              <w:right w:val="nil"/>
            </w:tcBorders>
          </w:tcPr>
          <w:p w:rsidR="00CC45FC" w:rsidRDefault="004A7700">
            <w:pPr>
              <w:spacing w:after="120" w:line="240" w:lineRule="auto"/>
              <w:jc w:val="both"/>
              <w:rPr>
                <w:rFonts w:ascii="Verdana" w:hAnsi="Verdana"/>
                <w:b/>
                <w:i/>
                <w:noProof/>
                <w:sz w:val="20"/>
              </w:rPr>
            </w:pPr>
            <w:r>
              <w:rPr>
                <w:rFonts w:ascii="Verdana" w:hAnsi="Verdana"/>
                <w:noProof/>
                <w:sz w:val="18"/>
              </w:rPr>
              <w:t>In 2012, the Commission introduced a new provision</w:t>
            </w:r>
            <w:r>
              <w:rPr>
                <w:rStyle w:val="FootnoteReference"/>
                <w:rFonts w:ascii="Verdana" w:hAnsi="Verdana"/>
                <w:noProof/>
                <w:sz w:val="18"/>
              </w:rPr>
              <w:footnoteReference w:id="17"/>
            </w:r>
            <w:r>
              <w:rPr>
                <w:rFonts w:ascii="Verdana" w:hAnsi="Verdana"/>
                <w:noProof/>
                <w:sz w:val="18"/>
              </w:rPr>
              <w:t xml:space="preserve"> which permitted deferral of reimbursement of financial corrections</w:t>
            </w:r>
            <w:r>
              <w:rPr>
                <w:rFonts w:ascii="Verdana" w:hAnsi="Verdana"/>
                <w:b/>
                <w:bCs/>
                <w:noProof/>
                <w:sz w:val="18"/>
              </w:rPr>
              <w:t xml:space="preserve"> </w:t>
            </w:r>
            <w:r>
              <w:rPr>
                <w:rFonts w:ascii="Verdana" w:hAnsi="Verdana"/>
                <w:noProof/>
                <w:sz w:val="18"/>
              </w:rPr>
              <w:t>for Member States under EU financial assistance and under the condition that the deficiencies at the origin of the financial correction are remedied.</w:t>
            </w:r>
          </w:p>
        </w:tc>
      </w:tr>
    </w:tbl>
    <w:p w:rsidR="00CC45FC" w:rsidRDefault="004A7700">
      <w:pPr>
        <w:spacing w:before="120" w:after="120" w:line="240" w:lineRule="auto"/>
        <w:jc w:val="both"/>
        <w:rPr>
          <w:rFonts w:ascii="Verdana" w:hAnsi="Verdana"/>
          <w:noProof/>
          <w:sz w:val="18"/>
        </w:rPr>
      </w:pPr>
      <w:r>
        <w:rPr>
          <w:rFonts w:ascii="Verdana" w:hAnsi="Verdana"/>
          <w:noProof/>
          <w:sz w:val="18"/>
        </w:rPr>
        <w:t>The Member States which were subject to financial assistance mechanisms could request to defer for a one-off 18 months period their financial corrections. All amounts which should be executed during that period were deferred until the end of the period at which time the total amount was scheduled to be repaid via 3 annual instalments. Deferral decisions were adopted in respect of Greece for EUR 529 million while for Portugal EUR 109 million was deferred. The first two annual instalments for the repayment of deferred amounts were done in 2014 and 2015, the third and final annual instalments will be repaid in 2016.</w:t>
      </w:r>
    </w:p>
    <w:p w:rsidR="00CC45FC" w:rsidRDefault="004A7700">
      <w:pPr>
        <w:spacing w:line="240" w:lineRule="auto"/>
        <w:jc w:val="both"/>
        <w:rPr>
          <w:rFonts w:ascii="Verdana" w:hAnsi="Verdana"/>
          <w:noProof/>
          <w:sz w:val="18"/>
        </w:rPr>
      </w:pPr>
      <w:r>
        <w:rPr>
          <w:rFonts w:ascii="Verdana" w:hAnsi="Verdana"/>
          <w:noProof/>
          <w:sz w:val="18"/>
        </w:rPr>
        <w:t>In 2015 a new deferral decision was adopted for Greece. After the expiry of the deferral period the corrections are required to be executed in five annual instalments. The deferral granted to Greece will expire on 22 of June 2017. So far EUR 335 million were deferred.</w:t>
      </w:r>
    </w:p>
    <w:p w:rsidR="00CC45FC" w:rsidRDefault="004A7700">
      <w:pPr>
        <w:pStyle w:val="ManualHeading2"/>
        <w:rPr>
          <w:noProof/>
        </w:rPr>
      </w:pPr>
      <w:bookmarkStart w:id="67" w:name="_Toc456258167"/>
      <w:bookmarkStart w:id="68" w:name="_Toc456686575"/>
      <w:r>
        <w:t>4.3.</w:t>
      </w:r>
      <w:r>
        <w:tab/>
      </w:r>
      <w:r>
        <w:rPr>
          <w:noProof/>
        </w:rPr>
        <w:t>Deficiencies in Member States' management and control identified and measures undertaken</w:t>
      </w:r>
      <w:bookmarkEnd w:id="67"/>
      <w:bookmarkEnd w:id="68"/>
    </w:p>
    <w:p w:rsidR="00CC45FC" w:rsidRDefault="004A7700">
      <w:pPr>
        <w:spacing w:after="120" w:line="240" w:lineRule="auto"/>
        <w:jc w:val="both"/>
        <w:rPr>
          <w:rFonts w:ascii="Verdana" w:hAnsi="Verdana"/>
          <w:noProof/>
          <w:sz w:val="18"/>
        </w:rPr>
      </w:pPr>
      <w:r>
        <w:rPr>
          <w:rFonts w:ascii="Verdana" w:hAnsi="Verdana"/>
          <w:noProof/>
          <w:sz w:val="18"/>
        </w:rPr>
        <w:t>The Commission has produced in 2013 reports on the root causes of error in respect of each of the three Activity Based Budget (ABB) activities and has identified the principal weaknesses in the Member States' management and control systems. As a follow-up, remedial actions are being taken by the Member States concerned and the Commission actively monitors their proper implementation. The Commission is further addressing the main risks created for the Funds by the existing root causes by means of audit enquiries and action plans already underway in certain Member States. On top of that, and at a more upstream stage, a series of actions covering improvements in monitoring, communication and remedial action are envisaged to mitigate the situation further and prevent issues from arising in the future. Moreover, the CAP Reform of 2013 has introduced a significant degree of simplification in a number of areas (e.g. introduction of simplified cost option in rural development) upon which the European Parliament and Council of Ministers could agree as well as improved control systems. Further simplification will focus on a more equitable situation for farmers while maintaining the effectiveness of the system and taking into account the complexities of some schemes, e.g. for the administrative penalties.</w:t>
      </w:r>
    </w:p>
    <w:p w:rsidR="00CC45FC" w:rsidRDefault="004A7700">
      <w:pPr>
        <w:spacing w:after="120" w:line="240" w:lineRule="auto"/>
        <w:jc w:val="both"/>
        <w:rPr>
          <w:rFonts w:ascii="Verdana" w:hAnsi="Verdana"/>
          <w:noProof/>
          <w:sz w:val="18"/>
        </w:rPr>
      </w:pPr>
      <w:r>
        <w:rPr>
          <w:rFonts w:ascii="Verdana" w:hAnsi="Verdana"/>
          <w:noProof/>
          <w:sz w:val="18"/>
        </w:rPr>
        <w:t xml:space="preserve">The </w:t>
      </w:r>
      <w:r>
        <w:rPr>
          <w:rFonts w:ascii="Verdana" w:hAnsi="Verdana"/>
          <w:b/>
          <w:noProof/>
          <w:sz w:val="18"/>
        </w:rPr>
        <w:t>main root causes of error for direct payments</w:t>
      </w:r>
      <w:r>
        <w:rPr>
          <w:rFonts w:ascii="Verdana" w:hAnsi="Verdana"/>
          <w:noProof/>
          <w:sz w:val="18"/>
        </w:rPr>
        <w:t xml:space="preserve"> were related to: Errors / non-compliances by national administration arising when national administrations do not adapt their system as to ensure compliance with the rules or do not follow their own instructions; insufficient quality and update of the Land Parcel Identification System (LPIS); low quality of the on-the-spot checks; mistakes in the aid applications. It should be noted that the IACS, including LPIS, is the main management and control system to ensure the regularity of direct aid payments. It covers more than 90 % of EAGF expenditure and makes a significant contribution in preventing and reducing the level of error in the aid schemes to which it applies. When weaknesses in its functioning are detected, remedial actions are requested and their implementation is closely monitored by the Commission.</w:t>
      </w:r>
    </w:p>
    <w:p w:rsidR="00CC45FC" w:rsidRDefault="004A7700">
      <w:pPr>
        <w:spacing w:after="120" w:line="240" w:lineRule="auto"/>
        <w:jc w:val="both"/>
        <w:rPr>
          <w:rFonts w:ascii="Verdana" w:hAnsi="Verdana"/>
          <w:noProof/>
          <w:sz w:val="18"/>
        </w:rPr>
      </w:pPr>
      <w:r>
        <w:rPr>
          <w:rFonts w:ascii="Verdana" w:hAnsi="Verdana"/>
          <w:noProof/>
          <w:sz w:val="18"/>
        </w:rPr>
        <w:t xml:space="preserve">For </w:t>
      </w:r>
      <w:r>
        <w:rPr>
          <w:rFonts w:ascii="Verdana" w:hAnsi="Verdana"/>
          <w:b/>
          <w:noProof/>
          <w:sz w:val="18"/>
        </w:rPr>
        <w:t>market measures, the root causes of errors</w:t>
      </w:r>
      <w:r>
        <w:rPr>
          <w:rFonts w:ascii="Verdana" w:hAnsi="Verdana"/>
          <w:noProof/>
          <w:sz w:val="18"/>
        </w:rPr>
        <w:t xml:space="preserve"> lie with: Eligibility conditions not met due to complexity of conditions, difficulties with the verifiability and controllability of measures; procurement rules; different interpretation in Member States on the admissibility of expenditure; insufficient information about Member States' management and control systems; weaknesses in the Member States' application of the management and control systems.</w:t>
      </w:r>
    </w:p>
    <w:p w:rsidR="00CC45FC" w:rsidRDefault="004A7700">
      <w:pPr>
        <w:spacing w:line="240" w:lineRule="auto"/>
        <w:jc w:val="both"/>
        <w:rPr>
          <w:rFonts w:ascii="Verdana" w:hAnsi="Verdana"/>
          <w:noProof/>
          <w:sz w:val="18"/>
        </w:rPr>
      </w:pPr>
      <w:r>
        <w:rPr>
          <w:rFonts w:ascii="Verdana" w:hAnsi="Verdana"/>
          <w:noProof/>
          <w:sz w:val="18"/>
        </w:rPr>
        <w:t>Rural development remains an area under close scrutiny. In order to address the causes of the errors, in 2015, DG AGRI further reinforced the existing action plans to address the reservations included in the 2014 Annual Activity Report (AAR), on the basis of improved cooperation and analysis within Commission services and intensive dialogue with Member States. Following this approach, an improved system of reporting by all Member States on their national or regional action plans for the reduction of error rates was put in place. This includes a reinforced focus on regular follow-up on audit findings, as well as improved indicators and milestones for monitoring purposes. A specific IT tool was developed by the Commission in 2014, and became fully operational in 2015, to collect and handle the information extracted from the national or regional action plans in an efficient and consistent manner, providing an overview and facilitating appropriate follow-up.</w:t>
      </w:r>
    </w:p>
    <w:p w:rsidR="00CC45FC" w:rsidRDefault="00CC45FC">
      <w:pPr>
        <w:spacing w:after="0" w:line="240" w:lineRule="auto"/>
        <w:rPr>
          <w:rFonts w:ascii="Verdana" w:eastAsia="Times New Roman" w:hAnsi="Verdana"/>
          <w:b/>
          <w:bCs/>
          <w:i/>
          <w:iCs/>
          <w:noProof/>
        </w:rPr>
      </w:pPr>
    </w:p>
    <w:p w:rsidR="00CC45FC" w:rsidRPr="004A7700" w:rsidRDefault="004A7700">
      <w:pPr>
        <w:pStyle w:val="ManualHeading2"/>
        <w:rPr>
          <w:noProof/>
        </w:rPr>
      </w:pPr>
      <w:bookmarkStart w:id="69" w:name="_Toc456258168"/>
      <w:bookmarkStart w:id="70" w:name="_Toc456686576"/>
      <w:r>
        <w:t>4.4.</w:t>
      </w:r>
      <w:r>
        <w:tab/>
      </w:r>
      <w:r w:rsidRPr="004A7700">
        <w:rPr>
          <w:noProof/>
        </w:rPr>
        <w:t>Cumulative figures</w:t>
      </w:r>
      <w:bookmarkEnd w:id="69"/>
      <w:bookmarkEnd w:id="70"/>
    </w:p>
    <w:p w:rsidR="00CC45FC" w:rsidRDefault="004A7700">
      <w:pPr>
        <w:autoSpaceDE w:val="0"/>
        <w:autoSpaceDN w:val="0"/>
        <w:adjustRightInd w:val="0"/>
        <w:spacing w:after="240" w:line="240" w:lineRule="auto"/>
        <w:jc w:val="both"/>
        <w:rPr>
          <w:rFonts w:ascii="Verdana" w:hAnsi="Verdana"/>
          <w:noProof/>
          <w:sz w:val="18"/>
        </w:rPr>
      </w:pPr>
      <w:r>
        <w:rPr>
          <w:rFonts w:ascii="Verdana" w:hAnsi="Verdana"/>
          <w:noProof/>
          <w:sz w:val="18"/>
        </w:rPr>
        <w:t xml:space="preserve">Concerning </w:t>
      </w:r>
      <w:r>
        <w:rPr>
          <w:rFonts w:ascii="Verdana" w:hAnsi="Verdana"/>
          <w:b/>
          <w:noProof/>
          <w:sz w:val="18"/>
        </w:rPr>
        <w:t>EAGF</w:t>
      </w:r>
      <w:r>
        <w:rPr>
          <w:rFonts w:ascii="Verdana" w:hAnsi="Verdana"/>
          <w:noProof/>
          <w:sz w:val="18"/>
        </w:rPr>
        <w:t xml:space="preserve">, the amount of financial corrections decided by the Commission since 1999 totals EUR 11 766 million. The average correction rate per financial year for the period 1999-2015 has been </w:t>
      </w:r>
      <w:r>
        <w:rPr>
          <w:rFonts w:ascii="Verdana" w:hAnsi="Verdana"/>
          <w:b/>
          <w:noProof/>
          <w:sz w:val="18"/>
        </w:rPr>
        <w:t>1.7 %</w:t>
      </w:r>
      <w:r>
        <w:rPr>
          <w:rFonts w:ascii="Verdana" w:hAnsi="Verdana"/>
          <w:noProof/>
          <w:sz w:val="18"/>
        </w:rPr>
        <w:t xml:space="preserve"> of expenditure. Once decided by the Commission, the corrections are automatically implemented unless a Member State has been granted the possibility of paying in three annual instalments.</w:t>
      </w:r>
    </w:p>
    <w:p w:rsidR="00CC45FC" w:rsidRDefault="004A7700">
      <w:pPr>
        <w:spacing w:after="0" w:line="240" w:lineRule="auto"/>
        <w:jc w:val="both"/>
        <w:rPr>
          <w:rFonts w:ascii="Verdana" w:hAnsi="Verdana"/>
          <w:b/>
          <w:i/>
          <w:noProof/>
          <w:sz w:val="18"/>
        </w:rPr>
      </w:pPr>
      <w:r>
        <w:rPr>
          <w:rFonts w:ascii="Verdana" w:hAnsi="Verdana"/>
          <w:b/>
          <w:i/>
          <w:noProof/>
          <w:sz w:val="18"/>
        </w:rPr>
        <w:t>Table 4.4: EAGF Cumulative financial corrections decided under conformity clearance of accounts from 1999 to end 2015; Breakdown by Member State</w:t>
      </w:r>
    </w:p>
    <w:tbl>
      <w:tblPr>
        <w:tblW w:w="9214" w:type="dxa"/>
        <w:tblInd w:w="108" w:type="dxa"/>
        <w:tblLook w:val="04A0" w:firstRow="1" w:lastRow="0" w:firstColumn="1" w:lastColumn="0" w:noHBand="0" w:noVBand="1"/>
      </w:tblPr>
      <w:tblGrid>
        <w:gridCol w:w="1985"/>
        <w:gridCol w:w="1417"/>
        <w:gridCol w:w="1418"/>
        <w:gridCol w:w="1417"/>
        <w:gridCol w:w="1418"/>
        <w:gridCol w:w="1559"/>
      </w:tblGrid>
      <w:tr w:rsidR="00CC45FC">
        <w:trPr>
          <w:trHeight w:val="270"/>
        </w:trPr>
        <w:tc>
          <w:tcPr>
            <w:tcW w:w="9214" w:type="dxa"/>
            <w:gridSpan w:val="6"/>
            <w:tcBorders>
              <w:top w:val="nil"/>
              <w:left w:val="nil"/>
              <w:bottom w:val="single" w:sz="8" w:space="0" w:color="auto"/>
              <w:right w:val="nil"/>
            </w:tcBorders>
            <w:shd w:val="clear" w:color="auto" w:fill="auto"/>
            <w:noWrap/>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EUR millions</w:t>
            </w:r>
          </w:p>
        </w:tc>
      </w:tr>
      <w:tr w:rsidR="00CC45FC">
        <w:trPr>
          <w:trHeight w:val="999"/>
        </w:trPr>
        <w:tc>
          <w:tcPr>
            <w:tcW w:w="1985" w:type="dxa"/>
            <w:tcBorders>
              <w:top w:val="nil"/>
              <w:left w:val="single" w:sz="8" w:space="0" w:color="auto"/>
              <w:bottom w:val="single" w:sz="8" w:space="0" w:color="auto"/>
              <w:right w:val="nil"/>
            </w:tcBorders>
            <w:shd w:val="clear" w:color="000000" w:fill="99CCFF"/>
            <w:vAlign w:val="center"/>
            <w:hideMark/>
          </w:tcPr>
          <w:p w:rsidR="00CC45FC" w:rsidRDefault="004A7700">
            <w:pPr>
              <w:spacing w:after="0" w:line="240" w:lineRule="auto"/>
              <w:jc w:val="both"/>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Member State</w:t>
            </w:r>
          </w:p>
        </w:tc>
        <w:tc>
          <w:tcPr>
            <w:tcW w:w="1417" w:type="dxa"/>
            <w:tcBorders>
              <w:top w:val="nil"/>
              <w:left w:val="single" w:sz="8" w:space="0" w:color="auto"/>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EAGF payments received from EU budget</w:t>
            </w:r>
          </w:p>
        </w:tc>
        <w:tc>
          <w:tcPr>
            <w:tcW w:w="1418" w:type="dxa"/>
            <w:tcBorders>
              <w:top w:val="nil"/>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 of payments received as compared to total payments</w:t>
            </w:r>
          </w:p>
        </w:tc>
        <w:tc>
          <w:tcPr>
            <w:tcW w:w="1417" w:type="dxa"/>
            <w:tcBorders>
              <w:top w:val="nil"/>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Cumulated EAGF financial corrections at end 2015</w:t>
            </w:r>
          </w:p>
        </w:tc>
        <w:tc>
          <w:tcPr>
            <w:tcW w:w="1418" w:type="dxa"/>
            <w:tcBorders>
              <w:top w:val="nil"/>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 as compared to payments received from EU budget</w:t>
            </w:r>
          </w:p>
        </w:tc>
        <w:tc>
          <w:tcPr>
            <w:tcW w:w="1559" w:type="dxa"/>
            <w:tcBorders>
              <w:top w:val="nil"/>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 as compared to total amount of financial corrections</w:t>
            </w:r>
          </w:p>
        </w:tc>
      </w:tr>
      <w:tr w:rsidR="00CC45FC">
        <w:trPr>
          <w:trHeight w:val="183"/>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Belgium</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12 755</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1.8%</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45</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0.4%</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0.4%</w:t>
            </w:r>
          </w:p>
        </w:tc>
      </w:tr>
      <w:tr w:rsidR="00CC45FC">
        <w:trPr>
          <w:trHeight w:val="93"/>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Bulgaria</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3 257</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0.5%</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71</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2.2%</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0.6%</w:t>
            </w:r>
          </w:p>
        </w:tc>
      </w:tr>
      <w:tr w:rsidR="00CC45FC">
        <w:trPr>
          <w:trHeight w:val="153"/>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Czech Republic</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6 533</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0.9%</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8</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0.1%</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0.1%</w:t>
            </w:r>
          </w:p>
        </w:tc>
      </w:tr>
      <w:tr w:rsidR="00CC45FC">
        <w:trPr>
          <w:trHeight w:val="227"/>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Denmark</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18 208</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2.6%</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192</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1.1%</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1.6%</w:t>
            </w:r>
          </w:p>
        </w:tc>
      </w:tr>
      <w:tr w:rsidR="00CC45FC">
        <w:trPr>
          <w:trHeight w:val="131"/>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Germany</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92 771</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13.3%</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203</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0.2%</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1.7%</w:t>
            </w:r>
          </w:p>
        </w:tc>
      </w:tr>
      <w:tr w:rsidR="00CC45FC">
        <w:trPr>
          <w:trHeight w:val="205"/>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Estonia</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743</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0.1%</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0.1%</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r>
      <w:tr w:rsidR="00CC45FC">
        <w:trPr>
          <w:trHeight w:val="123"/>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Ireland</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21 930</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3.2%</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108</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0.5%</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0.9%</w:t>
            </w:r>
          </w:p>
        </w:tc>
      </w:tr>
      <w:tr w:rsidR="00CC45FC">
        <w:trPr>
          <w:trHeight w:val="169"/>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Greece</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42 621</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6.1%</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2 723</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6.4%</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23.1%</w:t>
            </w:r>
          </w:p>
        </w:tc>
      </w:tr>
      <w:tr w:rsidR="00CC45FC">
        <w:trPr>
          <w:trHeight w:val="229"/>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Spain</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96 161</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13.8%</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1 510</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1.6%</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12.8%</w:t>
            </w:r>
          </w:p>
        </w:tc>
      </w:tr>
      <w:tr w:rsidR="00CC45FC">
        <w:trPr>
          <w:trHeight w:val="147"/>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France</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149 034</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21.4%</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2 588</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1.7%</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22.0%</w:t>
            </w:r>
          </w:p>
        </w:tc>
      </w:tr>
      <w:tr w:rsidR="00CC45FC">
        <w:trPr>
          <w:trHeight w:val="65"/>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Croatia</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253</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r>
      <w:tr w:rsidR="00CC45FC">
        <w:trPr>
          <w:trHeight w:val="125"/>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Italy</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77 223</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11.1%</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1 930</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2.5%</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16.4%</w:t>
            </w:r>
          </w:p>
        </w:tc>
      </w:tr>
      <w:tr w:rsidR="00CC45FC">
        <w:trPr>
          <w:trHeight w:val="186"/>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Cyprus</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453</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0.1%</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10</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2.1%</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0.1%</w:t>
            </w:r>
          </w:p>
        </w:tc>
      </w:tr>
      <w:tr w:rsidR="00CC45FC">
        <w:trPr>
          <w:trHeight w:val="63"/>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Latvia</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1 065</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0.2%</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r>
      <w:tr w:rsidR="00CC45FC">
        <w:trPr>
          <w:trHeight w:val="163"/>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Lithuania</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2 888</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0.4%</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24</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0.8%</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0.2%</w:t>
            </w:r>
          </w:p>
        </w:tc>
      </w:tr>
      <w:tr w:rsidR="00CC45FC">
        <w:trPr>
          <w:trHeight w:val="223"/>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Luxembourg</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507</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0.1%</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6</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1.1%</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r>
      <w:tr w:rsidR="00CC45FC">
        <w:trPr>
          <w:trHeight w:val="141"/>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Hungary</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9 947</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1.4%</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63</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0.6%</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0.5%</w:t>
            </w:r>
          </w:p>
        </w:tc>
      </w:tr>
      <w:tr w:rsidR="00CC45FC">
        <w:trPr>
          <w:trHeight w:val="202"/>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Malta</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37</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0.8%</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r>
      <w:tr w:rsidR="00CC45FC">
        <w:trPr>
          <w:trHeight w:val="119"/>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Netherlands</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18 058</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2.6%</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240</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1.3%</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2.0%</w:t>
            </w:r>
          </w:p>
        </w:tc>
      </w:tr>
      <w:tr w:rsidR="00CC45FC">
        <w:trPr>
          <w:trHeight w:val="179"/>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Austria</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11 884</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1.7%</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12</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0.1%</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0.1%</w:t>
            </w:r>
          </w:p>
        </w:tc>
      </w:tr>
      <w:tr w:rsidR="00CC45FC">
        <w:trPr>
          <w:trHeight w:val="97"/>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Poland</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23 517</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3.4%</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155</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0.7%</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1.3%</w:t>
            </w:r>
          </w:p>
        </w:tc>
      </w:tr>
      <w:tr w:rsidR="00CC45FC">
        <w:trPr>
          <w:trHeight w:val="157"/>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Portugal</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11 749</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1.7%</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342</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2.9%</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2.9%</w:t>
            </w:r>
          </w:p>
        </w:tc>
      </w:tr>
      <w:tr w:rsidR="00CC45FC">
        <w:trPr>
          <w:trHeight w:val="218"/>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Romania</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7 579</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1.1%</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207</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2.7%</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1.8%</w:t>
            </w:r>
          </w:p>
        </w:tc>
      </w:tr>
      <w:tr w:rsidR="00CC45FC">
        <w:trPr>
          <w:trHeight w:val="135"/>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Slovenia</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904</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0.1%</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20</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2.2%</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0.2%</w:t>
            </w:r>
          </w:p>
        </w:tc>
      </w:tr>
      <w:tr w:rsidR="00CC45FC">
        <w:trPr>
          <w:trHeight w:val="63"/>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Slovakia</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2 898</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0.4%</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6</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0.2%</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0.1%</w:t>
            </w:r>
          </w:p>
        </w:tc>
      </w:tr>
      <w:tr w:rsidR="00CC45FC">
        <w:trPr>
          <w:trHeight w:val="255"/>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Finland</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8 971</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1.3%</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34</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0.4%</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0.3%</w:t>
            </w:r>
          </w:p>
        </w:tc>
      </w:tr>
      <w:tr w:rsidR="00CC45FC">
        <w:trPr>
          <w:trHeight w:val="145"/>
        </w:trPr>
        <w:tc>
          <w:tcPr>
            <w:tcW w:w="1985"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Sweden</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11 935</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1.7%</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120</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1.0%</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1.0%</w:t>
            </w:r>
          </w:p>
        </w:tc>
      </w:tr>
      <w:tr w:rsidR="00CC45FC">
        <w:trPr>
          <w:trHeight w:val="142"/>
        </w:trPr>
        <w:tc>
          <w:tcPr>
            <w:tcW w:w="1985" w:type="dxa"/>
            <w:tcBorders>
              <w:top w:val="nil"/>
              <w:left w:val="single" w:sz="8" w:space="0" w:color="auto"/>
              <w:bottom w:val="single" w:sz="8" w:space="0" w:color="auto"/>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United Kingdom</w:t>
            </w:r>
          </w:p>
        </w:tc>
        <w:tc>
          <w:tcPr>
            <w:tcW w:w="1417"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61 373</w:t>
            </w:r>
          </w:p>
        </w:tc>
        <w:tc>
          <w:tcPr>
            <w:tcW w:w="1418"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8.8%</w:t>
            </w:r>
          </w:p>
        </w:tc>
        <w:tc>
          <w:tcPr>
            <w:tcW w:w="141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1 146</w:t>
            </w:r>
          </w:p>
        </w:tc>
        <w:tc>
          <w:tcPr>
            <w:tcW w:w="141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1.9%</w:t>
            </w:r>
          </w:p>
        </w:tc>
        <w:tc>
          <w:tcPr>
            <w:tcW w:w="1559"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9.7%</w:t>
            </w:r>
          </w:p>
        </w:tc>
      </w:tr>
      <w:tr w:rsidR="00CC45FC">
        <w:trPr>
          <w:trHeight w:val="300"/>
        </w:trPr>
        <w:tc>
          <w:tcPr>
            <w:tcW w:w="1985" w:type="dxa"/>
            <w:tcBorders>
              <w:top w:val="nil"/>
              <w:left w:val="single" w:sz="8" w:space="0" w:color="auto"/>
              <w:bottom w:val="single" w:sz="8" w:space="0" w:color="auto"/>
              <w:right w:val="nil"/>
            </w:tcBorders>
            <w:shd w:val="clear" w:color="auto" w:fill="auto"/>
            <w:noWrap/>
            <w:vAlign w:val="center"/>
            <w:hideMark/>
          </w:tcPr>
          <w:p w:rsidR="00CC45FC" w:rsidRDefault="004A7700">
            <w:pPr>
              <w:autoSpaceDE w:val="0"/>
              <w:autoSpaceDN w:val="0"/>
              <w:adjustRightInd w:val="0"/>
              <w:spacing w:after="0" w:line="240" w:lineRule="auto"/>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Total</w:t>
            </w:r>
          </w:p>
        </w:tc>
        <w:tc>
          <w:tcPr>
            <w:tcW w:w="1417" w:type="dxa"/>
            <w:tcBorders>
              <w:top w:val="single" w:sz="8" w:space="0" w:color="000000"/>
              <w:left w:val="single" w:sz="8" w:space="0" w:color="auto"/>
              <w:bottom w:val="single" w:sz="8" w:space="0" w:color="auto"/>
              <w:right w:val="single" w:sz="8" w:space="0" w:color="auto"/>
            </w:tcBorders>
            <w:shd w:val="clear" w:color="auto" w:fill="auto"/>
            <w:noWrap/>
            <w:vAlign w:val="center"/>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695 255</w:t>
            </w:r>
          </w:p>
        </w:tc>
        <w:tc>
          <w:tcPr>
            <w:tcW w:w="1418" w:type="dxa"/>
            <w:tcBorders>
              <w:top w:val="single" w:sz="8" w:space="0" w:color="auto"/>
              <w:left w:val="nil"/>
              <w:bottom w:val="single" w:sz="8" w:space="0" w:color="auto"/>
              <w:right w:val="single" w:sz="8" w:space="0" w:color="auto"/>
            </w:tcBorders>
            <w:shd w:val="clear" w:color="auto" w:fill="auto"/>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100.0%</w:t>
            </w:r>
          </w:p>
        </w:tc>
        <w:tc>
          <w:tcPr>
            <w:tcW w:w="1417" w:type="dxa"/>
            <w:tcBorders>
              <w:top w:val="single" w:sz="8" w:space="0" w:color="000000"/>
              <w:left w:val="nil"/>
              <w:bottom w:val="single" w:sz="8" w:space="0" w:color="auto"/>
              <w:right w:val="single" w:sz="8" w:space="0" w:color="auto"/>
            </w:tcBorders>
            <w:shd w:val="clear" w:color="auto" w:fill="auto"/>
            <w:noWrap/>
            <w:vAlign w:val="center"/>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11 766</w:t>
            </w:r>
          </w:p>
        </w:tc>
        <w:tc>
          <w:tcPr>
            <w:tcW w:w="1418" w:type="dxa"/>
            <w:tcBorders>
              <w:top w:val="single" w:sz="8" w:space="0" w:color="auto"/>
              <w:left w:val="nil"/>
              <w:bottom w:val="single" w:sz="8" w:space="0" w:color="auto"/>
              <w:right w:val="single" w:sz="8" w:space="0" w:color="auto"/>
            </w:tcBorders>
            <w:shd w:val="clear" w:color="auto" w:fill="auto"/>
            <w:noWrap/>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1.7%</w:t>
            </w:r>
          </w:p>
        </w:tc>
        <w:tc>
          <w:tcPr>
            <w:tcW w:w="1559" w:type="dxa"/>
            <w:tcBorders>
              <w:top w:val="single" w:sz="8" w:space="0" w:color="auto"/>
              <w:left w:val="nil"/>
              <w:bottom w:val="single" w:sz="8" w:space="0" w:color="auto"/>
              <w:right w:val="single" w:sz="8" w:space="0" w:color="auto"/>
            </w:tcBorders>
            <w:shd w:val="clear" w:color="auto" w:fill="auto"/>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100.0%</w:t>
            </w:r>
          </w:p>
        </w:tc>
      </w:tr>
    </w:tbl>
    <w:p w:rsidR="00CC45FC" w:rsidRDefault="00CC45FC">
      <w:pPr>
        <w:spacing w:after="0" w:line="240" w:lineRule="auto"/>
        <w:rPr>
          <w:rFonts w:ascii="Verdana" w:hAnsi="Verdana"/>
          <w:b/>
          <w:i/>
          <w:noProof/>
          <w:sz w:val="20"/>
        </w:rPr>
      </w:pPr>
    </w:p>
    <w:p w:rsidR="00CC45FC" w:rsidRDefault="004A7700">
      <w:pPr>
        <w:spacing w:after="0" w:line="240" w:lineRule="auto"/>
        <w:rPr>
          <w:rFonts w:ascii="Verdana" w:hAnsi="Verdana"/>
          <w:b/>
          <w:i/>
          <w:noProof/>
          <w:sz w:val="18"/>
        </w:rPr>
      </w:pPr>
      <w:r>
        <w:rPr>
          <w:rFonts w:ascii="Verdana" w:hAnsi="Verdana"/>
          <w:b/>
          <w:i/>
          <w:noProof/>
          <w:sz w:val="18"/>
        </w:rPr>
        <w:br w:type="page"/>
      </w:r>
    </w:p>
    <w:p w:rsidR="00CC45FC" w:rsidRDefault="004A7700">
      <w:pPr>
        <w:spacing w:after="240" w:line="240" w:lineRule="auto"/>
        <w:jc w:val="both"/>
        <w:rPr>
          <w:rFonts w:ascii="Verdana" w:hAnsi="Verdana"/>
          <w:b/>
          <w:i/>
          <w:noProof/>
          <w:sz w:val="20"/>
        </w:rPr>
      </w:pPr>
      <w:r>
        <w:rPr>
          <w:rFonts w:ascii="Verdana" w:hAnsi="Verdana"/>
          <w:b/>
          <w:i/>
          <w:noProof/>
          <w:sz w:val="18"/>
        </w:rPr>
        <w:t>Graph 4.4: EAGF Member States’ cumulative financial corrections under conformity clearance of accounts from 1999 to end 2015 as compared to payments received from the EU Budget</w:t>
      </w:r>
    </w:p>
    <w:p w:rsidR="00CC45FC" w:rsidRDefault="004A7700">
      <w:pPr>
        <w:spacing w:after="240" w:line="240" w:lineRule="auto"/>
        <w:jc w:val="both"/>
        <w:rPr>
          <w:rFonts w:ascii="Verdana" w:hAnsi="Verdana"/>
          <w:b/>
          <w:i/>
          <w:noProof/>
          <w:sz w:val="20"/>
        </w:rPr>
      </w:pPr>
      <w:r>
        <w:rPr>
          <w:noProof/>
          <w:lang w:eastAsia="en-GB"/>
        </w:rPr>
        <w:drawing>
          <wp:inline distT="0" distB="0" distL="0" distR="0">
            <wp:extent cx="5972810" cy="3295015"/>
            <wp:effectExtent l="0" t="0" r="27940" b="19685"/>
            <wp:docPr id="71" name="Chart 71"/>
            <wp:cNvGraphicFramePr/>
            <a:graphic xmlns:a="http://schemas.openxmlformats.org/drawingml/2006/main">
              <a:graphicData uri="http://schemas.openxmlformats.org/drawingml/2006/chart">
                <c:chart xmlns:c="http://schemas.openxmlformats.org/drawingml/2006/chart" xmlns:r="http://schemas.openxmlformats.org/officeDocument/2006/relationships" r:id="rId28"/>
              </a:graphicData>
            </a:graphic>
          </wp:inline>
        </w:drawing>
      </w:r>
    </w:p>
    <w:p w:rsidR="00CC45FC" w:rsidRPr="004A7700" w:rsidRDefault="004A7700">
      <w:pPr>
        <w:pStyle w:val="ManualHeading2"/>
        <w:rPr>
          <w:noProof/>
        </w:rPr>
      </w:pPr>
      <w:bookmarkStart w:id="71" w:name="_Toc456258169"/>
      <w:bookmarkStart w:id="72" w:name="_Toc456686577"/>
      <w:r>
        <w:t>4.5.</w:t>
      </w:r>
      <w:r>
        <w:tab/>
      </w:r>
      <w:r w:rsidRPr="004A7700">
        <w:rPr>
          <w:noProof/>
        </w:rPr>
        <w:t>Member States corrections</w:t>
      </w:r>
      <w:bookmarkEnd w:id="71"/>
      <w:bookmarkEnd w:id="72"/>
    </w:p>
    <w:p w:rsidR="00CC45FC" w:rsidRDefault="004A7700">
      <w:pPr>
        <w:spacing w:after="120" w:line="240" w:lineRule="auto"/>
        <w:jc w:val="both"/>
        <w:rPr>
          <w:rFonts w:ascii="Verdana" w:hAnsi="Verdana"/>
          <w:noProof/>
          <w:sz w:val="18"/>
          <w:szCs w:val="20"/>
        </w:rPr>
      </w:pPr>
      <w:r>
        <w:rPr>
          <w:rFonts w:ascii="Verdana" w:hAnsi="Verdana"/>
          <w:noProof/>
          <w:sz w:val="18"/>
          <w:szCs w:val="20"/>
        </w:rPr>
        <w:t>Member States are required to put in place systems for ex-ante controls and reductions or exclusions of financing:</w:t>
      </w:r>
    </w:p>
    <w:p w:rsidR="00CC45FC" w:rsidRDefault="004A7700">
      <w:pPr>
        <w:numPr>
          <w:ilvl w:val="0"/>
          <w:numId w:val="39"/>
        </w:numPr>
        <w:spacing w:after="120" w:line="240" w:lineRule="auto"/>
        <w:jc w:val="both"/>
        <w:rPr>
          <w:rFonts w:ascii="Verdana" w:hAnsi="Verdana"/>
          <w:noProof/>
          <w:sz w:val="18"/>
          <w:szCs w:val="20"/>
        </w:rPr>
      </w:pPr>
      <w:r>
        <w:rPr>
          <w:rFonts w:ascii="Verdana" w:hAnsi="Verdana"/>
          <w:noProof/>
          <w:sz w:val="18"/>
          <w:szCs w:val="20"/>
        </w:rPr>
        <w:t xml:space="preserve">For each aid support scheme financed by EAGF or EAFRD, ex-ante administrative and on-the-spot checks are performed and dissuasive sanctions are applied in case of non-compliance by the beneficiary. These control systems are to be applied by the PAs and encompass common features and special rules tailored to the specificities of each aid regime. They are designed to provide exhaustive ex-ante administrative controls of 100 % of aid applications, cross-checks with other databases where appropriate, as well as on-the-spot checks of pre-payments on a sample of transactions ranging between 1 % and 100 % of the population, depending on the risk associated with the regime concerned. If on-the-spot checks reveal a high number of irregularities, additional controls must be carried out. </w:t>
      </w:r>
    </w:p>
    <w:p w:rsidR="00CC45FC" w:rsidRDefault="004A7700">
      <w:pPr>
        <w:numPr>
          <w:ilvl w:val="0"/>
          <w:numId w:val="36"/>
        </w:numPr>
        <w:spacing w:after="120" w:line="240" w:lineRule="auto"/>
        <w:ind w:left="714" w:hanging="357"/>
        <w:jc w:val="both"/>
        <w:rPr>
          <w:rFonts w:ascii="Verdana" w:hAnsi="Verdana"/>
          <w:noProof/>
          <w:sz w:val="18"/>
          <w:szCs w:val="20"/>
        </w:rPr>
      </w:pPr>
      <w:r>
        <w:rPr>
          <w:rFonts w:ascii="Verdana" w:hAnsi="Verdana"/>
          <w:noProof/>
          <w:sz w:val="18"/>
          <w:szCs w:val="20"/>
        </w:rPr>
        <w:t>In this context, the by far most important system is the Integrated Administration and Control System (IACS), which in financial year 2015 covered 93.8 % of EAGF expenditure. To the extent possible, the IACS is also used to manage and control Rural Development measures relating to parcels or livestock, which in 2015 accounted for 54.1 % of payments under the EAFRD. For both Funds together, the IACS covered 85.6 % of total expenditure.</w:t>
      </w:r>
    </w:p>
    <w:p w:rsidR="00CC45FC" w:rsidRDefault="004A7700">
      <w:pPr>
        <w:numPr>
          <w:ilvl w:val="0"/>
          <w:numId w:val="36"/>
        </w:numPr>
        <w:spacing w:after="120" w:line="240" w:lineRule="auto"/>
        <w:ind w:left="714" w:hanging="357"/>
        <w:jc w:val="both"/>
        <w:rPr>
          <w:rFonts w:ascii="Verdana" w:hAnsi="Verdana"/>
          <w:noProof/>
          <w:sz w:val="18"/>
          <w:szCs w:val="20"/>
        </w:rPr>
      </w:pPr>
      <w:r>
        <w:rPr>
          <w:rFonts w:ascii="Verdana" w:hAnsi="Verdana"/>
          <w:noProof/>
          <w:sz w:val="18"/>
          <w:szCs w:val="20"/>
        </w:rPr>
        <w:t>A detailed reporting from Member States to the Commission on the checks carried out by them and on the sanctions applied is foreseen in the legislation. The reporting system enables a calculation, for the main aid schemes, of the level of error found by Member States at the level of the final beneficiaries. The accuracy of the statistical information reported and the quality of the underlying on-the-spot checks is also verified and validated by the certification bodies for direct aids and Rural Development measures.</w:t>
      </w:r>
    </w:p>
    <w:p w:rsidR="00CC45FC" w:rsidRDefault="004A7700">
      <w:pPr>
        <w:spacing w:after="240" w:line="240" w:lineRule="auto"/>
        <w:jc w:val="both"/>
        <w:rPr>
          <w:rFonts w:ascii="Verdana" w:hAnsi="Verdana"/>
          <w:noProof/>
          <w:sz w:val="18"/>
          <w:szCs w:val="20"/>
        </w:rPr>
      </w:pPr>
      <w:r>
        <w:rPr>
          <w:rFonts w:ascii="Verdana" w:hAnsi="Verdana"/>
          <w:noProof/>
          <w:sz w:val="18"/>
          <w:szCs w:val="20"/>
        </w:rPr>
        <w:t xml:space="preserve">The latter reports from the Member States disclose the preventive effect of the ex-ante, administrative and on-the-spot controls carried out, which led to corrections amounting to EUR 353 million. The most important corrections related to Spain (EUR 70 million), Italy (EUR 39 million) and Poland (EUR 35 million). See </w:t>
      </w:r>
      <w:r>
        <w:rPr>
          <w:rFonts w:ascii="Verdana" w:hAnsi="Verdana"/>
          <w:b/>
          <w:noProof/>
          <w:sz w:val="18"/>
          <w:szCs w:val="20"/>
        </w:rPr>
        <w:t>Annex 6</w:t>
      </w:r>
      <w:r>
        <w:rPr>
          <w:rFonts w:ascii="Verdana" w:hAnsi="Verdana"/>
          <w:noProof/>
          <w:sz w:val="18"/>
          <w:szCs w:val="20"/>
        </w:rPr>
        <w:t xml:space="preserve"> for detailed figures reported in 2015.</w:t>
      </w:r>
    </w:p>
    <w:p w:rsidR="00CC45FC" w:rsidRDefault="004A7700">
      <w:pPr>
        <w:pStyle w:val="ManualHeading1"/>
        <w:rPr>
          <w:caps/>
          <w:noProof/>
        </w:rPr>
      </w:pPr>
      <w:bookmarkStart w:id="73" w:name="_Toc456258170"/>
      <w:bookmarkStart w:id="74" w:name="_Toc456686578"/>
      <w:r>
        <w:t>5.</w:t>
      </w:r>
      <w:r>
        <w:tab/>
      </w:r>
      <w:r>
        <w:rPr>
          <w:noProof/>
        </w:rPr>
        <w:t>COHESION POLICY</w:t>
      </w:r>
      <w:bookmarkEnd w:id="73"/>
      <w:bookmarkEnd w:id="74"/>
    </w:p>
    <w:p w:rsidR="00CC45FC" w:rsidRDefault="004A7700">
      <w:pPr>
        <w:pStyle w:val="ManualHeading2"/>
        <w:rPr>
          <w:noProof/>
        </w:rPr>
      </w:pPr>
      <w:bookmarkStart w:id="75" w:name="_Toc456258171"/>
      <w:bookmarkStart w:id="76" w:name="_Toc456686579"/>
      <w:r>
        <w:t>5.1.</w:t>
      </w:r>
      <w:r>
        <w:tab/>
      </w:r>
      <w:r>
        <w:rPr>
          <w:noProof/>
        </w:rPr>
        <w:t>Preventive actions</w:t>
      </w:r>
      <w:bookmarkEnd w:id="75"/>
      <w:bookmarkEnd w:id="76"/>
    </w:p>
    <w:p w:rsidR="00CC45FC" w:rsidRDefault="004A7700">
      <w:pPr>
        <w:pStyle w:val="Textstand-alone"/>
        <w:spacing w:before="120" w:after="120"/>
        <w:rPr>
          <w:rFonts w:cs="Calibri"/>
          <w:color w:val="000000" w:themeColor="text1"/>
          <w:szCs w:val="20"/>
        </w:rPr>
      </w:pPr>
      <w:r>
        <w:rPr>
          <w:rFonts w:cs="Calibri"/>
          <w:color w:val="000000" w:themeColor="text1"/>
          <w:szCs w:val="20"/>
        </w:rPr>
        <w:t>In 2015, the Commission continued to apply the strict policy on interruption and suspension of payments decided by the Commission in the framework of the 2008 Action plan to strengthen the Commission's supervisory role under shared management of structural actions in order to protect the EU budget. This policy, in force for the 2007-2013 period, operates on a preventive basis, triggering the interruption of interim payments - or the sending of a warning letter if no payment claim is outstanding - as soon as there is evidence to suggest a significant deficiency in the management and control system of all or part of an operational programme, thus avoiding the reimbursement by the EU budget of amounts which might be affected by serious irregularities.</w:t>
      </w:r>
    </w:p>
    <w:p w:rsidR="00CC45FC" w:rsidRDefault="004A7700">
      <w:pPr>
        <w:pStyle w:val="Textstand-alone"/>
        <w:spacing w:before="120" w:after="120"/>
        <w:rPr>
          <w:rFonts w:cs="Calibri"/>
          <w:color w:val="000000" w:themeColor="text1"/>
          <w:szCs w:val="20"/>
        </w:rPr>
      </w:pPr>
      <w:r>
        <w:rPr>
          <w:rFonts w:cs="Calibri"/>
          <w:color w:val="000000" w:themeColor="text1"/>
          <w:szCs w:val="20"/>
        </w:rPr>
        <w:t xml:space="preserve">As regards </w:t>
      </w:r>
      <w:r>
        <w:rPr>
          <w:rFonts w:cs="Calibri"/>
          <w:b/>
          <w:color w:val="000000" w:themeColor="text1"/>
          <w:szCs w:val="20"/>
        </w:rPr>
        <w:t>ERDF / CF</w:t>
      </w:r>
      <w:r>
        <w:rPr>
          <w:rFonts w:cs="Calibri"/>
          <w:color w:val="000000" w:themeColor="text1"/>
          <w:szCs w:val="20"/>
        </w:rPr>
        <w:t xml:space="preserve"> and</w:t>
      </w:r>
      <w:r>
        <w:rPr>
          <w:rFonts w:cs="Calibri"/>
          <w:b/>
          <w:color w:val="000000" w:themeColor="text1"/>
          <w:szCs w:val="20"/>
        </w:rPr>
        <w:t xml:space="preserve"> ESF </w:t>
      </w:r>
      <w:r>
        <w:rPr>
          <w:rFonts w:cs="Calibri"/>
          <w:color w:val="000000" w:themeColor="text1"/>
          <w:szCs w:val="20"/>
        </w:rPr>
        <w:t>programmes, it is worth underlining that the remedial action plans agreed by the Member States as a result of the Commission's supervisory role also have a preventive impact on expenditure already incurred by beneficiaries and registered at national level in the certifying authority's accounts, but not yet declared to the Commission. For such expenditure, the certifying authority applies the financial correction requested by the Commission prior to declaring expenditure.</w:t>
      </w:r>
    </w:p>
    <w:tbl>
      <w:tblPr>
        <w:tblStyle w:val="TableGrid"/>
        <w:tblW w:w="9464" w:type="dxa"/>
        <w:tblLook w:val="04A0" w:firstRow="1" w:lastRow="0" w:firstColumn="1" w:lastColumn="0" w:noHBand="0" w:noVBand="1"/>
      </w:tblPr>
      <w:tblGrid>
        <w:gridCol w:w="2943"/>
        <w:gridCol w:w="6521"/>
      </w:tblGrid>
      <w:tr w:rsidR="00CC45FC">
        <w:trPr>
          <w:trHeight w:val="963"/>
        </w:trPr>
        <w:tc>
          <w:tcPr>
            <w:tcW w:w="2943"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C45FC" w:rsidRDefault="004A7700">
            <w:pPr>
              <w:spacing w:after="120"/>
              <w:rPr>
                <w:rFonts w:ascii="Verdana" w:hAnsi="Verdana"/>
                <w:b/>
                <w:i/>
                <w:noProof/>
                <w:sz w:val="20"/>
              </w:rPr>
            </w:pPr>
            <w:r>
              <w:rPr>
                <w:rFonts w:ascii="Verdana" w:hAnsi="Verdana" w:cs="Calibri"/>
                <w:b/>
                <w:noProof/>
                <w:color w:val="000000" w:themeColor="text1"/>
                <w:sz w:val="18"/>
                <w:szCs w:val="18"/>
              </w:rPr>
              <w:t>Expenditure declared to the Commission already net of irregular amounts.</w:t>
            </w:r>
          </w:p>
        </w:tc>
        <w:tc>
          <w:tcPr>
            <w:tcW w:w="6521" w:type="dxa"/>
            <w:tcBorders>
              <w:top w:val="nil"/>
              <w:left w:val="single" w:sz="12" w:space="0" w:color="auto"/>
              <w:bottom w:val="nil"/>
              <w:right w:val="nil"/>
            </w:tcBorders>
          </w:tcPr>
          <w:p w:rsidR="00CC45FC" w:rsidRDefault="004A7700">
            <w:pPr>
              <w:spacing w:after="120" w:line="240" w:lineRule="auto"/>
              <w:jc w:val="both"/>
              <w:rPr>
                <w:rFonts w:ascii="Verdana" w:hAnsi="Verdana"/>
                <w:b/>
                <w:i/>
                <w:noProof/>
                <w:sz w:val="20"/>
              </w:rPr>
            </w:pPr>
            <w:r>
              <w:rPr>
                <w:rFonts w:ascii="Verdana" w:hAnsi="Verdana" w:cs="Calibri"/>
                <w:noProof/>
                <w:color w:val="000000" w:themeColor="text1"/>
                <w:sz w:val="18"/>
                <w:szCs w:val="20"/>
              </w:rPr>
              <w:t>Particularly in the case of extrapolated or flat rate corrections due to deficiencies in management and control systems, the amounts preventively corrected by certifying authorities prior to certification may be significant.</w:t>
            </w:r>
          </w:p>
        </w:tc>
      </w:tr>
    </w:tbl>
    <w:p w:rsidR="00CC45FC" w:rsidRDefault="004A7700">
      <w:pPr>
        <w:pStyle w:val="Textstand-alone"/>
        <w:spacing w:before="120" w:after="0"/>
        <w:rPr>
          <w:rFonts w:cs="Calibri"/>
          <w:color w:val="000000" w:themeColor="text1"/>
          <w:szCs w:val="20"/>
        </w:rPr>
      </w:pPr>
      <w:r>
        <w:rPr>
          <w:rFonts w:cs="Calibri"/>
          <w:color w:val="000000" w:themeColor="text1"/>
          <w:szCs w:val="20"/>
        </w:rPr>
        <w:t>This can be demonstrated in the case of at source financial corrections applied to Romania in 2015 (EUR 345 million) or in 2014 by the Czech Republic (EUR 398 million) and Hungary (EUR 135 million) in the frame of remedial action plans for different programmes. For ESF, the main at source financial corrections confirmed were in 2015 applied to Romania (EUR 77 million).</w:t>
      </w:r>
    </w:p>
    <w:p w:rsidR="00CC45FC" w:rsidRDefault="004A7700">
      <w:pPr>
        <w:pStyle w:val="Textstand-alone"/>
        <w:spacing w:before="120" w:after="0"/>
        <w:rPr>
          <w:rFonts w:cs="Calibri"/>
          <w:color w:val="000000" w:themeColor="text1"/>
          <w:szCs w:val="20"/>
        </w:rPr>
      </w:pPr>
      <w:r>
        <w:rPr>
          <w:rFonts w:cs="Calibri"/>
          <w:color w:val="000000" w:themeColor="text1"/>
          <w:szCs w:val="20"/>
        </w:rPr>
        <w:t>Similarly, warning letters sent out by the Commission when system deficiencies are identified before a payment claim is submitted to the Commission may also have the same preventive effect on the protection of the EU budget, but no amount is reported by the Commission / Member States in this case as this effect is more difficult to quantify. The preventive effect of the Commission's supervisory role leads to an increased protection of the EU budget (and to reduced errors detected by audit authorities when auditing amounts claimed from the Commission) and has therefore to be reflected as well in the reporting.</w:t>
      </w:r>
    </w:p>
    <w:p w:rsidR="00CC45FC" w:rsidRDefault="004A7700">
      <w:pPr>
        <w:pStyle w:val="Textstand-alone"/>
        <w:spacing w:before="120" w:after="0"/>
        <w:rPr>
          <w:rFonts w:cs="Calibri"/>
          <w:color w:val="000000" w:themeColor="text1"/>
        </w:rPr>
      </w:pPr>
      <w:r>
        <w:rPr>
          <w:rFonts w:cs="Calibri"/>
          <w:color w:val="000000" w:themeColor="text1"/>
        </w:rPr>
        <w:t>I</w:t>
      </w:r>
      <w:r>
        <w:t>nterruptions and suspensions are only lifted on the basis of reasonable assurance on the implementation of corrective measures and / or after financial corrections have been implemented. Financial corrections need to be included in a payment claim submitted to the Commission or agreed with the Commission. The adequacy of the corrective measures, including financial corrections is assessed in particular on the basis of audit evidence provided by the national audit authority or by a Commission (follow-up) audit, and after individual examination of the case aiming to ensure consistency, transparency and equal treatment amongst Member States.</w:t>
      </w:r>
    </w:p>
    <w:p w:rsidR="00CC45FC" w:rsidRDefault="00CC45FC">
      <w:pPr>
        <w:pStyle w:val="Textstand-alone"/>
        <w:spacing w:before="120" w:after="0"/>
        <w:rPr>
          <w:rFonts w:cs="Calibri"/>
          <w:color w:val="000000" w:themeColor="text1"/>
          <w:szCs w:val="20"/>
        </w:rPr>
      </w:pPr>
    </w:p>
    <w:p w:rsidR="00CC45FC" w:rsidRDefault="004A7700">
      <w:pPr>
        <w:spacing w:after="0" w:line="240" w:lineRule="auto"/>
        <w:rPr>
          <w:rFonts w:ascii="Verdana" w:hAnsi="Verdana"/>
          <w:i/>
          <w:noProof/>
          <w:sz w:val="20"/>
          <w:szCs w:val="20"/>
        </w:rPr>
      </w:pPr>
      <w:r>
        <w:rPr>
          <w:rFonts w:ascii="Verdana" w:hAnsi="Verdana"/>
          <w:i/>
          <w:noProof/>
          <w:sz w:val="20"/>
          <w:szCs w:val="20"/>
        </w:rPr>
        <w:br w:type="page"/>
      </w:r>
    </w:p>
    <w:p w:rsidR="00CC45FC" w:rsidRDefault="004A7700">
      <w:pPr>
        <w:spacing w:after="120" w:line="240" w:lineRule="auto"/>
        <w:rPr>
          <w:rFonts w:ascii="Verdana" w:hAnsi="Verdana"/>
          <w:i/>
          <w:noProof/>
          <w:sz w:val="20"/>
          <w:szCs w:val="20"/>
        </w:rPr>
      </w:pPr>
      <w:r>
        <w:rPr>
          <w:rFonts w:ascii="Verdana" w:hAnsi="Verdana"/>
          <w:i/>
          <w:noProof/>
          <w:sz w:val="20"/>
          <w:szCs w:val="20"/>
        </w:rPr>
        <w:t xml:space="preserve">5.1.1. Interruptions and suspensions </w:t>
      </w:r>
    </w:p>
    <w:p w:rsidR="00CC45FC" w:rsidRDefault="004A7700">
      <w:pPr>
        <w:spacing w:after="0" w:line="240" w:lineRule="auto"/>
        <w:jc w:val="both"/>
        <w:rPr>
          <w:rFonts w:ascii="Verdana" w:hAnsi="Verdana"/>
          <w:b/>
          <w:i/>
          <w:noProof/>
          <w:sz w:val="20"/>
        </w:rPr>
      </w:pPr>
      <w:r>
        <w:rPr>
          <w:rFonts w:ascii="Verdana" w:hAnsi="Verdana"/>
          <w:b/>
          <w:i/>
          <w:noProof/>
          <w:sz w:val="20"/>
        </w:rPr>
        <w:t>Table 5.1.1: Interruptions</w:t>
      </w:r>
    </w:p>
    <w:tbl>
      <w:tblPr>
        <w:tblW w:w="5000" w:type="pct"/>
        <w:tblLook w:val="04A0" w:firstRow="1" w:lastRow="0" w:firstColumn="1" w:lastColumn="0" w:noHBand="0" w:noVBand="1"/>
      </w:tblPr>
      <w:tblGrid>
        <w:gridCol w:w="2330"/>
        <w:gridCol w:w="892"/>
        <w:gridCol w:w="885"/>
        <w:gridCol w:w="890"/>
        <w:gridCol w:w="886"/>
        <w:gridCol w:w="890"/>
        <w:gridCol w:w="886"/>
        <w:gridCol w:w="890"/>
        <w:gridCol w:w="881"/>
      </w:tblGrid>
      <w:tr w:rsidR="00CC45FC">
        <w:trPr>
          <w:trHeight w:val="255"/>
        </w:trPr>
        <w:tc>
          <w:tcPr>
            <w:tcW w:w="5000" w:type="pct"/>
            <w:gridSpan w:val="9"/>
            <w:tcBorders>
              <w:top w:val="nil"/>
              <w:left w:val="nil"/>
              <w:bottom w:val="nil"/>
              <w:right w:val="nil"/>
            </w:tcBorders>
            <w:shd w:val="clear" w:color="auto" w:fill="auto"/>
            <w:noWrap/>
            <w:vAlign w:val="bottom"/>
            <w:hideMark/>
          </w:tcPr>
          <w:p w:rsidR="00CC45FC" w:rsidRDefault="004A7700">
            <w:pPr>
              <w:spacing w:after="0" w:line="240" w:lineRule="auto"/>
              <w:jc w:val="right"/>
              <w:rPr>
                <w:rFonts w:ascii="Verdana" w:eastAsia="Times New Roman" w:hAnsi="Verdana"/>
                <w:i/>
                <w:noProof/>
                <w:color w:val="000000"/>
                <w:sz w:val="16"/>
                <w:szCs w:val="16"/>
                <w:lang w:eastAsia="en-GB"/>
              </w:rPr>
            </w:pPr>
            <w:r>
              <w:rPr>
                <w:rFonts w:ascii="Verdana" w:eastAsia="Times New Roman" w:hAnsi="Verdana"/>
                <w:i/>
                <w:noProof/>
                <w:color w:val="000000"/>
                <w:sz w:val="16"/>
                <w:szCs w:val="16"/>
                <w:lang w:eastAsia="en-GB"/>
              </w:rPr>
              <w:t>EUR millions</w:t>
            </w:r>
          </w:p>
        </w:tc>
      </w:tr>
      <w:tr w:rsidR="00CC45FC">
        <w:trPr>
          <w:trHeight w:val="513"/>
        </w:trPr>
        <w:tc>
          <w:tcPr>
            <w:tcW w:w="1235" w:type="pct"/>
            <w:vMerge w:val="restart"/>
            <w:tcBorders>
              <w:top w:val="single" w:sz="4" w:space="0" w:color="auto"/>
              <w:left w:val="single" w:sz="4" w:space="0" w:color="auto"/>
              <w:right w:val="single" w:sz="4"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Fund</w:t>
            </w:r>
          </w:p>
        </w:tc>
        <w:tc>
          <w:tcPr>
            <w:tcW w:w="3765" w:type="pct"/>
            <w:gridSpan w:val="8"/>
            <w:tcBorders>
              <w:top w:val="single" w:sz="4" w:space="0" w:color="auto"/>
              <w:left w:val="nil"/>
              <w:bottom w:val="nil"/>
              <w:right w:val="single" w:sz="4" w:space="0" w:color="000000"/>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Cohesion policy: 2007-2013 programming period</w:t>
            </w:r>
          </w:p>
        </w:tc>
      </w:tr>
      <w:tr w:rsidR="00CC45FC">
        <w:trPr>
          <w:trHeight w:val="570"/>
        </w:trPr>
        <w:tc>
          <w:tcPr>
            <w:tcW w:w="1235" w:type="pct"/>
            <w:vMerge/>
            <w:tcBorders>
              <w:left w:val="single" w:sz="4" w:space="0" w:color="auto"/>
              <w:right w:val="single" w:sz="4" w:space="0" w:color="auto"/>
            </w:tcBorders>
            <w:shd w:val="clear" w:color="000000" w:fill="99CCFF"/>
            <w:vAlign w:val="center"/>
            <w:hideMark/>
          </w:tcPr>
          <w:p w:rsidR="00CC45FC" w:rsidRDefault="00CC45FC">
            <w:pPr>
              <w:spacing w:after="0" w:line="240" w:lineRule="auto"/>
              <w:jc w:val="center"/>
              <w:rPr>
                <w:rFonts w:ascii="Verdana" w:eastAsia="Times New Roman" w:hAnsi="Verdana"/>
                <w:b/>
                <w:bCs/>
                <w:noProof/>
                <w:color w:val="000000"/>
                <w:sz w:val="16"/>
                <w:szCs w:val="16"/>
                <w:lang w:eastAsia="en-GB"/>
              </w:rPr>
            </w:pPr>
          </w:p>
        </w:tc>
        <w:tc>
          <w:tcPr>
            <w:tcW w:w="942" w:type="pct"/>
            <w:gridSpan w:val="2"/>
            <w:tcBorders>
              <w:top w:val="single" w:sz="4" w:space="0" w:color="auto"/>
              <w:left w:val="single" w:sz="4" w:space="0" w:color="auto"/>
              <w:bottom w:val="single" w:sz="4" w:space="0" w:color="auto"/>
              <w:right w:val="single" w:sz="4"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Total open cases at 31.12.2014</w:t>
            </w:r>
          </w:p>
        </w:tc>
        <w:tc>
          <w:tcPr>
            <w:tcW w:w="942" w:type="pct"/>
            <w:gridSpan w:val="2"/>
            <w:tcBorders>
              <w:top w:val="single" w:sz="4" w:space="0" w:color="auto"/>
              <w:left w:val="nil"/>
              <w:bottom w:val="single" w:sz="4" w:space="0" w:color="auto"/>
              <w:right w:val="single" w:sz="4"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New cases 2015</w:t>
            </w:r>
          </w:p>
        </w:tc>
        <w:tc>
          <w:tcPr>
            <w:tcW w:w="942" w:type="pct"/>
            <w:gridSpan w:val="2"/>
            <w:tcBorders>
              <w:top w:val="single" w:sz="4" w:space="0" w:color="auto"/>
              <w:left w:val="nil"/>
              <w:bottom w:val="single" w:sz="4" w:space="0" w:color="auto"/>
              <w:right w:val="single" w:sz="4"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Closed cases during 2015</w:t>
            </w:r>
          </w:p>
        </w:tc>
        <w:tc>
          <w:tcPr>
            <w:tcW w:w="939" w:type="pct"/>
            <w:gridSpan w:val="2"/>
            <w:tcBorders>
              <w:top w:val="single" w:sz="4" w:space="0" w:color="auto"/>
              <w:left w:val="nil"/>
              <w:bottom w:val="single" w:sz="4" w:space="0" w:color="auto"/>
              <w:right w:val="single" w:sz="4"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Total open cases at 31.12.2015</w:t>
            </w:r>
          </w:p>
        </w:tc>
      </w:tr>
      <w:tr w:rsidR="00CC45FC">
        <w:trPr>
          <w:trHeight w:val="510"/>
        </w:trPr>
        <w:tc>
          <w:tcPr>
            <w:tcW w:w="1235" w:type="pct"/>
            <w:vMerge/>
            <w:tcBorders>
              <w:left w:val="single" w:sz="4" w:space="0" w:color="auto"/>
              <w:bottom w:val="single" w:sz="4" w:space="0" w:color="000000"/>
              <w:right w:val="single" w:sz="4" w:space="0" w:color="auto"/>
            </w:tcBorders>
            <w:vAlign w:val="center"/>
            <w:hideMark/>
          </w:tcPr>
          <w:p w:rsidR="00CC45FC" w:rsidRDefault="00CC45FC">
            <w:pPr>
              <w:spacing w:after="0" w:line="240" w:lineRule="auto"/>
              <w:rPr>
                <w:rFonts w:ascii="Verdana" w:eastAsia="Times New Roman" w:hAnsi="Verdana"/>
                <w:b/>
                <w:bCs/>
                <w:noProof/>
                <w:color w:val="000000"/>
                <w:sz w:val="16"/>
                <w:szCs w:val="16"/>
                <w:lang w:eastAsia="en-GB"/>
              </w:rPr>
            </w:pPr>
          </w:p>
        </w:tc>
        <w:tc>
          <w:tcPr>
            <w:tcW w:w="473" w:type="pct"/>
            <w:tcBorders>
              <w:top w:val="nil"/>
              <w:left w:val="single" w:sz="4" w:space="0" w:color="auto"/>
              <w:bottom w:val="single" w:sz="4" w:space="0" w:color="auto"/>
              <w:right w:val="single" w:sz="4"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Number of cases</w:t>
            </w:r>
          </w:p>
        </w:tc>
        <w:tc>
          <w:tcPr>
            <w:tcW w:w="469" w:type="pct"/>
            <w:tcBorders>
              <w:top w:val="nil"/>
              <w:left w:val="nil"/>
              <w:bottom w:val="single" w:sz="4" w:space="0" w:color="auto"/>
              <w:right w:val="single" w:sz="4"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Amount</w:t>
            </w:r>
          </w:p>
        </w:tc>
        <w:tc>
          <w:tcPr>
            <w:tcW w:w="472" w:type="pct"/>
            <w:tcBorders>
              <w:top w:val="nil"/>
              <w:left w:val="nil"/>
              <w:bottom w:val="single" w:sz="4" w:space="0" w:color="auto"/>
              <w:right w:val="single" w:sz="4"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Number of cases</w:t>
            </w:r>
          </w:p>
        </w:tc>
        <w:tc>
          <w:tcPr>
            <w:tcW w:w="470" w:type="pct"/>
            <w:tcBorders>
              <w:top w:val="nil"/>
              <w:left w:val="nil"/>
              <w:bottom w:val="single" w:sz="4" w:space="0" w:color="auto"/>
              <w:right w:val="single" w:sz="4"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Amount</w:t>
            </w:r>
          </w:p>
        </w:tc>
        <w:tc>
          <w:tcPr>
            <w:tcW w:w="472" w:type="pct"/>
            <w:tcBorders>
              <w:top w:val="nil"/>
              <w:left w:val="nil"/>
              <w:bottom w:val="single" w:sz="4" w:space="0" w:color="auto"/>
              <w:right w:val="single" w:sz="4"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Number of cases</w:t>
            </w:r>
          </w:p>
        </w:tc>
        <w:tc>
          <w:tcPr>
            <w:tcW w:w="470" w:type="pct"/>
            <w:tcBorders>
              <w:top w:val="nil"/>
              <w:left w:val="nil"/>
              <w:bottom w:val="single" w:sz="4" w:space="0" w:color="auto"/>
              <w:right w:val="single" w:sz="4"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Amount</w:t>
            </w:r>
          </w:p>
        </w:tc>
        <w:tc>
          <w:tcPr>
            <w:tcW w:w="472" w:type="pct"/>
            <w:tcBorders>
              <w:top w:val="nil"/>
              <w:left w:val="nil"/>
              <w:bottom w:val="single" w:sz="4" w:space="0" w:color="auto"/>
              <w:right w:val="single" w:sz="4"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Number of cases</w:t>
            </w:r>
          </w:p>
        </w:tc>
        <w:tc>
          <w:tcPr>
            <w:tcW w:w="467" w:type="pct"/>
            <w:tcBorders>
              <w:top w:val="nil"/>
              <w:left w:val="nil"/>
              <w:bottom w:val="single" w:sz="4" w:space="0" w:color="auto"/>
              <w:right w:val="single" w:sz="4"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4"/>
                <w:szCs w:val="14"/>
                <w:lang w:eastAsia="en-GB"/>
              </w:rPr>
            </w:pPr>
            <w:r>
              <w:rPr>
                <w:rFonts w:ascii="Verdana" w:eastAsia="Times New Roman" w:hAnsi="Verdana"/>
                <w:b/>
                <w:bCs/>
                <w:noProof/>
                <w:color w:val="000000"/>
                <w:sz w:val="14"/>
                <w:szCs w:val="14"/>
                <w:lang w:eastAsia="en-GB"/>
              </w:rPr>
              <w:t>Amount</w:t>
            </w:r>
          </w:p>
        </w:tc>
      </w:tr>
      <w:tr w:rsidR="00CC45FC">
        <w:trPr>
          <w:trHeight w:val="270"/>
        </w:trPr>
        <w:tc>
          <w:tcPr>
            <w:tcW w:w="1235" w:type="pct"/>
            <w:tcBorders>
              <w:top w:val="nil"/>
              <w:left w:val="single" w:sz="4" w:space="0" w:color="auto"/>
              <w:bottom w:val="nil"/>
              <w:right w:val="single" w:sz="4" w:space="0" w:color="auto"/>
            </w:tcBorders>
            <w:shd w:val="clear" w:color="auto" w:fill="auto"/>
            <w:noWrap/>
            <w:vAlign w:val="bottom"/>
            <w:hideMark/>
          </w:tcPr>
          <w:p w:rsidR="00CC45FC" w:rsidRDefault="004A7700">
            <w:pPr>
              <w:widowControl w:val="0"/>
              <w:spacing w:after="0" w:line="240" w:lineRule="auto"/>
              <w:rPr>
                <w:rFonts w:ascii="Verdana" w:eastAsia="Times New Roman" w:hAnsi="Verdana"/>
                <w:b/>
                <w:bCs/>
                <w:i/>
                <w:iCs/>
                <w:noProof/>
                <w:color w:val="000000"/>
                <w:sz w:val="16"/>
                <w:szCs w:val="16"/>
                <w:lang w:eastAsia="en-GB"/>
              </w:rPr>
            </w:pPr>
            <w:r>
              <w:rPr>
                <w:rFonts w:ascii="Verdana" w:eastAsia="Times New Roman" w:hAnsi="Verdana"/>
                <w:b/>
                <w:bCs/>
                <w:i/>
                <w:iCs/>
                <w:noProof/>
                <w:color w:val="000000"/>
                <w:sz w:val="16"/>
                <w:szCs w:val="16"/>
                <w:lang w:eastAsia="en-GB"/>
              </w:rPr>
              <w:t>ERDF &amp; CF</w:t>
            </w:r>
          </w:p>
        </w:tc>
        <w:tc>
          <w:tcPr>
            <w:tcW w:w="473" w:type="pct"/>
            <w:tcBorders>
              <w:top w:val="nil"/>
              <w:left w:val="nil"/>
              <w:bottom w:val="nil"/>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 xml:space="preserve"> 99</w:t>
            </w:r>
          </w:p>
        </w:tc>
        <w:tc>
          <w:tcPr>
            <w:tcW w:w="469" w:type="pct"/>
            <w:tcBorders>
              <w:top w:val="nil"/>
              <w:left w:val="nil"/>
              <w:bottom w:val="nil"/>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3 818</w:t>
            </w:r>
          </w:p>
        </w:tc>
        <w:tc>
          <w:tcPr>
            <w:tcW w:w="472" w:type="pct"/>
            <w:tcBorders>
              <w:top w:val="nil"/>
              <w:left w:val="nil"/>
              <w:bottom w:val="nil"/>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87</w:t>
            </w:r>
          </w:p>
        </w:tc>
        <w:tc>
          <w:tcPr>
            <w:tcW w:w="470" w:type="pct"/>
            <w:tcBorders>
              <w:top w:val="nil"/>
              <w:left w:val="nil"/>
              <w:bottom w:val="nil"/>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5 299</w:t>
            </w:r>
          </w:p>
        </w:tc>
        <w:tc>
          <w:tcPr>
            <w:tcW w:w="472" w:type="pct"/>
            <w:tcBorders>
              <w:top w:val="nil"/>
              <w:left w:val="nil"/>
              <w:bottom w:val="nil"/>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135</w:t>
            </w:r>
          </w:p>
        </w:tc>
        <w:tc>
          <w:tcPr>
            <w:tcW w:w="470" w:type="pct"/>
            <w:tcBorders>
              <w:top w:val="nil"/>
              <w:left w:val="nil"/>
              <w:bottom w:val="nil"/>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7 387</w:t>
            </w:r>
          </w:p>
        </w:tc>
        <w:tc>
          <w:tcPr>
            <w:tcW w:w="472" w:type="pct"/>
            <w:tcBorders>
              <w:top w:val="nil"/>
              <w:left w:val="nil"/>
              <w:bottom w:val="nil"/>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51</w:t>
            </w:r>
          </w:p>
        </w:tc>
        <w:tc>
          <w:tcPr>
            <w:tcW w:w="467" w:type="pct"/>
            <w:tcBorders>
              <w:top w:val="nil"/>
              <w:left w:val="nil"/>
              <w:bottom w:val="nil"/>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1 730</w:t>
            </w:r>
          </w:p>
        </w:tc>
      </w:tr>
      <w:tr w:rsidR="00CC45FC">
        <w:trPr>
          <w:trHeight w:val="255"/>
        </w:trPr>
        <w:tc>
          <w:tcPr>
            <w:tcW w:w="1235" w:type="pct"/>
            <w:tcBorders>
              <w:top w:val="nil"/>
              <w:left w:val="single" w:sz="4" w:space="0" w:color="auto"/>
              <w:bottom w:val="nil"/>
              <w:right w:val="single" w:sz="4" w:space="0" w:color="auto"/>
            </w:tcBorders>
            <w:shd w:val="clear" w:color="auto" w:fill="auto"/>
            <w:noWrap/>
            <w:vAlign w:val="bottom"/>
            <w:hideMark/>
          </w:tcPr>
          <w:p w:rsidR="00CC45FC" w:rsidRDefault="004A7700">
            <w:pPr>
              <w:widowControl w:val="0"/>
              <w:spacing w:after="0" w:line="240" w:lineRule="auto"/>
              <w:rPr>
                <w:rFonts w:ascii="Verdana" w:eastAsia="Times New Roman" w:hAnsi="Verdana"/>
                <w:b/>
                <w:bCs/>
                <w:i/>
                <w:iCs/>
                <w:noProof/>
                <w:color w:val="000000"/>
                <w:sz w:val="16"/>
                <w:szCs w:val="16"/>
                <w:lang w:eastAsia="en-GB"/>
              </w:rPr>
            </w:pPr>
            <w:r>
              <w:rPr>
                <w:rFonts w:ascii="Verdana" w:eastAsia="Times New Roman" w:hAnsi="Verdana"/>
                <w:b/>
                <w:bCs/>
                <w:i/>
                <w:iCs/>
                <w:noProof/>
                <w:color w:val="000000"/>
                <w:sz w:val="16"/>
                <w:szCs w:val="16"/>
                <w:lang w:eastAsia="en-GB"/>
              </w:rPr>
              <w:t>ESF</w:t>
            </w:r>
          </w:p>
        </w:tc>
        <w:tc>
          <w:tcPr>
            <w:tcW w:w="473" w:type="pct"/>
            <w:tcBorders>
              <w:top w:val="nil"/>
              <w:left w:val="nil"/>
              <w:bottom w:val="nil"/>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 xml:space="preserve"> 32</w:t>
            </w:r>
          </w:p>
        </w:tc>
        <w:tc>
          <w:tcPr>
            <w:tcW w:w="469" w:type="pct"/>
            <w:tcBorders>
              <w:top w:val="nil"/>
              <w:left w:val="nil"/>
              <w:bottom w:val="nil"/>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 xml:space="preserve"> 970</w:t>
            </w:r>
          </w:p>
        </w:tc>
        <w:tc>
          <w:tcPr>
            <w:tcW w:w="472" w:type="pct"/>
            <w:tcBorders>
              <w:top w:val="nil"/>
              <w:left w:val="nil"/>
              <w:bottom w:val="nil"/>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27</w:t>
            </w:r>
          </w:p>
        </w:tc>
        <w:tc>
          <w:tcPr>
            <w:tcW w:w="470" w:type="pct"/>
            <w:tcBorders>
              <w:top w:val="nil"/>
              <w:left w:val="nil"/>
              <w:bottom w:val="nil"/>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1 392</w:t>
            </w:r>
          </w:p>
        </w:tc>
        <w:tc>
          <w:tcPr>
            <w:tcW w:w="472" w:type="pct"/>
            <w:tcBorders>
              <w:top w:val="nil"/>
              <w:left w:val="nil"/>
              <w:bottom w:val="nil"/>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33</w:t>
            </w:r>
          </w:p>
        </w:tc>
        <w:tc>
          <w:tcPr>
            <w:tcW w:w="470" w:type="pct"/>
            <w:tcBorders>
              <w:top w:val="nil"/>
              <w:left w:val="nil"/>
              <w:bottom w:val="nil"/>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1 599</w:t>
            </w:r>
          </w:p>
        </w:tc>
        <w:tc>
          <w:tcPr>
            <w:tcW w:w="472" w:type="pct"/>
            <w:tcBorders>
              <w:top w:val="nil"/>
              <w:left w:val="nil"/>
              <w:bottom w:val="nil"/>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26</w:t>
            </w:r>
          </w:p>
        </w:tc>
        <w:tc>
          <w:tcPr>
            <w:tcW w:w="467" w:type="pct"/>
            <w:tcBorders>
              <w:top w:val="nil"/>
              <w:left w:val="nil"/>
              <w:bottom w:val="nil"/>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762</w:t>
            </w:r>
          </w:p>
        </w:tc>
      </w:tr>
      <w:tr w:rsidR="00CC45FC">
        <w:trPr>
          <w:trHeight w:val="25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rsidR="00CC45FC" w:rsidRDefault="004A7700">
            <w:pPr>
              <w:widowControl w:val="0"/>
              <w:spacing w:after="0" w:line="240" w:lineRule="auto"/>
              <w:rPr>
                <w:rFonts w:ascii="Verdana" w:eastAsia="Times New Roman" w:hAnsi="Verdana"/>
                <w:b/>
                <w:bCs/>
                <w:i/>
                <w:iCs/>
                <w:noProof/>
                <w:color w:val="000000"/>
                <w:sz w:val="16"/>
                <w:szCs w:val="16"/>
                <w:lang w:eastAsia="en-GB"/>
              </w:rPr>
            </w:pPr>
            <w:r>
              <w:rPr>
                <w:rFonts w:ascii="Verdana" w:eastAsia="Times New Roman" w:hAnsi="Verdana"/>
                <w:b/>
                <w:bCs/>
                <w:i/>
                <w:iCs/>
                <w:noProof/>
                <w:color w:val="000000"/>
                <w:sz w:val="16"/>
                <w:szCs w:val="16"/>
                <w:lang w:eastAsia="en-GB"/>
              </w:rPr>
              <w:t>EFF</w:t>
            </w:r>
          </w:p>
        </w:tc>
        <w:tc>
          <w:tcPr>
            <w:tcW w:w="473" w:type="pct"/>
            <w:tcBorders>
              <w:top w:val="nil"/>
              <w:left w:val="nil"/>
              <w:bottom w:val="single" w:sz="4" w:space="0" w:color="auto"/>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 xml:space="preserve"> 7</w:t>
            </w:r>
          </w:p>
        </w:tc>
        <w:tc>
          <w:tcPr>
            <w:tcW w:w="469" w:type="pct"/>
            <w:tcBorders>
              <w:top w:val="nil"/>
              <w:left w:val="nil"/>
              <w:bottom w:val="single" w:sz="4" w:space="0" w:color="auto"/>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 xml:space="preserve"> 14</w:t>
            </w:r>
          </w:p>
        </w:tc>
        <w:tc>
          <w:tcPr>
            <w:tcW w:w="472" w:type="pct"/>
            <w:tcBorders>
              <w:top w:val="nil"/>
              <w:left w:val="nil"/>
              <w:bottom w:val="single" w:sz="4" w:space="0" w:color="auto"/>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25</w:t>
            </w:r>
          </w:p>
        </w:tc>
        <w:tc>
          <w:tcPr>
            <w:tcW w:w="470" w:type="pct"/>
            <w:tcBorders>
              <w:top w:val="nil"/>
              <w:left w:val="nil"/>
              <w:bottom w:val="single" w:sz="4" w:space="0" w:color="auto"/>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157</w:t>
            </w:r>
          </w:p>
        </w:tc>
        <w:tc>
          <w:tcPr>
            <w:tcW w:w="472" w:type="pct"/>
            <w:tcBorders>
              <w:top w:val="nil"/>
              <w:left w:val="nil"/>
              <w:bottom w:val="single" w:sz="4" w:space="0" w:color="auto"/>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30</w:t>
            </w:r>
          </w:p>
        </w:tc>
        <w:tc>
          <w:tcPr>
            <w:tcW w:w="470" w:type="pct"/>
            <w:tcBorders>
              <w:top w:val="nil"/>
              <w:left w:val="nil"/>
              <w:bottom w:val="single" w:sz="4" w:space="0" w:color="auto"/>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162</w:t>
            </w:r>
          </w:p>
        </w:tc>
        <w:tc>
          <w:tcPr>
            <w:tcW w:w="472" w:type="pct"/>
            <w:tcBorders>
              <w:top w:val="nil"/>
              <w:left w:val="nil"/>
              <w:bottom w:val="single" w:sz="4" w:space="0" w:color="auto"/>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2</w:t>
            </w:r>
          </w:p>
        </w:tc>
        <w:tc>
          <w:tcPr>
            <w:tcW w:w="467" w:type="pct"/>
            <w:tcBorders>
              <w:top w:val="nil"/>
              <w:left w:val="nil"/>
              <w:bottom w:val="single" w:sz="4" w:space="0" w:color="auto"/>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noProof/>
                <w:color w:val="000000"/>
                <w:sz w:val="16"/>
                <w:szCs w:val="16"/>
              </w:rPr>
            </w:pPr>
            <w:r>
              <w:rPr>
                <w:rFonts w:ascii="Verdana" w:hAnsi="Verdana"/>
                <w:noProof/>
                <w:color w:val="000000"/>
                <w:sz w:val="16"/>
                <w:szCs w:val="16"/>
              </w:rPr>
              <w:t>8</w:t>
            </w:r>
          </w:p>
        </w:tc>
      </w:tr>
      <w:tr w:rsidR="00CC45FC">
        <w:trPr>
          <w:trHeight w:val="255"/>
        </w:trPr>
        <w:tc>
          <w:tcPr>
            <w:tcW w:w="1235" w:type="pct"/>
            <w:tcBorders>
              <w:top w:val="nil"/>
              <w:left w:val="single" w:sz="4" w:space="0" w:color="auto"/>
              <w:bottom w:val="single" w:sz="4" w:space="0" w:color="auto"/>
              <w:right w:val="single" w:sz="4" w:space="0" w:color="auto"/>
            </w:tcBorders>
            <w:shd w:val="clear" w:color="auto" w:fill="auto"/>
            <w:noWrap/>
            <w:vAlign w:val="bottom"/>
            <w:hideMark/>
          </w:tcPr>
          <w:p w:rsidR="00CC45FC" w:rsidRDefault="004A7700">
            <w:pPr>
              <w:widowControl w:val="0"/>
              <w:spacing w:after="0" w:line="240" w:lineRule="auto"/>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 xml:space="preserve">Total </w:t>
            </w:r>
          </w:p>
        </w:tc>
        <w:tc>
          <w:tcPr>
            <w:tcW w:w="473" w:type="pct"/>
            <w:tcBorders>
              <w:top w:val="nil"/>
              <w:left w:val="nil"/>
              <w:bottom w:val="single" w:sz="4" w:space="0" w:color="auto"/>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b/>
                <w:bCs/>
                <w:noProof/>
                <w:color w:val="000000"/>
                <w:sz w:val="16"/>
                <w:szCs w:val="16"/>
              </w:rPr>
            </w:pPr>
            <w:r>
              <w:rPr>
                <w:rFonts w:ascii="Verdana" w:hAnsi="Verdana"/>
                <w:b/>
                <w:bCs/>
                <w:noProof/>
                <w:color w:val="000000"/>
                <w:sz w:val="16"/>
                <w:szCs w:val="16"/>
              </w:rPr>
              <w:t xml:space="preserve"> 138</w:t>
            </w:r>
          </w:p>
        </w:tc>
        <w:tc>
          <w:tcPr>
            <w:tcW w:w="469" w:type="pct"/>
            <w:tcBorders>
              <w:top w:val="nil"/>
              <w:left w:val="nil"/>
              <w:bottom w:val="single" w:sz="4" w:space="0" w:color="auto"/>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b/>
                <w:bCs/>
                <w:noProof/>
                <w:color w:val="000000"/>
                <w:sz w:val="16"/>
                <w:szCs w:val="16"/>
              </w:rPr>
            </w:pPr>
            <w:r>
              <w:rPr>
                <w:rFonts w:ascii="Verdana" w:hAnsi="Verdana"/>
                <w:b/>
                <w:bCs/>
                <w:noProof/>
                <w:color w:val="000000"/>
                <w:sz w:val="16"/>
                <w:szCs w:val="16"/>
              </w:rPr>
              <w:t>4 802</w:t>
            </w:r>
          </w:p>
        </w:tc>
        <w:tc>
          <w:tcPr>
            <w:tcW w:w="472" w:type="pct"/>
            <w:tcBorders>
              <w:top w:val="nil"/>
              <w:left w:val="nil"/>
              <w:bottom w:val="single" w:sz="4" w:space="0" w:color="auto"/>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b/>
                <w:bCs/>
                <w:noProof/>
                <w:color w:val="000000"/>
                <w:sz w:val="16"/>
                <w:szCs w:val="16"/>
              </w:rPr>
            </w:pPr>
            <w:r>
              <w:rPr>
                <w:rFonts w:ascii="Verdana" w:hAnsi="Verdana"/>
                <w:b/>
                <w:bCs/>
                <w:noProof/>
                <w:color w:val="000000"/>
                <w:sz w:val="16"/>
                <w:szCs w:val="16"/>
              </w:rPr>
              <w:t>139</w:t>
            </w:r>
          </w:p>
        </w:tc>
        <w:tc>
          <w:tcPr>
            <w:tcW w:w="470" w:type="pct"/>
            <w:tcBorders>
              <w:top w:val="nil"/>
              <w:left w:val="nil"/>
              <w:bottom w:val="single" w:sz="4" w:space="0" w:color="auto"/>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b/>
                <w:bCs/>
                <w:noProof/>
                <w:color w:val="000000"/>
                <w:sz w:val="16"/>
                <w:szCs w:val="16"/>
              </w:rPr>
            </w:pPr>
            <w:r>
              <w:rPr>
                <w:rFonts w:ascii="Verdana" w:hAnsi="Verdana"/>
                <w:b/>
                <w:bCs/>
                <w:noProof/>
                <w:color w:val="000000"/>
                <w:sz w:val="16"/>
                <w:szCs w:val="16"/>
              </w:rPr>
              <w:t>6 848</w:t>
            </w:r>
          </w:p>
        </w:tc>
        <w:tc>
          <w:tcPr>
            <w:tcW w:w="472" w:type="pct"/>
            <w:tcBorders>
              <w:top w:val="nil"/>
              <w:left w:val="nil"/>
              <w:bottom w:val="single" w:sz="4" w:space="0" w:color="auto"/>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b/>
                <w:bCs/>
                <w:noProof/>
                <w:color w:val="000000"/>
                <w:sz w:val="16"/>
                <w:szCs w:val="16"/>
              </w:rPr>
            </w:pPr>
            <w:r>
              <w:rPr>
                <w:rFonts w:ascii="Verdana" w:hAnsi="Verdana"/>
                <w:b/>
                <w:bCs/>
                <w:noProof/>
                <w:color w:val="000000"/>
                <w:sz w:val="16"/>
                <w:szCs w:val="16"/>
              </w:rPr>
              <w:t>198</w:t>
            </w:r>
          </w:p>
        </w:tc>
        <w:tc>
          <w:tcPr>
            <w:tcW w:w="470" w:type="pct"/>
            <w:tcBorders>
              <w:top w:val="nil"/>
              <w:left w:val="nil"/>
              <w:bottom w:val="single" w:sz="4" w:space="0" w:color="auto"/>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b/>
                <w:bCs/>
                <w:noProof/>
                <w:color w:val="000000"/>
                <w:sz w:val="16"/>
                <w:szCs w:val="16"/>
              </w:rPr>
            </w:pPr>
            <w:r>
              <w:rPr>
                <w:rFonts w:ascii="Verdana" w:hAnsi="Verdana"/>
                <w:b/>
                <w:bCs/>
                <w:noProof/>
                <w:color w:val="000000"/>
                <w:sz w:val="16"/>
                <w:szCs w:val="16"/>
              </w:rPr>
              <w:t>9 148</w:t>
            </w:r>
          </w:p>
        </w:tc>
        <w:tc>
          <w:tcPr>
            <w:tcW w:w="472" w:type="pct"/>
            <w:tcBorders>
              <w:top w:val="nil"/>
              <w:left w:val="nil"/>
              <w:bottom w:val="single" w:sz="4" w:space="0" w:color="auto"/>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b/>
                <w:bCs/>
                <w:noProof/>
                <w:color w:val="000000"/>
                <w:sz w:val="16"/>
                <w:szCs w:val="16"/>
              </w:rPr>
            </w:pPr>
            <w:r>
              <w:rPr>
                <w:rFonts w:ascii="Verdana" w:hAnsi="Verdana"/>
                <w:b/>
                <w:bCs/>
                <w:noProof/>
                <w:color w:val="000000"/>
                <w:sz w:val="16"/>
                <w:szCs w:val="16"/>
              </w:rPr>
              <w:t>79</w:t>
            </w:r>
          </w:p>
        </w:tc>
        <w:tc>
          <w:tcPr>
            <w:tcW w:w="467" w:type="pct"/>
            <w:tcBorders>
              <w:top w:val="nil"/>
              <w:left w:val="nil"/>
              <w:bottom w:val="single" w:sz="4" w:space="0" w:color="auto"/>
              <w:right w:val="single" w:sz="4" w:space="0" w:color="auto"/>
            </w:tcBorders>
            <w:shd w:val="clear" w:color="auto" w:fill="auto"/>
            <w:noWrap/>
            <w:vAlign w:val="center"/>
          </w:tcPr>
          <w:p w:rsidR="00CC45FC" w:rsidRDefault="004A7700">
            <w:pPr>
              <w:widowControl w:val="0"/>
              <w:spacing w:after="0" w:line="240" w:lineRule="auto"/>
              <w:jc w:val="right"/>
              <w:rPr>
                <w:rFonts w:ascii="Verdana" w:hAnsi="Verdana"/>
                <w:b/>
                <w:bCs/>
                <w:noProof/>
                <w:color w:val="000000"/>
                <w:sz w:val="16"/>
                <w:szCs w:val="16"/>
              </w:rPr>
            </w:pPr>
            <w:r>
              <w:rPr>
                <w:rFonts w:ascii="Verdana" w:hAnsi="Verdana"/>
                <w:b/>
                <w:bCs/>
                <w:noProof/>
                <w:color w:val="000000"/>
                <w:sz w:val="16"/>
                <w:szCs w:val="16"/>
              </w:rPr>
              <w:t>2 501</w:t>
            </w:r>
          </w:p>
        </w:tc>
      </w:tr>
    </w:tbl>
    <w:p w:rsidR="00CC45FC" w:rsidRDefault="004A7700">
      <w:pPr>
        <w:spacing w:before="120" w:after="240" w:line="240" w:lineRule="auto"/>
        <w:jc w:val="both"/>
        <w:rPr>
          <w:rFonts w:ascii="Verdana" w:hAnsi="Verdana"/>
          <w:noProof/>
          <w:sz w:val="14"/>
          <w:szCs w:val="14"/>
        </w:rPr>
      </w:pPr>
      <w:r>
        <w:rPr>
          <w:rFonts w:ascii="Verdana" w:hAnsi="Verdana"/>
          <w:noProof/>
          <w:sz w:val="14"/>
          <w:szCs w:val="14"/>
        </w:rPr>
        <w:t>The table above presents for the ERDF &amp; CF, the ESF and the EFF, a view on the evolution of the interruption cases both in number and in amount. The opening balance includes all the cases still open at end 2014, irrespective of the year when the interruption was notified to the Member State. The new cases only refer to the interruptions notified in the year 2015. The closed cases represent the cases for which the payment of cost claims resumed in 2015, irrespective of the year when the interruption started. The cases still open at end 2015 represent the interruptions that remain active at 31 December 2015, i.e. the payment deadline of cost claims is still interrupted pending corrective measures to be taken by the Member State concerned.</w:t>
      </w:r>
    </w:p>
    <w:p w:rsidR="00CC45FC" w:rsidRDefault="004A7700">
      <w:pPr>
        <w:spacing w:before="120" w:after="120" w:line="240" w:lineRule="auto"/>
        <w:jc w:val="both"/>
        <w:rPr>
          <w:rFonts w:ascii="Verdana" w:hAnsi="Verdana"/>
          <w:noProof/>
          <w:sz w:val="18"/>
          <w:szCs w:val="20"/>
        </w:rPr>
      </w:pPr>
      <w:r>
        <w:rPr>
          <w:rFonts w:ascii="Verdana" w:hAnsi="Verdana"/>
          <w:noProof/>
          <w:sz w:val="18"/>
          <w:szCs w:val="18"/>
        </w:rPr>
        <w:t xml:space="preserve">Concerning </w:t>
      </w:r>
      <w:r>
        <w:rPr>
          <w:rFonts w:ascii="Verdana" w:hAnsi="Verdana"/>
          <w:b/>
          <w:bCs/>
          <w:noProof/>
          <w:sz w:val="18"/>
          <w:szCs w:val="18"/>
        </w:rPr>
        <w:t>ERDF and CF</w:t>
      </w:r>
      <w:r>
        <w:rPr>
          <w:rFonts w:ascii="Verdana" w:hAnsi="Verdana"/>
          <w:noProof/>
          <w:sz w:val="18"/>
          <w:szCs w:val="18"/>
        </w:rPr>
        <w:t>, the 51 payments that remained interrupted at the end of 2015 represent Spain (39), Hungary (5), Cross-border programmes (4) and the Czech Republic (3). Most of the cases stem from the analysis of the ACRs provided by the Member States and to some extent from other sources like media or Commission audit missions.</w:t>
      </w:r>
    </w:p>
    <w:p w:rsidR="00CC45FC" w:rsidRDefault="004A7700">
      <w:pPr>
        <w:spacing w:before="120" w:after="120" w:line="240" w:lineRule="auto"/>
        <w:jc w:val="both"/>
        <w:rPr>
          <w:rFonts w:ascii="Verdana" w:hAnsi="Verdana"/>
          <w:noProof/>
          <w:sz w:val="18"/>
          <w:szCs w:val="20"/>
        </w:rPr>
      </w:pPr>
      <w:r>
        <w:rPr>
          <w:rFonts w:ascii="Verdana" w:hAnsi="Verdana"/>
          <w:noProof/>
          <w:sz w:val="18"/>
          <w:szCs w:val="20"/>
        </w:rPr>
        <w:t xml:space="preserve">Concerning </w:t>
      </w:r>
      <w:r>
        <w:rPr>
          <w:rFonts w:ascii="Verdana" w:hAnsi="Verdana"/>
          <w:b/>
          <w:noProof/>
          <w:sz w:val="18"/>
          <w:szCs w:val="20"/>
        </w:rPr>
        <w:t>ESF</w:t>
      </w:r>
      <w:r>
        <w:rPr>
          <w:rFonts w:ascii="Verdana" w:hAnsi="Verdana"/>
          <w:noProof/>
          <w:sz w:val="18"/>
          <w:szCs w:val="20"/>
        </w:rPr>
        <w:t>, the 26 payments that remained interrupted at end 2015 represent Spain (11), Italy (8), France (2), Hungary (2), the United Kingdom (2) and Germany (1), of which 15 were already interrupted at end 2014.</w:t>
      </w:r>
    </w:p>
    <w:p w:rsidR="00CC45FC" w:rsidRDefault="004A7700">
      <w:pPr>
        <w:spacing w:before="120" w:after="240" w:line="240" w:lineRule="auto"/>
        <w:jc w:val="both"/>
        <w:rPr>
          <w:rFonts w:ascii="Verdana" w:hAnsi="Verdana"/>
          <w:b/>
          <w:i/>
          <w:noProof/>
          <w:sz w:val="14"/>
          <w:szCs w:val="14"/>
        </w:rPr>
      </w:pPr>
      <w:r>
        <w:rPr>
          <w:rFonts w:ascii="Verdana" w:hAnsi="Verdana"/>
          <w:noProof/>
          <w:sz w:val="18"/>
          <w:szCs w:val="20"/>
        </w:rPr>
        <w:t xml:space="preserve">For the </w:t>
      </w:r>
      <w:r>
        <w:rPr>
          <w:rFonts w:ascii="Verdana" w:hAnsi="Verdana"/>
          <w:b/>
          <w:noProof/>
          <w:sz w:val="18"/>
          <w:szCs w:val="20"/>
        </w:rPr>
        <w:t>EFF</w:t>
      </w:r>
      <w:r>
        <w:rPr>
          <w:rFonts w:ascii="Verdana" w:hAnsi="Verdana"/>
          <w:noProof/>
          <w:sz w:val="18"/>
          <w:szCs w:val="20"/>
        </w:rPr>
        <w:t>, most of the interruptions relate to issues stemming from the analysis of the ACRs provided by the Member States at the beginning of each year (reports not provided, not reliable or showing high error rates). 5 operational programmes were placed under reservation in the 2014 AAR (with payments interrupted): for all 5 cases, the Member State concerned took the necessary remedial action and payments could resume.</w:t>
      </w:r>
    </w:p>
    <w:p w:rsidR="00CC45FC" w:rsidRDefault="004A7700">
      <w:pPr>
        <w:keepNext/>
        <w:spacing w:after="120" w:line="240" w:lineRule="auto"/>
        <w:rPr>
          <w:rFonts w:ascii="Verdana" w:hAnsi="Verdana"/>
          <w:i/>
          <w:noProof/>
        </w:rPr>
      </w:pPr>
      <w:r>
        <w:rPr>
          <w:rFonts w:ascii="Verdana" w:hAnsi="Verdana"/>
          <w:i/>
          <w:noProof/>
        </w:rPr>
        <w:t>Suspensions</w:t>
      </w:r>
    </w:p>
    <w:p w:rsidR="00CC45FC" w:rsidRDefault="004A7700">
      <w:pPr>
        <w:spacing w:after="120" w:line="240" w:lineRule="auto"/>
        <w:jc w:val="both"/>
        <w:rPr>
          <w:rFonts w:ascii="Verdana" w:hAnsi="Verdana"/>
          <w:noProof/>
          <w:sz w:val="18"/>
          <w:szCs w:val="20"/>
        </w:rPr>
      </w:pPr>
      <w:r>
        <w:rPr>
          <w:rFonts w:ascii="Verdana" w:hAnsi="Verdana"/>
          <w:noProof/>
          <w:sz w:val="18"/>
          <w:szCs w:val="18"/>
        </w:rPr>
        <w:t xml:space="preserve">Concerning </w:t>
      </w:r>
      <w:r>
        <w:rPr>
          <w:rFonts w:ascii="Verdana" w:hAnsi="Verdana"/>
          <w:b/>
          <w:bCs/>
          <w:noProof/>
          <w:sz w:val="18"/>
          <w:szCs w:val="18"/>
        </w:rPr>
        <w:t>ERDF and CF</w:t>
      </w:r>
      <w:r>
        <w:rPr>
          <w:rFonts w:ascii="Verdana" w:hAnsi="Verdana"/>
          <w:noProof/>
          <w:sz w:val="18"/>
          <w:szCs w:val="18"/>
        </w:rPr>
        <w:t>, 6 operational programs were suspended at end 2014, of which 3 were lifted during 2015. 10 suspension decisions were adopted in 2015: Spain (3), Cross-border (3), Hungary (2), Italy (1) and the UK (1). 6 of these new decisions were still in force at year-end, leading to a total number of 9 suspension decisions active at the end of 2015.</w:t>
      </w:r>
    </w:p>
    <w:p w:rsidR="00CC45FC" w:rsidRDefault="004A7700">
      <w:pPr>
        <w:spacing w:after="120" w:line="240" w:lineRule="auto"/>
        <w:jc w:val="both"/>
        <w:rPr>
          <w:rFonts w:ascii="Verdana" w:hAnsi="Verdana"/>
          <w:noProof/>
          <w:sz w:val="18"/>
          <w:szCs w:val="20"/>
        </w:rPr>
      </w:pPr>
      <w:r>
        <w:rPr>
          <w:rFonts w:ascii="Verdana" w:hAnsi="Verdana"/>
          <w:noProof/>
          <w:sz w:val="18"/>
          <w:szCs w:val="20"/>
        </w:rPr>
        <w:t xml:space="preserve">Concerning </w:t>
      </w:r>
      <w:r>
        <w:rPr>
          <w:rFonts w:ascii="Verdana" w:hAnsi="Verdana"/>
          <w:b/>
          <w:bCs/>
          <w:noProof/>
          <w:sz w:val="18"/>
          <w:szCs w:val="20"/>
        </w:rPr>
        <w:t>ESF</w:t>
      </w:r>
      <w:r>
        <w:rPr>
          <w:rFonts w:ascii="Verdana" w:hAnsi="Verdana"/>
          <w:noProof/>
          <w:sz w:val="18"/>
          <w:szCs w:val="20"/>
        </w:rPr>
        <w:t>, 18 operational programmes were suspended at end 2014, of which 11 were lifted during 2015. 10 suspension decisions were adopted in 2015 (France (1), Germany (1), Hungary (1), Italy (2), Slovakia (1), Spain (1) and the UK (3)), of which 2 (Slovakia and 1 of the UK ones) were lifted later in 2015. At the end of 2015, a total of 15 suspensions are still in force (France (1), Germany (1), Hungary (1), Italy (3), Spain (7) and UK (2)).</w:t>
      </w:r>
    </w:p>
    <w:p w:rsidR="00CC45FC" w:rsidRDefault="004A7700">
      <w:pPr>
        <w:spacing w:after="360" w:line="240" w:lineRule="auto"/>
        <w:jc w:val="both"/>
        <w:rPr>
          <w:rFonts w:ascii="Verdana" w:hAnsi="Verdana"/>
          <w:noProof/>
          <w:sz w:val="18"/>
          <w:szCs w:val="20"/>
        </w:rPr>
      </w:pPr>
      <w:r>
        <w:rPr>
          <w:rFonts w:ascii="Verdana" w:hAnsi="Verdana"/>
          <w:noProof/>
          <w:sz w:val="18"/>
          <w:szCs w:val="20"/>
        </w:rPr>
        <w:t xml:space="preserve">Interim payments for the </w:t>
      </w:r>
      <w:r>
        <w:rPr>
          <w:rFonts w:ascii="Verdana" w:hAnsi="Verdana"/>
          <w:b/>
          <w:noProof/>
          <w:sz w:val="18"/>
          <w:szCs w:val="20"/>
        </w:rPr>
        <w:t>EFF</w:t>
      </w:r>
      <w:r>
        <w:rPr>
          <w:rFonts w:ascii="Verdana" w:hAnsi="Verdana"/>
          <w:noProof/>
          <w:sz w:val="18"/>
          <w:szCs w:val="20"/>
        </w:rPr>
        <w:t xml:space="preserve"> operational programme for Estonia were suspended in May 2014 and resumed in April 2015. There is no other suspension in the pipeline.</w:t>
      </w:r>
    </w:p>
    <w:p w:rsidR="00CC45FC" w:rsidRDefault="004A7700">
      <w:pPr>
        <w:spacing w:after="120" w:line="240" w:lineRule="auto"/>
        <w:rPr>
          <w:rFonts w:ascii="Verdana" w:hAnsi="Verdana"/>
          <w:i/>
          <w:noProof/>
          <w:sz w:val="20"/>
          <w:szCs w:val="20"/>
        </w:rPr>
      </w:pPr>
      <w:r>
        <w:rPr>
          <w:rFonts w:ascii="Verdana" w:hAnsi="Verdana"/>
          <w:i/>
          <w:noProof/>
          <w:sz w:val="20"/>
          <w:szCs w:val="20"/>
        </w:rPr>
        <w:t>5.1.2.</w:t>
      </w:r>
      <w:r>
        <w:rPr>
          <w:rFonts w:ascii="Verdana" w:hAnsi="Verdana"/>
          <w:i/>
          <w:noProof/>
          <w:sz w:val="20"/>
          <w:szCs w:val="20"/>
        </w:rPr>
        <w:tab/>
        <w:t xml:space="preserve">Fraud-prevention measures </w:t>
      </w:r>
    </w:p>
    <w:p w:rsidR="00CC45FC" w:rsidRDefault="004A7700">
      <w:pPr>
        <w:spacing w:after="120" w:line="240" w:lineRule="auto"/>
        <w:jc w:val="both"/>
        <w:rPr>
          <w:rFonts w:ascii="Verdana" w:hAnsi="Verdana"/>
          <w:noProof/>
          <w:sz w:val="18"/>
        </w:rPr>
      </w:pPr>
      <w:r>
        <w:rPr>
          <w:rFonts w:ascii="Verdana" w:hAnsi="Verdana"/>
          <w:noProof/>
          <w:sz w:val="18"/>
        </w:rPr>
        <w:t>The first and strongest preventive measure against fraud is the operation of a robust system of internal control, designed and operated as a proportionate response to the risks identified. Such a system can reduce the risk that fraud occurs or remains undetected, but cannot completely eliminate the likelihood of fraud occurring. As at end 2015, DG Regional and Urban Policy's operational directorates are responsible for follow-up actions, in relation to 70</w:t>
      </w:r>
      <w:r>
        <w:rPr>
          <w:rFonts w:ascii="Verdana" w:hAnsi="Verdana"/>
          <w:noProof/>
          <w:sz w:val="18"/>
          <w:vertAlign w:val="superscript"/>
        </w:rPr>
        <w:footnoteReference w:id="18"/>
      </w:r>
      <w:r>
        <w:rPr>
          <w:rFonts w:ascii="Verdana" w:hAnsi="Verdana"/>
          <w:noProof/>
          <w:sz w:val="18"/>
        </w:rPr>
        <w:t xml:space="preserve"> OLAF investigation cases in relation to the ERDF and the CF. According to OLAF's assessments, an amount of up to EUR 1 billion could potentially be affected by the alleged suspected fraud or irregularities. This is a maximum amount that needs to be evaluated by the Authorising Officer based on the reported findings.</w:t>
      </w:r>
    </w:p>
    <w:p w:rsidR="00CC45FC" w:rsidRDefault="004A7700">
      <w:pPr>
        <w:spacing w:after="120" w:line="240" w:lineRule="auto"/>
        <w:jc w:val="both"/>
        <w:rPr>
          <w:noProof/>
          <w:lang w:eastAsia="en-GB"/>
        </w:rPr>
      </w:pPr>
      <w:r>
        <w:rPr>
          <w:rFonts w:ascii="Verdana" w:eastAsia="Times New Roman" w:hAnsi="Verdana"/>
          <w:noProof/>
          <w:sz w:val="18"/>
          <w:lang w:eastAsia="en-GB"/>
        </w:rPr>
        <w:t>According to the Commission's Report on the fight against fraud of 31 July 2015</w:t>
      </w:r>
      <w:r>
        <w:rPr>
          <w:rFonts w:ascii="Verdana" w:eastAsia="Times New Roman" w:hAnsi="Verdana"/>
          <w:noProof/>
          <w:sz w:val="18"/>
          <w:vertAlign w:val="superscript"/>
          <w:lang w:eastAsia="en-GB"/>
        </w:rPr>
        <w:footnoteReference w:id="19"/>
      </w:r>
      <w:r>
        <w:rPr>
          <w:rFonts w:ascii="Verdana" w:eastAsia="Times New Roman" w:hAnsi="Verdana"/>
          <w:noProof/>
          <w:sz w:val="18"/>
          <w:lang w:eastAsia="en-GB"/>
        </w:rPr>
        <w:t>, Member States communicated a total number of 3 579 irregularity cases to OLAF for the ERDF and the CF for a potentially affected amount of EUR 1.68 billion. According to the report, in 2014 the share of suspected fraud cases out of the irregularities notified by Member States to OLAF represented around 0.51 % of the 2014 payments for Cohesion Policy. The Commission verifies the work performed by Member States authorities on their combat against fraud, using a risk based approach. Nevertheless, since fraud and corruption schemes are very diverse and changing elements and the Commission cannot be a substitute to Member States authorities and verify 100 % of expenditure, the scope of fraud and / or corruption in particular in public procurement procedures in the EU (part of which also involve EU co-financed projects) may be higher than the amounts reported from Member States seem to suggest. The Commission</w:t>
      </w:r>
      <w:r>
        <w:rPr>
          <w:rFonts w:ascii="Verdana" w:hAnsi="Verdana"/>
          <w:noProof/>
          <w:sz w:val="18"/>
        </w:rPr>
        <w:t xml:space="preserve"> therefore continue to analyse the fraud risk levels and suspicions in Member States, regions and programmes, the types of reported fraud (modus operandi) and the mitigating measures adopted by the Member States.</w:t>
      </w:r>
      <w:r>
        <w:rPr>
          <w:noProof/>
          <w:lang w:eastAsia="en-GB"/>
        </w:rPr>
        <w:t xml:space="preserve"> </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118"/>
      </w:tblGrid>
      <w:tr w:rsidR="00CC45FC">
        <w:trPr>
          <w:trHeight w:val="1385"/>
        </w:trPr>
        <w:tc>
          <w:tcPr>
            <w:tcW w:w="6204" w:type="dxa"/>
            <w:tcBorders>
              <w:right w:val="single" w:sz="12" w:space="0" w:color="auto"/>
            </w:tcBorders>
          </w:tcPr>
          <w:p w:rsidR="00CC45FC" w:rsidRDefault="004A7700">
            <w:pPr>
              <w:spacing w:line="240" w:lineRule="auto"/>
              <w:jc w:val="both"/>
              <w:rPr>
                <w:rFonts w:ascii="Verdana" w:hAnsi="Verdana"/>
                <w:noProof/>
                <w:sz w:val="18"/>
              </w:rPr>
            </w:pPr>
            <w:r>
              <w:rPr>
                <w:rFonts w:ascii="Verdana" w:hAnsi="Verdana"/>
                <w:noProof/>
                <w:sz w:val="18"/>
                <w:lang w:eastAsia="en-GB"/>
              </w:rPr>
              <w:t>The</w:t>
            </w:r>
            <w:r>
              <w:rPr>
                <w:rFonts w:ascii="Verdana" w:hAnsi="Verdana"/>
                <w:noProof/>
                <w:sz w:val="18"/>
                <w:szCs w:val="20"/>
              </w:rPr>
              <w:t xml:space="preserve"> </w:t>
            </w:r>
            <w:r>
              <w:rPr>
                <w:rFonts w:ascii="Verdana" w:hAnsi="Verdana"/>
                <w:noProof/>
                <w:sz w:val="18"/>
                <w:lang w:eastAsia="x-none"/>
              </w:rPr>
              <w:t>Joint Anti-Fraud Strategy</w:t>
            </w:r>
            <w:r>
              <w:rPr>
                <w:rFonts w:ascii="Verdana" w:hAnsi="Verdana"/>
                <w:noProof/>
                <w:sz w:val="18"/>
                <w:szCs w:val="20"/>
              </w:rPr>
              <w:t xml:space="preserve"> (JAFS) 2015-2020</w:t>
            </w:r>
            <w:r>
              <w:rPr>
                <w:rStyle w:val="FootnoteReference"/>
                <w:rFonts w:ascii="Verdana" w:hAnsi="Verdana"/>
                <w:noProof/>
                <w:sz w:val="18"/>
                <w:szCs w:val="20"/>
              </w:rPr>
              <w:footnoteReference w:id="20"/>
            </w:r>
            <w:r>
              <w:rPr>
                <w:rFonts w:ascii="Verdana" w:hAnsi="Verdana"/>
                <w:noProof/>
                <w:sz w:val="18"/>
                <w:szCs w:val="20"/>
              </w:rPr>
              <w:t xml:space="preserve"> has entered into force</w:t>
            </w:r>
            <w:r>
              <w:rPr>
                <w:rFonts w:ascii="Verdana" w:hAnsi="Verdana"/>
                <w:noProof/>
                <w:sz w:val="18"/>
                <w:lang w:eastAsia="x-none"/>
              </w:rPr>
              <w:t xml:space="preserve">, covering </w:t>
            </w:r>
            <w:r>
              <w:rPr>
                <w:rFonts w:ascii="Verdana" w:hAnsi="Verdana"/>
                <w:noProof/>
                <w:sz w:val="18"/>
                <w:szCs w:val="20"/>
              </w:rPr>
              <w:t>ERDF, ESF, CF and other funds</w:t>
            </w:r>
            <w:r>
              <w:rPr>
                <w:rFonts w:ascii="Verdana" w:hAnsi="Verdana"/>
                <w:noProof/>
                <w:sz w:val="18"/>
                <w:lang w:eastAsia="x-none"/>
              </w:rPr>
              <w:t>. With the JAFS the 3 Directorates General</w:t>
            </w:r>
            <w:r>
              <w:rPr>
                <w:rStyle w:val="FootnoteReference"/>
                <w:rFonts w:ascii="Verdana" w:hAnsi="Verdana"/>
                <w:noProof/>
                <w:sz w:val="18"/>
                <w:lang w:eastAsia="x-none"/>
              </w:rPr>
              <w:footnoteReference w:id="21"/>
            </w:r>
            <w:r>
              <w:rPr>
                <w:rFonts w:ascii="Verdana" w:hAnsi="Verdana"/>
                <w:noProof/>
                <w:sz w:val="18"/>
                <w:lang w:eastAsia="x-none"/>
              </w:rPr>
              <w:t xml:space="preserve"> aim at intensifying their on-going anti-fraud efforts through a series of new initiatives:</w:t>
            </w:r>
          </w:p>
        </w:tc>
        <w:tc>
          <w:tcPr>
            <w:tcW w:w="31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C45FC" w:rsidRDefault="004A7700">
            <w:pPr>
              <w:spacing w:line="240" w:lineRule="auto"/>
              <w:rPr>
                <w:rFonts w:ascii="Verdana" w:hAnsi="Verdana"/>
                <w:noProof/>
                <w:sz w:val="18"/>
              </w:rPr>
            </w:pPr>
            <w:r>
              <w:rPr>
                <w:rFonts w:ascii="Verdana" w:hAnsi="Verdana" w:cs="Calibri"/>
                <w:b/>
                <w:noProof/>
                <w:color w:val="000000" w:themeColor="text1"/>
                <w:sz w:val="18"/>
                <w:szCs w:val="18"/>
              </w:rPr>
              <w:t>In December 2015 the Joint Anti-Fraud Strategy (JAFS) of Structural Fund DGs successfully launched.</w:t>
            </w:r>
          </w:p>
        </w:tc>
      </w:tr>
    </w:tbl>
    <w:p w:rsidR="00CC45FC" w:rsidRDefault="004A7700">
      <w:pPr>
        <w:tabs>
          <w:tab w:val="left" w:pos="426"/>
        </w:tabs>
        <w:spacing w:before="60" w:after="120" w:line="240" w:lineRule="auto"/>
        <w:ind w:left="426" w:hanging="426"/>
        <w:jc w:val="both"/>
        <w:rPr>
          <w:rFonts w:ascii="Verdana" w:hAnsi="Verdana"/>
          <w:noProof/>
          <w:sz w:val="18"/>
          <w:szCs w:val="20"/>
        </w:rPr>
      </w:pPr>
      <w:r>
        <w:rPr>
          <w:rFonts w:ascii="Verdana" w:hAnsi="Verdana"/>
          <w:noProof/>
          <w:sz w:val="18"/>
          <w:szCs w:val="20"/>
        </w:rPr>
        <w:t xml:space="preserve">1) </w:t>
      </w:r>
      <w:r>
        <w:rPr>
          <w:rFonts w:ascii="Verdana" w:hAnsi="Verdana"/>
          <w:noProof/>
          <w:sz w:val="18"/>
          <w:szCs w:val="20"/>
        </w:rPr>
        <w:tab/>
        <w:t>Analysis of the results of the fraud risk assessments that Member States have to carry out under the 2014-2020 legislative provisions for the purpose of further underpinning and updating the action plan of the new strategy;</w:t>
      </w:r>
    </w:p>
    <w:p w:rsidR="00CC45FC" w:rsidRDefault="004A7700">
      <w:pPr>
        <w:tabs>
          <w:tab w:val="left" w:pos="426"/>
        </w:tabs>
        <w:spacing w:after="120" w:line="240" w:lineRule="auto"/>
        <w:ind w:left="426" w:hanging="426"/>
        <w:jc w:val="both"/>
        <w:rPr>
          <w:rFonts w:ascii="Verdana" w:hAnsi="Verdana"/>
          <w:noProof/>
          <w:sz w:val="18"/>
          <w:szCs w:val="20"/>
        </w:rPr>
      </w:pPr>
      <w:r>
        <w:rPr>
          <w:rFonts w:ascii="Verdana" w:hAnsi="Verdana"/>
          <w:noProof/>
          <w:sz w:val="18"/>
          <w:szCs w:val="20"/>
        </w:rPr>
        <w:t xml:space="preserve">2) </w:t>
      </w:r>
      <w:r>
        <w:rPr>
          <w:rFonts w:ascii="Verdana" w:hAnsi="Verdana"/>
          <w:noProof/>
          <w:sz w:val="18"/>
          <w:szCs w:val="20"/>
        </w:rPr>
        <w:tab/>
        <w:t>Increasing the effective use by Member States of the ARACHNE tool to detect potential fraud;</w:t>
      </w:r>
    </w:p>
    <w:p w:rsidR="00CC45FC" w:rsidRDefault="004A7700">
      <w:pPr>
        <w:tabs>
          <w:tab w:val="left" w:pos="426"/>
        </w:tabs>
        <w:spacing w:after="120" w:line="240" w:lineRule="auto"/>
        <w:ind w:left="426" w:hanging="426"/>
        <w:jc w:val="both"/>
        <w:rPr>
          <w:rFonts w:ascii="Verdana" w:hAnsi="Verdana"/>
          <w:noProof/>
          <w:sz w:val="18"/>
          <w:szCs w:val="20"/>
        </w:rPr>
      </w:pPr>
      <w:r>
        <w:rPr>
          <w:rFonts w:ascii="Verdana" w:hAnsi="Verdana"/>
          <w:noProof/>
          <w:sz w:val="18"/>
          <w:szCs w:val="20"/>
        </w:rPr>
        <w:t xml:space="preserve">3) </w:t>
      </w:r>
      <w:r>
        <w:rPr>
          <w:rFonts w:ascii="Verdana" w:hAnsi="Verdana"/>
          <w:noProof/>
          <w:sz w:val="18"/>
          <w:szCs w:val="20"/>
        </w:rPr>
        <w:tab/>
        <w:t>The organisation of anti-corruption and anti-fraud seminars for Member States with a view to strengthening their capacity to better fight fraud and corruption;</w:t>
      </w:r>
    </w:p>
    <w:p w:rsidR="00CC45FC" w:rsidRDefault="004A7700">
      <w:pPr>
        <w:tabs>
          <w:tab w:val="left" w:pos="426"/>
        </w:tabs>
        <w:spacing w:after="120" w:line="240" w:lineRule="auto"/>
        <w:ind w:left="426" w:hanging="426"/>
        <w:jc w:val="both"/>
        <w:rPr>
          <w:rFonts w:ascii="Verdana" w:hAnsi="Verdana"/>
          <w:noProof/>
          <w:sz w:val="18"/>
          <w:szCs w:val="20"/>
        </w:rPr>
      </w:pPr>
      <w:r>
        <w:rPr>
          <w:rFonts w:ascii="Verdana" w:hAnsi="Verdana"/>
          <w:noProof/>
          <w:sz w:val="18"/>
          <w:szCs w:val="20"/>
        </w:rPr>
        <w:t xml:space="preserve">4) </w:t>
      </w:r>
      <w:r>
        <w:rPr>
          <w:rFonts w:ascii="Verdana" w:hAnsi="Verdana"/>
          <w:noProof/>
          <w:sz w:val="18"/>
          <w:szCs w:val="20"/>
        </w:rPr>
        <w:tab/>
        <w:t>Other actions with the objective of promoting good governance, raising awareness and increasing the administrative capacity of the Member States to protect the EU's and national financial interests.</w:t>
      </w:r>
    </w:p>
    <w:p w:rsidR="00CC45FC" w:rsidRDefault="004A7700">
      <w:pPr>
        <w:widowControl w:val="0"/>
        <w:autoSpaceDE w:val="0"/>
        <w:autoSpaceDN w:val="0"/>
        <w:adjustRightInd w:val="0"/>
        <w:spacing w:after="240" w:line="240" w:lineRule="auto"/>
        <w:jc w:val="both"/>
        <w:rPr>
          <w:rFonts w:ascii="Verdana" w:eastAsia="Times New Roman" w:hAnsi="Verdana"/>
          <w:noProof/>
          <w:color w:val="7030A0"/>
          <w:sz w:val="18"/>
          <w:lang w:eastAsia="en-GB"/>
        </w:rPr>
      </w:pPr>
      <w:r>
        <w:rPr>
          <w:rFonts w:ascii="Verdana" w:hAnsi="Verdana"/>
          <w:noProof/>
          <w:sz w:val="18"/>
        </w:rPr>
        <w:t>The</w:t>
      </w:r>
      <w:r>
        <w:rPr>
          <w:rFonts w:ascii="Verdana" w:eastAsia="Times New Roman" w:hAnsi="Verdana"/>
          <w:noProof/>
          <w:sz w:val="18"/>
          <w:lang w:eastAsia="x-none"/>
        </w:rPr>
        <w:t xml:space="preserve"> Joint Anti-Fraud Strategy contains an action plan setting out the anti-fraud activities to be carried out by these DGs in close collaboration with OLAF in the period. </w:t>
      </w:r>
    </w:p>
    <w:p w:rsidR="00CC45FC" w:rsidRDefault="004A7700">
      <w:pPr>
        <w:spacing w:after="0" w:line="240" w:lineRule="auto"/>
        <w:jc w:val="both"/>
        <w:rPr>
          <w:rFonts w:ascii="Verdana" w:hAnsi="Verdana"/>
          <w:noProof/>
          <w:sz w:val="18"/>
        </w:rPr>
      </w:pPr>
      <w:r>
        <w:rPr>
          <w:rFonts w:ascii="Verdana" w:hAnsi="Verdana"/>
          <w:noProof/>
          <w:sz w:val="18"/>
        </w:rPr>
        <w:t xml:space="preserve">During 2015, other main actions which were implemented in the framework of the fight against fraud were: </w:t>
      </w:r>
    </w:p>
    <w:p w:rsidR="00CC45FC" w:rsidRDefault="004A7700">
      <w:pPr>
        <w:pStyle w:val="ListParagraph"/>
        <w:numPr>
          <w:ilvl w:val="0"/>
          <w:numId w:val="35"/>
        </w:numPr>
        <w:spacing w:after="120"/>
        <w:rPr>
          <w:rFonts w:ascii="Verdana" w:hAnsi="Verdana"/>
          <w:noProof/>
          <w:sz w:val="18"/>
        </w:rPr>
      </w:pPr>
      <w:r>
        <w:rPr>
          <w:rFonts w:ascii="Verdana" w:hAnsi="Verdana"/>
          <w:noProof/>
          <w:sz w:val="18"/>
        </w:rPr>
        <w:t>Internal training and awareness-raising actions to desk officers and auditors and programme authorities in the Member States.</w:t>
      </w:r>
    </w:p>
    <w:p w:rsidR="00CC45FC" w:rsidRDefault="004A7700">
      <w:pPr>
        <w:pStyle w:val="ListParagraph"/>
        <w:numPr>
          <w:ilvl w:val="0"/>
          <w:numId w:val="35"/>
        </w:numPr>
        <w:spacing w:after="0"/>
        <w:rPr>
          <w:rFonts w:ascii="Verdana" w:hAnsi="Verdana"/>
          <w:noProof/>
          <w:sz w:val="18"/>
        </w:rPr>
      </w:pPr>
      <w:r>
        <w:rPr>
          <w:rFonts w:ascii="Verdana" w:hAnsi="Verdana"/>
          <w:noProof/>
          <w:sz w:val="18"/>
        </w:rPr>
        <w:t>Reinforcement of the internal procedure for following-up final case reports (FCRs) issued by OLAF.</w:t>
      </w:r>
    </w:p>
    <w:p w:rsidR="00CC45FC" w:rsidRDefault="004A7700">
      <w:pPr>
        <w:pStyle w:val="ListParagraph"/>
        <w:widowControl w:val="0"/>
        <w:numPr>
          <w:ilvl w:val="0"/>
          <w:numId w:val="35"/>
        </w:numPr>
        <w:autoSpaceDE w:val="0"/>
        <w:autoSpaceDN w:val="0"/>
        <w:adjustRightInd w:val="0"/>
        <w:rPr>
          <w:rFonts w:ascii="Verdana" w:hAnsi="Verdana"/>
          <w:noProof/>
          <w:sz w:val="18"/>
          <w:lang w:eastAsia="en-GB"/>
        </w:rPr>
      </w:pPr>
      <w:r>
        <w:rPr>
          <w:rFonts w:ascii="Verdana" w:hAnsi="Verdana"/>
          <w:noProof/>
          <w:sz w:val="18"/>
        </w:rPr>
        <w:t>Training and awareness-raising actions for Member States having to put</w:t>
      </w:r>
      <w:r>
        <w:rPr>
          <w:rFonts w:ascii="Verdana" w:hAnsi="Verdana"/>
          <w:noProof/>
          <w:sz w:val="18"/>
          <w:lang w:eastAsia="en-GB"/>
        </w:rPr>
        <w:t xml:space="preserve"> in place effective and proportionate anti-fraud measures to mitigate against residual fraud risks.</w:t>
      </w:r>
    </w:p>
    <w:p w:rsidR="00CC45FC" w:rsidRDefault="004A7700">
      <w:pPr>
        <w:pStyle w:val="ListParagraph"/>
        <w:widowControl w:val="0"/>
        <w:numPr>
          <w:ilvl w:val="0"/>
          <w:numId w:val="35"/>
        </w:numPr>
        <w:autoSpaceDE w:val="0"/>
        <w:autoSpaceDN w:val="0"/>
        <w:adjustRightInd w:val="0"/>
        <w:rPr>
          <w:rFonts w:ascii="Verdana" w:hAnsi="Verdana"/>
          <w:noProof/>
          <w:sz w:val="18"/>
        </w:rPr>
      </w:pPr>
      <w:r>
        <w:rPr>
          <w:rFonts w:ascii="Verdana" w:hAnsi="Verdana"/>
          <w:noProof/>
          <w:sz w:val="18"/>
          <w:lang w:eastAsia="en-GB"/>
        </w:rPr>
        <w:t>C</w:t>
      </w:r>
      <w:r>
        <w:rPr>
          <w:rFonts w:ascii="Verdana" w:hAnsi="Verdana"/>
          <w:noProof/>
          <w:sz w:val="18"/>
          <w:lang w:eastAsia="x-none"/>
        </w:rPr>
        <w:t xml:space="preserve">ollaboration with OLAF to fight fraud. </w:t>
      </w:r>
    </w:p>
    <w:p w:rsidR="00CC45FC" w:rsidRDefault="004A7700">
      <w:pPr>
        <w:pStyle w:val="ListParagraph"/>
        <w:widowControl w:val="0"/>
        <w:numPr>
          <w:ilvl w:val="0"/>
          <w:numId w:val="35"/>
        </w:numPr>
        <w:autoSpaceDE w:val="0"/>
        <w:autoSpaceDN w:val="0"/>
        <w:adjustRightInd w:val="0"/>
        <w:rPr>
          <w:rFonts w:ascii="Verdana" w:hAnsi="Verdana"/>
          <w:noProof/>
          <w:sz w:val="18"/>
        </w:rPr>
      </w:pPr>
      <w:r>
        <w:rPr>
          <w:rFonts w:ascii="Verdana" w:hAnsi="Verdana"/>
          <w:noProof/>
          <w:sz w:val="18"/>
          <w:lang w:eastAsia="en-GB"/>
        </w:rPr>
        <w:t>Pr</w:t>
      </w:r>
      <w:r>
        <w:rPr>
          <w:rFonts w:ascii="Verdana" w:hAnsi="Verdana"/>
          <w:noProof/>
          <w:sz w:val="18"/>
        </w:rPr>
        <w:t xml:space="preserve">omotion of ARACHNE to support management verifications. </w:t>
      </w:r>
      <w:bookmarkStart w:id="77" w:name="_Toc368660092"/>
      <w:bookmarkStart w:id="78" w:name="_Toc371677123"/>
      <w:bookmarkStart w:id="79" w:name="_Toc381282243"/>
      <w:bookmarkStart w:id="80" w:name="_Toc381283433"/>
      <w:bookmarkStart w:id="81" w:name="_Toc381287701"/>
      <w:bookmarkStart w:id="82" w:name="_Toc381291044"/>
      <w:bookmarkStart w:id="83" w:name="_Toc381291280"/>
      <w:bookmarkStart w:id="84" w:name="_Toc383712847"/>
      <w:bookmarkStart w:id="85" w:name="_Toc383713283"/>
      <w:bookmarkStart w:id="86" w:name="_Toc383713547"/>
      <w:bookmarkStart w:id="87" w:name="_Toc383795629"/>
      <w:bookmarkStart w:id="88" w:name="_Toc383795665"/>
      <w:bookmarkStart w:id="89" w:name="_Toc383796168"/>
      <w:bookmarkStart w:id="90" w:name="_Toc384054448"/>
      <w:bookmarkStart w:id="91" w:name="_Toc384055072"/>
      <w:bookmarkStart w:id="92" w:name="_Toc384055426"/>
      <w:bookmarkStart w:id="93" w:name="_Toc384055981"/>
      <w:bookmarkStart w:id="94" w:name="_Toc409612082"/>
      <w:bookmarkStart w:id="95" w:name="_Toc412732180"/>
      <w:bookmarkStart w:id="96" w:name="_Toc412738453"/>
      <w:bookmarkStart w:id="97" w:name="_Toc412746046"/>
      <w:bookmarkStart w:id="98" w:name="_Toc412748082"/>
      <w:bookmarkStart w:id="99" w:name="_Toc412749178"/>
      <w:bookmarkStart w:id="100" w:name="_Toc412800517"/>
      <w:bookmarkStart w:id="101" w:name="_Toc412804213"/>
      <w:bookmarkStart w:id="102" w:name="_Toc412822926"/>
      <w:bookmarkStart w:id="103" w:name="_Toc412823608"/>
      <w:bookmarkStart w:id="104" w:name="_Toc412827389"/>
      <w:bookmarkStart w:id="105" w:name="_Toc412827969"/>
      <w:bookmarkStart w:id="106" w:name="_Toc412828870"/>
      <w:bookmarkStart w:id="107" w:name="_Toc412829373"/>
      <w:bookmarkStart w:id="108" w:name="_Toc412829411"/>
    </w:p>
    <w:p w:rsidR="00CC45FC" w:rsidRDefault="004A7700">
      <w:pPr>
        <w:pStyle w:val="ListParagraph"/>
        <w:widowControl w:val="0"/>
        <w:numPr>
          <w:ilvl w:val="0"/>
          <w:numId w:val="35"/>
        </w:numPr>
        <w:autoSpaceDE w:val="0"/>
        <w:autoSpaceDN w:val="0"/>
        <w:adjustRightInd w:val="0"/>
        <w:spacing w:after="120"/>
        <w:rPr>
          <w:rFonts w:ascii="Verdana" w:hAnsi="Verdana"/>
          <w:noProof/>
          <w:sz w:val="18"/>
        </w:rPr>
      </w:pPr>
      <w:r>
        <w:rPr>
          <w:rFonts w:ascii="Verdana" w:hAnsi="Verdana"/>
          <w:noProof/>
          <w:sz w:val="18"/>
          <w:lang w:eastAsia="en-GB"/>
        </w:rPr>
        <w:t>In</w:t>
      </w:r>
      <w:bookmarkStart w:id="109" w:name="_Toc413087919"/>
      <w:bookmarkStart w:id="110" w:name="_Toc413088463"/>
      <w:bookmarkStart w:id="111" w:name="_Toc413169613"/>
      <w:bookmarkStart w:id="112" w:name="_Toc414533087"/>
      <w:bookmarkStart w:id="113" w:name="_Toc414544196"/>
      <w:bookmarkStart w:id="114" w:name="_Toc414544991"/>
      <w:bookmarkStart w:id="115" w:name="_Toc414546811"/>
      <w:bookmarkStart w:id="116" w:name="_Toc414548063"/>
      <w:bookmarkStart w:id="117" w:name="_Toc414548145"/>
      <w:bookmarkStart w:id="118" w:name="_Toc414552869"/>
      <w:bookmarkStart w:id="119" w:name="_Toc414553854"/>
      <w:bookmarkStart w:id="120" w:name="_Toc41455732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r>
        <w:rPr>
          <w:rFonts w:ascii="Verdana" w:hAnsi="Verdana"/>
          <w:noProof/>
          <w:sz w:val="18"/>
        </w:rPr>
        <w:t>volvement of civil society through "Integrity pacts".</w:t>
      </w:r>
      <w:bookmarkEnd w:id="109"/>
      <w:bookmarkEnd w:id="110"/>
      <w:bookmarkEnd w:id="111"/>
      <w:bookmarkEnd w:id="112"/>
      <w:bookmarkEnd w:id="113"/>
      <w:bookmarkEnd w:id="114"/>
      <w:bookmarkEnd w:id="115"/>
      <w:bookmarkEnd w:id="116"/>
      <w:bookmarkEnd w:id="117"/>
      <w:bookmarkEnd w:id="118"/>
      <w:bookmarkEnd w:id="119"/>
      <w:bookmarkEnd w:id="120"/>
    </w:p>
    <w:p w:rsidR="00CC45FC" w:rsidRDefault="004A7700">
      <w:pPr>
        <w:shd w:val="clear" w:color="auto" w:fill="FFFFFF" w:themeFill="background1"/>
        <w:spacing w:after="360" w:line="240" w:lineRule="auto"/>
        <w:jc w:val="both"/>
        <w:rPr>
          <w:rFonts w:ascii="Verdana" w:hAnsi="Verdana"/>
          <w:noProof/>
          <w:sz w:val="20"/>
          <w:szCs w:val="20"/>
        </w:rPr>
      </w:pPr>
      <w:r>
        <w:rPr>
          <w:rFonts w:ascii="Verdana" w:hAnsi="Verdana"/>
          <w:noProof/>
          <w:sz w:val="18"/>
        </w:rPr>
        <w:t>As a result of its policy of zero tolerance to fraud, the Commission has issued 42 warning letters linked to OLAF final case reports and other fraud suspicions in 2015.</w:t>
      </w:r>
    </w:p>
    <w:p w:rsidR="00CC45FC" w:rsidRDefault="004A7700">
      <w:pPr>
        <w:spacing w:after="0" w:line="240" w:lineRule="auto"/>
        <w:rPr>
          <w:rFonts w:ascii="Verdana" w:eastAsia="Times New Roman" w:hAnsi="Verdana"/>
          <w:b/>
          <w:bCs/>
          <w:iCs/>
          <w:noProof/>
          <w:sz w:val="24"/>
          <w:szCs w:val="24"/>
        </w:rPr>
      </w:pPr>
      <w:r>
        <w:rPr>
          <w:rFonts w:ascii="Verdana" w:hAnsi="Verdana"/>
          <w:i/>
          <w:noProof/>
          <w:sz w:val="24"/>
          <w:szCs w:val="24"/>
        </w:rPr>
        <w:br w:type="page"/>
      </w:r>
    </w:p>
    <w:p w:rsidR="00CC45FC" w:rsidRPr="004A7700" w:rsidRDefault="004A7700">
      <w:pPr>
        <w:pStyle w:val="ManualHeading2"/>
        <w:rPr>
          <w:i/>
          <w:noProof/>
        </w:rPr>
      </w:pPr>
      <w:bookmarkStart w:id="121" w:name="_Toc456258172"/>
      <w:bookmarkStart w:id="122" w:name="_Toc456686580"/>
      <w:r>
        <w:t>5.2.</w:t>
      </w:r>
      <w:r>
        <w:tab/>
      </w:r>
      <w:r>
        <w:rPr>
          <w:noProof/>
        </w:rPr>
        <w:t>Corrective actions</w:t>
      </w:r>
      <w:bookmarkEnd w:id="121"/>
      <w:bookmarkEnd w:id="122"/>
      <w:r>
        <w:rPr>
          <w:noProof/>
        </w:rPr>
        <w:t xml:space="preserve"> </w:t>
      </w:r>
    </w:p>
    <w:p w:rsidR="00CC45FC" w:rsidRDefault="004A7700">
      <w:pPr>
        <w:keepNext/>
        <w:spacing w:before="120" w:after="120"/>
        <w:outlineLvl w:val="3"/>
        <w:rPr>
          <w:rFonts w:ascii="Verdana" w:eastAsia="Times New Roman" w:hAnsi="Verdana"/>
          <w:bCs/>
          <w:i/>
          <w:noProof/>
          <w:sz w:val="20"/>
          <w:szCs w:val="20"/>
        </w:rPr>
      </w:pPr>
      <w:r>
        <w:rPr>
          <w:rFonts w:ascii="Verdana" w:eastAsia="Times New Roman" w:hAnsi="Verdana"/>
          <w:bCs/>
          <w:i/>
          <w:noProof/>
          <w:sz w:val="20"/>
          <w:szCs w:val="20"/>
        </w:rPr>
        <w:t>5.2.1.</w:t>
      </w:r>
      <w:r>
        <w:rPr>
          <w:rFonts w:ascii="Verdana" w:eastAsia="Times New Roman" w:hAnsi="Verdana"/>
          <w:bCs/>
          <w:i/>
          <w:noProof/>
          <w:sz w:val="20"/>
          <w:szCs w:val="20"/>
        </w:rPr>
        <w:tab/>
        <w:t>Situation up to 2007-2013 programming period</w:t>
      </w:r>
    </w:p>
    <w:p w:rsidR="00CC45FC" w:rsidRDefault="004A7700">
      <w:pPr>
        <w:spacing w:after="120" w:line="240" w:lineRule="auto"/>
        <w:jc w:val="both"/>
        <w:rPr>
          <w:rFonts w:ascii="Verdana" w:eastAsia="Times New Roman" w:hAnsi="Verdana"/>
          <w:noProof/>
          <w:sz w:val="18"/>
          <w:lang w:eastAsia="x-none"/>
        </w:rPr>
      </w:pPr>
      <w:r>
        <w:rPr>
          <w:rFonts w:ascii="Verdana" w:eastAsia="Times New Roman" w:hAnsi="Verdana"/>
          <w:noProof/>
          <w:sz w:val="18"/>
          <w:lang w:eastAsia="x-none"/>
        </w:rPr>
        <w:t xml:space="preserve">Financial corrections reported in 2015 for </w:t>
      </w:r>
      <w:r>
        <w:rPr>
          <w:rFonts w:ascii="Verdana" w:eastAsia="Times New Roman" w:hAnsi="Verdana"/>
          <w:b/>
          <w:noProof/>
          <w:sz w:val="18"/>
          <w:lang w:eastAsia="x-none"/>
        </w:rPr>
        <w:t>ERDF / CF</w:t>
      </w:r>
      <w:r>
        <w:rPr>
          <w:rFonts w:ascii="Verdana" w:eastAsia="Times New Roman" w:hAnsi="Verdana"/>
          <w:noProof/>
          <w:sz w:val="18"/>
          <w:lang w:eastAsia="x-none"/>
        </w:rPr>
        <w:t xml:space="preserve"> for all programming periods remained stable compared to the last three years, with a significant increase in the amounts of corrections reported for the 2007-2013 programming period</w:t>
      </w:r>
      <w:r>
        <w:rPr>
          <w:rStyle w:val="FootnoteReference"/>
          <w:rFonts w:ascii="Verdana" w:eastAsia="Times New Roman" w:hAnsi="Verdana"/>
          <w:noProof/>
          <w:sz w:val="18"/>
          <w:lang w:eastAsia="x-none"/>
        </w:rPr>
        <w:footnoteReference w:id="22"/>
      </w:r>
      <w:r>
        <w:rPr>
          <w:rFonts w:ascii="Verdana" w:eastAsia="Times New Roman" w:hAnsi="Verdana"/>
          <w:noProof/>
          <w:sz w:val="18"/>
          <w:lang w:eastAsia="x-none"/>
        </w:rPr>
        <w:t xml:space="preserve">. </w:t>
      </w:r>
    </w:p>
    <w:tbl>
      <w:tblPr>
        <w:tblStyle w:val="TableGrid"/>
        <w:tblW w:w="9322" w:type="dxa"/>
        <w:tblLook w:val="04A0" w:firstRow="1" w:lastRow="0" w:firstColumn="1" w:lastColumn="0" w:noHBand="0" w:noVBand="1"/>
      </w:tblPr>
      <w:tblGrid>
        <w:gridCol w:w="3369"/>
        <w:gridCol w:w="5953"/>
      </w:tblGrid>
      <w:tr w:rsidR="00CC45FC">
        <w:trPr>
          <w:trHeight w:val="963"/>
        </w:trPr>
        <w:tc>
          <w:tcPr>
            <w:tcW w:w="33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C45FC" w:rsidRDefault="004A7700">
            <w:pPr>
              <w:spacing w:after="120"/>
              <w:rPr>
                <w:rFonts w:ascii="Verdana" w:hAnsi="Verdana"/>
                <w:b/>
                <w:i/>
                <w:noProof/>
                <w:sz w:val="20"/>
              </w:rPr>
            </w:pPr>
            <w:r>
              <w:rPr>
                <w:rFonts w:ascii="Verdana" w:hAnsi="Verdana" w:cs="Calibri"/>
                <w:b/>
                <w:noProof/>
                <w:color w:val="000000" w:themeColor="text1"/>
                <w:sz w:val="18"/>
                <w:szCs w:val="18"/>
              </w:rPr>
              <w:t>Financial corrections for 2015 remained stable compared to previous years confirming the strict correction policy implemented including interruptions and suspensions.</w:t>
            </w:r>
          </w:p>
        </w:tc>
        <w:tc>
          <w:tcPr>
            <w:tcW w:w="5953" w:type="dxa"/>
            <w:tcBorders>
              <w:top w:val="nil"/>
              <w:left w:val="single" w:sz="12" w:space="0" w:color="auto"/>
              <w:bottom w:val="nil"/>
              <w:right w:val="nil"/>
            </w:tcBorders>
          </w:tcPr>
          <w:p w:rsidR="00CC45FC" w:rsidRDefault="004A7700">
            <w:pPr>
              <w:spacing w:after="120" w:line="240" w:lineRule="auto"/>
              <w:jc w:val="both"/>
              <w:rPr>
                <w:rFonts w:ascii="Verdana" w:hAnsi="Verdana"/>
                <w:b/>
                <w:i/>
                <w:noProof/>
                <w:sz w:val="20"/>
              </w:rPr>
            </w:pPr>
            <w:r>
              <w:rPr>
                <w:rFonts w:ascii="Verdana" w:hAnsi="Verdana"/>
                <w:noProof/>
                <w:sz w:val="18"/>
                <w:lang w:eastAsia="x-none"/>
              </w:rPr>
              <w:t>This increase for 2007-2013 is due to the fact that in 2015 some longstanding cases, for which payment applications were blocked for several months or even years, came to an end after the implementation of financial corrections, contributed to this increase. For those cases, the corrections applied by Member States could only be reported in 2015 after the lifting of the interruption / suspension procedures.</w:t>
            </w:r>
          </w:p>
        </w:tc>
      </w:tr>
    </w:tbl>
    <w:p w:rsidR="00CC45FC" w:rsidRDefault="004A7700">
      <w:pPr>
        <w:spacing w:before="120" w:after="360" w:line="240" w:lineRule="auto"/>
        <w:jc w:val="both"/>
        <w:rPr>
          <w:rFonts w:ascii="Verdana" w:hAnsi="Verdana"/>
          <w:noProof/>
          <w:color w:val="000000" w:themeColor="text1"/>
          <w:sz w:val="18"/>
          <w:szCs w:val="20"/>
          <w:lang w:eastAsia="en-GB"/>
        </w:rPr>
      </w:pPr>
      <w:r>
        <w:rPr>
          <w:rFonts w:ascii="Verdana" w:hAnsi="Verdana"/>
          <w:noProof/>
          <w:color w:val="000000" w:themeColor="text1"/>
          <w:sz w:val="18"/>
          <w:szCs w:val="20"/>
          <w:lang w:eastAsia="en-GB"/>
        </w:rPr>
        <w:t xml:space="preserve">As regards the </w:t>
      </w:r>
      <w:r>
        <w:rPr>
          <w:rFonts w:ascii="Verdana" w:hAnsi="Verdana"/>
          <w:b/>
          <w:noProof/>
          <w:color w:val="000000" w:themeColor="text1"/>
          <w:sz w:val="18"/>
          <w:szCs w:val="20"/>
          <w:lang w:eastAsia="en-GB"/>
        </w:rPr>
        <w:t>ESF</w:t>
      </w:r>
      <w:r>
        <w:rPr>
          <w:rFonts w:ascii="Verdana" w:hAnsi="Verdana"/>
          <w:noProof/>
          <w:color w:val="000000" w:themeColor="text1"/>
          <w:sz w:val="18"/>
          <w:szCs w:val="20"/>
          <w:lang w:eastAsia="en-GB"/>
        </w:rPr>
        <w:t>, the amount of financial corrections implemented reported in 2015 increased for all programming periods reflecting mainly the acceptance of the financial corrections in the context of closure of the 2000-2006 programmes and lifting of the long term suspensions for 2007-2013 programmes.</w:t>
      </w:r>
    </w:p>
    <w:p w:rsidR="00CC45FC" w:rsidRDefault="004A7700">
      <w:pPr>
        <w:spacing w:after="120" w:line="240" w:lineRule="auto"/>
        <w:rPr>
          <w:rFonts w:ascii="Verdana" w:hAnsi="Verdana"/>
          <w:i/>
          <w:noProof/>
          <w:sz w:val="20"/>
        </w:rPr>
      </w:pPr>
      <w:r>
        <w:rPr>
          <w:rFonts w:ascii="Verdana" w:hAnsi="Verdana"/>
          <w:i/>
          <w:noProof/>
          <w:sz w:val="20"/>
        </w:rPr>
        <w:t>5.2.2.</w:t>
      </w:r>
      <w:r>
        <w:rPr>
          <w:rFonts w:ascii="Verdana" w:hAnsi="Verdana"/>
          <w:i/>
          <w:noProof/>
          <w:sz w:val="20"/>
        </w:rPr>
        <w:tab/>
        <w:t>Improvements made and to be made</w:t>
      </w:r>
    </w:p>
    <w:p w:rsidR="00CC45FC" w:rsidRDefault="004A7700">
      <w:pPr>
        <w:pStyle w:val="Text1"/>
        <w:spacing w:before="120" w:after="120"/>
        <w:ind w:left="0"/>
        <w:rPr>
          <w:rFonts w:ascii="Verdana" w:eastAsia="Calibri" w:hAnsi="Verdana"/>
          <w:noProof/>
          <w:sz w:val="18"/>
          <w:szCs w:val="22"/>
        </w:rPr>
      </w:pPr>
      <w:r>
        <w:rPr>
          <w:rFonts w:ascii="Verdana" w:eastAsia="Calibri" w:hAnsi="Verdana"/>
          <w:noProof/>
          <w:sz w:val="18"/>
          <w:szCs w:val="22"/>
        </w:rPr>
        <w:t xml:space="preserve">Concerning the </w:t>
      </w:r>
      <w:r>
        <w:rPr>
          <w:rFonts w:ascii="Verdana" w:eastAsia="Calibri" w:hAnsi="Verdana"/>
          <w:b/>
          <w:noProof/>
          <w:sz w:val="18"/>
          <w:szCs w:val="22"/>
        </w:rPr>
        <w:t>Cohesion Policy Funds</w:t>
      </w:r>
      <w:r>
        <w:rPr>
          <w:rFonts w:ascii="Verdana" w:eastAsia="Calibri" w:hAnsi="Verdana"/>
          <w:noProof/>
          <w:sz w:val="18"/>
          <w:szCs w:val="22"/>
        </w:rPr>
        <w:t>, in 2015, the Commission continued to exercise rigorously its supervisory role by interrupting / suspending payments as soon as deficiencies were identified and ensuring that Member States address the identified weaknesses in their management and control systems. The objective was to identify and address any major outstanding material risk so as to ensure an appropriate protection of the EU budget, and to arrive at an acceptable residual risk by the closure of programmes. This resulted in an overall improvement for the 2007-2013 period compared to 2000-2006, and in a positive trend as regards the incidence of errors in Cohesion expenditure over the years thanks to a series of actions taken by the Commission in cooperation with Member States, as described below.</w:t>
      </w:r>
    </w:p>
    <w:tbl>
      <w:tblPr>
        <w:tblStyle w:val="TableGrid"/>
        <w:tblW w:w="93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204"/>
        <w:gridCol w:w="3118"/>
      </w:tblGrid>
      <w:tr w:rsidR="00CC45FC">
        <w:trPr>
          <w:trHeight w:val="1349"/>
        </w:trPr>
        <w:tc>
          <w:tcPr>
            <w:tcW w:w="6204" w:type="dxa"/>
            <w:tcBorders>
              <w:right w:val="single" w:sz="12" w:space="0" w:color="auto"/>
            </w:tcBorders>
            <w:vAlign w:val="center"/>
          </w:tcPr>
          <w:p w:rsidR="00CC45FC" w:rsidRDefault="004A7700">
            <w:pPr>
              <w:spacing w:line="240" w:lineRule="auto"/>
              <w:jc w:val="both"/>
              <w:rPr>
                <w:rFonts w:ascii="Verdana" w:hAnsi="Verdana"/>
                <w:noProof/>
                <w:sz w:val="18"/>
              </w:rPr>
            </w:pPr>
            <w:r>
              <w:rPr>
                <w:rFonts w:ascii="Verdana" w:eastAsia="Calibri" w:hAnsi="Verdana"/>
                <w:noProof/>
                <w:sz w:val="18"/>
              </w:rPr>
              <w:t>Furthermore, the Common Provisions Regulation (CPR) 2014-2020 contains reinforced control provisions compared to 2007-2013 and requirements that improve the Member States’ accountability so as to better address errors and ensure legality and regularity of co-financed expenditure. The main aspects to be underlined:</w:t>
            </w:r>
          </w:p>
        </w:tc>
        <w:tc>
          <w:tcPr>
            <w:tcW w:w="3118"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C45FC" w:rsidRDefault="004A7700">
            <w:pPr>
              <w:spacing w:line="240" w:lineRule="auto"/>
              <w:rPr>
                <w:rFonts w:ascii="Verdana" w:hAnsi="Verdana"/>
                <w:noProof/>
                <w:sz w:val="18"/>
              </w:rPr>
            </w:pPr>
            <w:r>
              <w:rPr>
                <w:rFonts w:ascii="Verdana" w:hAnsi="Verdana" w:cs="Calibri"/>
                <w:b/>
                <w:noProof/>
                <w:color w:val="000000" w:themeColor="text1"/>
                <w:sz w:val="18"/>
                <w:szCs w:val="18"/>
              </w:rPr>
              <w:t>Significant improvements due to implementation of interruptions &amp; suspensions and the use of simplified cost options.</w:t>
            </w:r>
          </w:p>
        </w:tc>
      </w:tr>
    </w:tbl>
    <w:p w:rsidR="00CC45FC" w:rsidRDefault="004A7700">
      <w:pPr>
        <w:pStyle w:val="Text1"/>
        <w:numPr>
          <w:ilvl w:val="0"/>
          <w:numId w:val="36"/>
        </w:numPr>
        <w:spacing w:before="120" w:after="120"/>
        <w:rPr>
          <w:rFonts w:ascii="Verdana" w:hAnsi="Verdana"/>
          <w:noProof/>
          <w:sz w:val="18"/>
        </w:rPr>
      </w:pPr>
      <w:r>
        <w:rPr>
          <w:rFonts w:ascii="Verdana" w:hAnsi="Verdana"/>
          <w:noProof/>
          <w:sz w:val="18"/>
        </w:rPr>
        <w:t xml:space="preserve">A </w:t>
      </w:r>
      <w:r>
        <w:rPr>
          <w:rFonts w:ascii="Verdana" w:hAnsi="Verdana"/>
          <w:noProof/>
          <w:sz w:val="18"/>
          <w:u w:val="single"/>
        </w:rPr>
        <w:t>new financial management framework</w:t>
      </w:r>
      <w:r>
        <w:rPr>
          <w:rFonts w:ascii="Verdana" w:hAnsi="Verdana"/>
          <w:noProof/>
          <w:sz w:val="18"/>
        </w:rPr>
        <w:t xml:space="preserve"> with a programme accounting year running from 1 July to 30 June. The certifying authority certifies to the Commission the expenditure in the programme accounts drawn up for each accounting year, containing only legal and regular expenditure cumulatively declared during the accounting year and cleared from all irregularities detected following national verifications and audits.</w:t>
      </w:r>
    </w:p>
    <w:p w:rsidR="00CC45FC" w:rsidRDefault="004A7700">
      <w:pPr>
        <w:pStyle w:val="Text1"/>
        <w:numPr>
          <w:ilvl w:val="0"/>
          <w:numId w:val="36"/>
        </w:numPr>
        <w:spacing w:before="120" w:after="120"/>
        <w:rPr>
          <w:rFonts w:ascii="Verdana" w:hAnsi="Verdana"/>
          <w:noProof/>
          <w:sz w:val="18"/>
        </w:rPr>
      </w:pPr>
      <w:r>
        <w:rPr>
          <w:rFonts w:ascii="Verdana" w:hAnsi="Verdana"/>
          <w:noProof/>
          <w:sz w:val="18"/>
        </w:rPr>
        <w:t xml:space="preserve">A </w:t>
      </w:r>
      <w:r>
        <w:rPr>
          <w:rFonts w:ascii="Verdana" w:hAnsi="Verdana"/>
          <w:noProof/>
          <w:sz w:val="18"/>
          <w:u w:val="single"/>
        </w:rPr>
        <w:t>10 % retention</w:t>
      </w:r>
      <w:r>
        <w:rPr>
          <w:rFonts w:ascii="Verdana" w:hAnsi="Verdana"/>
          <w:noProof/>
          <w:sz w:val="18"/>
        </w:rPr>
        <w:t xml:space="preserve"> mechanism on all Commission interim payments during the accounting year meaning that the Commission reimburses the entirety of claimed expenditure only once all national controls including the audits by the audit authority have been carried out and their results fully analysed and taken into account by the managing and certifying authorities.</w:t>
      </w:r>
    </w:p>
    <w:p w:rsidR="00CC45FC" w:rsidRDefault="004A7700">
      <w:pPr>
        <w:pStyle w:val="Text1"/>
        <w:numPr>
          <w:ilvl w:val="0"/>
          <w:numId w:val="36"/>
        </w:numPr>
        <w:spacing w:before="120" w:after="120"/>
        <w:rPr>
          <w:rFonts w:ascii="Verdana" w:hAnsi="Verdana"/>
          <w:noProof/>
          <w:sz w:val="18"/>
        </w:rPr>
      </w:pPr>
      <w:r>
        <w:rPr>
          <w:rFonts w:ascii="Verdana" w:hAnsi="Verdana"/>
          <w:noProof/>
          <w:sz w:val="18"/>
        </w:rPr>
        <w:t xml:space="preserve">The submission by the programme managing authority of a </w:t>
      </w:r>
      <w:r>
        <w:rPr>
          <w:rFonts w:ascii="Verdana" w:hAnsi="Verdana"/>
          <w:noProof/>
          <w:sz w:val="18"/>
          <w:u w:val="single"/>
        </w:rPr>
        <w:t>management declaration</w:t>
      </w:r>
      <w:r>
        <w:rPr>
          <w:rFonts w:ascii="Verdana" w:hAnsi="Verdana"/>
          <w:noProof/>
          <w:sz w:val="18"/>
        </w:rPr>
        <w:t xml:space="preserve"> confirming the information contained in the accounts and that the control system in place gives the necessary guarantees concerning the legality and regularity of the operations and declared expenditure. This declaration will be accompanied by a report containing a summary of all control and audit results carried out up to certification of the accounts, an analysis of the nature and extent of errors and system weaknesses identified, as well as of corrective actions taken or planned.</w:t>
      </w:r>
    </w:p>
    <w:p w:rsidR="00CC45FC" w:rsidRDefault="004A7700">
      <w:pPr>
        <w:pStyle w:val="Text1"/>
        <w:numPr>
          <w:ilvl w:val="0"/>
          <w:numId w:val="36"/>
        </w:numPr>
        <w:spacing w:before="120" w:after="120"/>
        <w:rPr>
          <w:rFonts w:ascii="Verdana" w:hAnsi="Verdana"/>
          <w:noProof/>
          <w:sz w:val="18"/>
        </w:rPr>
      </w:pPr>
      <w:r>
        <w:rPr>
          <w:rFonts w:ascii="Verdana" w:hAnsi="Verdana"/>
          <w:noProof/>
          <w:sz w:val="18"/>
        </w:rPr>
        <w:t xml:space="preserve">Independent audit work and </w:t>
      </w:r>
      <w:r>
        <w:rPr>
          <w:rFonts w:ascii="Verdana" w:hAnsi="Verdana"/>
          <w:noProof/>
          <w:sz w:val="18"/>
          <w:u w:val="single"/>
        </w:rPr>
        <w:t>audit opinion</w:t>
      </w:r>
      <w:r>
        <w:rPr>
          <w:rFonts w:ascii="Verdana" w:hAnsi="Verdana"/>
          <w:noProof/>
          <w:sz w:val="18"/>
        </w:rPr>
        <w:t xml:space="preserve"> on the accounts, in addition to audits on the proper functioning of systems and representative samples of operations and expenditure as in the current period, by the programme audit authority. This will include assurance that all detected irregular expenditure has been appropriately and correctly decertified and excluded from interim payment claims or from the annual accounts and that when serious deficiencies were detected, corrective actions were implemented.</w:t>
      </w:r>
    </w:p>
    <w:p w:rsidR="00CC45FC" w:rsidRDefault="004A7700">
      <w:pPr>
        <w:pStyle w:val="Text1"/>
        <w:numPr>
          <w:ilvl w:val="0"/>
          <w:numId w:val="36"/>
        </w:numPr>
        <w:spacing w:before="120" w:after="120"/>
        <w:rPr>
          <w:rFonts w:ascii="Verdana" w:hAnsi="Verdana"/>
          <w:noProof/>
          <w:sz w:val="18"/>
        </w:rPr>
      </w:pPr>
      <w:r>
        <w:rPr>
          <w:rFonts w:ascii="Verdana" w:hAnsi="Verdana"/>
          <w:noProof/>
          <w:sz w:val="18"/>
        </w:rPr>
        <w:t xml:space="preserve">The introduction of </w:t>
      </w:r>
      <w:r>
        <w:rPr>
          <w:rFonts w:ascii="Verdana" w:hAnsi="Verdana"/>
          <w:noProof/>
          <w:sz w:val="18"/>
          <w:u w:val="single"/>
        </w:rPr>
        <w:t>compulsory net financial corrections</w:t>
      </w:r>
      <w:r>
        <w:rPr>
          <w:rFonts w:ascii="Verdana" w:hAnsi="Verdana"/>
          <w:noProof/>
          <w:sz w:val="18"/>
        </w:rPr>
        <w:t xml:space="preserve"> to be adopted by the Commission when EU audits detect irregularities indicating a serious deficiency not detected / reported by the programme authorities in relation to the programme accounts submitted by 15 February each. Net financial corrections reducing the Member States’ allocations in case of undetected / non reported serious deficiencies will provide increased incentives for national robust and timely controls, including by the managing authorities, before certifying programme accounts to the Commission. </w:t>
      </w:r>
    </w:p>
    <w:p w:rsidR="00CC45FC" w:rsidRDefault="004A7700">
      <w:pPr>
        <w:pStyle w:val="Text1"/>
        <w:numPr>
          <w:ilvl w:val="0"/>
          <w:numId w:val="36"/>
        </w:numPr>
        <w:spacing w:before="120" w:after="120"/>
        <w:rPr>
          <w:rFonts w:ascii="Verdana" w:eastAsia="Calibri" w:hAnsi="Verdana"/>
          <w:noProof/>
          <w:sz w:val="18"/>
          <w:szCs w:val="22"/>
        </w:rPr>
      </w:pPr>
      <w:r>
        <w:rPr>
          <w:rFonts w:ascii="Verdana" w:hAnsi="Verdana"/>
          <w:noProof/>
          <w:sz w:val="18"/>
          <w:u w:val="single"/>
        </w:rPr>
        <w:t>Simplification and harmonisation</w:t>
      </w:r>
      <w:r>
        <w:rPr>
          <w:rFonts w:ascii="Verdana" w:hAnsi="Verdana"/>
          <w:noProof/>
          <w:sz w:val="18"/>
        </w:rPr>
        <w:t xml:space="preserve"> of rules for all 5 ESI funds. The increased use of simplified cost options and their positive results in bringing down the errors.</w:t>
      </w:r>
    </w:p>
    <w:p w:rsidR="00CC45FC" w:rsidRDefault="004A7700">
      <w:pPr>
        <w:spacing w:before="120" w:after="120" w:line="240" w:lineRule="auto"/>
        <w:jc w:val="both"/>
        <w:rPr>
          <w:rFonts w:ascii="Verdana" w:hAnsi="Verdana" w:cs="Arial"/>
          <w:noProof/>
          <w:sz w:val="18"/>
        </w:rPr>
      </w:pPr>
      <w:r>
        <w:rPr>
          <w:rFonts w:ascii="Verdana" w:hAnsi="Verdana" w:cs="Arial"/>
          <w:noProof/>
          <w:sz w:val="18"/>
          <w:szCs w:val="20"/>
        </w:rPr>
        <w:t xml:space="preserve">In the area of the </w:t>
      </w:r>
      <w:r>
        <w:rPr>
          <w:rFonts w:ascii="Verdana" w:hAnsi="Verdana" w:cs="Arial"/>
          <w:b/>
          <w:noProof/>
          <w:sz w:val="18"/>
          <w:szCs w:val="20"/>
        </w:rPr>
        <w:t>ESF</w:t>
      </w:r>
      <w:r>
        <w:rPr>
          <w:rFonts w:ascii="Verdana" w:hAnsi="Verdana" w:cs="Arial"/>
          <w:noProof/>
          <w:sz w:val="18"/>
          <w:szCs w:val="20"/>
        </w:rPr>
        <w:t xml:space="preserve">, during 2015 the Commission continued to actively promote the use of the Simplified Cost Options (SCO) through seminars and the launching of a trans-national network in 2015.  </w:t>
      </w:r>
      <w:r>
        <w:rPr>
          <w:rFonts w:ascii="Verdana" w:hAnsi="Verdana" w:cs="Arial"/>
          <w:noProof/>
          <w:sz w:val="18"/>
        </w:rPr>
        <w:t xml:space="preserve">An overview report on SCOs was submitted to the European Parliament in November 2015 and highlighted an already very significant increase from the 7 % of the ESF implemented under SCOs for 2007-2013 to the 35 % planned by the national authorities for 2014-2020. </w:t>
      </w:r>
      <w:r>
        <w:rPr>
          <w:rFonts w:ascii="Verdana" w:hAnsi="Verdana" w:cs="Arial"/>
          <w:noProof/>
          <w:sz w:val="18"/>
          <w:szCs w:val="20"/>
        </w:rPr>
        <w:t>In 2016, further actions have been identified which f</w:t>
      </w:r>
      <w:r>
        <w:rPr>
          <w:rFonts w:ascii="Verdana" w:hAnsi="Verdana" w:cs="Arial"/>
          <w:noProof/>
          <w:sz w:val="18"/>
        </w:rPr>
        <w:t xml:space="preserve">ocus on 9 Member States with the lowest level of planned use of SCOs, </w:t>
      </w:r>
      <w:r>
        <w:rPr>
          <w:rFonts w:ascii="Verdana" w:hAnsi="Verdana" w:cs="Arial"/>
          <w:noProof/>
          <w:sz w:val="18"/>
          <w:szCs w:val="20"/>
        </w:rPr>
        <w:t xml:space="preserve">with the overall objective to reach 50 % of ESF implemented through SCOs. </w:t>
      </w:r>
      <w:r>
        <w:rPr>
          <w:rFonts w:ascii="Verdana" w:hAnsi="Verdana" w:cs="Arial"/>
          <w:noProof/>
          <w:sz w:val="18"/>
        </w:rPr>
        <w:t>Proposals for amending the Regulation are being explored in the context of the mid-term review of the MFF.</w:t>
      </w:r>
    </w:p>
    <w:p w:rsidR="00CC45FC" w:rsidRDefault="00CC45FC">
      <w:pPr>
        <w:spacing w:before="120" w:after="120" w:line="240" w:lineRule="auto"/>
        <w:jc w:val="both"/>
        <w:rPr>
          <w:rFonts w:ascii="Verdana" w:hAnsi="Verdana" w:cs="Arial"/>
          <w:noProof/>
          <w:sz w:val="18"/>
        </w:rPr>
      </w:pPr>
    </w:p>
    <w:p w:rsidR="00CC45FC" w:rsidRDefault="004A7700">
      <w:pPr>
        <w:pStyle w:val="ManualHeading2"/>
        <w:rPr>
          <w:i/>
          <w:noProof/>
          <w:sz w:val="20"/>
          <w:szCs w:val="22"/>
        </w:rPr>
      </w:pPr>
      <w:bookmarkStart w:id="123" w:name="_Toc454809918"/>
      <w:bookmarkStart w:id="124" w:name="_Toc456258173"/>
      <w:bookmarkStart w:id="125" w:name="_Toc456686581"/>
      <w:r>
        <w:t>5.3.</w:t>
      </w:r>
      <w:r>
        <w:tab/>
      </w:r>
      <w:r>
        <w:rPr>
          <w:noProof/>
        </w:rPr>
        <w:t>Deficiencies in Member States' management and control identified and measures undertaken</w:t>
      </w:r>
      <w:bookmarkEnd w:id="123"/>
      <w:bookmarkEnd w:id="124"/>
      <w:bookmarkEnd w:id="125"/>
    </w:p>
    <w:p w:rsidR="00CC45FC" w:rsidRDefault="004A7700">
      <w:pPr>
        <w:pStyle w:val="Text1"/>
        <w:spacing w:before="240" w:after="120"/>
        <w:ind w:left="0"/>
        <w:rPr>
          <w:rFonts w:ascii="Verdana" w:eastAsia="Calibri" w:hAnsi="Verdana"/>
          <w:noProof/>
          <w:sz w:val="18"/>
          <w:szCs w:val="22"/>
        </w:rPr>
      </w:pPr>
      <w:r>
        <w:rPr>
          <w:rFonts w:ascii="Verdana" w:eastAsia="Calibri" w:hAnsi="Verdana"/>
          <w:noProof/>
          <w:sz w:val="18"/>
          <w:szCs w:val="22"/>
        </w:rPr>
        <w:t xml:space="preserve">As mentioned above, under shared management Member States are primarily responsible for the effective and efficient functioning of the management and control systems at national level. Nevertheless, the Commission seeks to ensure that the national systems better prevent errors before certification and takes a number of actions: </w:t>
      </w:r>
    </w:p>
    <w:p w:rsidR="00CC45FC" w:rsidRDefault="004A7700">
      <w:pPr>
        <w:pStyle w:val="ListParagraph"/>
        <w:numPr>
          <w:ilvl w:val="1"/>
          <w:numId w:val="43"/>
        </w:numPr>
        <w:spacing w:before="120" w:after="120"/>
        <w:ind w:left="426"/>
        <w:contextualSpacing w:val="0"/>
        <w:rPr>
          <w:rFonts w:ascii="Verdana" w:hAnsi="Verdana"/>
          <w:noProof/>
          <w:sz w:val="18"/>
        </w:rPr>
      </w:pPr>
      <w:r>
        <w:rPr>
          <w:rFonts w:ascii="Verdana" w:hAnsi="Verdana"/>
          <w:noProof/>
          <w:sz w:val="18"/>
        </w:rPr>
        <w:t>co-operation with managing authorities on achieving</w:t>
      </w:r>
      <w:r>
        <w:rPr>
          <w:rFonts w:ascii="Verdana" w:hAnsi="Verdana"/>
          <w:b/>
          <w:noProof/>
          <w:sz w:val="18"/>
        </w:rPr>
        <w:t xml:space="preserve"> </w:t>
      </w:r>
      <w:r>
        <w:rPr>
          <w:rFonts w:ascii="Verdana" w:hAnsi="Verdana"/>
          <w:noProof/>
          <w:sz w:val="18"/>
          <w:u w:val="single"/>
        </w:rPr>
        <w:t>sound and timely management</w:t>
      </w:r>
      <w:r>
        <w:rPr>
          <w:rFonts w:ascii="Verdana" w:hAnsi="Verdana"/>
          <w:b/>
          <w:noProof/>
          <w:sz w:val="18"/>
        </w:rPr>
        <w:t xml:space="preserve"> </w:t>
      </w:r>
      <w:r>
        <w:rPr>
          <w:rFonts w:ascii="Verdana" w:hAnsi="Verdana"/>
          <w:noProof/>
          <w:sz w:val="18"/>
          <w:u w:val="single"/>
        </w:rPr>
        <w:t>verifications</w:t>
      </w:r>
      <w:r>
        <w:rPr>
          <w:rFonts w:ascii="Verdana" w:hAnsi="Verdana"/>
          <w:noProof/>
          <w:sz w:val="18"/>
        </w:rPr>
        <w:t xml:space="preserve"> in order to prevent irregularities occurring in the first place or being included in payment claims certified to the Commission;</w:t>
      </w:r>
    </w:p>
    <w:p w:rsidR="00CC45FC" w:rsidRDefault="004A7700">
      <w:pPr>
        <w:pStyle w:val="ListParagraph"/>
        <w:numPr>
          <w:ilvl w:val="1"/>
          <w:numId w:val="43"/>
        </w:numPr>
        <w:spacing w:before="120" w:after="120"/>
        <w:ind w:left="426"/>
        <w:contextualSpacing w:val="0"/>
        <w:rPr>
          <w:rFonts w:ascii="Verdana" w:hAnsi="Verdana"/>
          <w:noProof/>
          <w:sz w:val="18"/>
        </w:rPr>
      </w:pPr>
      <w:r>
        <w:rPr>
          <w:rFonts w:ascii="Verdana" w:hAnsi="Verdana"/>
          <w:noProof/>
          <w:sz w:val="18"/>
        </w:rPr>
        <w:t xml:space="preserve">implementing preventive </w:t>
      </w:r>
      <w:r>
        <w:rPr>
          <w:rFonts w:ascii="Verdana" w:hAnsi="Verdana"/>
          <w:noProof/>
          <w:sz w:val="18"/>
          <w:u w:val="single"/>
        </w:rPr>
        <w:t>capacity building actions</w:t>
      </w:r>
      <w:r>
        <w:rPr>
          <w:rFonts w:ascii="Verdana" w:hAnsi="Verdana"/>
          <w:noProof/>
          <w:sz w:val="18"/>
        </w:rPr>
        <w:t xml:space="preserve"> including advice, support and training with programme authorities to reinforce their administrative capacity where needed; </w:t>
      </w:r>
    </w:p>
    <w:p w:rsidR="00CC45FC" w:rsidRDefault="004A7700">
      <w:pPr>
        <w:pStyle w:val="ListParagraph"/>
        <w:numPr>
          <w:ilvl w:val="1"/>
          <w:numId w:val="43"/>
        </w:numPr>
        <w:spacing w:before="120" w:after="120"/>
        <w:ind w:left="426"/>
        <w:contextualSpacing w:val="0"/>
        <w:rPr>
          <w:rFonts w:ascii="Verdana" w:hAnsi="Verdana"/>
          <w:noProof/>
          <w:sz w:val="18"/>
        </w:rPr>
      </w:pPr>
      <w:r>
        <w:rPr>
          <w:rFonts w:ascii="Verdana" w:hAnsi="Verdana"/>
          <w:noProof/>
          <w:sz w:val="18"/>
        </w:rPr>
        <w:t xml:space="preserve">further co-operation with audit authorities under the </w:t>
      </w:r>
      <w:r>
        <w:rPr>
          <w:rFonts w:ascii="Verdana" w:hAnsi="Verdana"/>
          <w:noProof/>
          <w:sz w:val="18"/>
          <w:u w:val="single"/>
        </w:rPr>
        <w:t>single audit principle</w:t>
      </w:r>
      <w:r>
        <w:rPr>
          <w:rFonts w:ascii="Verdana" w:hAnsi="Verdana"/>
          <w:noProof/>
          <w:sz w:val="18"/>
        </w:rPr>
        <w:t xml:space="preserve"> to timely and effectively address risks </w:t>
      </w:r>
    </w:p>
    <w:p w:rsidR="00CC45FC" w:rsidRDefault="004A7700">
      <w:pPr>
        <w:pStyle w:val="ListParagraph"/>
        <w:numPr>
          <w:ilvl w:val="1"/>
          <w:numId w:val="43"/>
        </w:numPr>
        <w:spacing w:before="120" w:after="120"/>
        <w:ind w:left="426"/>
        <w:contextualSpacing w:val="0"/>
        <w:rPr>
          <w:rFonts w:ascii="Verdana" w:hAnsi="Verdana"/>
          <w:noProof/>
          <w:sz w:val="18"/>
        </w:rPr>
      </w:pPr>
      <w:r>
        <w:rPr>
          <w:rFonts w:ascii="Verdana" w:hAnsi="Verdana"/>
          <w:noProof/>
          <w:sz w:val="18"/>
        </w:rPr>
        <w:t xml:space="preserve">carrying out complementary </w:t>
      </w:r>
      <w:r>
        <w:rPr>
          <w:rFonts w:ascii="Verdana" w:hAnsi="Verdana"/>
          <w:noProof/>
          <w:sz w:val="18"/>
          <w:u w:val="single"/>
        </w:rPr>
        <w:t>risk-based audits</w:t>
      </w:r>
      <w:r>
        <w:rPr>
          <w:rFonts w:ascii="Verdana" w:hAnsi="Verdana"/>
          <w:noProof/>
          <w:sz w:val="18"/>
        </w:rPr>
        <w:t xml:space="preserve"> on risk areas and managing authorities or intermediate bodies; and</w:t>
      </w:r>
    </w:p>
    <w:p w:rsidR="00CC45FC" w:rsidRDefault="004A7700">
      <w:pPr>
        <w:pStyle w:val="ListParagraph"/>
        <w:numPr>
          <w:ilvl w:val="1"/>
          <w:numId w:val="43"/>
        </w:numPr>
        <w:spacing w:before="120"/>
        <w:ind w:left="426"/>
        <w:contextualSpacing w:val="0"/>
        <w:rPr>
          <w:rFonts w:ascii="Verdana" w:hAnsi="Verdana"/>
          <w:noProof/>
          <w:sz w:val="18"/>
        </w:rPr>
      </w:pPr>
      <w:r>
        <w:rPr>
          <w:rFonts w:ascii="Verdana" w:hAnsi="Verdana"/>
          <w:noProof/>
          <w:sz w:val="18"/>
        </w:rPr>
        <w:t xml:space="preserve">exercising a strict supervision over programme management, using the available legal tools such as </w:t>
      </w:r>
      <w:r>
        <w:rPr>
          <w:rFonts w:ascii="Verdana" w:hAnsi="Verdana"/>
          <w:noProof/>
          <w:sz w:val="18"/>
          <w:u w:val="single"/>
        </w:rPr>
        <w:t>interruptions, suspensions</w:t>
      </w:r>
      <w:r>
        <w:rPr>
          <w:rFonts w:ascii="Verdana" w:hAnsi="Verdana"/>
          <w:noProof/>
          <w:sz w:val="18"/>
        </w:rPr>
        <w:t xml:space="preserve"> and, where necessary, </w:t>
      </w:r>
      <w:r>
        <w:rPr>
          <w:rFonts w:ascii="Verdana" w:hAnsi="Verdana"/>
          <w:noProof/>
          <w:sz w:val="18"/>
          <w:u w:val="single"/>
        </w:rPr>
        <w:t>financial corrections</w:t>
      </w:r>
      <w:r>
        <w:rPr>
          <w:rFonts w:ascii="Verdana" w:hAnsi="Verdana"/>
          <w:noProof/>
          <w:sz w:val="18"/>
        </w:rPr>
        <w:t>.</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95"/>
        <w:gridCol w:w="3969"/>
      </w:tblGrid>
      <w:tr w:rsidR="00CC45FC">
        <w:trPr>
          <w:trHeight w:val="1105"/>
        </w:trPr>
        <w:tc>
          <w:tcPr>
            <w:tcW w:w="5495" w:type="dxa"/>
            <w:tcBorders>
              <w:right w:val="single" w:sz="12" w:space="0" w:color="auto"/>
            </w:tcBorders>
          </w:tcPr>
          <w:p w:rsidR="00CC45FC" w:rsidRDefault="004A7700">
            <w:pPr>
              <w:spacing w:line="240" w:lineRule="auto"/>
              <w:jc w:val="both"/>
              <w:rPr>
                <w:rFonts w:ascii="Verdana" w:hAnsi="Verdana"/>
                <w:noProof/>
                <w:sz w:val="18"/>
              </w:rPr>
            </w:pPr>
            <w:r>
              <w:rPr>
                <w:rFonts w:ascii="Verdana" w:eastAsia="Calibri" w:hAnsi="Verdana"/>
                <w:noProof/>
                <w:sz w:val="18"/>
              </w:rPr>
              <w:t xml:space="preserve">In the 2007-2013 period, main root causes of errors lie, among others, in complex management structures in some Member States, high staff turnover in some authorities leading to a loss of expertise or insufficient staff allocation. </w:t>
            </w:r>
          </w:p>
        </w:tc>
        <w:tc>
          <w:tcPr>
            <w:tcW w:w="39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C45FC" w:rsidRDefault="004A7700">
            <w:pPr>
              <w:spacing w:after="60"/>
              <w:rPr>
                <w:rFonts w:ascii="Verdana" w:hAnsi="Verdana" w:cs="Calibri"/>
                <w:b/>
                <w:noProof/>
                <w:color w:val="000000" w:themeColor="text1"/>
                <w:sz w:val="18"/>
                <w:szCs w:val="18"/>
              </w:rPr>
            </w:pPr>
            <w:r>
              <w:rPr>
                <w:rFonts w:ascii="Verdana" w:hAnsi="Verdana" w:cs="Calibri"/>
                <w:b/>
                <w:noProof/>
                <w:color w:val="000000" w:themeColor="text1"/>
                <w:sz w:val="18"/>
                <w:szCs w:val="18"/>
              </w:rPr>
              <w:t xml:space="preserve">ERDF / CF main causes of errors: </w:t>
            </w:r>
          </w:p>
          <w:p w:rsidR="00CC45FC" w:rsidRDefault="004A7700">
            <w:pPr>
              <w:spacing w:after="60"/>
              <w:rPr>
                <w:rFonts w:ascii="Verdana" w:hAnsi="Verdana" w:cs="Calibri"/>
                <w:b/>
                <w:noProof/>
                <w:color w:val="000000" w:themeColor="text1"/>
                <w:sz w:val="18"/>
                <w:szCs w:val="18"/>
              </w:rPr>
            </w:pPr>
            <w:r>
              <w:rPr>
                <w:rFonts w:ascii="Verdana" w:hAnsi="Verdana" w:cs="Calibri"/>
                <w:b/>
                <w:noProof/>
                <w:color w:val="000000" w:themeColor="text1"/>
                <w:sz w:val="18"/>
                <w:szCs w:val="18"/>
              </w:rPr>
              <w:t>a) Complex structures in MS</w:t>
            </w:r>
          </w:p>
          <w:p w:rsidR="00CC45FC" w:rsidRDefault="004A7700">
            <w:pPr>
              <w:spacing w:after="60"/>
              <w:rPr>
                <w:rFonts w:ascii="Verdana" w:hAnsi="Verdana" w:cs="Calibri"/>
                <w:b/>
                <w:noProof/>
                <w:color w:val="000000" w:themeColor="text1"/>
                <w:sz w:val="18"/>
                <w:szCs w:val="18"/>
              </w:rPr>
            </w:pPr>
            <w:r>
              <w:rPr>
                <w:rFonts w:ascii="Verdana" w:hAnsi="Verdana" w:cs="Calibri"/>
                <w:b/>
                <w:noProof/>
                <w:color w:val="000000" w:themeColor="text1"/>
                <w:sz w:val="18"/>
                <w:szCs w:val="18"/>
              </w:rPr>
              <w:t>b) Complex legislation</w:t>
            </w:r>
          </w:p>
          <w:p w:rsidR="00CC45FC" w:rsidRDefault="004A7700">
            <w:pPr>
              <w:spacing w:line="240" w:lineRule="auto"/>
              <w:rPr>
                <w:rFonts w:ascii="Verdana" w:hAnsi="Verdana"/>
                <w:noProof/>
                <w:sz w:val="18"/>
              </w:rPr>
            </w:pPr>
            <w:r>
              <w:rPr>
                <w:rFonts w:ascii="Verdana" w:hAnsi="Verdana" w:cs="Calibri"/>
                <w:b/>
                <w:noProof/>
                <w:color w:val="000000" w:themeColor="text1"/>
                <w:sz w:val="18"/>
                <w:szCs w:val="18"/>
              </w:rPr>
              <w:t>c) Weak management controls in MS</w:t>
            </w:r>
          </w:p>
        </w:tc>
      </w:tr>
    </w:tbl>
    <w:p w:rsidR="00CC45FC" w:rsidRDefault="004A7700">
      <w:pPr>
        <w:pStyle w:val="Text1"/>
        <w:ind w:left="0"/>
        <w:rPr>
          <w:rFonts w:ascii="Verdana" w:hAnsi="Verdana"/>
          <w:noProof/>
          <w:sz w:val="18"/>
          <w:lang w:eastAsia="ko-KR"/>
        </w:rPr>
      </w:pPr>
      <w:r>
        <w:rPr>
          <w:rFonts w:ascii="Verdana" w:eastAsia="Calibri" w:hAnsi="Verdana"/>
          <w:noProof/>
          <w:sz w:val="18"/>
          <w:szCs w:val="22"/>
        </w:rPr>
        <w:t xml:space="preserve">Errors result also from the fact that national or regional rules applied to Cohesion policy may be more demanding than those foreseen in the national legislation for similar expenditure nationally funded. </w:t>
      </w:r>
      <w:r>
        <w:rPr>
          <w:rFonts w:ascii="Verdana" w:hAnsi="Verdana"/>
          <w:noProof/>
          <w:sz w:val="18"/>
        </w:rPr>
        <w:t xml:space="preserve">Management verifications conducted by Member States continue to be a key issue. In particular the formal nature of management verifications, insufficient verifications of public procurement procedures, State aid or eligibility rules, insufficient structure / organisation of the managing authority or intermediate body and lack of training and supervision in case of delegation of responsibilities are the main issues. </w:t>
      </w:r>
      <w:r>
        <w:rPr>
          <w:rFonts w:ascii="Verdana" w:hAnsi="Verdana"/>
          <w:noProof/>
          <w:sz w:val="18"/>
          <w:lang w:eastAsia="ko-KR"/>
        </w:rPr>
        <w:t>The results of the audit work are used by the Commission to assess whether it can rely principally on the opinion of the Audit Authority with regards to the effective functioning of the systems.</w:t>
      </w:r>
    </w:p>
    <w:tbl>
      <w:tblPr>
        <w:tblStyle w:val="TableGrid"/>
        <w:tblW w:w="9322" w:type="dxa"/>
        <w:tblLook w:val="04A0" w:firstRow="1" w:lastRow="0" w:firstColumn="1" w:lastColumn="0" w:noHBand="0" w:noVBand="1"/>
      </w:tblPr>
      <w:tblGrid>
        <w:gridCol w:w="3369"/>
        <w:gridCol w:w="5953"/>
      </w:tblGrid>
      <w:tr w:rsidR="00CC45FC">
        <w:trPr>
          <w:trHeight w:val="963"/>
        </w:trPr>
        <w:tc>
          <w:tcPr>
            <w:tcW w:w="336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C45FC" w:rsidRDefault="004A7700">
            <w:pPr>
              <w:spacing w:after="60"/>
              <w:rPr>
                <w:rFonts w:ascii="Verdana" w:hAnsi="Verdana" w:cs="Calibri"/>
                <w:b/>
                <w:noProof/>
                <w:color w:val="000000" w:themeColor="text1"/>
                <w:sz w:val="18"/>
                <w:szCs w:val="18"/>
              </w:rPr>
            </w:pPr>
            <w:r>
              <w:rPr>
                <w:rFonts w:ascii="Verdana" w:hAnsi="Verdana" w:cs="Calibri"/>
                <w:b/>
                <w:noProof/>
                <w:color w:val="000000" w:themeColor="text1"/>
                <w:sz w:val="18"/>
                <w:szCs w:val="18"/>
              </w:rPr>
              <w:t xml:space="preserve">ESF main causes of errors: </w:t>
            </w:r>
          </w:p>
          <w:p w:rsidR="00CC45FC" w:rsidRDefault="004A7700">
            <w:pPr>
              <w:spacing w:after="60"/>
              <w:rPr>
                <w:rFonts w:ascii="Verdana" w:hAnsi="Verdana" w:cs="Calibri"/>
                <w:b/>
                <w:noProof/>
                <w:color w:val="000000" w:themeColor="text1"/>
                <w:sz w:val="18"/>
                <w:szCs w:val="18"/>
              </w:rPr>
            </w:pPr>
            <w:r>
              <w:rPr>
                <w:rFonts w:ascii="Verdana" w:hAnsi="Verdana" w:cs="Calibri"/>
                <w:b/>
                <w:noProof/>
                <w:color w:val="000000" w:themeColor="text1"/>
                <w:sz w:val="18"/>
                <w:szCs w:val="18"/>
              </w:rPr>
              <w:t>a) Ineligible costs</w:t>
            </w:r>
          </w:p>
          <w:p w:rsidR="00CC45FC" w:rsidRDefault="004A7700">
            <w:pPr>
              <w:spacing w:after="120"/>
              <w:rPr>
                <w:rFonts w:ascii="Verdana" w:hAnsi="Verdana"/>
                <w:b/>
                <w:i/>
                <w:noProof/>
                <w:sz w:val="20"/>
              </w:rPr>
            </w:pPr>
            <w:r>
              <w:rPr>
                <w:rFonts w:ascii="Verdana" w:hAnsi="Verdana" w:cs="Calibri"/>
                <w:b/>
                <w:noProof/>
                <w:color w:val="000000" w:themeColor="text1"/>
                <w:sz w:val="18"/>
                <w:szCs w:val="18"/>
              </w:rPr>
              <w:t>b) Ineligible projects or beneficiaries</w:t>
            </w:r>
          </w:p>
        </w:tc>
        <w:tc>
          <w:tcPr>
            <w:tcW w:w="5953" w:type="dxa"/>
            <w:tcBorders>
              <w:top w:val="nil"/>
              <w:left w:val="single" w:sz="12" w:space="0" w:color="auto"/>
              <w:bottom w:val="nil"/>
              <w:right w:val="nil"/>
            </w:tcBorders>
          </w:tcPr>
          <w:p w:rsidR="00CC45FC" w:rsidRDefault="004A7700">
            <w:pPr>
              <w:spacing w:after="120" w:line="240" w:lineRule="auto"/>
              <w:jc w:val="both"/>
              <w:rPr>
                <w:rFonts w:ascii="Verdana" w:hAnsi="Verdana"/>
                <w:b/>
                <w:i/>
                <w:noProof/>
                <w:sz w:val="20"/>
              </w:rPr>
            </w:pPr>
            <w:r>
              <w:rPr>
                <w:rFonts w:ascii="Verdana" w:hAnsi="Verdana"/>
                <w:noProof/>
                <w:sz w:val="18"/>
                <w:lang w:eastAsia="ko-KR"/>
              </w:rPr>
              <w:t>As regards ESF, ineligible costs</w:t>
            </w:r>
            <w:r>
              <w:rPr>
                <w:rFonts w:ascii="Verdana" w:eastAsia="Calibri" w:hAnsi="Verdana"/>
                <w:noProof/>
                <w:sz w:val="18"/>
              </w:rPr>
              <w:t xml:space="preserve"> continues to be the main source of error, together with ineligible projects / beneficiaries and then public procurement issues. The Commission has initiated targeted measures to address root causes of errors in these areas. </w:t>
            </w:r>
            <w:r>
              <w:rPr>
                <w:rFonts w:ascii="Verdana" w:hAnsi="Verdana"/>
                <w:noProof/>
                <w:sz w:val="18"/>
                <w:lang w:eastAsia="ko-KR"/>
              </w:rPr>
              <w:t>Audit missions performed in 2015 focused on the following main topics:</w:t>
            </w:r>
          </w:p>
        </w:tc>
      </w:tr>
    </w:tbl>
    <w:p w:rsidR="00CC45FC" w:rsidRDefault="004A7700">
      <w:pPr>
        <w:pStyle w:val="ListParagraph"/>
        <w:numPr>
          <w:ilvl w:val="0"/>
          <w:numId w:val="51"/>
        </w:numPr>
        <w:spacing w:before="120" w:after="0"/>
        <w:ind w:left="426" w:hanging="219"/>
        <w:contextualSpacing w:val="0"/>
        <w:rPr>
          <w:rFonts w:ascii="Verdana" w:hAnsi="Verdana"/>
          <w:noProof/>
          <w:sz w:val="18"/>
        </w:rPr>
      </w:pPr>
      <w:r>
        <w:rPr>
          <w:rFonts w:ascii="Verdana" w:hAnsi="Verdana"/>
          <w:noProof/>
          <w:sz w:val="18"/>
        </w:rPr>
        <w:t>Following-up on the reception of the 2014 ACRs.</w:t>
      </w:r>
    </w:p>
    <w:p w:rsidR="00CC45FC" w:rsidRDefault="004A7700">
      <w:pPr>
        <w:pStyle w:val="ListParagraph"/>
        <w:numPr>
          <w:ilvl w:val="0"/>
          <w:numId w:val="51"/>
        </w:numPr>
        <w:spacing w:before="120" w:after="0"/>
        <w:ind w:left="426" w:hanging="219"/>
        <w:contextualSpacing w:val="0"/>
        <w:rPr>
          <w:rFonts w:ascii="Verdana" w:hAnsi="Verdana"/>
          <w:noProof/>
          <w:sz w:val="18"/>
        </w:rPr>
      </w:pPr>
      <w:r>
        <w:rPr>
          <w:rFonts w:ascii="Verdana" w:hAnsi="Verdana"/>
          <w:noProof/>
          <w:sz w:val="18"/>
        </w:rPr>
        <w:t>The thematic audit on management verifications, already applied in 2013 and 2014, has been pursued in 2015 with 9 additional missions. Recommendations and, where applicable, interruption and suspension procedures have been initiated for those programmes showing areas of non-compliance or weak verifications.</w:t>
      </w:r>
    </w:p>
    <w:p w:rsidR="00CC45FC" w:rsidRDefault="004A7700">
      <w:pPr>
        <w:pStyle w:val="ListParagraph"/>
        <w:numPr>
          <w:ilvl w:val="0"/>
          <w:numId w:val="51"/>
        </w:numPr>
        <w:spacing w:before="120" w:after="0"/>
        <w:ind w:left="426" w:hanging="219"/>
        <w:contextualSpacing w:val="0"/>
        <w:rPr>
          <w:rFonts w:ascii="Verdana" w:hAnsi="Verdana"/>
          <w:noProof/>
          <w:sz w:val="18"/>
        </w:rPr>
      </w:pPr>
      <w:r>
        <w:rPr>
          <w:rFonts w:ascii="Verdana" w:hAnsi="Verdana"/>
          <w:noProof/>
          <w:sz w:val="18"/>
        </w:rPr>
        <w:t>For 20 programmes in the 2014 AAR reservation, an audit mission was performed in 2015.</w:t>
      </w:r>
    </w:p>
    <w:p w:rsidR="00CC45FC" w:rsidRDefault="004A7700">
      <w:pPr>
        <w:pStyle w:val="ListParagraph"/>
        <w:numPr>
          <w:ilvl w:val="0"/>
          <w:numId w:val="51"/>
        </w:numPr>
        <w:spacing w:before="120" w:after="0"/>
        <w:ind w:left="426" w:hanging="219"/>
        <w:contextualSpacing w:val="0"/>
        <w:rPr>
          <w:rFonts w:ascii="Verdana" w:hAnsi="Verdana"/>
          <w:noProof/>
          <w:sz w:val="18"/>
        </w:rPr>
      </w:pPr>
      <w:r>
        <w:rPr>
          <w:rFonts w:ascii="Verdana" w:hAnsi="Verdana"/>
          <w:noProof/>
          <w:sz w:val="18"/>
        </w:rPr>
        <w:t xml:space="preserve">In 2015, 6 ACR re-performance and 2 Article 73 audit missions took place. </w:t>
      </w:r>
    </w:p>
    <w:p w:rsidR="00CC45FC" w:rsidRDefault="004A7700">
      <w:pPr>
        <w:autoSpaceDE w:val="0"/>
        <w:autoSpaceDN w:val="0"/>
        <w:adjustRightInd w:val="0"/>
        <w:spacing w:before="240" w:after="360" w:line="240" w:lineRule="auto"/>
        <w:jc w:val="both"/>
        <w:rPr>
          <w:rFonts w:ascii="Verdana" w:hAnsi="Verdana"/>
          <w:noProof/>
          <w:color w:val="000000" w:themeColor="text1"/>
          <w:sz w:val="20"/>
          <w:szCs w:val="20"/>
          <w:lang w:eastAsia="en-GB"/>
        </w:rPr>
      </w:pPr>
      <w:r>
        <w:rPr>
          <w:rFonts w:ascii="Verdana" w:hAnsi="Verdana"/>
          <w:noProof/>
          <w:sz w:val="18"/>
          <w:szCs w:val="20"/>
        </w:rPr>
        <w:t xml:space="preserve">The 2015 AAR of MARE contains a reservation due to deficiencies in the management and control systems of the following </w:t>
      </w:r>
      <w:r>
        <w:rPr>
          <w:rFonts w:ascii="Verdana" w:hAnsi="Verdana"/>
          <w:b/>
          <w:bCs/>
          <w:noProof/>
          <w:sz w:val="18"/>
          <w:szCs w:val="20"/>
        </w:rPr>
        <w:t xml:space="preserve">EFF </w:t>
      </w:r>
      <w:r>
        <w:rPr>
          <w:rFonts w:ascii="Verdana" w:hAnsi="Verdana"/>
          <w:noProof/>
          <w:sz w:val="18"/>
          <w:szCs w:val="20"/>
        </w:rPr>
        <w:t>operational programmes: the Czech Republic, Italy, Romania, Slovakia and Spain (Galicia only). Italy had not submitted its ACR; Galicia is the subject of a scope limitation. The remaining operational programmes were all affected by material error, as reported in the ACRs. The Member States have all been notified of the results of the Commission's analysis of the ACRs. Interruption letters have been sent to affected Member States where a claim is pending, specifying the necessary corrective action to be taken to allow payments to resume.</w:t>
      </w:r>
    </w:p>
    <w:p w:rsidR="00CC45FC" w:rsidRDefault="004A7700">
      <w:pPr>
        <w:pStyle w:val="ManualHeading2"/>
        <w:rPr>
          <w:i/>
          <w:noProof/>
        </w:rPr>
      </w:pPr>
      <w:bookmarkStart w:id="126" w:name="_Toc453328859"/>
      <w:bookmarkStart w:id="127" w:name="_Toc456258174"/>
      <w:bookmarkStart w:id="128" w:name="_Toc456686582"/>
      <w:bookmarkEnd w:id="126"/>
      <w:r>
        <w:t>5.4.</w:t>
      </w:r>
      <w:r>
        <w:tab/>
      </w:r>
      <w:r>
        <w:rPr>
          <w:noProof/>
        </w:rPr>
        <w:t>Cumulative figures</w:t>
      </w:r>
      <w:bookmarkEnd w:id="127"/>
      <w:bookmarkEnd w:id="128"/>
    </w:p>
    <w:p w:rsidR="00CC45FC" w:rsidRDefault="004A7700">
      <w:pPr>
        <w:spacing w:before="240" w:after="120"/>
        <w:jc w:val="both"/>
        <w:rPr>
          <w:rFonts w:ascii="Verdana" w:hAnsi="Verdana"/>
          <w:i/>
          <w:noProof/>
          <w:sz w:val="20"/>
        </w:rPr>
      </w:pPr>
      <w:r>
        <w:rPr>
          <w:rFonts w:ascii="Verdana" w:hAnsi="Verdana"/>
          <w:i/>
          <w:noProof/>
          <w:sz w:val="20"/>
        </w:rPr>
        <w:t>5.4.1</w:t>
      </w:r>
      <w:r>
        <w:rPr>
          <w:rFonts w:ascii="Verdana" w:hAnsi="Verdana"/>
          <w:i/>
          <w:noProof/>
          <w:sz w:val="20"/>
        </w:rPr>
        <w:tab/>
        <w:t>Cohesion Policy: ERDF &amp; ESF 2000-2006</w:t>
      </w:r>
    </w:p>
    <w:tbl>
      <w:tblPr>
        <w:tblStyle w:val="TableGrid"/>
        <w:tblW w:w="960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487"/>
        <w:gridCol w:w="3119"/>
      </w:tblGrid>
      <w:tr w:rsidR="00CC45FC">
        <w:trPr>
          <w:trHeight w:val="1105"/>
        </w:trPr>
        <w:tc>
          <w:tcPr>
            <w:tcW w:w="6487" w:type="dxa"/>
            <w:tcBorders>
              <w:right w:val="single" w:sz="12" w:space="0" w:color="auto"/>
            </w:tcBorders>
          </w:tcPr>
          <w:p w:rsidR="00CC45FC" w:rsidRDefault="004A7700">
            <w:pPr>
              <w:spacing w:line="240" w:lineRule="auto"/>
              <w:jc w:val="both"/>
              <w:rPr>
                <w:rFonts w:ascii="Verdana" w:hAnsi="Verdana"/>
                <w:noProof/>
                <w:sz w:val="18"/>
              </w:rPr>
            </w:pPr>
            <w:r>
              <w:rPr>
                <w:rFonts w:ascii="Verdana" w:hAnsi="Verdana"/>
                <w:noProof/>
                <w:sz w:val="18"/>
              </w:rPr>
              <w:t>As the closure of the 2000-2006 period is in the completion stage, a useful comparison of the overall results of the corrective actions with the total monies spent can be made and thus a more complete view of the impact of corrective mechanisms is possible</w:t>
            </w:r>
            <w:r>
              <w:rPr>
                <w:rStyle w:val="FootnoteReference"/>
                <w:rFonts w:ascii="Verdana" w:hAnsi="Verdana"/>
                <w:noProof/>
                <w:sz w:val="18"/>
              </w:rPr>
              <w:footnoteReference w:id="23"/>
            </w:r>
            <w:r>
              <w:rPr>
                <w:rFonts w:ascii="Verdana" w:hAnsi="Verdana"/>
                <w:noProof/>
                <w:sz w:val="18"/>
              </w:rPr>
              <w:t xml:space="preserve">. </w:t>
            </w:r>
          </w:p>
        </w:tc>
        <w:tc>
          <w:tcPr>
            <w:tcW w:w="3119"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C45FC" w:rsidRDefault="004A7700">
            <w:pPr>
              <w:spacing w:line="240" w:lineRule="auto"/>
              <w:rPr>
                <w:rFonts w:ascii="Verdana" w:hAnsi="Verdana"/>
                <w:noProof/>
                <w:sz w:val="18"/>
              </w:rPr>
            </w:pPr>
            <w:r>
              <w:rPr>
                <w:rFonts w:ascii="Verdana" w:hAnsi="Verdana" w:cs="Calibri"/>
                <w:b/>
                <w:noProof/>
                <w:color w:val="000000" w:themeColor="text1"/>
                <w:sz w:val="18"/>
                <w:szCs w:val="18"/>
              </w:rPr>
              <w:t>Cumulative corrections 4.2 % of budget allocations</w:t>
            </w:r>
          </w:p>
        </w:tc>
      </w:tr>
    </w:tbl>
    <w:p w:rsidR="00CC45FC" w:rsidRDefault="004A7700">
      <w:pPr>
        <w:spacing w:before="120" w:after="120" w:line="240" w:lineRule="auto"/>
        <w:jc w:val="both"/>
        <w:rPr>
          <w:rFonts w:ascii="Verdana" w:hAnsi="Verdana"/>
          <w:noProof/>
          <w:sz w:val="18"/>
        </w:rPr>
      </w:pPr>
      <w:r>
        <w:rPr>
          <w:rFonts w:ascii="Verdana" w:hAnsi="Verdana"/>
          <w:noProof/>
          <w:sz w:val="18"/>
        </w:rPr>
        <w:t>For the ERDF and ESF funds at the end of 2015, the combined amount of financial corrections, based on Commission supervision work only, was EUR 7 784 million.</w:t>
      </w:r>
    </w:p>
    <w:p w:rsidR="00CC45FC" w:rsidRDefault="004A7700">
      <w:pPr>
        <w:rPr>
          <w:noProof/>
        </w:rPr>
      </w:pPr>
      <w:r>
        <w:rPr>
          <w:noProof/>
        </w:rPr>
        <w:br w:type="page"/>
      </w:r>
    </w:p>
    <w:tbl>
      <w:tblPr>
        <w:tblW w:w="9606" w:type="dxa"/>
        <w:tblInd w:w="-34" w:type="dxa"/>
        <w:tblLook w:val="04A0" w:firstRow="1" w:lastRow="0" w:firstColumn="1" w:lastColumn="0" w:noHBand="0" w:noVBand="1"/>
      </w:tblPr>
      <w:tblGrid>
        <w:gridCol w:w="9606"/>
      </w:tblGrid>
      <w:tr w:rsidR="00CC45FC">
        <w:trPr>
          <w:trHeight w:val="255"/>
        </w:trPr>
        <w:tc>
          <w:tcPr>
            <w:tcW w:w="9606" w:type="dxa"/>
            <w:tcBorders>
              <w:top w:val="nil"/>
              <w:left w:val="nil"/>
              <w:bottom w:val="nil"/>
              <w:right w:val="nil"/>
            </w:tcBorders>
            <w:shd w:val="clear" w:color="auto" w:fill="auto"/>
            <w:noWrap/>
            <w:vAlign w:val="center"/>
            <w:hideMark/>
          </w:tcPr>
          <w:tbl>
            <w:tblPr>
              <w:tblW w:w="9390" w:type="dxa"/>
              <w:tblLook w:val="04A0" w:firstRow="1" w:lastRow="0" w:firstColumn="1" w:lastColumn="0" w:noHBand="0" w:noVBand="1"/>
            </w:tblPr>
            <w:tblGrid>
              <w:gridCol w:w="1735"/>
              <w:gridCol w:w="1134"/>
              <w:gridCol w:w="1134"/>
              <w:gridCol w:w="1276"/>
              <w:gridCol w:w="992"/>
              <w:gridCol w:w="993"/>
              <w:gridCol w:w="1134"/>
              <w:gridCol w:w="992"/>
            </w:tblGrid>
            <w:tr w:rsidR="00CC45FC">
              <w:trPr>
                <w:trHeight w:val="255"/>
              </w:trPr>
              <w:tc>
                <w:tcPr>
                  <w:tcW w:w="9390" w:type="dxa"/>
                  <w:gridSpan w:val="8"/>
                  <w:tcBorders>
                    <w:top w:val="nil"/>
                    <w:left w:val="nil"/>
                    <w:bottom w:val="nil"/>
                    <w:right w:val="nil"/>
                  </w:tcBorders>
                  <w:shd w:val="clear" w:color="auto" w:fill="auto"/>
                  <w:noWrap/>
                  <w:vAlign w:val="center"/>
                  <w:hideMark/>
                </w:tcPr>
                <w:p w:rsidR="00CC45FC" w:rsidRDefault="004A7700">
                  <w:pPr>
                    <w:spacing w:after="0" w:line="240" w:lineRule="auto"/>
                    <w:jc w:val="both"/>
                    <w:rPr>
                      <w:rFonts w:ascii="Verdana" w:eastAsia="Times New Roman" w:hAnsi="Verdana"/>
                      <w:b/>
                      <w:bCs/>
                      <w:i/>
                      <w:iCs/>
                      <w:noProof/>
                      <w:color w:val="000000"/>
                      <w:sz w:val="20"/>
                      <w:szCs w:val="20"/>
                      <w:lang w:eastAsia="en-GB"/>
                    </w:rPr>
                  </w:pPr>
                  <w:r>
                    <w:rPr>
                      <w:rFonts w:ascii="Verdana" w:eastAsia="Times New Roman" w:hAnsi="Verdana"/>
                      <w:b/>
                      <w:bCs/>
                      <w:i/>
                      <w:iCs/>
                      <w:noProof/>
                      <w:color w:val="000000"/>
                      <w:sz w:val="20"/>
                      <w:szCs w:val="20"/>
                      <w:lang w:eastAsia="en-GB"/>
                    </w:rPr>
                    <w:t>Table 5.4.1: Programming period 2000-2006 - ERDF &amp; ESF Financial corrections confirmed and in progress at 31 December 2015; Breakdown by Member State</w:t>
                  </w:r>
                </w:p>
              </w:tc>
            </w:tr>
            <w:tr w:rsidR="00CC45FC">
              <w:trPr>
                <w:trHeight w:val="270"/>
              </w:trPr>
              <w:tc>
                <w:tcPr>
                  <w:tcW w:w="9390" w:type="dxa"/>
                  <w:gridSpan w:val="8"/>
                  <w:tcBorders>
                    <w:top w:val="nil"/>
                    <w:left w:val="nil"/>
                    <w:bottom w:val="single" w:sz="8" w:space="0" w:color="auto"/>
                    <w:right w:val="nil"/>
                  </w:tcBorders>
                  <w:shd w:val="clear" w:color="auto" w:fill="auto"/>
                  <w:noWrap/>
                  <w:vAlign w:val="bottom"/>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EUR millions</w:t>
                  </w:r>
                </w:p>
              </w:tc>
            </w:tr>
            <w:tr w:rsidR="00CC45FC">
              <w:trPr>
                <w:trHeight w:val="1499"/>
              </w:trPr>
              <w:tc>
                <w:tcPr>
                  <w:tcW w:w="1735" w:type="dxa"/>
                  <w:tcBorders>
                    <w:top w:val="nil"/>
                    <w:left w:val="single" w:sz="8" w:space="0" w:color="auto"/>
                    <w:bottom w:val="single" w:sz="8" w:space="0" w:color="auto"/>
                    <w:right w:val="nil"/>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Member State</w:t>
                  </w:r>
                </w:p>
              </w:tc>
              <w:tc>
                <w:tcPr>
                  <w:tcW w:w="1134" w:type="dxa"/>
                  <w:tcBorders>
                    <w:top w:val="nil"/>
                    <w:left w:val="single" w:sz="8" w:space="0" w:color="auto"/>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ERDF+ESF contribution amount</w:t>
                  </w:r>
                </w:p>
              </w:tc>
              <w:tc>
                <w:tcPr>
                  <w:tcW w:w="1134" w:type="dxa"/>
                  <w:tcBorders>
                    <w:top w:val="nil"/>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 of contribution amount to total contributions</w:t>
                  </w:r>
                </w:p>
              </w:tc>
              <w:tc>
                <w:tcPr>
                  <w:tcW w:w="1276" w:type="dxa"/>
                  <w:tcBorders>
                    <w:top w:val="nil"/>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Financial corrections confirmed</w:t>
                  </w:r>
                </w:p>
              </w:tc>
              <w:tc>
                <w:tcPr>
                  <w:tcW w:w="992" w:type="dxa"/>
                  <w:tcBorders>
                    <w:top w:val="nil"/>
                    <w:left w:val="nil"/>
                    <w:bottom w:val="single" w:sz="8" w:space="0" w:color="auto"/>
                    <w:right w:val="nil"/>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Financial corrections in progress (closure letters sent)</w:t>
                  </w:r>
                </w:p>
              </w:tc>
              <w:tc>
                <w:tcPr>
                  <w:tcW w:w="993" w:type="dxa"/>
                  <w:tcBorders>
                    <w:top w:val="nil"/>
                    <w:left w:val="single" w:sz="8" w:space="0" w:color="auto"/>
                    <w:bottom w:val="single" w:sz="8" w:space="0" w:color="auto"/>
                    <w:right w:val="nil"/>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Total financial corrections imposed for 2000-2006</w:t>
                  </w:r>
                </w:p>
              </w:tc>
              <w:tc>
                <w:tcPr>
                  <w:tcW w:w="1134" w:type="dxa"/>
                  <w:tcBorders>
                    <w:top w:val="nil"/>
                    <w:left w:val="single" w:sz="8" w:space="0" w:color="auto"/>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Percentage of financial corrections in relation to the ERDF+ESF contributions</w:t>
                  </w:r>
                </w:p>
              </w:tc>
              <w:tc>
                <w:tcPr>
                  <w:tcW w:w="992" w:type="dxa"/>
                  <w:tcBorders>
                    <w:top w:val="nil"/>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Share of financial corrections imposed compared to total financial corrections</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Belgium</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1 945</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1.0%</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19</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19</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1.0%</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0.2%</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Czech Republic</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1 456</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0.7%</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6</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6</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0.4%</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0.1%</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Denmark</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570</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0.3%</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0.1%</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0.0%</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Germany</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26 960</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13.7%</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53</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54</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0.2%</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0.7%</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Estonia</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305</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0.2%</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0.5%</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Ireland</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3 067</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1.6%</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36</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36</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1.2%</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0.4%</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Greece</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20 211</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10.3%</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1 212</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1 212</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6.0%</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14.8%</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Spain</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40 686</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20.7%</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3 494</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28</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3 522</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8.7%</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43.0%</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France</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14 825</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7.5%</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482</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482</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3.3%</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5.9%</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Italy</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27 501</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14.0%</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1 588</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373</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1 961</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7.1%</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24.0%</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Cyprus</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53</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0.0%</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val="pt-PT" w:eastAsia="en-GB"/>
                    </w:rPr>
                  </w:pPr>
                  <w:r>
                    <w:rPr>
                      <w:rFonts w:ascii="Verdana" w:eastAsia="Times New Roman" w:hAnsi="Verdana"/>
                      <w:noProof/>
                      <w:color w:val="000000"/>
                      <w:sz w:val="16"/>
                      <w:szCs w:val="16"/>
                      <w:lang w:val="pt-PT" w:eastAsia="en-GB"/>
                    </w:rPr>
                    <w:t>Latvia</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val="pt-PT" w:eastAsia="en-GB"/>
                    </w:rPr>
                  </w:pPr>
                  <w:r>
                    <w:rPr>
                      <w:rFonts w:ascii="Verdana" w:eastAsia="Times New Roman" w:hAnsi="Verdana"/>
                      <w:noProof/>
                      <w:color w:val="000000"/>
                      <w:sz w:val="16"/>
                      <w:szCs w:val="16"/>
                      <w:lang w:val="pt-PT" w:eastAsia="en-GB"/>
                    </w:rPr>
                    <w:t xml:space="preserve"> 518</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val="pt-PT" w:eastAsia="en-GB"/>
                    </w:rPr>
                  </w:pPr>
                  <w:r>
                    <w:rPr>
                      <w:rFonts w:ascii="Verdana" w:eastAsia="Times New Roman" w:hAnsi="Verdana"/>
                      <w:i/>
                      <w:iCs/>
                      <w:noProof/>
                      <w:color w:val="000000"/>
                      <w:sz w:val="16"/>
                      <w:szCs w:val="16"/>
                      <w:lang w:val="pt-PT" w:eastAsia="en-GB"/>
                    </w:rPr>
                    <w:t>0.3%</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0.8%</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val="pt-PT" w:eastAsia="en-GB"/>
                    </w:rPr>
                  </w:pPr>
                  <w:r>
                    <w:rPr>
                      <w:rFonts w:ascii="Verdana" w:eastAsia="Times New Roman" w:hAnsi="Verdana"/>
                      <w:noProof/>
                      <w:color w:val="000000"/>
                      <w:sz w:val="16"/>
                      <w:szCs w:val="16"/>
                      <w:lang w:val="pt-PT" w:eastAsia="en-GB"/>
                    </w:rPr>
                    <w:t>Lithuania</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val="pt-PT" w:eastAsia="en-GB"/>
                    </w:rPr>
                  </w:pPr>
                  <w:r>
                    <w:rPr>
                      <w:rFonts w:ascii="Verdana" w:eastAsia="Times New Roman" w:hAnsi="Verdana"/>
                      <w:noProof/>
                      <w:color w:val="000000"/>
                      <w:sz w:val="16"/>
                      <w:szCs w:val="16"/>
                      <w:lang w:val="pt-PT" w:eastAsia="en-GB"/>
                    </w:rPr>
                    <w:t xml:space="preserve"> 773</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val="pt-PT" w:eastAsia="en-GB"/>
                    </w:rPr>
                  </w:pPr>
                  <w:r>
                    <w:rPr>
                      <w:rFonts w:ascii="Verdana" w:eastAsia="Times New Roman" w:hAnsi="Verdana"/>
                      <w:i/>
                      <w:iCs/>
                      <w:noProof/>
                      <w:color w:val="000000"/>
                      <w:sz w:val="16"/>
                      <w:szCs w:val="16"/>
                      <w:lang w:val="pt-PT" w:eastAsia="en-GB"/>
                    </w:rPr>
                    <w:t>0.4%</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3</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3</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0.3%</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val="pt-PT" w:eastAsia="en-GB"/>
                    </w:rPr>
                  </w:pPr>
                  <w:r>
                    <w:rPr>
                      <w:rFonts w:ascii="Verdana" w:eastAsia="Times New Roman" w:hAnsi="Verdana"/>
                      <w:noProof/>
                      <w:color w:val="000000"/>
                      <w:sz w:val="16"/>
                      <w:szCs w:val="16"/>
                      <w:lang w:val="pt-PT" w:eastAsia="en-GB"/>
                    </w:rPr>
                    <w:t>Luxembourg</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val="pt-PT" w:eastAsia="en-GB"/>
                    </w:rPr>
                  </w:pPr>
                  <w:r>
                    <w:rPr>
                      <w:rFonts w:ascii="Verdana" w:eastAsia="Times New Roman" w:hAnsi="Verdana"/>
                      <w:noProof/>
                      <w:color w:val="000000"/>
                      <w:sz w:val="16"/>
                      <w:szCs w:val="16"/>
                      <w:lang w:val="pt-PT" w:eastAsia="en-GB"/>
                    </w:rPr>
                    <w:t xml:space="preserve"> 71</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val="pt-PT" w:eastAsia="en-GB"/>
                    </w:rPr>
                  </w:pPr>
                  <w:r>
                    <w:rPr>
                      <w:rFonts w:ascii="Verdana" w:eastAsia="Times New Roman" w:hAnsi="Verdana"/>
                      <w:i/>
                      <w:iCs/>
                      <w:noProof/>
                      <w:color w:val="000000"/>
                      <w:sz w:val="16"/>
                      <w:szCs w:val="16"/>
                      <w:lang w:val="pt-PT" w:eastAsia="en-GB"/>
                    </w:rPr>
                    <w:t>0.0%</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2.6%</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val="pt-PT" w:eastAsia="en-GB"/>
                    </w:rPr>
                    <w:t>Hunga</w:t>
                  </w:r>
                  <w:r>
                    <w:rPr>
                      <w:rFonts w:ascii="Verdana" w:eastAsia="Times New Roman" w:hAnsi="Verdana"/>
                      <w:noProof/>
                      <w:color w:val="000000"/>
                      <w:sz w:val="16"/>
                      <w:szCs w:val="16"/>
                      <w:lang w:eastAsia="en-GB"/>
                    </w:rPr>
                    <w:t>ry</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1 695</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0.9%</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13</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13</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0.8%</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0.2%</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Malta</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57</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0.0%</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Netherlands</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2 702</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1.4%</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44</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44</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1.6%</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0.5%</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Austria</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1 647</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0.8%</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0.2%</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0.1%</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Poland</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7 032</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3.6%</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180</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180</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2.6%</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2.2%</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Portugal</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18 178</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9.2%</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190</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190</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1.0%</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2.3%</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Slovenia</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 xml:space="preserve"> 215</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0.1%</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0.9%</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Slovakia</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1 245</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0.6%</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45</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45</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3.6%</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0.5%</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Finland</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1 789</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0.9%</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Sweden</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1 634</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0.8%</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12</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12</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0.7%</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0.1%</w:t>
                  </w:r>
                </w:p>
              </w:tc>
            </w:tr>
            <w:tr w:rsidR="00CC45FC">
              <w:trPr>
                <w:trHeight w:val="227"/>
              </w:trPr>
              <w:tc>
                <w:tcPr>
                  <w:tcW w:w="1735" w:type="dxa"/>
                  <w:tcBorders>
                    <w:top w:val="nil"/>
                    <w:left w:val="single" w:sz="8" w:space="0" w:color="auto"/>
                    <w:bottom w:val="nil"/>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United Kingdom</w:t>
                  </w:r>
                </w:p>
              </w:tc>
              <w:tc>
                <w:tcPr>
                  <w:tcW w:w="1134"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16 129</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8.2%</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324</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324</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2.0%</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4.0%</w:t>
                  </w:r>
                </w:p>
              </w:tc>
            </w:tr>
            <w:tr w:rsidR="00CC45FC">
              <w:trPr>
                <w:trHeight w:val="227"/>
              </w:trPr>
              <w:tc>
                <w:tcPr>
                  <w:tcW w:w="1735" w:type="dxa"/>
                  <w:tcBorders>
                    <w:top w:val="nil"/>
                    <w:left w:val="single" w:sz="8" w:space="0" w:color="auto"/>
                    <w:bottom w:val="single" w:sz="8" w:space="0" w:color="auto"/>
                    <w:right w:val="nil"/>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Interreg</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5 645</w:t>
                  </w:r>
                </w:p>
              </w:tc>
              <w:tc>
                <w:tcPr>
                  <w:tcW w:w="1134" w:type="dxa"/>
                  <w:tcBorders>
                    <w:top w:val="nil"/>
                    <w:left w:val="nil"/>
                    <w:bottom w:val="nil"/>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2.9%</w:t>
                  </w:r>
                </w:p>
              </w:tc>
              <w:tc>
                <w:tcPr>
                  <w:tcW w:w="1276"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69</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993"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69</w:t>
                  </w:r>
                </w:p>
              </w:tc>
              <w:tc>
                <w:tcPr>
                  <w:tcW w:w="1134"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1.2%</w:t>
                  </w:r>
                </w:p>
              </w:tc>
              <w:tc>
                <w:tcPr>
                  <w:tcW w:w="99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0.8%</w:t>
                  </w:r>
                </w:p>
              </w:tc>
            </w:tr>
            <w:tr w:rsidR="00CC45FC">
              <w:trPr>
                <w:trHeight w:val="227"/>
              </w:trPr>
              <w:tc>
                <w:tcPr>
                  <w:tcW w:w="1735" w:type="dxa"/>
                  <w:tcBorders>
                    <w:top w:val="nil"/>
                    <w:left w:val="single" w:sz="8" w:space="0" w:color="auto"/>
                    <w:bottom w:val="single" w:sz="8" w:space="0" w:color="auto"/>
                    <w:right w:val="nil"/>
                  </w:tcBorders>
                  <w:shd w:val="clear" w:color="auto" w:fill="auto"/>
                  <w:noWrap/>
                  <w:vAlign w:val="center"/>
                  <w:hideMark/>
                </w:tcPr>
                <w:p w:rsidR="00CC45FC" w:rsidRDefault="004A7700">
                  <w:pPr>
                    <w:spacing w:after="0" w:line="240" w:lineRule="auto"/>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Total</w:t>
                  </w:r>
                </w:p>
              </w:tc>
              <w:tc>
                <w:tcPr>
                  <w:tcW w:w="1134" w:type="dxa"/>
                  <w:tcBorders>
                    <w:top w:val="nil"/>
                    <w:left w:val="single" w:sz="8" w:space="0" w:color="auto"/>
                    <w:bottom w:val="single" w:sz="8" w:space="0" w:color="auto"/>
                    <w:right w:val="single" w:sz="8" w:space="0" w:color="auto"/>
                  </w:tcBorders>
                  <w:shd w:val="clear" w:color="auto" w:fill="auto"/>
                  <w:noWrap/>
                  <w:vAlign w:val="center"/>
                  <w:hideMark/>
                </w:tcPr>
                <w:p w:rsidR="00CC45FC" w:rsidRDefault="004A7700">
                  <w:pPr>
                    <w:spacing w:after="0" w:line="240" w:lineRule="auto"/>
                    <w:jc w:val="right"/>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196 911</w:t>
                  </w:r>
                </w:p>
              </w:tc>
              <w:tc>
                <w:tcPr>
                  <w:tcW w:w="1134" w:type="dxa"/>
                  <w:tcBorders>
                    <w:top w:val="single" w:sz="8" w:space="0" w:color="auto"/>
                    <w:left w:val="nil"/>
                    <w:bottom w:val="single" w:sz="8" w:space="0" w:color="auto"/>
                    <w:right w:val="single" w:sz="8" w:space="0" w:color="auto"/>
                  </w:tcBorders>
                  <w:shd w:val="clear" w:color="auto" w:fill="auto"/>
                  <w:vAlign w:val="center"/>
                  <w:hideMark/>
                </w:tcPr>
                <w:p w:rsidR="00CC45FC" w:rsidRDefault="004A7700">
                  <w:pPr>
                    <w:spacing w:after="0" w:line="240" w:lineRule="auto"/>
                    <w:jc w:val="right"/>
                    <w:rPr>
                      <w:rFonts w:ascii="Verdana" w:eastAsia="Times New Roman" w:hAnsi="Verdana"/>
                      <w:b/>
                      <w:bCs/>
                      <w:i/>
                      <w:iCs/>
                      <w:noProof/>
                      <w:color w:val="000000"/>
                      <w:sz w:val="16"/>
                      <w:szCs w:val="16"/>
                      <w:lang w:eastAsia="en-GB"/>
                    </w:rPr>
                  </w:pPr>
                  <w:r>
                    <w:rPr>
                      <w:rFonts w:ascii="Verdana" w:eastAsia="Times New Roman" w:hAnsi="Verdana"/>
                      <w:b/>
                      <w:bCs/>
                      <w:i/>
                      <w:iCs/>
                      <w:noProof/>
                      <w:color w:val="000000"/>
                      <w:sz w:val="16"/>
                      <w:szCs w:val="16"/>
                      <w:lang w:eastAsia="en-GB"/>
                    </w:rPr>
                    <w:t>100.0%</w:t>
                  </w:r>
                </w:p>
              </w:tc>
              <w:tc>
                <w:tcPr>
                  <w:tcW w:w="1276" w:type="dxa"/>
                  <w:tcBorders>
                    <w:top w:val="single" w:sz="8" w:space="0" w:color="auto"/>
                    <w:left w:val="nil"/>
                    <w:bottom w:val="single" w:sz="8" w:space="0" w:color="auto"/>
                    <w:right w:val="single" w:sz="8" w:space="0" w:color="auto"/>
                  </w:tcBorders>
                  <w:shd w:val="clear" w:color="auto" w:fill="auto"/>
                  <w:noWrap/>
                  <w:vAlign w:val="center"/>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7 784</w:t>
                  </w:r>
                </w:p>
              </w:tc>
              <w:tc>
                <w:tcPr>
                  <w:tcW w:w="992" w:type="dxa"/>
                  <w:tcBorders>
                    <w:top w:val="single" w:sz="8" w:space="0" w:color="auto"/>
                    <w:left w:val="nil"/>
                    <w:bottom w:val="single" w:sz="8" w:space="0" w:color="auto"/>
                    <w:right w:val="single" w:sz="8" w:space="0" w:color="auto"/>
                  </w:tcBorders>
                  <w:shd w:val="clear" w:color="auto" w:fill="auto"/>
                  <w:noWrap/>
                  <w:vAlign w:val="center"/>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403</w:t>
                  </w:r>
                </w:p>
              </w:tc>
              <w:tc>
                <w:tcPr>
                  <w:tcW w:w="993" w:type="dxa"/>
                  <w:tcBorders>
                    <w:top w:val="single" w:sz="8" w:space="0" w:color="auto"/>
                    <w:left w:val="nil"/>
                    <w:bottom w:val="single" w:sz="8" w:space="0" w:color="auto"/>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8 187</w:t>
                  </w:r>
                </w:p>
              </w:tc>
              <w:tc>
                <w:tcPr>
                  <w:tcW w:w="1134" w:type="dxa"/>
                  <w:tcBorders>
                    <w:top w:val="single" w:sz="8" w:space="0" w:color="auto"/>
                    <w:left w:val="nil"/>
                    <w:bottom w:val="single" w:sz="8" w:space="0" w:color="auto"/>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4.2%</w:t>
                  </w:r>
                </w:p>
              </w:tc>
              <w:tc>
                <w:tcPr>
                  <w:tcW w:w="992" w:type="dxa"/>
                  <w:tcBorders>
                    <w:top w:val="single" w:sz="8" w:space="0" w:color="auto"/>
                    <w:left w:val="nil"/>
                    <w:bottom w:val="single" w:sz="8" w:space="0" w:color="auto"/>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100.0%</w:t>
                  </w:r>
                </w:p>
              </w:tc>
            </w:tr>
          </w:tbl>
          <w:p w:rsidR="00CC45FC" w:rsidRDefault="00CC45FC">
            <w:pPr>
              <w:spacing w:after="0" w:line="240" w:lineRule="auto"/>
              <w:jc w:val="both"/>
              <w:rPr>
                <w:rFonts w:ascii="Verdana" w:eastAsia="Times New Roman" w:hAnsi="Verdana"/>
                <w:b/>
                <w:bCs/>
                <w:i/>
                <w:iCs/>
                <w:noProof/>
                <w:color w:val="000000"/>
                <w:sz w:val="20"/>
                <w:szCs w:val="20"/>
                <w:lang w:eastAsia="en-GB"/>
              </w:rPr>
            </w:pPr>
          </w:p>
        </w:tc>
      </w:tr>
    </w:tbl>
    <w:p w:rsidR="00CC45FC" w:rsidRDefault="00CC45FC">
      <w:pPr>
        <w:spacing w:line="240" w:lineRule="auto"/>
        <w:jc w:val="both"/>
        <w:rPr>
          <w:rFonts w:ascii="Verdana" w:hAnsi="Verdana"/>
          <w:noProof/>
          <w:sz w:val="18"/>
        </w:rPr>
      </w:pPr>
    </w:p>
    <w:p w:rsidR="00CC45FC" w:rsidRDefault="004A7700">
      <w:pPr>
        <w:spacing w:after="120" w:line="240" w:lineRule="auto"/>
        <w:jc w:val="both"/>
        <w:rPr>
          <w:rFonts w:ascii="Verdana" w:hAnsi="Verdana"/>
          <w:noProof/>
          <w:sz w:val="18"/>
        </w:rPr>
      </w:pPr>
      <w:r>
        <w:rPr>
          <w:rFonts w:ascii="Verdana" w:hAnsi="Verdana"/>
          <w:noProof/>
          <w:sz w:val="18"/>
        </w:rPr>
        <w:t xml:space="preserve">At the end of 2015, the Commission had closed 361 </w:t>
      </w:r>
      <w:r>
        <w:rPr>
          <w:rFonts w:ascii="Verdana" w:hAnsi="Verdana"/>
          <w:b/>
          <w:noProof/>
          <w:sz w:val="18"/>
        </w:rPr>
        <w:t>ERDF</w:t>
      </w:r>
      <w:r>
        <w:rPr>
          <w:rFonts w:ascii="Verdana" w:hAnsi="Verdana"/>
          <w:noProof/>
          <w:sz w:val="18"/>
        </w:rPr>
        <w:t xml:space="preserve"> programmes (compared to 338 at end 2014) out of a total of 379 programmes. The remaining 18 programmes represent cases where the Member States contested the financial corrections proposed by the Commission, presented additional information to be considered or requested reimbursement of irrecoverable amounts. These cases are followed up by financial correction procedures (hearings) and decisions on irrecoverable amounts.</w:t>
      </w:r>
    </w:p>
    <w:p w:rsidR="00CC45FC" w:rsidRDefault="004A7700">
      <w:pPr>
        <w:spacing w:after="120" w:line="240" w:lineRule="auto"/>
        <w:jc w:val="both"/>
        <w:rPr>
          <w:rFonts w:ascii="Verdana" w:hAnsi="Verdana"/>
          <w:noProof/>
          <w:sz w:val="18"/>
        </w:rPr>
      </w:pPr>
      <w:r>
        <w:rPr>
          <w:rFonts w:ascii="Verdana" w:hAnsi="Verdana"/>
          <w:noProof/>
          <w:sz w:val="18"/>
        </w:rPr>
        <w:t>For ERDF, financial corrections imposed by the Commission to all Member States cumulatively up to the end of 2015 are EUR 5.8 billion</w:t>
      </w:r>
      <w:r>
        <w:rPr>
          <w:rStyle w:val="FootnoteReference"/>
          <w:rFonts w:ascii="Verdana" w:hAnsi="Verdana"/>
          <w:noProof/>
          <w:sz w:val="18"/>
        </w:rPr>
        <w:footnoteReference w:id="24"/>
      </w:r>
      <w:r>
        <w:rPr>
          <w:rFonts w:ascii="Verdana" w:hAnsi="Verdana"/>
          <w:noProof/>
          <w:sz w:val="18"/>
        </w:rPr>
        <w:t>, representing around 4.5 % of the total allocations for all 2000-2006 programmes. This process can be broken down into EUR 4.1 billion of financial corrections during the life cycle of the programmes and another EUR 1.6 billion of financial corrections applied at closure of the programmes. The main Member States concerned are Spain (EUR 2.6 billion), Italy (EUR 1.2 billion) and Greece (EUR 1.2 billion).</w:t>
      </w:r>
    </w:p>
    <w:p w:rsidR="00CC45FC" w:rsidRDefault="004A7700">
      <w:pPr>
        <w:spacing w:after="120" w:line="240" w:lineRule="auto"/>
        <w:jc w:val="both"/>
        <w:rPr>
          <w:rFonts w:ascii="Verdana" w:hAnsi="Verdana"/>
          <w:noProof/>
          <w:sz w:val="18"/>
        </w:rPr>
      </w:pPr>
      <w:r>
        <w:rPr>
          <w:rFonts w:ascii="Verdana" w:hAnsi="Verdana"/>
          <w:noProof/>
          <w:sz w:val="18"/>
        </w:rPr>
        <w:t xml:space="preserve">For </w:t>
      </w:r>
      <w:r>
        <w:rPr>
          <w:rFonts w:ascii="Verdana" w:hAnsi="Verdana"/>
          <w:b/>
          <w:noProof/>
          <w:sz w:val="18"/>
        </w:rPr>
        <w:t>ESF</w:t>
      </w:r>
      <w:r>
        <w:rPr>
          <w:rFonts w:ascii="Verdana" w:hAnsi="Verdana"/>
          <w:noProof/>
          <w:sz w:val="18"/>
        </w:rPr>
        <w:t xml:space="preserve">, the closure process had already been finalised at the end of 2014. At end 2015 the total amount of financial corrections for 2000-2006 programming period - taking into account financial corrections in progress - amounted to EUR 2.4 billion, representing 3.6 % of the ESF allocation. This process can be broken down into EUR 1.2 billion of financial corrections during the life cycle of the programmes and another EUR 1.2 billion applied at closure. </w:t>
      </w:r>
    </w:p>
    <w:p w:rsidR="00CC45FC" w:rsidRDefault="004A7700">
      <w:pPr>
        <w:spacing w:after="240" w:line="240" w:lineRule="auto"/>
        <w:jc w:val="both"/>
        <w:rPr>
          <w:rFonts w:ascii="Verdana" w:hAnsi="Verdana"/>
          <w:b/>
          <w:bCs/>
          <w:i/>
          <w:noProof/>
          <w:sz w:val="18"/>
        </w:rPr>
      </w:pPr>
      <w:r>
        <w:rPr>
          <w:rFonts w:ascii="Verdana" w:hAnsi="Verdana"/>
          <w:b/>
          <w:i/>
          <w:noProof/>
          <w:sz w:val="18"/>
        </w:rPr>
        <w:t>Graph 5.4.1: Member States' cumulative financial corrections</w:t>
      </w:r>
      <w:r>
        <w:rPr>
          <w:rFonts w:ascii="Verdana" w:hAnsi="Verdana"/>
          <w:b/>
          <w:bCs/>
          <w:i/>
          <w:noProof/>
          <w:sz w:val="18"/>
        </w:rPr>
        <w:t xml:space="preserve"> confirmed and in progress at 31 December 2015 for ERDF &amp; ESF programming period 2000-2006 as compared to contributions received</w:t>
      </w:r>
    </w:p>
    <w:p w:rsidR="00CC45FC" w:rsidRDefault="00CC45FC">
      <w:pPr>
        <w:spacing w:after="240" w:line="240" w:lineRule="auto"/>
        <w:jc w:val="both"/>
        <w:rPr>
          <w:rFonts w:ascii="Verdana" w:hAnsi="Verdana"/>
          <w:b/>
          <w:bCs/>
          <w:i/>
          <w:noProof/>
          <w:sz w:val="18"/>
        </w:rPr>
      </w:pPr>
    </w:p>
    <w:p w:rsidR="00CC45FC" w:rsidRDefault="004A7700">
      <w:pPr>
        <w:spacing w:after="240" w:line="240" w:lineRule="auto"/>
        <w:jc w:val="both"/>
        <w:rPr>
          <w:rFonts w:ascii="Verdana" w:hAnsi="Verdana"/>
          <w:b/>
          <w:bCs/>
          <w:i/>
          <w:noProof/>
          <w:sz w:val="18"/>
        </w:rPr>
      </w:pPr>
      <w:r>
        <w:rPr>
          <w:noProof/>
          <w:lang w:eastAsia="en-GB"/>
        </w:rPr>
        <w:drawing>
          <wp:inline distT="0" distB="0" distL="0" distR="0">
            <wp:extent cx="5850890" cy="4184450"/>
            <wp:effectExtent l="0" t="0" r="16510" b="2603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29"/>
              </a:graphicData>
            </a:graphic>
          </wp:inline>
        </w:drawing>
      </w:r>
    </w:p>
    <w:p w:rsidR="00CC45FC" w:rsidRDefault="00CC45FC">
      <w:pPr>
        <w:spacing w:after="0" w:line="240" w:lineRule="auto"/>
        <w:jc w:val="both"/>
        <w:rPr>
          <w:rFonts w:ascii="Verdana" w:hAnsi="Verdana"/>
          <w:b/>
          <w:i/>
          <w:noProof/>
          <w:sz w:val="20"/>
        </w:rPr>
      </w:pPr>
    </w:p>
    <w:p w:rsidR="00CC45FC" w:rsidRDefault="00CC45FC">
      <w:pPr>
        <w:spacing w:before="240" w:after="120"/>
        <w:jc w:val="both"/>
        <w:rPr>
          <w:rFonts w:ascii="Verdana" w:hAnsi="Verdana"/>
          <w:i/>
          <w:noProof/>
          <w:sz w:val="20"/>
        </w:rPr>
      </w:pPr>
    </w:p>
    <w:p w:rsidR="00CC45FC" w:rsidRDefault="004A7700">
      <w:pPr>
        <w:spacing w:before="240" w:after="120"/>
        <w:jc w:val="both"/>
        <w:rPr>
          <w:rFonts w:ascii="Verdana" w:hAnsi="Verdana"/>
          <w:i/>
          <w:noProof/>
          <w:sz w:val="20"/>
        </w:rPr>
      </w:pPr>
      <w:r>
        <w:rPr>
          <w:rFonts w:ascii="Verdana" w:hAnsi="Verdana"/>
          <w:i/>
          <w:noProof/>
          <w:sz w:val="20"/>
        </w:rPr>
        <w:t>5.4.2</w:t>
      </w:r>
      <w:r>
        <w:rPr>
          <w:rFonts w:ascii="Verdana" w:hAnsi="Verdana"/>
          <w:i/>
          <w:noProof/>
          <w:sz w:val="20"/>
        </w:rPr>
        <w:tab/>
        <w:t>Cohesion Policy: ERDF / CF &amp; ESF 2007-2013</w:t>
      </w:r>
    </w:p>
    <w:tbl>
      <w:tblPr>
        <w:tblStyle w:val="TableGrid"/>
        <w:tblW w:w="946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12"/>
        <w:gridCol w:w="2552"/>
      </w:tblGrid>
      <w:tr w:rsidR="00CC45FC">
        <w:trPr>
          <w:trHeight w:val="1105"/>
        </w:trPr>
        <w:tc>
          <w:tcPr>
            <w:tcW w:w="6912" w:type="dxa"/>
            <w:tcBorders>
              <w:right w:val="single" w:sz="12" w:space="0" w:color="auto"/>
            </w:tcBorders>
          </w:tcPr>
          <w:p w:rsidR="00CC45FC" w:rsidRDefault="004A7700">
            <w:pPr>
              <w:spacing w:line="240" w:lineRule="auto"/>
              <w:jc w:val="both"/>
              <w:rPr>
                <w:rFonts w:ascii="Verdana" w:hAnsi="Verdana"/>
                <w:noProof/>
                <w:sz w:val="18"/>
              </w:rPr>
            </w:pPr>
            <w:r>
              <w:rPr>
                <w:rFonts w:ascii="Verdana" w:hAnsi="Verdana"/>
                <w:noProof/>
                <w:sz w:val="18"/>
              </w:rPr>
              <w:t>While financial corrections for the 2007-2013 period are expected to continue to increase in the coming years as its programmes start to close, figures so far indicate an overall lower volume of financial corrections compared to the previous programming period.</w:t>
            </w:r>
          </w:p>
        </w:tc>
        <w:tc>
          <w:tcPr>
            <w:tcW w:w="2552" w:type="dxa"/>
            <w:tcBorders>
              <w:top w:val="single" w:sz="12" w:space="0" w:color="auto"/>
              <w:left w:val="single" w:sz="12" w:space="0" w:color="auto"/>
              <w:bottom w:val="single" w:sz="12" w:space="0" w:color="auto"/>
              <w:right w:val="single" w:sz="12" w:space="0" w:color="auto"/>
            </w:tcBorders>
            <w:shd w:val="clear" w:color="auto" w:fill="DBE5F1" w:themeFill="accent1" w:themeFillTint="33"/>
            <w:vAlign w:val="center"/>
          </w:tcPr>
          <w:p w:rsidR="00CC45FC" w:rsidRDefault="004A7700">
            <w:pPr>
              <w:spacing w:line="240" w:lineRule="auto"/>
              <w:rPr>
                <w:rFonts w:ascii="Verdana" w:hAnsi="Verdana"/>
                <w:noProof/>
                <w:sz w:val="18"/>
              </w:rPr>
            </w:pPr>
            <w:r>
              <w:rPr>
                <w:rFonts w:ascii="Verdana" w:hAnsi="Verdana" w:cs="Calibri"/>
                <w:b/>
                <w:noProof/>
                <w:color w:val="000000" w:themeColor="text1"/>
                <w:sz w:val="18"/>
                <w:szCs w:val="18"/>
              </w:rPr>
              <w:t>Cumulative corrections 1.4 % of budget allocations</w:t>
            </w:r>
          </w:p>
        </w:tc>
      </w:tr>
    </w:tbl>
    <w:p w:rsidR="00CC45FC" w:rsidRDefault="004A7700">
      <w:pPr>
        <w:spacing w:line="240" w:lineRule="auto"/>
        <w:jc w:val="both"/>
        <w:rPr>
          <w:rFonts w:ascii="Verdana" w:hAnsi="Verdana"/>
          <w:noProof/>
          <w:sz w:val="18"/>
        </w:rPr>
      </w:pPr>
      <w:r>
        <w:rPr>
          <w:rFonts w:ascii="Verdana" w:hAnsi="Verdana"/>
          <w:noProof/>
          <w:sz w:val="18"/>
        </w:rPr>
        <w:t>The lower volume of financial corrections reflects the improved capacity of the management and control systems to detect problems and to correct errors before expenditure is declared to the Commission, as reflected in the lower error rates for cohesion policy in the period 2007-2013 compared to the period 2000-2006. Reference is also made to the corrections made by Member States in this period.</w:t>
      </w:r>
    </w:p>
    <w:p w:rsidR="00CC45FC" w:rsidRDefault="004A7700">
      <w:pPr>
        <w:rPr>
          <w:noProof/>
        </w:rPr>
      </w:pPr>
      <w:r>
        <w:rPr>
          <w:noProof/>
        </w:rPr>
        <w:br w:type="page"/>
      </w:r>
    </w:p>
    <w:tbl>
      <w:tblPr>
        <w:tblW w:w="9119" w:type="dxa"/>
        <w:tblInd w:w="108" w:type="dxa"/>
        <w:tblLook w:val="04A0" w:firstRow="1" w:lastRow="0" w:firstColumn="1" w:lastColumn="0" w:noHBand="0" w:noVBand="1"/>
      </w:tblPr>
      <w:tblGrid>
        <w:gridCol w:w="1560"/>
        <w:gridCol w:w="1167"/>
        <w:gridCol w:w="1114"/>
        <w:gridCol w:w="1079"/>
        <w:gridCol w:w="1042"/>
        <w:gridCol w:w="1012"/>
        <w:gridCol w:w="1167"/>
        <w:gridCol w:w="978"/>
      </w:tblGrid>
      <w:tr w:rsidR="00CC45FC">
        <w:trPr>
          <w:trHeight w:val="720"/>
        </w:trPr>
        <w:tc>
          <w:tcPr>
            <w:tcW w:w="9119" w:type="dxa"/>
            <w:gridSpan w:val="8"/>
            <w:tcBorders>
              <w:top w:val="nil"/>
              <w:left w:val="nil"/>
              <w:bottom w:val="nil"/>
              <w:right w:val="nil"/>
            </w:tcBorders>
            <w:shd w:val="clear" w:color="auto" w:fill="auto"/>
            <w:noWrap/>
            <w:vAlign w:val="center"/>
            <w:hideMark/>
          </w:tcPr>
          <w:p w:rsidR="00CC45FC" w:rsidRDefault="004A7700">
            <w:pPr>
              <w:spacing w:after="0" w:line="240" w:lineRule="auto"/>
              <w:jc w:val="both"/>
              <w:rPr>
                <w:rFonts w:ascii="Verdana" w:eastAsia="Times New Roman" w:hAnsi="Verdana"/>
                <w:b/>
                <w:bCs/>
                <w:i/>
                <w:iCs/>
                <w:noProof/>
                <w:color w:val="000000"/>
                <w:sz w:val="18"/>
                <w:szCs w:val="20"/>
                <w:lang w:eastAsia="en-GB"/>
              </w:rPr>
            </w:pPr>
            <w:r>
              <w:rPr>
                <w:rFonts w:ascii="Verdana" w:eastAsia="Times New Roman" w:hAnsi="Verdana"/>
                <w:b/>
                <w:bCs/>
                <w:i/>
                <w:iCs/>
                <w:noProof/>
                <w:color w:val="000000"/>
                <w:sz w:val="18"/>
                <w:szCs w:val="20"/>
                <w:lang w:eastAsia="en-GB"/>
              </w:rPr>
              <w:t>Table 5.4.2: Programming period 2007-2013 – ERDF / CF &amp; ESF Financial corrections confirmed and in progress at 31 December 2015; Breakdown by Member State</w:t>
            </w:r>
          </w:p>
        </w:tc>
      </w:tr>
      <w:tr w:rsidR="00CC45FC">
        <w:trPr>
          <w:trHeight w:val="270"/>
        </w:trPr>
        <w:tc>
          <w:tcPr>
            <w:tcW w:w="9119" w:type="dxa"/>
            <w:gridSpan w:val="8"/>
            <w:tcBorders>
              <w:top w:val="nil"/>
              <w:left w:val="nil"/>
              <w:bottom w:val="single" w:sz="8" w:space="0" w:color="auto"/>
              <w:right w:val="nil"/>
            </w:tcBorders>
            <w:shd w:val="clear" w:color="auto" w:fill="auto"/>
            <w:noWrap/>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EUR millions</w:t>
            </w:r>
          </w:p>
        </w:tc>
      </w:tr>
      <w:tr w:rsidR="00CC45FC">
        <w:trPr>
          <w:trHeight w:val="975"/>
        </w:trPr>
        <w:tc>
          <w:tcPr>
            <w:tcW w:w="1560" w:type="dxa"/>
            <w:tcBorders>
              <w:top w:val="nil"/>
              <w:left w:val="single" w:sz="8" w:space="0" w:color="auto"/>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Member State</w:t>
            </w:r>
          </w:p>
        </w:tc>
        <w:tc>
          <w:tcPr>
            <w:tcW w:w="1167" w:type="dxa"/>
            <w:tcBorders>
              <w:top w:val="nil"/>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ERDF/CF+ESF contribution amount for 2007-2013</w:t>
            </w:r>
          </w:p>
        </w:tc>
        <w:tc>
          <w:tcPr>
            <w:tcW w:w="1114" w:type="dxa"/>
            <w:tcBorders>
              <w:top w:val="nil"/>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 of contribution amount to total contributions</w:t>
            </w:r>
          </w:p>
        </w:tc>
        <w:tc>
          <w:tcPr>
            <w:tcW w:w="1079" w:type="dxa"/>
            <w:tcBorders>
              <w:top w:val="nil"/>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 xml:space="preserve">Financial corrections confirmed </w:t>
            </w:r>
          </w:p>
        </w:tc>
        <w:tc>
          <w:tcPr>
            <w:tcW w:w="1042" w:type="dxa"/>
            <w:tcBorders>
              <w:top w:val="nil"/>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Financial corrections in progress (closure letters sent)*</w:t>
            </w:r>
          </w:p>
        </w:tc>
        <w:tc>
          <w:tcPr>
            <w:tcW w:w="1012" w:type="dxa"/>
            <w:tcBorders>
              <w:top w:val="nil"/>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Total financial corrections imposed for 2007-2013</w:t>
            </w:r>
          </w:p>
        </w:tc>
        <w:tc>
          <w:tcPr>
            <w:tcW w:w="1167" w:type="dxa"/>
            <w:tcBorders>
              <w:top w:val="nil"/>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Percentage of financial corrections in relation to the ERDF/CF+ESF contributions</w:t>
            </w:r>
          </w:p>
        </w:tc>
        <w:tc>
          <w:tcPr>
            <w:tcW w:w="978" w:type="dxa"/>
            <w:tcBorders>
              <w:top w:val="nil"/>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Share of financial corrections imposed compared to total financial corrections</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Belgium</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2 062</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0.6%</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24</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24</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1.2%</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0.5%</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Bulgaria</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6 668</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1.9%</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144</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144</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2.2%</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3.0%</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Czech Republic</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26 425</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7.6%</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810</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810</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3.1%</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17.2%</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Denmark</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510</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0.1%</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Germany</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25 465</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7.3%</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179</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179</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0.7%</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3.8%</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Estonia</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3 403</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1.0%</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12</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12</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0.3%</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0.2%</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Ireland</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751</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0.2%</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22</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22</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2.9%</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0.5%</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Greece</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20 210</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5.8%</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338</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338</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1.7%</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7.2%</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Spain</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34 527</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9.9%</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488</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488</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1.4%</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10.4%</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France</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13 549</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3.9%</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64</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64</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0.5%</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1.4%</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Croatia</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858</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0.2%</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N/A</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N/A</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Italy</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27 943</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8.0%</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293</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293</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1.0%</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6.2%</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Cyprus</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612</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0.2%</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N/A</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N/A</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Latvia</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4 530</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1.3%</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47</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47</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1.0%</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1.0%</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Lithuania</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6 775</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2.0%</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Luxembourg</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50</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0.1%</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Hungary</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24 893</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7.2%</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432</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432</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1.7%</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9.1%</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Malta</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840</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0.2%</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Netherlands</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1 660</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0.5%</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N/A</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N/A</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Austria</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1 204</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0.3%</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16</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16</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1.3%</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0.3%</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Poland</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67 186</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19.3%</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334</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334</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0.5%</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7.1%</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Portugal</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21 412</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6.2%</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22</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22</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0.1%</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0.5%</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Romania</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19 058</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5.5%</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961</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961</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5.0%</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20.4%</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Slovenia</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4 101</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1.2%</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33</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33</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0.8%</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0.7%</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Slovakia</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11 483</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3.3%</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425</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425</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3.7%</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9.0%</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Finland</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1 596</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0.5%</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Sweden</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1 626</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0.5%</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0.1%</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r>
      <w:tr w:rsidR="00CC45FC">
        <w:trPr>
          <w:trHeight w:val="227"/>
        </w:trPr>
        <w:tc>
          <w:tcPr>
            <w:tcW w:w="1560" w:type="dxa"/>
            <w:tcBorders>
              <w:top w:val="nil"/>
              <w:left w:val="single" w:sz="8" w:space="0" w:color="auto"/>
              <w:bottom w:val="nil"/>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United Kingdom</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9 883</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2.8%</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71</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71</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0.7%</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1.5%</w:t>
            </w:r>
          </w:p>
        </w:tc>
      </w:tr>
      <w:tr w:rsidR="00CC45FC">
        <w:trPr>
          <w:trHeight w:val="227"/>
        </w:trPr>
        <w:tc>
          <w:tcPr>
            <w:tcW w:w="1560" w:type="dxa"/>
            <w:tcBorders>
              <w:top w:val="nil"/>
              <w:left w:val="single" w:sz="8" w:space="0" w:color="auto"/>
              <w:bottom w:val="single" w:sz="8" w:space="0" w:color="auto"/>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Cross-border</w:t>
            </w:r>
          </w:p>
        </w:tc>
        <w:tc>
          <w:tcPr>
            <w:tcW w:w="1167" w:type="dxa"/>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7 987</w:t>
            </w:r>
          </w:p>
        </w:tc>
        <w:tc>
          <w:tcPr>
            <w:tcW w:w="1114" w:type="dxa"/>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2.3%</w:t>
            </w:r>
          </w:p>
        </w:tc>
        <w:tc>
          <w:tcPr>
            <w:tcW w:w="1079"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3</w:t>
            </w:r>
          </w:p>
        </w:tc>
        <w:tc>
          <w:tcPr>
            <w:tcW w:w="104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w:t>
            </w:r>
          </w:p>
        </w:tc>
        <w:tc>
          <w:tcPr>
            <w:tcW w:w="1012"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3</w:t>
            </w:r>
          </w:p>
        </w:tc>
        <w:tc>
          <w:tcPr>
            <w:tcW w:w="1167"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0.0%</w:t>
            </w:r>
          </w:p>
        </w:tc>
        <w:tc>
          <w:tcPr>
            <w:tcW w:w="978" w:type="dxa"/>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0.1%</w:t>
            </w:r>
          </w:p>
        </w:tc>
      </w:tr>
      <w:tr w:rsidR="00CC45FC">
        <w:trPr>
          <w:trHeight w:val="227"/>
        </w:trPr>
        <w:tc>
          <w:tcPr>
            <w:tcW w:w="1560" w:type="dxa"/>
            <w:tcBorders>
              <w:top w:val="nil"/>
              <w:left w:val="single" w:sz="8" w:space="0" w:color="auto"/>
              <w:bottom w:val="single" w:sz="8" w:space="0" w:color="auto"/>
              <w:right w:val="nil"/>
            </w:tcBorders>
            <w:shd w:val="clear" w:color="auto" w:fill="auto"/>
            <w:noWrap/>
            <w:hideMark/>
          </w:tcPr>
          <w:p w:rsidR="00CC45FC" w:rsidRDefault="004A7700">
            <w:pPr>
              <w:autoSpaceDE w:val="0"/>
              <w:autoSpaceDN w:val="0"/>
              <w:adjustRightInd w:val="0"/>
              <w:spacing w:after="0" w:line="240" w:lineRule="auto"/>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Total</w:t>
            </w:r>
          </w:p>
        </w:tc>
        <w:tc>
          <w:tcPr>
            <w:tcW w:w="1167" w:type="dxa"/>
            <w:tcBorders>
              <w:top w:val="single" w:sz="8" w:space="0" w:color="auto"/>
              <w:left w:val="single" w:sz="8" w:space="0" w:color="auto"/>
              <w:bottom w:val="single" w:sz="8" w:space="0" w:color="auto"/>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347 268</w:t>
            </w:r>
          </w:p>
        </w:tc>
        <w:tc>
          <w:tcPr>
            <w:tcW w:w="1114" w:type="dxa"/>
            <w:tcBorders>
              <w:top w:val="single" w:sz="8" w:space="0" w:color="auto"/>
              <w:left w:val="nil"/>
              <w:bottom w:val="single" w:sz="8" w:space="0" w:color="auto"/>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100.0%</w:t>
            </w:r>
          </w:p>
        </w:tc>
        <w:tc>
          <w:tcPr>
            <w:tcW w:w="1079" w:type="dxa"/>
            <w:tcBorders>
              <w:top w:val="single" w:sz="8" w:space="0" w:color="auto"/>
              <w:left w:val="nil"/>
              <w:bottom w:val="single" w:sz="8" w:space="0" w:color="auto"/>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4 719</w:t>
            </w:r>
          </w:p>
        </w:tc>
        <w:tc>
          <w:tcPr>
            <w:tcW w:w="1042" w:type="dxa"/>
            <w:tcBorders>
              <w:top w:val="single" w:sz="8" w:space="0" w:color="auto"/>
              <w:left w:val="nil"/>
              <w:bottom w:val="single" w:sz="8" w:space="0" w:color="auto"/>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 xml:space="preserve"> 8</w:t>
            </w:r>
          </w:p>
        </w:tc>
        <w:tc>
          <w:tcPr>
            <w:tcW w:w="1012" w:type="dxa"/>
            <w:tcBorders>
              <w:top w:val="single" w:sz="8" w:space="0" w:color="auto"/>
              <w:left w:val="nil"/>
              <w:bottom w:val="single" w:sz="8" w:space="0" w:color="auto"/>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4 719</w:t>
            </w:r>
          </w:p>
        </w:tc>
        <w:tc>
          <w:tcPr>
            <w:tcW w:w="1167" w:type="dxa"/>
            <w:tcBorders>
              <w:top w:val="single" w:sz="8" w:space="0" w:color="auto"/>
              <w:left w:val="nil"/>
              <w:bottom w:val="single" w:sz="8" w:space="0" w:color="auto"/>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1.4%</w:t>
            </w:r>
          </w:p>
        </w:tc>
        <w:tc>
          <w:tcPr>
            <w:tcW w:w="978" w:type="dxa"/>
            <w:tcBorders>
              <w:top w:val="single" w:sz="8" w:space="0" w:color="auto"/>
              <w:left w:val="nil"/>
              <w:bottom w:val="single" w:sz="8" w:space="0" w:color="auto"/>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100.0%</w:t>
            </w:r>
          </w:p>
        </w:tc>
      </w:tr>
    </w:tbl>
    <w:p w:rsidR="00CC45FC" w:rsidRDefault="004A7700">
      <w:pPr>
        <w:pStyle w:val="Text1"/>
        <w:ind w:left="0"/>
        <w:rPr>
          <w:rFonts w:ascii="Verdana" w:eastAsia="Calibri" w:hAnsi="Verdana"/>
          <w:i/>
          <w:noProof/>
          <w:sz w:val="14"/>
          <w:szCs w:val="16"/>
        </w:rPr>
      </w:pPr>
      <w:r>
        <w:rPr>
          <w:rFonts w:ascii="Verdana" w:eastAsia="Calibri" w:hAnsi="Verdana"/>
          <w:i/>
          <w:noProof/>
          <w:sz w:val="14"/>
          <w:szCs w:val="16"/>
        </w:rPr>
        <w:t>As 2007-2013 programmes are multi-funds, no split is given between ERDF and CF in the above table.</w:t>
      </w:r>
    </w:p>
    <w:p w:rsidR="00CC45FC" w:rsidRDefault="004A7700">
      <w:pPr>
        <w:pStyle w:val="Text1"/>
        <w:ind w:left="0"/>
        <w:rPr>
          <w:rFonts w:ascii="Verdana" w:eastAsia="Calibri" w:hAnsi="Verdana"/>
          <w:i/>
          <w:noProof/>
          <w:sz w:val="14"/>
          <w:szCs w:val="16"/>
        </w:rPr>
      </w:pPr>
      <w:r>
        <w:rPr>
          <w:rFonts w:ascii="Verdana" w:eastAsia="Calibri" w:hAnsi="Verdana"/>
          <w:i/>
          <w:noProof/>
          <w:sz w:val="14"/>
          <w:szCs w:val="16"/>
        </w:rPr>
        <w:t xml:space="preserve">*These figures represent the number of financial corrections in progress for ESF; figures on financial corrections in progress for ERDF / CF are not available. </w:t>
      </w:r>
    </w:p>
    <w:p w:rsidR="00CC45FC" w:rsidRDefault="004A7700">
      <w:pPr>
        <w:spacing w:after="0" w:line="240" w:lineRule="auto"/>
        <w:rPr>
          <w:rFonts w:ascii="Verdana" w:hAnsi="Verdana"/>
          <w:b/>
          <w:i/>
          <w:noProof/>
          <w:sz w:val="18"/>
        </w:rPr>
      </w:pPr>
      <w:r>
        <w:rPr>
          <w:rFonts w:ascii="Verdana" w:hAnsi="Verdana"/>
          <w:b/>
          <w:i/>
          <w:noProof/>
          <w:sz w:val="18"/>
        </w:rPr>
        <w:br w:type="page"/>
      </w:r>
    </w:p>
    <w:p w:rsidR="00CC45FC" w:rsidRDefault="004A7700">
      <w:pPr>
        <w:spacing w:after="120" w:line="240" w:lineRule="auto"/>
        <w:jc w:val="both"/>
        <w:rPr>
          <w:rFonts w:ascii="Verdana" w:hAnsi="Verdana"/>
          <w:b/>
          <w:bCs/>
          <w:i/>
          <w:noProof/>
          <w:sz w:val="18"/>
        </w:rPr>
      </w:pPr>
      <w:r>
        <w:rPr>
          <w:rFonts w:ascii="Verdana" w:hAnsi="Verdana"/>
          <w:b/>
          <w:i/>
          <w:noProof/>
          <w:sz w:val="18"/>
        </w:rPr>
        <w:t>Graph 5.4.2: Member States' cumulative financial corrections</w:t>
      </w:r>
      <w:r>
        <w:rPr>
          <w:rFonts w:ascii="Verdana" w:hAnsi="Verdana"/>
          <w:b/>
          <w:bCs/>
          <w:i/>
          <w:noProof/>
          <w:sz w:val="18"/>
        </w:rPr>
        <w:t xml:space="preserve"> confirmed and in progress at 31 December 2015 for ERDF / CF &amp; ESF programming period 2007-2013 as compared to contributions received</w:t>
      </w:r>
    </w:p>
    <w:p w:rsidR="00CC45FC" w:rsidRDefault="004A7700">
      <w:pPr>
        <w:spacing w:after="0" w:line="240" w:lineRule="auto"/>
        <w:jc w:val="both"/>
        <w:rPr>
          <w:rFonts w:ascii="Verdana" w:hAnsi="Verdana"/>
          <w:noProof/>
          <w:sz w:val="18"/>
        </w:rPr>
      </w:pPr>
      <w:r>
        <w:rPr>
          <w:noProof/>
          <w:lang w:eastAsia="en-GB"/>
        </w:rPr>
        <w:drawing>
          <wp:inline distT="0" distB="0" distL="0" distR="0">
            <wp:extent cx="5854890" cy="4060209"/>
            <wp:effectExtent l="0" t="0" r="12700" b="16510"/>
            <wp:docPr id="47" name="Chart 47"/>
            <wp:cNvGraphicFramePr/>
            <a:graphic xmlns:a="http://schemas.openxmlformats.org/drawingml/2006/main">
              <a:graphicData uri="http://schemas.openxmlformats.org/drawingml/2006/chart">
                <c:chart xmlns:c="http://schemas.openxmlformats.org/drawingml/2006/chart" xmlns:r="http://schemas.openxmlformats.org/officeDocument/2006/relationships" r:id="rId30"/>
              </a:graphicData>
            </a:graphic>
          </wp:inline>
        </w:drawing>
      </w:r>
    </w:p>
    <w:p w:rsidR="00CC45FC" w:rsidRDefault="004A7700">
      <w:pPr>
        <w:spacing w:before="120" w:after="0" w:line="240" w:lineRule="auto"/>
        <w:jc w:val="both"/>
        <w:rPr>
          <w:rFonts w:ascii="Verdana" w:hAnsi="Verdana"/>
          <w:noProof/>
          <w:sz w:val="18"/>
        </w:rPr>
      </w:pPr>
      <w:r>
        <w:rPr>
          <w:rFonts w:ascii="Verdana" w:hAnsi="Verdana"/>
          <w:noProof/>
          <w:sz w:val="18"/>
        </w:rPr>
        <w:t xml:space="preserve">For </w:t>
      </w:r>
      <w:r>
        <w:rPr>
          <w:rFonts w:ascii="Verdana" w:hAnsi="Verdana"/>
          <w:b/>
          <w:noProof/>
          <w:sz w:val="18"/>
        </w:rPr>
        <w:t>ERDF / CF</w:t>
      </w:r>
      <w:r>
        <w:rPr>
          <w:rFonts w:ascii="Verdana" w:hAnsi="Verdana"/>
          <w:noProof/>
          <w:sz w:val="18"/>
        </w:rPr>
        <w:t xml:space="preserve"> programmes, the Commission has imposed around EUR 3.5 billion of financial corrections cumulatively since the beginning of the 2007-2013 programming period (which includes EUR 1.2 billion of financial corrections applied by the Member States before or at the same time of declaring the expenditure to the Commission as a result of requested remedial actions). The main Member States concerned are Czech Republic (EUR 748 million), Romania (EUR 506 million), Hungary (EUR 405 million), Slovakia (EUR 388 million), Greece (EUR 289 million), Spain (EUR 273 million) and Italy (EUR 266 million).</w:t>
      </w:r>
    </w:p>
    <w:p w:rsidR="00CC45FC" w:rsidRDefault="004A7700">
      <w:pPr>
        <w:pStyle w:val="Text1"/>
        <w:spacing w:before="120"/>
        <w:ind w:left="0"/>
        <w:rPr>
          <w:rFonts w:ascii="Verdana" w:eastAsia="Calibri" w:hAnsi="Verdana"/>
          <w:noProof/>
          <w:sz w:val="20"/>
          <w:szCs w:val="22"/>
          <w:lang w:val="en-US"/>
        </w:rPr>
      </w:pPr>
      <w:r>
        <w:rPr>
          <w:rFonts w:ascii="Verdana" w:eastAsia="Calibri" w:hAnsi="Verdana"/>
          <w:noProof/>
          <w:sz w:val="18"/>
          <w:szCs w:val="22"/>
        </w:rPr>
        <w:t xml:space="preserve">For </w:t>
      </w:r>
      <w:r>
        <w:rPr>
          <w:rFonts w:ascii="Verdana" w:eastAsia="Calibri" w:hAnsi="Verdana"/>
          <w:b/>
          <w:noProof/>
          <w:sz w:val="18"/>
          <w:szCs w:val="22"/>
        </w:rPr>
        <w:t>ESF</w:t>
      </w:r>
      <w:r>
        <w:rPr>
          <w:rFonts w:ascii="Verdana" w:eastAsia="Calibri" w:hAnsi="Verdana"/>
          <w:noProof/>
          <w:sz w:val="18"/>
          <w:szCs w:val="22"/>
        </w:rPr>
        <w:t xml:space="preserve">, the </w:t>
      </w:r>
      <w:r>
        <w:rPr>
          <w:rFonts w:ascii="Verdana" w:eastAsia="Calibri" w:hAnsi="Verdana"/>
          <w:noProof/>
          <w:sz w:val="18"/>
          <w:szCs w:val="22"/>
          <w:lang w:val="en-US"/>
        </w:rPr>
        <w:t>Member States with the highest level of cumulative amount of financial corrections confirmed are Romania (EUR 455 million), Spain (EUR 215 million) and Poland (EUR 157 million). At this stage of the implementation and almost at closure of the programmes the cumulative amount of financial corrections including financial corrections in progress stands at EUR 1.2 billion representing 1.6 % of the ESF allocation.</w:t>
      </w:r>
    </w:p>
    <w:p w:rsidR="00CC45FC" w:rsidRPr="004A7700" w:rsidRDefault="004A7700">
      <w:pPr>
        <w:pStyle w:val="ManualHeading2"/>
        <w:rPr>
          <w:noProof/>
        </w:rPr>
      </w:pPr>
      <w:bookmarkStart w:id="129" w:name="_Toc456258175"/>
      <w:bookmarkStart w:id="130" w:name="_Toc456686583"/>
      <w:r>
        <w:t>5.5.</w:t>
      </w:r>
      <w:r>
        <w:tab/>
      </w:r>
      <w:r w:rsidRPr="004A7700">
        <w:rPr>
          <w:noProof/>
        </w:rPr>
        <w:t>Member States corrections</w:t>
      </w:r>
      <w:bookmarkEnd w:id="129"/>
      <w:bookmarkEnd w:id="130"/>
    </w:p>
    <w:p w:rsidR="00CC45FC" w:rsidRDefault="004A7700">
      <w:pPr>
        <w:spacing w:after="120" w:line="240" w:lineRule="auto"/>
        <w:jc w:val="both"/>
        <w:rPr>
          <w:rFonts w:ascii="Verdana" w:hAnsi="Verdana"/>
          <w:noProof/>
          <w:sz w:val="18"/>
          <w:szCs w:val="20"/>
        </w:rPr>
      </w:pPr>
      <w:r>
        <w:rPr>
          <w:rFonts w:ascii="Verdana" w:hAnsi="Verdana"/>
          <w:noProof/>
          <w:sz w:val="18"/>
          <w:szCs w:val="20"/>
        </w:rPr>
        <w:t>Under the regulations for the 2007-2013 programming period, Member States have to report annually to the Commission the corrections</w:t>
      </w:r>
      <w:r>
        <w:rPr>
          <w:rStyle w:val="FootnoteReference"/>
          <w:rFonts w:ascii="Verdana" w:hAnsi="Verdana"/>
          <w:noProof/>
          <w:sz w:val="18"/>
          <w:szCs w:val="20"/>
        </w:rPr>
        <w:footnoteReference w:id="25"/>
      </w:r>
      <w:r>
        <w:rPr>
          <w:rFonts w:ascii="Verdana" w:hAnsi="Verdana"/>
          <w:noProof/>
          <w:sz w:val="18"/>
          <w:szCs w:val="20"/>
        </w:rPr>
        <w:t xml:space="preserve"> stemming from all controls performed. The Commission is performing risk-based audits and desk reviews to test the reliability of these figures as part of its assurance process. </w:t>
      </w:r>
    </w:p>
    <w:p w:rsidR="00CC45FC" w:rsidRDefault="004A7700">
      <w:pPr>
        <w:spacing w:after="0" w:line="240" w:lineRule="auto"/>
        <w:jc w:val="both"/>
        <w:rPr>
          <w:rFonts w:ascii="Verdana" w:hAnsi="Verdana"/>
          <w:noProof/>
          <w:sz w:val="18"/>
          <w:szCs w:val="20"/>
        </w:rPr>
      </w:pPr>
      <w:r>
        <w:rPr>
          <w:rFonts w:ascii="Verdana" w:hAnsi="Verdana"/>
          <w:noProof/>
          <w:sz w:val="18"/>
        </w:rPr>
        <w:t xml:space="preserve">See </w:t>
      </w:r>
      <w:r>
        <w:rPr>
          <w:rFonts w:ascii="Verdana" w:hAnsi="Verdana"/>
          <w:b/>
          <w:noProof/>
          <w:sz w:val="18"/>
        </w:rPr>
        <w:t>Annex 7</w:t>
      </w:r>
      <w:r>
        <w:rPr>
          <w:rFonts w:ascii="Verdana" w:hAnsi="Verdana"/>
          <w:noProof/>
          <w:sz w:val="18"/>
        </w:rPr>
        <w:t xml:space="preserve"> for details of the figures. It is highlighted that the Commission has taken a prudent approach</w:t>
      </w:r>
      <w:r>
        <w:rPr>
          <w:rStyle w:val="FootnoteReference"/>
          <w:rFonts w:ascii="Verdana" w:hAnsi="Verdana"/>
          <w:noProof/>
          <w:sz w:val="18"/>
        </w:rPr>
        <w:footnoteReference w:id="26"/>
      </w:r>
      <w:r>
        <w:rPr>
          <w:rFonts w:ascii="Verdana" w:hAnsi="Verdana"/>
          <w:noProof/>
          <w:sz w:val="18"/>
        </w:rPr>
        <w:t>, due to certain weaknesses in the Member State figures, so as to ensure that the amounts are not overstated – as a result some of them may in reality be higher. This, however, has no impact on the reliability of the Commission's own figures. The amounts in question are very significant and when added to the results of the Commission's work, give a very clear indication of the success of the controls put in place by both parties.</w:t>
      </w:r>
    </w:p>
    <w:p w:rsidR="00CC45FC" w:rsidRDefault="00CC45FC">
      <w:pPr>
        <w:spacing w:after="0" w:line="240" w:lineRule="auto"/>
        <w:jc w:val="both"/>
        <w:rPr>
          <w:rFonts w:ascii="Verdana" w:hAnsi="Verdana"/>
          <w:noProof/>
          <w:sz w:val="20"/>
          <w:szCs w:val="20"/>
        </w:rPr>
      </w:pPr>
    </w:p>
    <w:p w:rsidR="00CC45FC" w:rsidRDefault="004A7700">
      <w:pPr>
        <w:pStyle w:val="ManualHeading1"/>
        <w:rPr>
          <w:caps/>
          <w:noProof/>
        </w:rPr>
      </w:pPr>
      <w:bookmarkStart w:id="131" w:name="_Toc456258176"/>
      <w:bookmarkStart w:id="132" w:name="_Toc456686584"/>
      <w:r>
        <w:t>6.</w:t>
      </w:r>
      <w:r>
        <w:tab/>
      </w:r>
      <w:r>
        <w:rPr>
          <w:noProof/>
        </w:rPr>
        <w:t>DIRECT AND INDIRECT MANAGEMENT</w:t>
      </w:r>
      <w:bookmarkEnd w:id="131"/>
      <w:bookmarkEnd w:id="132"/>
    </w:p>
    <w:p w:rsidR="00CC45FC" w:rsidRDefault="004A7700">
      <w:pPr>
        <w:spacing w:after="120" w:line="240" w:lineRule="auto"/>
        <w:jc w:val="both"/>
        <w:rPr>
          <w:rFonts w:ascii="Verdana" w:hAnsi="Verdana"/>
          <w:noProof/>
          <w:sz w:val="18"/>
          <w:szCs w:val="20"/>
        </w:rPr>
      </w:pPr>
      <w:r>
        <w:rPr>
          <w:rFonts w:ascii="Verdana" w:hAnsi="Verdana"/>
          <w:noProof/>
          <w:sz w:val="18"/>
          <w:szCs w:val="20"/>
        </w:rPr>
        <w:t>For direct and indirect management expenditure, the Commission has control frameworks in place to prevent, detect, correct and thus deter irregularities at the different stages of the grant management process in order to achieve both operational and financial objectives. An overview of the controls made in two key areas of direct and indirect management expenditure, research and international aid, are given below.</w:t>
      </w:r>
    </w:p>
    <w:p w:rsidR="00CC45FC" w:rsidRDefault="004A7700">
      <w:pPr>
        <w:spacing w:after="120" w:line="240" w:lineRule="auto"/>
        <w:jc w:val="both"/>
        <w:rPr>
          <w:rFonts w:ascii="Verdana" w:hAnsi="Verdana"/>
          <w:noProof/>
          <w:sz w:val="18"/>
          <w:szCs w:val="20"/>
        </w:rPr>
      </w:pPr>
      <w:r>
        <w:rPr>
          <w:rFonts w:ascii="Verdana" w:hAnsi="Verdana"/>
          <w:noProof/>
          <w:sz w:val="18"/>
          <w:szCs w:val="20"/>
        </w:rPr>
        <w:t xml:space="preserve">For </w:t>
      </w:r>
      <w:r>
        <w:rPr>
          <w:rFonts w:ascii="Verdana" w:hAnsi="Verdana"/>
          <w:b/>
          <w:noProof/>
          <w:sz w:val="18"/>
          <w:szCs w:val="20"/>
        </w:rPr>
        <w:t>Research expenditure</w:t>
      </w:r>
      <w:r>
        <w:rPr>
          <w:rFonts w:ascii="Verdana" w:hAnsi="Verdana"/>
          <w:noProof/>
          <w:sz w:val="18"/>
          <w:szCs w:val="20"/>
        </w:rPr>
        <w:t>, the control framework applicable to both direct</w:t>
      </w:r>
      <w:r>
        <w:rPr>
          <w:rStyle w:val="FootnoteReference"/>
          <w:rFonts w:ascii="Verdana" w:hAnsi="Verdana"/>
          <w:noProof/>
          <w:sz w:val="18"/>
          <w:szCs w:val="20"/>
        </w:rPr>
        <w:footnoteReference w:id="27"/>
      </w:r>
      <w:r>
        <w:rPr>
          <w:rFonts w:ascii="Verdana" w:hAnsi="Verdana"/>
          <w:noProof/>
          <w:sz w:val="18"/>
          <w:szCs w:val="20"/>
        </w:rPr>
        <w:t xml:space="preserve"> and indirect</w:t>
      </w:r>
      <w:r>
        <w:rPr>
          <w:rStyle w:val="FootnoteReference"/>
          <w:rFonts w:ascii="Verdana" w:hAnsi="Verdana"/>
          <w:noProof/>
          <w:sz w:val="18"/>
          <w:szCs w:val="20"/>
        </w:rPr>
        <w:footnoteReference w:id="28"/>
      </w:r>
      <w:r>
        <w:rPr>
          <w:rFonts w:ascii="Verdana" w:hAnsi="Verdana"/>
          <w:noProof/>
          <w:sz w:val="18"/>
          <w:szCs w:val="20"/>
        </w:rPr>
        <w:t xml:space="preserve"> management modes starts with the development of a work programme, which goes through a wide-ranging consultation process to ensure that it best meets the expectations of all stakeholders and will maximise the research outcome. Following the evaluation of proposals, further controls are then carried out as the selected proposals are translated into legally binding contracts. Project implementation is monitored throughout the lifetime of the project. Payments against cost claims are all subject to ex-ante checks according to standard procedures, which include an audit certificate given by a qualified auditor. As well as standard controls, additional, targeted, controls can also be carried out according to the information received and the risk of the transaction. </w:t>
      </w:r>
    </w:p>
    <w:p w:rsidR="00CC45FC" w:rsidRDefault="004A7700">
      <w:pPr>
        <w:spacing w:after="120" w:line="240" w:lineRule="auto"/>
        <w:jc w:val="both"/>
        <w:rPr>
          <w:rFonts w:ascii="Verdana" w:hAnsi="Verdana"/>
          <w:noProof/>
          <w:sz w:val="18"/>
          <w:szCs w:val="20"/>
        </w:rPr>
      </w:pPr>
      <w:r>
        <w:rPr>
          <w:rFonts w:ascii="Verdana" w:hAnsi="Verdana"/>
          <w:noProof/>
          <w:sz w:val="18"/>
          <w:szCs w:val="20"/>
        </w:rPr>
        <w:t>A main source of assurance comes from in-depth ex-post checks carried out on a sample of claims, at the beneficiaries' premises, after costs have been incurred and declared. A large number of these in-depth checks are carried out over the lifetime of the programme. Any amounts paid in excess of what is due are recovered, and systemic errors are extended to all ongoing participations of a beneficiary.</w:t>
      </w:r>
    </w:p>
    <w:p w:rsidR="00CC45FC" w:rsidRDefault="004A7700">
      <w:pPr>
        <w:spacing w:after="120" w:line="240" w:lineRule="auto"/>
        <w:jc w:val="both"/>
        <w:rPr>
          <w:rFonts w:ascii="Verdana" w:hAnsi="Verdana"/>
          <w:noProof/>
          <w:sz w:val="18"/>
          <w:szCs w:val="20"/>
        </w:rPr>
      </w:pPr>
      <w:r>
        <w:rPr>
          <w:rFonts w:ascii="Verdana" w:hAnsi="Verdana"/>
          <w:noProof/>
          <w:sz w:val="18"/>
          <w:szCs w:val="20"/>
        </w:rPr>
        <w:t xml:space="preserve">In the field of </w:t>
      </w:r>
      <w:r>
        <w:rPr>
          <w:rFonts w:ascii="Verdana" w:hAnsi="Verdana"/>
          <w:b/>
          <w:noProof/>
          <w:sz w:val="18"/>
          <w:szCs w:val="20"/>
        </w:rPr>
        <w:t>International Cooperation and Development</w:t>
      </w:r>
      <w:r>
        <w:rPr>
          <w:rFonts w:ascii="Verdana" w:hAnsi="Verdana"/>
          <w:noProof/>
          <w:sz w:val="18"/>
          <w:szCs w:val="20"/>
        </w:rPr>
        <w:t>, the Commission has established a control framework to prevent, detect, correct and thus deter irregularities at the different stages of the implementation of funding, applicable to both management modes (direct and indirect</w:t>
      </w:r>
      <w:r>
        <w:rPr>
          <w:rStyle w:val="FootnoteReference"/>
          <w:rFonts w:ascii="Verdana" w:hAnsi="Verdana"/>
          <w:noProof/>
          <w:sz w:val="18"/>
          <w:szCs w:val="20"/>
        </w:rPr>
        <w:footnoteReference w:id="29"/>
      </w:r>
      <w:r>
        <w:rPr>
          <w:rFonts w:ascii="Verdana" w:hAnsi="Verdana"/>
          <w:noProof/>
          <w:sz w:val="18"/>
          <w:szCs w:val="20"/>
        </w:rPr>
        <w:t>) used for this implementation. This strategy starts from the choice of the most appropriate tool when drafting the planning documents and the financial decisions, and translates into the actual checks carried out at all stages of the implementation. From the point of view of financial control, the system is made up of a number of instruments systematically applied to the implementation of contracts and grants for all management modes: ex-ante checks on payments, audits carried out by the Commission and foreseen in an audit plan, expenditure verifications carried out prior to payments by beneficiaries of grants, verification missions to international organisations and an overall ex-post control on the basis of the Residual Error Rate study carried out every year.</w:t>
      </w:r>
    </w:p>
    <w:p w:rsidR="00CC45FC" w:rsidRDefault="004A7700">
      <w:pPr>
        <w:spacing w:after="120" w:line="240" w:lineRule="auto"/>
        <w:jc w:val="both"/>
        <w:rPr>
          <w:rFonts w:ascii="Verdana" w:hAnsi="Verdana"/>
          <w:noProof/>
          <w:sz w:val="18"/>
          <w:szCs w:val="20"/>
        </w:rPr>
      </w:pPr>
      <w:r>
        <w:rPr>
          <w:rFonts w:ascii="Verdana" w:hAnsi="Verdana"/>
          <w:noProof/>
          <w:sz w:val="18"/>
          <w:szCs w:val="20"/>
        </w:rPr>
        <w:t>The EU financial interests are therefore safeguarded, in addition to all the other possible means offered by the Financial Regulation, by the Commission's ex-ante control of individual transactions as well as subsequent controls or audits, and by the resulting recovery of any unduly disbursed funds where the agreed procedures have not been respected, or where the activities were not eligible for EU financing.</w:t>
      </w:r>
    </w:p>
    <w:p w:rsidR="00CC45FC" w:rsidRDefault="004A7700">
      <w:pPr>
        <w:spacing w:after="120" w:line="240" w:lineRule="auto"/>
        <w:jc w:val="both"/>
        <w:rPr>
          <w:rFonts w:ascii="Verdana" w:hAnsi="Verdana"/>
          <w:noProof/>
          <w:sz w:val="18"/>
          <w:szCs w:val="18"/>
        </w:rPr>
      </w:pPr>
      <w:r>
        <w:rPr>
          <w:rFonts w:ascii="Verdana" w:hAnsi="Verdana"/>
          <w:noProof/>
          <w:sz w:val="18"/>
          <w:szCs w:val="18"/>
        </w:rPr>
        <w:t>Finally, the last partial revision of the Financial Regulation</w:t>
      </w:r>
      <w:r>
        <w:rPr>
          <w:rStyle w:val="FootnoteReference"/>
          <w:rFonts w:ascii="Verdana" w:hAnsi="Verdana"/>
          <w:noProof/>
          <w:sz w:val="18"/>
          <w:szCs w:val="18"/>
        </w:rPr>
        <w:footnoteReference w:id="30"/>
      </w:r>
      <w:r>
        <w:rPr>
          <w:rFonts w:ascii="Verdana" w:hAnsi="Verdana"/>
          <w:noProof/>
          <w:sz w:val="18"/>
          <w:szCs w:val="18"/>
        </w:rPr>
        <w:t xml:space="preserve"> brought about a new Early Detection and Exclusion System (EDES) which ensures the d</w:t>
      </w:r>
      <w:r>
        <w:rPr>
          <w:rFonts w:ascii="Verdana" w:hAnsi="Verdana"/>
          <w:bCs/>
          <w:noProof/>
          <w:sz w:val="18"/>
          <w:szCs w:val="18"/>
        </w:rPr>
        <w:t xml:space="preserve">etection </w:t>
      </w:r>
      <w:r>
        <w:rPr>
          <w:rFonts w:ascii="Verdana" w:hAnsi="Verdana"/>
          <w:noProof/>
          <w:sz w:val="18"/>
          <w:szCs w:val="18"/>
        </w:rPr>
        <w:t xml:space="preserve">and </w:t>
      </w:r>
      <w:r>
        <w:rPr>
          <w:rFonts w:ascii="Verdana" w:hAnsi="Verdana"/>
          <w:bCs/>
          <w:noProof/>
          <w:sz w:val="18"/>
          <w:szCs w:val="18"/>
        </w:rPr>
        <w:t xml:space="preserve">circulation </w:t>
      </w:r>
      <w:r>
        <w:rPr>
          <w:rFonts w:ascii="Verdana" w:hAnsi="Verdana"/>
          <w:noProof/>
          <w:sz w:val="18"/>
          <w:szCs w:val="18"/>
        </w:rPr>
        <w:t xml:space="preserve">of restricted information concerning </w:t>
      </w:r>
      <w:r>
        <w:rPr>
          <w:rFonts w:ascii="Verdana" w:hAnsi="Verdana"/>
          <w:bCs/>
          <w:noProof/>
          <w:sz w:val="18"/>
          <w:szCs w:val="18"/>
        </w:rPr>
        <w:t>economic operators</w:t>
      </w:r>
      <w:r>
        <w:rPr>
          <w:rFonts w:ascii="Verdana" w:hAnsi="Verdana"/>
          <w:noProof/>
          <w:sz w:val="18"/>
          <w:szCs w:val="18"/>
        </w:rPr>
        <w:t xml:space="preserve"> which represent a </w:t>
      </w:r>
      <w:r>
        <w:rPr>
          <w:rFonts w:ascii="Verdana" w:hAnsi="Verdana"/>
          <w:bCs/>
          <w:noProof/>
          <w:sz w:val="18"/>
          <w:szCs w:val="18"/>
        </w:rPr>
        <w:t xml:space="preserve">threat </w:t>
      </w:r>
      <w:r>
        <w:rPr>
          <w:rFonts w:ascii="Verdana" w:hAnsi="Verdana"/>
          <w:noProof/>
          <w:sz w:val="18"/>
          <w:szCs w:val="18"/>
        </w:rPr>
        <w:t>to the Union financial interests. This information is centralised in a new database from 2016.</w:t>
      </w:r>
    </w:p>
    <w:p w:rsidR="00CC45FC" w:rsidRDefault="00CC45FC">
      <w:pPr>
        <w:spacing w:after="120" w:line="240" w:lineRule="auto"/>
        <w:jc w:val="both"/>
        <w:rPr>
          <w:rFonts w:ascii="Verdana" w:hAnsi="Verdana"/>
          <w:noProof/>
          <w:sz w:val="18"/>
          <w:szCs w:val="20"/>
          <w:lang w:val="en-US"/>
        </w:rPr>
      </w:pPr>
    </w:p>
    <w:p w:rsidR="00CC45FC" w:rsidRDefault="004A7700">
      <w:pPr>
        <w:pStyle w:val="ManualHeading1"/>
        <w:rPr>
          <w:noProof/>
        </w:rPr>
      </w:pPr>
      <w:bookmarkStart w:id="133" w:name="_Toc456258177"/>
      <w:r>
        <w:tab/>
      </w:r>
      <w:bookmarkStart w:id="134" w:name="_Toc456686585"/>
      <w:r>
        <w:rPr>
          <w:noProof/>
        </w:rPr>
        <w:t>ANNEXES: DETAILED FIGURES</w:t>
      </w:r>
      <w:bookmarkEnd w:id="133"/>
      <w:bookmarkEnd w:id="134"/>
    </w:p>
    <w:p w:rsidR="00CC45FC" w:rsidRDefault="004A7700">
      <w:pPr>
        <w:pStyle w:val="ManualHeading2"/>
        <w:rPr>
          <w:i/>
          <w:noProof/>
          <w:sz w:val="22"/>
          <w:szCs w:val="22"/>
        </w:rPr>
      </w:pPr>
      <w:bookmarkStart w:id="135" w:name="_Toc456258178"/>
      <w:bookmarkStart w:id="136" w:name="_Toc456686586"/>
      <w:r>
        <w:t>1.</w:t>
      </w:r>
      <w:r>
        <w:tab/>
      </w:r>
      <w:r>
        <w:rPr>
          <w:noProof/>
          <w:sz w:val="22"/>
          <w:szCs w:val="22"/>
        </w:rPr>
        <w:t xml:space="preserve">Financial corrections in 2015 </w:t>
      </w:r>
      <w:r>
        <w:rPr>
          <w:noProof/>
        </w:rPr>
        <w:t>compared to EU payments received; Breakdown by Member State</w:t>
      </w:r>
      <w:bookmarkEnd w:id="135"/>
      <w:bookmarkEnd w:id="136"/>
    </w:p>
    <w:p w:rsidR="00CC45FC" w:rsidRDefault="00CC45FC">
      <w:pPr>
        <w:pStyle w:val="NormalLeft"/>
        <w:jc w:val="both"/>
        <w:rPr>
          <w:rFonts w:ascii="Verdana" w:hAnsi="Verdana"/>
          <w:i/>
          <w:noProof/>
          <w:sz w:val="20"/>
        </w:rPr>
      </w:pPr>
    </w:p>
    <w:tbl>
      <w:tblPr>
        <w:tblpPr w:leftFromText="180" w:rightFromText="180" w:vertAnchor="text" w:horzAnchor="page" w:tblpX="1655" w:tblpY="83"/>
        <w:tblW w:w="8003" w:type="dxa"/>
        <w:tblLayout w:type="fixed"/>
        <w:tblLook w:val="04A0" w:firstRow="1" w:lastRow="0" w:firstColumn="1" w:lastColumn="0" w:noHBand="0" w:noVBand="1"/>
      </w:tblPr>
      <w:tblGrid>
        <w:gridCol w:w="1809"/>
        <w:gridCol w:w="1228"/>
        <w:gridCol w:w="1324"/>
        <w:gridCol w:w="1214"/>
        <w:gridCol w:w="1214"/>
        <w:gridCol w:w="1214"/>
      </w:tblGrid>
      <w:tr w:rsidR="00CC45FC">
        <w:trPr>
          <w:trHeight w:val="1494"/>
        </w:trPr>
        <w:tc>
          <w:tcPr>
            <w:tcW w:w="1809" w:type="dxa"/>
            <w:tcBorders>
              <w:top w:val="single" w:sz="12" w:space="0" w:color="auto"/>
              <w:left w:val="single" w:sz="12" w:space="0" w:color="auto"/>
              <w:bottom w:val="single" w:sz="4" w:space="0" w:color="auto"/>
              <w:right w:val="single" w:sz="12"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Member State</w:t>
            </w:r>
          </w:p>
        </w:tc>
        <w:tc>
          <w:tcPr>
            <w:tcW w:w="1228" w:type="dxa"/>
            <w:tcBorders>
              <w:top w:val="single" w:sz="12" w:space="0" w:color="auto"/>
              <w:left w:val="single" w:sz="12" w:space="0" w:color="auto"/>
              <w:bottom w:val="single" w:sz="4" w:space="0" w:color="auto"/>
              <w:right w:val="double" w:sz="12" w:space="0" w:color="auto"/>
            </w:tcBorders>
            <w:shd w:val="clear" w:color="000000" w:fill="99CCFF"/>
            <w:vAlign w:val="center"/>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Payments received from the EU budget in 2015</w:t>
            </w:r>
            <w:r>
              <w:rPr>
                <w:rFonts w:ascii="Verdana" w:eastAsia="Times New Roman" w:hAnsi="Verdana"/>
                <w:b/>
                <w:bCs/>
                <w:noProof/>
                <w:color w:val="000000"/>
                <w:sz w:val="12"/>
                <w:szCs w:val="12"/>
                <w:lang w:eastAsia="en-GB"/>
              </w:rPr>
              <w:br/>
              <w:t>(EUR million)</w:t>
            </w:r>
          </w:p>
        </w:tc>
        <w:tc>
          <w:tcPr>
            <w:tcW w:w="1324" w:type="dxa"/>
            <w:tcBorders>
              <w:top w:val="single" w:sz="12" w:space="0" w:color="auto"/>
              <w:left w:val="double" w:sz="12" w:space="0" w:color="auto"/>
              <w:bottom w:val="single" w:sz="4" w:space="0" w:color="auto"/>
              <w:right w:val="single" w:sz="4" w:space="0" w:color="auto"/>
            </w:tcBorders>
            <w:shd w:val="clear" w:color="000000" w:fill="99CCFF"/>
            <w:vAlign w:val="center"/>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Financial corrections confirmed in 2015 (EUR million)</w:t>
            </w:r>
          </w:p>
        </w:tc>
        <w:tc>
          <w:tcPr>
            <w:tcW w:w="1214" w:type="dxa"/>
            <w:tcBorders>
              <w:top w:val="single" w:sz="12" w:space="0" w:color="auto"/>
              <w:left w:val="single" w:sz="4" w:space="0" w:color="auto"/>
              <w:bottom w:val="single" w:sz="4" w:space="0" w:color="auto"/>
              <w:right w:val="double" w:sz="12"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Financial corrections confirmed in 2015 % as compared to payments received from the EU budget in 2015</w:t>
            </w:r>
          </w:p>
        </w:tc>
        <w:tc>
          <w:tcPr>
            <w:tcW w:w="1214" w:type="dxa"/>
            <w:tcBorders>
              <w:top w:val="single" w:sz="12" w:space="0" w:color="auto"/>
              <w:left w:val="double" w:sz="12" w:space="0" w:color="auto"/>
              <w:bottom w:val="single" w:sz="4" w:space="0" w:color="auto"/>
              <w:right w:val="single" w:sz="8" w:space="0" w:color="auto"/>
            </w:tcBorders>
            <w:shd w:val="clear" w:color="000000" w:fill="99CCFF"/>
            <w:vAlign w:val="center"/>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Financial corrections implemented in 2015 (EUR million)</w:t>
            </w:r>
          </w:p>
        </w:tc>
        <w:tc>
          <w:tcPr>
            <w:tcW w:w="1214" w:type="dxa"/>
            <w:tcBorders>
              <w:top w:val="single" w:sz="12" w:space="0" w:color="auto"/>
              <w:left w:val="single" w:sz="4" w:space="0" w:color="auto"/>
              <w:bottom w:val="single" w:sz="4" w:space="0" w:color="auto"/>
              <w:right w:val="single" w:sz="12" w:space="0" w:color="auto"/>
            </w:tcBorders>
            <w:shd w:val="clear" w:color="000000" w:fill="99CCFF"/>
            <w:vAlign w:val="center"/>
          </w:tcPr>
          <w:p w:rsidR="00CC45FC" w:rsidRDefault="004A7700">
            <w:pPr>
              <w:spacing w:after="0" w:line="240" w:lineRule="auto"/>
              <w:jc w:val="center"/>
              <w:rPr>
                <w:rFonts w:ascii="Verdana" w:eastAsia="Times New Roman" w:hAnsi="Verdana"/>
                <w:b/>
                <w:bCs/>
                <w:noProof/>
                <w:color w:val="000000"/>
                <w:sz w:val="12"/>
                <w:szCs w:val="12"/>
                <w:lang w:eastAsia="en-GB"/>
              </w:rPr>
            </w:pPr>
            <w:r>
              <w:rPr>
                <w:rFonts w:ascii="Verdana" w:eastAsia="Times New Roman" w:hAnsi="Verdana"/>
                <w:b/>
                <w:bCs/>
                <w:noProof/>
                <w:color w:val="000000"/>
                <w:sz w:val="12"/>
                <w:szCs w:val="12"/>
                <w:lang w:eastAsia="en-GB"/>
              </w:rPr>
              <w:t>Financial corrections implemented in 2015 as % of payments received from the EU budget in 2015</w:t>
            </w:r>
          </w:p>
        </w:tc>
      </w:tr>
      <w:tr w:rsidR="00CC45FC">
        <w:trPr>
          <w:trHeight w:hRule="exact" w:val="227"/>
        </w:trPr>
        <w:tc>
          <w:tcPr>
            <w:tcW w:w="1809" w:type="dxa"/>
            <w:tcBorders>
              <w:top w:val="single" w:sz="4" w:space="0" w:color="auto"/>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Belgium</w:t>
            </w:r>
          </w:p>
        </w:tc>
        <w:tc>
          <w:tcPr>
            <w:tcW w:w="1228" w:type="dxa"/>
            <w:tcBorders>
              <w:top w:val="single" w:sz="4" w:space="0" w:color="auto"/>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1 045</w:t>
            </w:r>
          </w:p>
        </w:tc>
        <w:tc>
          <w:tcPr>
            <w:tcW w:w="1324" w:type="dxa"/>
            <w:tcBorders>
              <w:top w:val="single" w:sz="4" w:space="0" w:color="auto"/>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w:t>
            </w:r>
          </w:p>
        </w:tc>
        <w:tc>
          <w:tcPr>
            <w:tcW w:w="1214" w:type="dxa"/>
            <w:tcBorders>
              <w:top w:val="single" w:sz="4" w:space="0" w:color="auto"/>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0.1%</w:t>
            </w:r>
          </w:p>
        </w:tc>
        <w:tc>
          <w:tcPr>
            <w:tcW w:w="1214" w:type="dxa"/>
            <w:tcBorders>
              <w:top w:val="single" w:sz="4" w:space="0" w:color="auto"/>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11</w:t>
            </w:r>
          </w:p>
        </w:tc>
        <w:tc>
          <w:tcPr>
            <w:tcW w:w="1214" w:type="dxa"/>
            <w:tcBorders>
              <w:top w:val="single" w:sz="4" w:space="0" w:color="auto"/>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1.1%</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Bulgaria</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2 524</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67</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2.7%</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143</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5.7%</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Czech Republic</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6 921</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111</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1.6%</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254</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3.7%</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Denmark</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1 139</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3</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0.3%</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0.2%</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Germany</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8 796</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60</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0.7%</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(57)</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(0.6%)</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Estonia</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346</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0.6%</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0.3%</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Ireland</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1 724</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(3)</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(0.2%)</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19</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1.1%</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Greece</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5 672</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562</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9.9%</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403</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7.1%</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Spain</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11 975</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(181)</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(1.5%)</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(157)</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(1.3%)</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France</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11 625</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318</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2.7%</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661</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5.7%</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Croatia</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468</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0.0%</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0.0%</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Italy</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10 578</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378</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3.6%</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373</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3.5%</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Cyprus</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149</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0.1%</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0.1%</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Latvia</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900</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28</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3.1%</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28</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3.1%</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Lithuania</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739</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8</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1.1%</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10</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1.3%</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Luxembourg</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70</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1.1%</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1.3%</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Hungary</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5 459</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108</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2.0%</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255</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4.7%</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Malta</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95</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0.2%</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0.6%</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Netherlands</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1 129</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58</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5.1%</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(23)</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(2.0%)</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Austria</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1 411</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(21)</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(1.5%)</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10</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0.7%</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Poland</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12 957</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176</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1.4%</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119</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0.9%</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Portugal</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2 197</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148</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6.7%</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85</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3.9%</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Romania</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6 263</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502</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8.0%</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595</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9.5%</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Slovenia</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816</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18</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2.2%</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20</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2.5%</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Slovakia</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3 632</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264</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7.3%</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133</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3.7%</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Finland</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1 065</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0.4%</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0.4%</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Sweden</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1 045</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14</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1.4%</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14</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1.4%</w:t>
            </w:r>
          </w:p>
        </w:tc>
      </w:tr>
      <w:tr w:rsidR="00CC45FC">
        <w:trPr>
          <w:trHeight w:hRule="exact" w:val="227"/>
        </w:trPr>
        <w:tc>
          <w:tcPr>
            <w:tcW w:w="1809" w:type="dxa"/>
            <w:tcBorders>
              <w:left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United Kingdom</w:t>
            </w:r>
          </w:p>
        </w:tc>
        <w:tc>
          <w:tcPr>
            <w:tcW w:w="1228" w:type="dxa"/>
            <w:tcBorders>
              <w:left w:val="single" w:sz="12"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5 526</w:t>
            </w:r>
          </w:p>
        </w:tc>
        <w:tc>
          <w:tcPr>
            <w:tcW w:w="132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102</w:t>
            </w:r>
          </w:p>
        </w:tc>
        <w:tc>
          <w:tcPr>
            <w:tcW w:w="1214" w:type="dxa"/>
            <w:tcBorders>
              <w:left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1.8%</w:t>
            </w:r>
          </w:p>
        </w:tc>
        <w:tc>
          <w:tcPr>
            <w:tcW w:w="1214" w:type="dxa"/>
            <w:tcBorders>
              <w:left w:val="double" w:sz="12"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195</w:t>
            </w:r>
          </w:p>
        </w:tc>
        <w:tc>
          <w:tcPr>
            <w:tcW w:w="1214" w:type="dxa"/>
            <w:tcBorders>
              <w:left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3.5%</w:t>
            </w:r>
          </w:p>
        </w:tc>
      </w:tr>
      <w:tr w:rsidR="00CC45FC">
        <w:trPr>
          <w:trHeight w:hRule="exact" w:val="227"/>
        </w:trPr>
        <w:tc>
          <w:tcPr>
            <w:tcW w:w="1809" w:type="dxa"/>
            <w:tcBorders>
              <w:left w:val="single" w:sz="12" w:space="0" w:color="auto"/>
              <w:bottom w:val="single" w:sz="4"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INTERREG</w:t>
            </w:r>
          </w:p>
        </w:tc>
        <w:tc>
          <w:tcPr>
            <w:tcW w:w="1228" w:type="dxa"/>
            <w:tcBorders>
              <w:left w:val="single" w:sz="12" w:space="0" w:color="auto"/>
              <w:bottom w:val="single" w:sz="4" w:space="0" w:color="auto"/>
              <w:right w:val="double" w:sz="12"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1 887</w:t>
            </w:r>
          </w:p>
        </w:tc>
        <w:tc>
          <w:tcPr>
            <w:tcW w:w="1324" w:type="dxa"/>
            <w:tcBorders>
              <w:left w:val="double" w:sz="12" w:space="0" w:color="auto"/>
              <w:bottom w:val="single" w:sz="4"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w:t>
            </w:r>
          </w:p>
        </w:tc>
        <w:tc>
          <w:tcPr>
            <w:tcW w:w="1214" w:type="dxa"/>
            <w:tcBorders>
              <w:left w:val="single" w:sz="4" w:space="0" w:color="auto"/>
              <w:bottom w:val="single" w:sz="4" w:space="0" w:color="auto"/>
              <w:right w:val="double" w:sz="12"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0.1%</w:t>
            </w:r>
          </w:p>
        </w:tc>
        <w:tc>
          <w:tcPr>
            <w:tcW w:w="1214" w:type="dxa"/>
            <w:tcBorders>
              <w:left w:val="double" w:sz="12" w:space="0" w:color="auto"/>
              <w:bottom w:val="single" w:sz="4"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3</w:t>
            </w:r>
          </w:p>
        </w:tc>
        <w:tc>
          <w:tcPr>
            <w:tcW w:w="1214" w:type="dxa"/>
            <w:tcBorders>
              <w:left w:val="single" w:sz="4" w:space="0" w:color="auto"/>
              <w:bottom w:val="single" w:sz="4" w:space="0" w:color="auto"/>
              <w:right w:val="single" w:sz="12" w:space="0" w:color="auto"/>
            </w:tcBorders>
          </w:tcPr>
          <w:p w:rsidR="00CC45FC" w:rsidRDefault="004A7700">
            <w:pPr>
              <w:autoSpaceDE w:val="0"/>
              <w:autoSpaceDN w:val="0"/>
              <w:adjustRightInd w:val="0"/>
              <w:spacing w:after="0" w:line="240" w:lineRule="auto"/>
              <w:jc w:val="right"/>
              <w:rPr>
                <w:rFonts w:ascii="Verdana" w:hAnsi="Verdana" w:cs="Verdana"/>
                <w:i/>
                <w:iCs/>
                <w:noProof/>
                <w:sz w:val="16"/>
                <w:szCs w:val="16"/>
                <w:lang w:eastAsia="en-GB"/>
              </w:rPr>
            </w:pPr>
            <w:r>
              <w:rPr>
                <w:rFonts w:ascii="Verdana" w:hAnsi="Verdana" w:cs="Verdana"/>
                <w:i/>
                <w:iCs/>
                <w:noProof/>
                <w:sz w:val="16"/>
                <w:szCs w:val="16"/>
                <w:lang w:eastAsia="en-GB"/>
              </w:rPr>
              <w:t>0.1%</w:t>
            </w:r>
          </w:p>
        </w:tc>
      </w:tr>
      <w:tr w:rsidR="00CC45FC">
        <w:trPr>
          <w:trHeight w:hRule="exact" w:val="305"/>
        </w:trPr>
        <w:tc>
          <w:tcPr>
            <w:tcW w:w="1809" w:type="dxa"/>
            <w:tcBorders>
              <w:top w:val="single" w:sz="4" w:space="0" w:color="auto"/>
              <w:left w:val="single" w:sz="12" w:space="0" w:color="auto"/>
              <w:bottom w:val="single" w:sz="12" w:space="0" w:color="auto"/>
              <w:right w:val="single" w:sz="12" w:space="0" w:color="auto"/>
            </w:tcBorders>
            <w:shd w:val="clear" w:color="auto" w:fill="auto"/>
            <w:hideMark/>
          </w:tcPr>
          <w:p w:rsidR="00CC45FC" w:rsidRDefault="004A7700">
            <w:pPr>
              <w:autoSpaceDE w:val="0"/>
              <w:autoSpaceDN w:val="0"/>
              <w:adjustRightInd w:val="0"/>
              <w:spacing w:after="0" w:line="240" w:lineRule="auto"/>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 xml:space="preserve">TOTAL </w:t>
            </w:r>
          </w:p>
        </w:tc>
        <w:tc>
          <w:tcPr>
            <w:tcW w:w="1228" w:type="dxa"/>
            <w:tcBorders>
              <w:top w:val="single" w:sz="4" w:space="0" w:color="auto"/>
              <w:left w:val="single" w:sz="12" w:space="0" w:color="auto"/>
              <w:bottom w:val="single" w:sz="12" w:space="0" w:color="auto"/>
              <w:right w:val="double" w:sz="12" w:space="0" w:color="auto"/>
            </w:tcBorders>
            <w:vAlign w:val="center"/>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108 153</w:t>
            </w:r>
          </w:p>
        </w:tc>
        <w:tc>
          <w:tcPr>
            <w:tcW w:w="1324" w:type="dxa"/>
            <w:tcBorders>
              <w:top w:val="single" w:sz="4" w:space="0" w:color="auto"/>
              <w:left w:val="double" w:sz="12" w:space="0" w:color="auto"/>
              <w:bottom w:val="single" w:sz="12" w:space="0" w:color="auto"/>
              <w:right w:val="single" w:sz="4" w:space="0" w:color="auto"/>
            </w:tcBorders>
            <w:vAlign w:val="center"/>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2 732</w:t>
            </w:r>
          </w:p>
        </w:tc>
        <w:tc>
          <w:tcPr>
            <w:tcW w:w="1214" w:type="dxa"/>
            <w:tcBorders>
              <w:top w:val="single" w:sz="4" w:space="0" w:color="auto"/>
              <w:left w:val="single" w:sz="4" w:space="0" w:color="auto"/>
              <w:bottom w:val="single" w:sz="12" w:space="0" w:color="auto"/>
              <w:right w:val="double" w:sz="12" w:space="0" w:color="auto"/>
            </w:tcBorders>
            <w:shd w:val="clear" w:color="auto" w:fill="auto"/>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2.5%</w:t>
            </w:r>
          </w:p>
        </w:tc>
        <w:tc>
          <w:tcPr>
            <w:tcW w:w="1214" w:type="dxa"/>
            <w:tcBorders>
              <w:top w:val="single" w:sz="4" w:space="0" w:color="auto"/>
              <w:left w:val="double" w:sz="12" w:space="0" w:color="auto"/>
              <w:bottom w:val="single" w:sz="12" w:space="0" w:color="auto"/>
              <w:right w:val="single" w:sz="4" w:space="0" w:color="auto"/>
            </w:tcBorders>
            <w:vAlign w:val="center"/>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3 104</w:t>
            </w:r>
          </w:p>
        </w:tc>
        <w:tc>
          <w:tcPr>
            <w:tcW w:w="1214" w:type="dxa"/>
            <w:tcBorders>
              <w:top w:val="single" w:sz="4" w:space="0" w:color="auto"/>
              <w:left w:val="single" w:sz="4" w:space="0" w:color="auto"/>
              <w:bottom w:val="single" w:sz="12" w:space="0" w:color="auto"/>
              <w:right w:val="single" w:sz="12" w:space="0" w:color="auto"/>
            </w:tcBorders>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2.9%</w:t>
            </w:r>
          </w:p>
        </w:tc>
      </w:tr>
    </w:tbl>
    <w:p w:rsidR="00CC45FC" w:rsidRDefault="00CC45FC">
      <w:pPr>
        <w:pStyle w:val="NormalLeft"/>
        <w:jc w:val="both"/>
        <w:rPr>
          <w:rFonts w:ascii="Verdana" w:hAnsi="Verdana"/>
          <w:b/>
          <w:i/>
          <w:noProof/>
          <w:sz w:val="20"/>
        </w:rPr>
      </w:pPr>
    </w:p>
    <w:p w:rsidR="00CC45FC" w:rsidRDefault="00CC45FC">
      <w:pPr>
        <w:pStyle w:val="NormalLeft"/>
        <w:jc w:val="both"/>
        <w:rPr>
          <w:rFonts w:ascii="Verdana" w:hAnsi="Verdana"/>
          <w:b/>
          <w:i/>
          <w:noProof/>
          <w:sz w:val="20"/>
        </w:rPr>
      </w:pPr>
    </w:p>
    <w:p w:rsidR="00CC45FC" w:rsidRDefault="00CC45FC">
      <w:pPr>
        <w:pStyle w:val="NormalLeft"/>
        <w:jc w:val="both"/>
        <w:rPr>
          <w:rFonts w:ascii="Verdana" w:hAnsi="Verdana"/>
          <w:b/>
          <w:i/>
          <w:noProof/>
          <w:sz w:val="20"/>
        </w:rPr>
      </w:pPr>
    </w:p>
    <w:p w:rsidR="00CC45FC" w:rsidRDefault="00CC45FC">
      <w:pPr>
        <w:pStyle w:val="NormalLeft"/>
        <w:jc w:val="both"/>
        <w:rPr>
          <w:rFonts w:ascii="Verdana" w:hAnsi="Verdana"/>
          <w:b/>
          <w:i/>
          <w:noProof/>
          <w:sz w:val="20"/>
        </w:rPr>
      </w:pPr>
    </w:p>
    <w:p w:rsidR="00CC45FC" w:rsidRDefault="00CC45FC">
      <w:pPr>
        <w:pStyle w:val="NormalLeft"/>
        <w:jc w:val="both"/>
        <w:rPr>
          <w:rFonts w:ascii="Verdana" w:hAnsi="Verdana"/>
          <w:b/>
          <w:i/>
          <w:noProof/>
          <w:sz w:val="20"/>
        </w:rPr>
      </w:pPr>
    </w:p>
    <w:p w:rsidR="00CC45FC" w:rsidRDefault="00CC45FC">
      <w:pPr>
        <w:pStyle w:val="NormalLeft"/>
        <w:jc w:val="both"/>
        <w:rPr>
          <w:rFonts w:ascii="Verdana" w:hAnsi="Verdana"/>
          <w:noProof/>
          <w:highlight w:val="yellow"/>
        </w:rPr>
      </w:pPr>
    </w:p>
    <w:p w:rsidR="00CC45FC" w:rsidRDefault="00CC45FC">
      <w:pPr>
        <w:pStyle w:val="NormalLeft"/>
        <w:jc w:val="both"/>
        <w:rPr>
          <w:rFonts w:ascii="Verdana" w:hAnsi="Verdana"/>
          <w:noProof/>
          <w:highlight w:val="yellow"/>
        </w:rPr>
      </w:pPr>
    </w:p>
    <w:p w:rsidR="00CC45FC" w:rsidRDefault="00CC45FC">
      <w:pPr>
        <w:pStyle w:val="NormalLeft"/>
        <w:jc w:val="both"/>
        <w:rPr>
          <w:rFonts w:ascii="Verdana" w:hAnsi="Verdana"/>
          <w:noProof/>
          <w:highlight w:val="yellow"/>
        </w:rPr>
      </w:pPr>
    </w:p>
    <w:p w:rsidR="00CC45FC" w:rsidRDefault="00CC45FC">
      <w:pPr>
        <w:pStyle w:val="NormalLeft"/>
        <w:jc w:val="both"/>
        <w:rPr>
          <w:rFonts w:ascii="Verdana" w:hAnsi="Verdana"/>
          <w:noProof/>
          <w:highlight w:val="yellow"/>
        </w:rPr>
      </w:pPr>
    </w:p>
    <w:p w:rsidR="00CC45FC" w:rsidRDefault="00CC45FC">
      <w:pPr>
        <w:pStyle w:val="NormalLeft"/>
        <w:jc w:val="both"/>
        <w:rPr>
          <w:rFonts w:ascii="Verdana" w:hAnsi="Verdana"/>
          <w:noProof/>
          <w:highlight w:val="yellow"/>
        </w:rPr>
      </w:pPr>
    </w:p>
    <w:p w:rsidR="00CC45FC" w:rsidRDefault="00CC45FC">
      <w:pPr>
        <w:pStyle w:val="NormalLeft"/>
        <w:jc w:val="both"/>
        <w:rPr>
          <w:rFonts w:ascii="Verdana" w:hAnsi="Verdana"/>
          <w:noProof/>
          <w:highlight w:val="yellow"/>
        </w:rPr>
      </w:pPr>
    </w:p>
    <w:p w:rsidR="00CC45FC" w:rsidRDefault="00CC45FC">
      <w:pPr>
        <w:pStyle w:val="NormalLeft"/>
        <w:jc w:val="both"/>
        <w:rPr>
          <w:rFonts w:ascii="Verdana" w:hAnsi="Verdana"/>
          <w:noProof/>
          <w:highlight w:val="yellow"/>
        </w:rPr>
      </w:pPr>
    </w:p>
    <w:p w:rsidR="00CC45FC" w:rsidRDefault="00CC45FC">
      <w:pPr>
        <w:pStyle w:val="NormalLeft"/>
        <w:jc w:val="both"/>
        <w:rPr>
          <w:rFonts w:ascii="Verdana" w:hAnsi="Verdana"/>
          <w:noProof/>
          <w:highlight w:val="yellow"/>
        </w:rPr>
      </w:pPr>
    </w:p>
    <w:p w:rsidR="00CC45FC" w:rsidRDefault="00CC45FC">
      <w:pPr>
        <w:pStyle w:val="NormalLeft"/>
        <w:jc w:val="both"/>
        <w:rPr>
          <w:rFonts w:ascii="Verdana" w:hAnsi="Verdana"/>
          <w:noProof/>
          <w:highlight w:val="yellow"/>
        </w:rPr>
      </w:pPr>
    </w:p>
    <w:p w:rsidR="00CC45FC" w:rsidRDefault="00CC45FC">
      <w:pPr>
        <w:pStyle w:val="NormalLeft"/>
        <w:jc w:val="both"/>
        <w:rPr>
          <w:rFonts w:ascii="Verdana" w:hAnsi="Verdana"/>
          <w:noProof/>
          <w:highlight w:val="yellow"/>
        </w:rPr>
      </w:pPr>
    </w:p>
    <w:p w:rsidR="00CC45FC" w:rsidRDefault="00CC45FC">
      <w:pPr>
        <w:pStyle w:val="NormalLeft"/>
        <w:jc w:val="both"/>
        <w:rPr>
          <w:rFonts w:ascii="Verdana" w:hAnsi="Verdana"/>
          <w:noProof/>
          <w:highlight w:val="yellow"/>
        </w:rPr>
      </w:pPr>
    </w:p>
    <w:p w:rsidR="00CC45FC" w:rsidRDefault="00CC45FC">
      <w:pPr>
        <w:pStyle w:val="NormalLeft"/>
        <w:jc w:val="both"/>
        <w:rPr>
          <w:rFonts w:ascii="Verdana" w:hAnsi="Verdana"/>
          <w:noProof/>
          <w:highlight w:val="yellow"/>
        </w:rPr>
      </w:pPr>
    </w:p>
    <w:p w:rsidR="00CC45FC" w:rsidRDefault="00CC45FC">
      <w:pPr>
        <w:pStyle w:val="NormalLeft"/>
        <w:jc w:val="both"/>
        <w:rPr>
          <w:rFonts w:ascii="Verdana" w:hAnsi="Verdana"/>
          <w:noProof/>
          <w:highlight w:val="yellow"/>
        </w:rPr>
      </w:pPr>
    </w:p>
    <w:p w:rsidR="00CC45FC" w:rsidRDefault="00CC45FC">
      <w:pPr>
        <w:pStyle w:val="NormalLeft"/>
        <w:jc w:val="both"/>
        <w:rPr>
          <w:rFonts w:ascii="Verdana" w:hAnsi="Verdana"/>
          <w:noProof/>
          <w:highlight w:val="yellow"/>
        </w:rPr>
      </w:pPr>
    </w:p>
    <w:p w:rsidR="00CC45FC" w:rsidRDefault="00CC45FC">
      <w:pPr>
        <w:pStyle w:val="NormalLeft"/>
        <w:jc w:val="both"/>
        <w:rPr>
          <w:rFonts w:ascii="Verdana" w:hAnsi="Verdana"/>
          <w:noProof/>
          <w:highlight w:val="yellow"/>
        </w:rPr>
      </w:pPr>
    </w:p>
    <w:p w:rsidR="00CC45FC" w:rsidRDefault="00CC45FC">
      <w:pPr>
        <w:pStyle w:val="NormalLeft"/>
        <w:jc w:val="both"/>
        <w:rPr>
          <w:rFonts w:ascii="Verdana" w:hAnsi="Verdana"/>
          <w:noProof/>
          <w:highlight w:val="yellow"/>
        </w:rPr>
      </w:pPr>
    </w:p>
    <w:p w:rsidR="00CC45FC" w:rsidRDefault="00CC45FC">
      <w:pPr>
        <w:pStyle w:val="NormalLeft"/>
        <w:jc w:val="both"/>
        <w:rPr>
          <w:rFonts w:ascii="Verdana" w:hAnsi="Verdana"/>
          <w:noProof/>
          <w:highlight w:val="yellow"/>
        </w:rPr>
      </w:pPr>
    </w:p>
    <w:p w:rsidR="00CC45FC" w:rsidRDefault="004A7700">
      <w:pPr>
        <w:autoSpaceDE w:val="0"/>
        <w:autoSpaceDN w:val="0"/>
        <w:adjustRightInd w:val="0"/>
        <w:spacing w:after="0" w:line="240" w:lineRule="auto"/>
        <w:ind w:left="426"/>
        <w:rPr>
          <w:rFonts w:ascii="Verdana" w:hAnsi="Verdana"/>
          <w:i/>
          <w:noProof/>
          <w:sz w:val="10"/>
          <w:szCs w:val="20"/>
        </w:rPr>
      </w:pPr>
      <w:r>
        <w:rPr>
          <w:rFonts w:ascii="Verdana" w:hAnsi="Verdana"/>
          <w:i/>
          <w:noProof/>
          <w:sz w:val="16"/>
        </w:rPr>
        <w:t>Negative amounts displayed in the above table may be due to Court of Justice judgements annulling financial correction decisions.</w:t>
      </w:r>
    </w:p>
    <w:p w:rsidR="00CC45FC" w:rsidRDefault="00CC45FC">
      <w:pPr>
        <w:spacing w:after="0" w:line="240" w:lineRule="auto"/>
        <w:rPr>
          <w:rFonts w:ascii="Verdana" w:hAnsi="Verdana"/>
          <w:i/>
          <w:noProof/>
          <w:sz w:val="16"/>
          <w:szCs w:val="20"/>
        </w:rPr>
      </w:pPr>
    </w:p>
    <w:p w:rsidR="00CC45FC" w:rsidRDefault="00CC45FC">
      <w:pPr>
        <w:spacing w:after="0" w:line="240" w:lineRule="auto"/>
        <w:rPr>
          <w:rFonts w:ascii="Verdana" w:hAnsi="Verdana"/>
          <w:b/>
          <w:i/>
          <w:noProof/>
          <w:sz w:val="20"/>
        </w:rPr>
      </w:pPr>
    </w:p>
    <w:p w:rsidR="00CC45FC" w:rsidRDefault="00CC45FC">
      <w:pPr>
        <w:spacing w:after="0" w:line="240" w:lineRule="auto"/>
        <w:rPr>
          <w:rFonts w:ascii="Verdana" w:hAnsi="Verdana"/>
          <w:b/>
          <w:i/>
          <w:noProof/>
          <w:sz w:val="20"/>
        </w:rPr>
      </w:pPr>
    </w:p>
    <w:p w:rsidR="00CC45FC" w:rsidRDefault="00CC45FC">
      <w:pPr>
        <w:spacing w:after="0" w:line="240" w:lineRule="auto"/>
        <w:rPr>
          <w:rFonts w:ascii="Verdana" w:hAnsi="Verdana"/>
          <w:b/>
          <w:i/>
          <w:noProof/>
          <w:sz w:val="20"/>
        </w:rPr>
      </w:pPr>
    </w:p>
    <w:p w:rsidR="00CC45FC" w:rsidRDefault="00CC45FC">
      <w:pPr>
        <w:spacing w:after="0" w:line="240" w:lineRule="auto"/>
        <w:rPr>
          <w:rFonts w:ascii="Verdana" w:hAnsi="Verdana"/>
          <w:b/>
          <w:i/>
          <w:noProof/>
          <w:sz w:val="20"/>
        </w:rPr>
      </w:pPr>
    </w:p>
    <w:p w:rsidR="00CC45FC" w:rsidRDefault="00CC45FC">
      <w:pPr>
        <w:spacing w:after="0" w:line="240" w:lineRule="auto"/>
        <w:rPr>
          <w:rFonts w:ascii="Verdana" w:hAnsi="Verdana"/>
          <w:b/>
          <w:i/>
          <w:noProof/>
          <w:sz w:val="20"/>
        </w:rPr>
      </w:pPr>
    </w:p>
    <w:p w:rsidR="00CC45FC" w:rsidRDefault="00CC45FC">
      <w:pPr>
        <w:spacing w:after="0" w:line="240" w:lineRule="auto"/>
        <w:rPr>
          <w:rFonts w:ascii="Verdana" w:hAnsi="Verdana"/>
          <w:b/>
          <w:i/>
          <w:noProof/>
          <w:sz w:val="20"/>
        </w:rPr>
      </w:pPr>
    </w:p>
    <w:p w:rsidR="00CC45FC" w:rsidRDefault="00CC45FC">
      <w:pPr>
        <w:spacing w:after="0" w:line="240" w:lineRule="auto"/>
        <w:rPr>
          <w:rFonts w:ascii="Verdana" w:hAnsi="Verdana"/>
          <w:b/>
          <w:i/>
          <w:noProof/>
          <w:sz w:val="20"/>
        </w:rPr>
      </w:pPr>
    </w:p>
    <w:p w:rsidR="00CC45FC" w:rsidRDefault="00CC45FC">
      <w:pPr>
        <w:spacing w:after="0" w:line="240" w:lineRule="auto"/>
        <w:rPr>
          <w:rFonts w:ascii="Verdana" w:hAnsi="Verdana"/>
          <w:b/>
          <w:i/>
          <w:noProof/>
          <w:sz w:val="20"/>
        </w:rPr>
      </w:pPr>
    </w:p>
    <w:p w:rsidR="00CC45FC" w:rsidRDefault="004A7700">
      <w:pPr>
        <w:spacing w:after="0" w:line="240" w:lineRule="auto"/>
        <w:rPr>
          <w:rFonts w:ascii="Verdana" w:hAnsi="Verdana"/>
          <w:b/>
          <w:i/>
          <w:noProof/>
          <w:sz w:val="20"/>
        </w:rPr>
      </w:pPr>
      <w:r>
        <w:rPr>
          <w:rFonts w:ascii="Verdana" w:hAnsi="Verdana"/>
          <w:noProof/>
          <w:sz w:val="14"/>
        </w:rPr>
        <w:t>It should be noted that due to the rounding of figures into millions of euros, some financial data in the tables may appear not to add-up.</w:t>
      </w:r>
    </w:p>
    <w:p w:rsidR="00CC45FC" w:rsidRDefault="004A7700">
      <w:pPr>
        <w:spacing w:after="0" w:line="240" w:lineRule="auto"/>
        <w:rPr>
          <w:rFonts w:ascii="Verdana" w:hAnsi="Verdana"/>
          <w:b/>
          <w:i/>
          <w:noProof/>
          <w:sz w:val="20"/>
        </w:rPr>
      </w:pPr>
      <w:r>
        <w:rPr>
          <w:rFonts w:ascii="Verdana" w:hAnsi="Verdana"/>
          <w:b/>
          <w:i/>
          <w:noProof/>
          <w:sz w:val="20"/>
        </w:rPr>
        <w:br w:type="page"/>
      </w:r>
    </w:p>
    <w:p w:rsidR="00CC45FC" w:rsidRDefault="004A7700">
      <w:pPr>
        <w:pStyle w:val="ManualHeading2"/>
        <w:rPr>
          <w:i/>
          <w:noProof/>
        </w:rPr>
      </w:pPr>
      <w:bookmarkStart w:id="137" w:name="_Toc456258179"/>
      <w:bookmarkStart w:id="138" w:name="_Toc456686587"/>
      <w:r>
        <w:t>2.</w:t>
      </w:r>
      <w:r>
        <w:tab/>
      </w:r>
      <w:r>
        <w:rPr>
          <w:noProof/>
        </w:rPr>
        <w:t>Breakdown of flat rate corrections in 2015</w:t>
      </w:r>
      <w:bookmarkEnd w:id="137"/>
      <w:bookmarkEnd w:id="138"/>
    </w:p>
    <w:p w:rsidR="00CC45FC" w:rsidRDefault="00CC45FC">
      <w:pPr>
        <w:spacing w:after="240" w:line="240" w:lineRule="auto"/>
        <w:jc w:val="both"/>
        <w:rPr>
          <w:rFonts w:ascii="Verdana" w:hAnsi="Verdana"/>
          <w:i/>
          <w:noProof/>
          <w:sz w:val="20"/>
        </w:rPr>
      </w:pPr>
    </w:p>
    <w:tbl>
      <w:tblPr>
        <w:tblW w:w="7750" w:type="dxa"/>
        <w:tblInd w:w="493" w:type="dxa"/>
        <w:tblLayout w:type="fixed"/>
        <w:tblLook w:val="04A0" w:firstRow="1" w:lastRow="0" w:firstColumn="1" w:lastColumn="0" w:noHBand="0" w:noVBand="1"/>
      </w:tblPr>
      <w:tblGrid>
        <w:gridCol w:w="1883"/>
        <w:gridCol w:w="1418"/>
        <w:gridCol w:w="1417"/>
        <w:gridCol w:w="1519"/>
        <w:gridCol w:w="1513"/>
      </w:tblGrid>
      <w:tr w:rsidR="00CC45FC">
        <w:trPr>
          <w:trHeight w:val="276"/>
        </w:trPr>
        <w:tc>
          <w:tcPr>
            <w:tcW w:w="1883" w:type="dxa"/>
            <w:tcBorders>
              <w:top w:val="single" w:sz="8" w:space="0" w:color="auto"/>
              <w:left w:val="single" w:sz="8" w:space="0" w:color="auto"/>
              <w:bottom w:val="single" w:sz="8" w:space="0" w:color="auto"/>
              <w:right w:val="single" w:sz="8" w:space="0" w:color="auto"/>
            </w:tcBorders>
            <w:shd w:val="clear" w:color="000000" w:fill="99CCFF"/>
            <w:vAlign w:val="center"/>
            <w:hideMark/>
          </w:tcPr>
          <w:p w:rsidR="00CC45FC" w:rsidRDefault="00CC45FC">
            <w:pPr>
              <w:spacing w:after="0" w:line="240" w:lineRule="auto"/>
              <w:jc w:val="center"/>
              <w:rPr>
                <w:rFonts w:ascii="Verdana" w:eastAsia="Times New Roman" w:hAnsi="Verdana"/>
                <w:b/>
                <w:bCs/>
                <w:noProof/>
                <w:color w:val="000000"/>
                <w:sz w:val="16"/>
                <w:szCs w:val="16"/>
                <w:lang w:eastAsia="en-GB"/>
              </w:rPr>
            </w:pPr>
          </w:p>
        </w:tc>
        <w:tc>
          <w:tcPr>
            <w:tcW w:w="1418" w:type="dxa"/>
            <w:tcBorders>
              <w:top w:val="single" w:sz="8" w:space="0" w:color="auto"/>
              <w:left w:val="nil"/>
              <w:bottom w:val="single" w:sz="8" w:space="0" w:color="auto"/>
              <w:right w:val="single" w:sz="4" w:space="0" w:color="auto"/>
            </w:tcBorders>
            <w:shd w:val="clear" w:color="000000" w:fill="99CCFF"/>
          </w:tcPr>
          <w:p w:rsidR="00CC45FC" w:rsidRDefault="004A7700">
            <w:pPr>
              <w:spacing w:after="0" w:line="240" w:lineRule="auto"/>
              <w:jc w:val="center"/>
              <w:rPr>
                <w:rFonts w:ascii="Verdana" w:eastAsia="Times New Roman" w:hAnsi="Verdana"/>
                <w:b/>
                <w:bCs/>
                <w:noProof/>
                <w:color w:val="000000"/>
                <w:sz w:val="16"/>
                <w:szCs w:val="16"/>
                <w:lang w:val="fr-BE" w:eastAsia="en-GB"/>
              </w:rPr>
            </w:pPr>
            <w:r>
              <w:rPr>
                <w:rFonts w:ascii="Verdana" w:eastAsia="Times New Roman" w:hAnsi="Verdana"/>
                <w:b/>
                <w:bCs/>
                <w:noProof/>
                <w:color w:val="000000"/>
                <w:sz w:val="16"/>
                <w:szCs w:val="16"/>
                <w:lang w:val="fr-BE" w:eastAsia="en-GB"/>
              </w:rPr>
              <w:t>Total financial corrections confirmed (EUR million)</w:t>
            </w:r>
          </w:p>
        </w:tc>
        <w:tc>
          <w:tcPr>
            <w:tcW w:w="1417" w:type="dxa"/>
            <w:tcBorders>
              <w:top w:val="single" w:sz="8" w:space="0" w:color="auto"/>
              <w:left w:val="single" w:sz="4" w:space="0" w:color="auto"/>
              <w:bottom w:val="single" w:sz="8" w:space="0" w:color="auto"/>
              <w:right w:val="double" w:sz="6"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Flat-rate financial corrections* confirmed in 2015 (EUR million)</w:t>
            </w:r>
          </w:p>
        </w:tc>
        <w:tc>
          <w:tcPr>
            <w:tcW w:w="1519" w:type="dxa"/>
            <w:tcBorders>
              <w:top w:val="single" w:sz="8" w:space="0" w:color="auto"/>
              <w:left w:val="double" w:sz="6" w:space="0" w:color="auto"/>
              <w:bottom w:val="single" w:sz="8" w:space="0" w:color="auto"/>
              <w:right w:val="single" w:sz="8" w:space="0" w:color="auto"/>
            </w:tcBorders>
            <w:shd w:val="clear" w:color="000000" w:fill="99CCFF"/>
          </w:tcPr>
          <w:p w:rsidR="00CC45FC" w:rsidRDefault="004A7700">
            <w:pPr>
              <w:spacing w:after="0" w:line="240" w:lineRule="auto"/>
              <w:jc w:val="center"/>
              <w:rPr>
                <w:rFonts w:ascii="Verdana" w:eastAsia="Times New Roman" w:hAnsi="Verdana"/>
                <w:b/>
                <w:bCs/>
                <w:noProof/>
                <w:color w:val="000000"/>
                <w:sz w:val="16"/>
                <w:szCs w:val="16"/>
                <w:lang w:val="fr-BE" w:eastAsia="en-GB"/>
              </w:rPr>
            </w:pPr>
            <w:r>
              <w:rPr>
                <w:rFonts w:ascii="Verdana" w:eastAsia="Times New Roman" w:hAnsi="Verdana"/>
                <w:b/>
                <w:bCs/>
                <w:noProof/>
                <w:color w:val="000000"/>
                <w:sz w:val="16"/>
                <w:szCs w:val="16"/>
                <w:lang w:val="fr-BE" w:eastAsia="en-GB"/>
              </w:rPr>
              <w:t>Total financial corrections implemented (EUR million)</w:t>
            </w:r>
          </w:p>
        </w:tc>
        <w:tc>
          <w:tcPr>
            <w:tcW w:w="1513" w:type="dxa"/>
            <w:tcBorders>
              <w:top w:val="single" w:sz="8" w:space="0" w:color="auto"/>
              <w:left w:val="single" w:sz="4" w:space="0" w:color="auto"/>
              <w:bottom w:val="single" w:sz="8" w:space="0" w:color="auto"/>
              <w:right w:val="single" w:sz="8" w:space="0" w:color="auto"/>
            </w:tcBorders>
            <w:shd w:val="clear" w:color="000000" w:fill="99CCFF"/>
            <w:vAlign w:val="center"/>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Flat-rate financial corrections* implemented in 2015 (EUR million)</w:t>
            </w:r>
          </w:p>
        </w:tc>
      </w:tr>
      <w:tr w:rsidR="00CC45FC">
        <w:trPr>
          <w:trHeight w:val="264"/>
        </w:trPr>
        <w:tc>
          <w:tcPr>
            <w:tcW w:w="1883" w:type="dxa"/>
            <w:tcBorders>
              <w:top w:val="nil"/>
              <w:left w:val="single" w:sz="8" w:space="0" w:color="auto"/>
              <w:bottom w:val="nil"/>
              <w:right w:val="single" w:sz="8" w:space="0" w:color="auto"/>
            </w:tcBorders>
            <w:shd w:val="clear" w:color="auto" w:fill="auto"/>
            <w:vAlign w:val="center"/>
            <w:hideMark/>
          </w:tcPr>
          <w:p w:rsidR="00CC45FC" w:rsidRDefault="004A7700">
            <w:pPr>
              <w:spacing w:after="0" w:line="240" w:lineRule="auto"/>
              <w:jc w:val="both"/>
              <w:rPr>
                <w:rFonts w:ascii="Verdana" w:eastAsia="Times New Roman" w:hAnsi="Verdana"/>
                <w:b/>
                <w:noProof/>
                <w:color w:val="000000"/>
                <w:sz w:val="16"/>
                <w:szCs w:val="16"/>
                <w:lang w:eastAsia="en-GB"/>
              </w:rPr>
            </w:pPr>
            <w:r>
              <w:rPr>
                <w:rFonts w:ascii="Verdana" w:eastAsia="Times New Roman" w:hAnsi="Verdana"/>
                <w:b/>
                <w:noProof/>
                <w:color w:val="000000"/>
                <w:sz w:val="16"/>
                <w:szCs w:val="16"/>
                <w:lang w:eastAsia="en-GB"/>
              </w:rPr>
              <w:t>Agriculture</w:t>
            </w:r>
            <w:r>
              <w:rPr>
                <w:rFonts w:ascii="Verdana" w:eastAsia="Times New Roman" w:hAnsi="Verdana"/>
                <w:noProof/>
                <w:color w:val="000000"/>
                <w:sz w:val="16"/>
                <w:szCs w:val="16"/>
                <w:lang w:eastAsia="en-GB"/>
              </w:rPr>
              <w:t>***</w:t>
            </w:r>
          </w:p>
        </w:tc>
        <w:tc>
          <w:tcPr>
            <w:tcW w:w="1418" w:type="dxa"/>
            <w:tcBorders>
              <w:top w:val="nil"/>
              <w:left w:val="nil"/>
              <w:bottom w:val="nil"/>
              <w:right w:val="single" w:sz="4" w:space="0" w:color="auto"/>
            </w:tcBorders>
          </w:tcPr>
          <w:p w:rsidR="00CC45FC" w:rsidRDefault="00CC45FC">
            <w:pPr>
              <w:autoSpaceDE w:val="0"/>
              <w:autoSpaceDN w:val="0"/>
              <w:adjustRightInd w:val="0"/>
              <w:spacing w:after="0" w:line="240" w:lineRule="auto"/>
              <w:jc w:val="right"/>
              <w:rPr>
                <w:rFonts w:ascii="Verdana" w:hAnsi="Verdana" w:cs="Verdana"/>
                <w:noProof/>
                <w:color w:val="000000"/>
                <w:sz w:val="16"/>
                <w:szCs w:val="20"/>
                <w:lang w:eastAsia="en-GB"/>
              </w:rPr>
            </w:pPr>
          </w:p>
        </w:tc>
        <w:tc>
          <w:tcPr>
            <w:tcW w:w="1417" w:type="dxa"/>
            <w:tcBorders>
              <w:top w:val="nil"/>
              <w:left w:val="single" w:sz="4" w:space="0" w:color="auto"/>
              <w:bottom w:val="nil"/>
              <w:right w:val="double" w:sz="6" w:space="0" w:color="auto"/>
            </w:tcBorders>
            <w:shd w:val="clear" w:color="auto" w:fill="auto"/>
            <w:hideMark/>
          </w:tcPr>
          <w:p w:rsidR="00CC45FC" w:rsidRDefault="00CC45FC">
            <w:pPr>
              <w:autoSpaceDE w:val="0"/>
              <w:autoSpaceDN w:val="0"/>
              <w:adjustRightInd w:val="0"/>
              <w:spacing w:after="0" w:line="240" w:lineRule="auto"/>
              <w:jc w:val="right"/>
              <w:rPr>
                <w:rFonts w:cs="Calibri"/>
                <w:noProof/>
                <w:color w:val="000000"/>
                <w:sz w:val="16"/>
                <w:szCs w:val="20"/>
                <w:lang w:eastAsia="en-GB"/>
              </w:rPr>
            </w:pPr>
          </w:p>
        </w:tc>
        <w:tc>
          <w:tcPr>
            <w:tcW w:w="1519" w:type="dxa"/>
            <w:tcBorders>
              <w:top w:val="nil"/>
              <w:left w:val="double" w:sz="6" w:space="0" w:color="auto"/>
              <w:bottom w:val="nil"/>
              <w:right w:val="single" w:sz="8" w:space="0" w:color="auto"/>
            </w:tcBorders>
          </w:tcPr>
          <w:p w:rsidR="00CC45FC" w:rsidRDefault="00CC45FC">
            <w:pPr>
              <w:autoSpaceDE w:val="0"/>
              <w:autoSpaceDN w:val="0"/>
              <w:adjustRightInd w:val="0"/>
              <w:spacing w:after="0" w:line="240" w:lineRule="auto"/>
              <w:jc w:val="right"/>
              <w:rPr>
                <w:rFonts w:ascii="Verdana" w:hAnsi="Verdana" w:cs="Verdana"/>
                <w:noProof/>
                <w:color w:val="000000"/>
                <w:sz w:val="16"/>
                <w:szCs w:val="20"/>
                <w:lang w:eastAsia="en-GB"/>
              </w:rPr>
            </w:pPr>
          </w:p>
        </w:tc>
        <w:tc>
          <w:tcPr>
            <w:tcW w:w="1513" w:type="dxa"/>
            <w:tcBorders>
              <w:top w:val="nil"/>
              <w:left w:val="single" w:sz="4" w:space="0" w:color="auto"/>
              <w:bottom w:val="nil"/>
              <w:right w:val="single" w:sz="8" w:space="0" w:color="auto"/>
            </w:tcBorders>
          </w:tcPr>
          <w:p w:rsidR="00CC45FC" w:rsidRDefault="00CC45FC">
            <w:pPr>
              <w:autoSpaceDE w:val="0"/>
              <w:autoSpaceDN w:val="0"/>
              <w:adjustRightInd w:val="0"/>
              <w:spacing w:after="0" w:line="240" w:lineRule="auto"/>
              <w:jc w:val="right"/>
              <w:rPr>
                <w:rFonts w:ascii="Verdana" w:hAnsi="Verdana" w:cs="Verdana"/>
                <w:noProof/>
                <w:color w:val="000000"/>
                <w:sz w:val="16"/>
                <w:szCs w:val="20"/>
                <w:lang w:eastAsia="en-GB"/>
              </w:rPr>
            </w:pPr>
          </w:p>
        </w:tc>
      </w:tr>
      <w:tr w:rsidR="00CC45FC">
        <w:trPr>
          <w:trHeight w:val="220"/>
        </w:trPr>
        <w:tc>
          <w:tcPr>
            <w:tcW w:w="1883" w:type="dxa"/>
            <w:tcBorders>
              <w:top w:val="nil"/>
              <w:left w:val="single" w:sz="8" w:space="0" w:color="auto"/>
              <w:bottom w:val="nil"/>
              <w:right w:val="single" w:sz="8" w:space="0" w:color="auto"/>
            </w:tcBorders>
            <w:shd w:val="clear" w:color="auto" w:fill="auto"/>
            <w:vAlign w:val="center"/>
            <w:hideMark/>
          </w:tcPr>
          <w:p w:rsidR="00CC45FC" w:rsidRDefault="004A7700">
            <w:pPr>
              <w:spacing w:after="0" w:line="240" w:lineRule="auto"/>
              <w:jc w:val="both"/>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EAGF</w:t>
            </w:r>
          </w:p>
        </w:tc>
        <w:tc>
          <w:tcPr>
            <w:tcW w:w="1418" w:type="dxa"/>
            <w:tcBorders>
              <w:top w:val="nil"/>
              <w:left w:val="nil"/>
              <w:bottom w:val="nil"/>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 xml:space="preserve"> 922</w:t>
            </w:r>
          </w:p>
        </w:tc>
        <w:tc>
          <w:tcPr>
            <w:tcW w:w="1417" w:type="dxa"/>
            <w:tcBorders>
              <w:top w:val="nil"/>
              <w:left w:val="single" w:sz="4" w:space="0" w:color="auto"/>
              <w:bottom w:val="nil"/>
              <w:right w:val="double" w:sz="6"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709**</w:t>
            </w:r>
          </w:p>
        </w:tc>
        <w:tc>
          <w:tcPr>
            <w:tcW w:w="1519" w:type="dxa"/>
            <w:tcBorders>
              <w:top w:val="nil"/>
              <w:left w:val="double" w:sz="6" w:space="0" w:color="auto"/>
              <w:bottom w:val="nil"/>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1 017</w:t>
            </w:r>
          </w:p>
        </w:tc>
        <w:tc>
          <w:tcPr>
            <w:tcW w:w="1513" w:type="dxa"/>
            <w:tcBorders>
              <w:top w:val="nil"/>
              <w:left w:val="single" w:sz="4" w:space="0" w:color="auto"/>
              <w:bottom w:val="nil"/>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w:t>
            </w:r>
          </w:p>
        </w:tc>
      </w:tr>
      <w:tr w:rsidR="00CC45FC">
        <w:trPr>
          <w:trHeight w:val="132"/>
        </w:trPr>
        <w:tc>
          <w:tcPr>
            <w:tcW w:w="1883" w:type="dxa"/>
            <w:tcBorders>
              <w:top w:val="nil"/>
              <w:left w:val="single" w:sz="8" w:space="0" w:color="auto"/>
              <w:bottom w:val="nil"/>
              <w:right w:val="single" w:sz="8" w:space="0" w:color="auto"/>
            </w:tcBorders>
            <w:shd w:val="clear" w:color="auto" w:fill="auto"/>
            <w:vAlign w:val="center"/>
            <w:hideMark/>
          </w:tcPr>
          <w:p w:rsidR="00CC45FC" w:rsidRDefault="004A7700">
            <w:pPr>
              <w:spacing w:after="0" w:line="240" w:lineRule="auto"/>
              <w:jc w:val="both"/>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Rural Development</w:t>
            </w:r>
          </w:p>
        </w:tc>
        <w:tc>
          <w:tcPr>
            <w:tcW w:w="1418" w:type="dxa"/>
            <w:tcBorders>
              <w:top w:val="nil"/>
              <w:left w:val="nil"/>
              <w:bottom w:val="nil"/>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 xml:space="preserve"> 46</w:t>
            </w:r>
          </w:p>
        </w:tc>
        <w:tc>
          <w:tcPr>
            <w:tcW w:w="1417" w:type="dxa"/>
            <w:tcBorders>
              <w:top w:val="nil"/>
              <w:left w:val="single" w:sz="4" w:space="0" w:color="auto"/>
              <w:bottom w:val="nil"/>
              <w:right w:val="double" w:sz="6"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179**</w:t>
            </w:r>
          </w:p>
        </w:tc>
        <w:tc>
          <w:tcPr>
            <w:tcW w:w="1519" w:type="dxa"/>
            <w:tcBorders>
              <w:top w:val="nil"/>
              <w:left w:val="double" w:sz="6" w:space="0" w:color="auto"/>
              <w:bottom w:val="nil"/>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263</w:t>
            </w:r>
          </w:p>
        </w:tc>
        <w:tc>
          <w:tcPr>
            <w:tcW w:w="1513" w:type="dxa"/>
            <w:tcBorders>
              <w:top w:val="nil"/>
              <w:left w:val="single" w:sz="4" w:space="0" w:color="auto"/>
              <w:bottom w:val="nil"/>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w:t>
            </w:r>
          </w:p>
        </w:tc>
      </w:tr>
      <w:tr w:rsidR="00CC45FC">
        <w:trPr>
          <w:trHeight w:val="276"/>
        </w:trPr>
        <w:tc>
          <w:tcPr>
            <w:tcW w:w="1883" w:type="dxa"/>
            <w:tcBorders>
              <w:top w:val="nil"/>
              <w:left w:val="single" w:sz="8" w:space="0" w:color="auto"/>
              <w:bottom w:val="nil"/>
              <w:right w:val="single" w:sz="8" w:space="0" w:color="auto"/>
            </w:tcBorders>
            <w:shd w:val="clear" w:color="auto" w:fill="auto"/>
            <w:vAlign w:val="center"/>
            <w:hideMark/>
          </w:tcPr>
          <w:p w:rsidR="00CC45FC" w:rsidRDefault="004A7700">
            <w:pPr>
              <w:spacing w:after="0" w:line="240" w:lineRule="auto"/>
              <w:jc w:val="both"/>
              <w:rPr>
                <w:rFonts w:ascii="Verdana" w:eastAsia="Times New Roman" w:hAnsi="Verdana"/>
                <w:b/>
                <w:noProof/>
                <w:color w:val="000000"/>
                <w:sz w:val="16"/>
                <w:szCs w:val="16"/>
                <w:lang w:eastAsia="en-GB"/>
              </w:rPr>
            </w:pPr>
            <w:r>
              <w:rPr>
                <w:rFonts w:ascii="Verdana" w:eastAsia="Times New Roman" w:hAnsi="Verdana"/>
                <w:b/>
                <w:noProof/>
                <w:color w:val="000000"/>
                <w:sz w:val="16"/>
                <w:szCs w:val="16"/>
                <w:lang w:eastAsia="en-GB"/>
              </w:rPr>
              <w:t>Cohesion</w:t>
            </w:r>
          </w:p>
        </w:tc>
        <w:tc>
          <w:tcPr>
            <w:tcW w:w="1418" w:type="dxa"/>
            <w:tcBorders>
              <w:top w:val="nil"/>
              <w:left w:val="nil"/>
              <w:bottom w:val="nil"/>
              <w:right w:val="single" w:sz="4" w:space="0" w:color="auto"/>
            </w:tcBorders>
          </w:tcPr>
          <w:p w:rsidR="00CC45FC" w:rsidRDefault="00CC45FC">
            <w:pPr>
              <w:autoSpaceDE w:val="0"/>
              <w:autoSpaceDN w:val="0"/>
              <w:adjustRightInd w:val="0"/>
              <w:spacing w:after="0" w:line="240" w:lineRule="auto"/>
              <w:jc w:val="right"/>
              <w:rPr>
                <w:rFonts w:ascii="Verdana" w:hAnsi="Verdana" w:cs="Verdana"/>
                <w:noProof/>
                <w:color w:val="000000"/>
                <w:sz w:val="16"/>
                <w:szCs w:val="20"/>
                <w:lang w:eastAsia="en-GB"/>
              </w:rPr>
            </w:pPr>
          </w:p>
        </w:tc>
        <w:tc>
          <w:tcPr>
            <w:tcW w:w="1417" w:type="dxa"/>
            <w:tcBorders>
              <w:top w:val="nil"/>
              <w:left w:val="single" w:sz="4" w:space="0" w:color="auto"/>
              <w:bottom w:val="nil"/>
              <w:right w:val="double" w:sz="6" w:space="0" w:color="auto"/>
            </w:tcBorders>
            <w:shd w:val="clear" w:color="auto" w:fill="auto"/>
          </w:tcPr>
          <w:p w:rsidR="00CC45FC" w:rsidRDefault="00CC45FC">
            <w:pPr>
              <w:autoSpaceDE w:val="0"/>
              <w:autoSpaceDN w:val="0"/>
              <w:adjustRightInd w:val="0"/>
              <w:spacing w:after="0" w:line="240" w:lineRule="auto"/>
              <w:jc w:val="right"/>
              <w:rPr>
                <w:rFonts w:ascii="Verdana" w:hAnsi="Verdana" w:cs="Verdana"/>
                <w:noProof/>
                <w:color w:val="000000"/>
                <w:sz w:val="16"/>
                <w:szCs w:val="20"/>
                <w:lang w:eastAsia="en-GB"/>
              </w:rPr>
            </w:pPr>
          </w:p>
        </w:tc>
        <w:tc>
          <w:tcPr>
            <w:tcW w:w="1519" w:type="dxa"/>
            <w:tcBorders>
              <w:top w:val="nil"/>
              <w:left w:val="double" w:sz="6" w:space="0" w:color="auto"/>
              <w:bottom w:val="nil"/>
              <w:right w:val="single" w:sz="8" w:space="0" w:color="auto"/>
            </w:tcBorders>
          </w:tcPr>
          <w:p w:rsidR="00CC45FC" w:rsidRDefault="00CC45FC">
            <w:pPr>
              <w:autoSpaceDE w:val="0"/>
              <w:autoSpaceDN w:val="0"/>
              <w:adjustRightInd w:val="0"/>
              <w:spacing w:after="0" w:line="240" w:lineRule="auto"/>
              <w:jc w:val="right"/>
              <w:rPr>
                <w:rFonts w:ascii="Verdana" w:hAnsi="Verdana" w:cs="Verdana"/>
                <w:noProof/>
                <w:color w:val="000000"/>
                <w:sz w:val="16"/>
                <w:szCs w:val="20"/>
                <w:lang w:eastAsia="en-GB"/>
              </w:rPr>
            </w:pPr>
          </w:p>
        </w:tc>
        <w:tc>
          <w:tcPr>
            <w:tcW w:w="1513" w:type="dxa"/>
            <w:tcBorders>
              <w:top w:val="nil"/>
              <w:left w:val="single" w:sz="4" w:space="0" w:color="auto"/>
              <w:bottom w:val="nil"/>
              <w:right w:val="single" w:sz="8" w:space="0" w:color="auto"/>
            </w:tcBorders>
          </w:tcPr>
          <w:p w:rsidR="00CC45FC" w:rsidRDefault="00CC45FC">
            <w:pPr>
              <w:autoSpaceDE w:val="0"/>
              <w:autoSpaceDN w:val="0"/>
              <w:adjustRightInd w:val="0"/>
              <w:spacing w:after="0" w:line="240" w:lineRule="auto"/>
              <w:jc w:val="right"/>
              <w:rPr>
                <w:rFonts w:ascii="Verdana" w:hAnsi="Verdana" w:cs="Verdana"/>
                <w:noProof/>
                <w:color w:val="000000"/>
                <w:sz w:val="16"/>
                <w:szCs w:val="20"/>
                <w:lang w:eastAsia="en-GB"/>
              </w:rPr>
            </w:pPr>
          </w:p>
        </w:tc>
      </w:tr>
      <w:tr w:rsidR="00CC45FC">
        <w:trPr>
          <w:trHeight w:val="101"/>
        </w:trPr>
        <w:tc>
          <w:tcPr>
            <w:tcW w:w="1883" w:type="dxa"/>
            <w:tcBorders>
              <w:top w:val="nil"/>
              <w:left w:val="single" w:sz="8" w:space="0" w:color="auto"/>
              <w:bottom w:val="nil"/>
              <w:right w:val="single" w:sz="8" w:space="0" w:color="auto"/>
            </w:tcBorders>
            <w:shd w:val="clear" w:color="auto" w:fill="auto"/>
            <w:vAlign w:val="center"/>
          </w:tcPr>
          <w:p w:rsidR="00CC45FC" w:rsidRDefault="004A7700">
            <w:pPr>
              <w:spacing w:after="0" w:line="240" w:lineRule="auto"/>
              <w:jc w:val="both"/>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ERDF &amp; CF****</w:t>
            </w:r>
          </w:p>
        </w:tc>
        <w:tc>
          <w:tcPr>
            <w:tcW w:w="1418" w:type="dxa"/>
            <w:tcBorders>
              <w:top w:val="nil"/>
              <w:left w:val="nil"/>
              <w:bottom w:val="nil"/>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1 289</w:t>
            </w:r>
          </w:p>
        </w:tc>
        <w:tc>
          <w:tcPr>
            <w:tcW w:w="1417" w:type="dxa"/>
            <w:tcBorders>
              <w:top w:val="nil"/>
              <w:left w:val="single" w:sz="4" w:space="0" w:color="auto"/>
              <w:bottom w:val="nil"/>
              <w:right w:val="double" w:sz="6"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 xml:space="preserve"> 986</w:t>
            </w:r>
          </w:p>
        </w:tc>
        <w:tc>
          <w:tcPr>
            <w:tcW w:w="1519" w:type="dxa"/>
            <w:tcBorders>
              <w:top w:val="nil"/>
              <w:left w:val="double" w:sz="6" w:space="0" w:color="auto"/>
              <w:bottom w:val="nil"/>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1 359</w:t>
            </w:r>
          </w:p>
        </w:tc>
        <w:tc>
          <w:tcPr>
            <w:tcW w:w="1513" w:type="dxa"/>
            <w:tcBorders>
              <w:top w:val="nil"/>
              <w:left w:val="single" w:sz="4" w:space="0" w:color="auto"/>
              <w:bottom w:val="nil"/>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 xml:space="preserve"> 970</w:t>
            </w:r>
          </w:p>
        </w:tc>
      </w:tr>
      <w:tr w:rsidR="00CC45FC">
        <w:trPr>
          <w:trHeight w:val="181"/>
        </w:trPr>
        <w:tc>
          <w:tcPr>
            <w:tcW w:w="1883" w:type="dxa"/>
            <w:tcBorders>
              <w:top w:val="nil"/>
              <w:left w:val="single" w:sz="8" w:space="0" w:color="auto"/>
              <w:bottom w:val="nil"/>
              <w:right w:val="single" w:sz="8" w:space="0" w:color="auto"/>
            </w:tcBorders>
            <w:shd w:val="clear" w:color="auto" w:fill="auto"/>
            <w:vAlign w:val="center"/>
          </w:tcPr>
          <w:p w:rsidR="00CC45FC" w:rsidRDefault="004A7700">
            <w:pPr>
              <w:spacing w:after="0" w:line="240" w:lineRule="auto"/>
              <w:jc w:val="both"/>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ESF</w:t>
            </w:r>
          </w:p>
        </w:tc>
        <w:tc>
          <w:tcPr>
            <w:tcW w:w="1418" w:type="dxa"/>
            <w:tcBorders>
              <w:top w:val="nil"/>
              <w:left w:val="nil"/>
              <w:bottom w:val="nil"/>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 xml:space="preserve"> 348</w:t>
            </w:r>
          </w:p>
        </w:tc>
        <w:tc>
          <w:tcPr>
            <w:tcW w:w="1417" w:type="dxa"/>
            <w:tcBorders>
              <w:top w:val="nil"/>
              <w:left w:val="single" w:sz="4" w:space="0" w:color="auto"/>
              <w:bottom w:val="nil"/>
              <w:right w:val="double" w:sz="6"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 xml:space="preserve"> 279</w:t>
            </w:r>
          </w:p>
        </w:tc>
        <w:tc>
          <w:tcPr>
            <w:tcW w:w="1519" w:type="dxa"/>
            <w:tcBorders>
              <w:top w:val="nil"/>
              <w:left w:val="double" w:sz="6" w:space="0" w:color="auto"/>
              <w:bottom w:val="nil"/>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 xml:space="preserve"> 407</w:t>
            </w:r>
          </w:p>
        </w:tc>
        <w:tc>
          <w:tcPr>
            <w:tcW w:w="1513" w:type="dxa"/>
            <w:tcBorders>
              <w:top w:val="nil"/>
              <w:left w:val="single" w:sz="4" w:space="0" w:color="auto"/>
              <w:bottom w:val="nil"/>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 xml:space="preserve"> 312</w:t>
            </w:r>
          </w:p>
        </w:tc>
      </w:tr>
      <w:tr w:rsidR="00CC45FC">
        <w:trPr>
          <w:trHeight w:val="144"/>
        </w:trPr>
        <w:tc>
          <w:tcPr>
            <w:tcW w:w="1883" w:type="dxa"/>
            <w:tcBorders>
              <w:top w:val="nil"/>
              <w:left w:val="single" w:sz="8" w:space="0" w:color="auto"/>
              <w:bottom w:val="nil"/>
              <w:right w:val="single" w:sz="8" w:space="0" w:color="auto"/>
            </w:tcBorders>
            <w:shd w:val="clear" w:color="auto" w:fill="auto"/>
            <w:vAlign w:val="center"/>
          </w:tcPr>
          <w:p w:rsidR="00CC45FC" w:rsidRDefault="004A7700">
            <w:pPr>
              <w:spacing w:after="0" w:line="240" w:lineRule="auto"/>
              <w:jc w:val="both"/>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EAGGF guidance</w:t>
            </w:r>
          </w:p>
        </w:tc>
        <w:tc>
          <w:tcPr>
            <w:tcW w:w="1418" w:type="dxa"/>
            <w:tcBorders>
              <w:top w:val="nil"/>
              <w:left w:val="nil"/>
              <w:bottom w:val="nil"/>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 xml:space="preserve"> 97</w:t>
            </w:r>
          </w:p>
        </w:tc>
        <w:tc>
          <w:tcPr>
            <w:tcW w:w="1417" w:type="dxa"/>
            <w:tcBorders>
              <w:top w:val="nil"/>
              <w:left w:val="single" w:sz="4" w:space="0" w:color="auto"/>
              <w:bottom w:val="nil"/>
              <w:right w:val="double" w:sz="6"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 xml:space="preserve"> 0</w:t>
            </w:r>
          </w:p>
        </w:tc>
        <w:tc>
          <w:tcPr>
            <w:tcW w:w="1519" w:type="dxa"/>
            <w:tcBorders>
              <w:top w:val="nil"/>
              <w:left w:val="double" w:sz="6" w:space="0" w:color="auto"/>
              <w:bottom w:val="nil"/>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 xml:space="preserve"> 24</w:t>
            </w:r>
          </w:p>
        </w:tc>
        <w:tc>
          <w:tcPr>
            <w:tcW w:w="1513" w:type="dxa"/>
            <w:tcBorders>
              <w:top w:val="nil"/>
              <w:left w:val="single" w:sz="4" w:space="0" w:color="auto"/>
              <w:bottom w:val="nil"/>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 xml:space="preserve"> 0</w:t>
            </w:r>
          </w:p>
        </w:tc>
      </w:tr>
      <w:tr w:rsidR="00CC45FC">
        <w:trPr>
          <w:trHeight w:val="212"/>
        </w:trPr>
        <w:tc>
          <w:tcPr>
            <w:tcW w:w="1883" w:type="dxa"/>
            <w:tcBorders>
              <w:top w:val="nil"/>
              <w:left w:val="single" w:sz="8" w:space="0" w:color="auto"/>
              <w:bottom w:val="nil"/>
              <w:right w:val="single" w:sz="8" w:space="0" w:color="auto"/>
            </w:tcBorders>
            <w:shd w:val="clear" w:color="auto" w:fill="auto"/>
            <w:vAlign w:val="center"/>
          </w:tcPr>
          <w:p w:rsidR="00CC45FC" w:rsidRDefault="004A7700">
            <w:pPr>
              <w:spacing w:after="0" w:line="240" w:lineRule="auto"/>
              <w:jc w:val="both"/>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EFF/FIFG</w:t>
            </w:r>
          </w:p>
        </w:tc>
        <w:tc>
          <w:tcPr>
            <w:tcW w:w="1418" w:type="dxa"/>
            <w:tcBorders>
              <w:top w:val="nil"/>
              <w:left w:val="nil"/>
              <w:bottom w:val="nil"/>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 xml:space="preserve"> 6</w:t>
            </w:r>
          </w:p>
        </w:tc>
        <w:tc>
          <w:tcPr>
            <w:tcW w:w="1417" w:type="dxa"/>
            <w:tcBorders>
              <w:top w:val="nil"/>
              <w:left w:val="single" w:sz="4" w:space="0" w:color="auto"/>
              <w:bottom w:val="nil"/>
              <w:right w:val="double" w:sz="6"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 xml:space="preserve"> 3</w:t>
            </w:r>
          </w:p>
        </w:tc>
        <w:tc>
          <w:tcPr>
            <w:tcW w:w="1519" w:type="dxa"/>
            <w:tcBorders>
              <w:top w:val="nil"/>
              <w:left w:val="double" w:sz="6" w:space="0" w:color="auto"/>
              <w:bottom w:val="nil"/>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 xml:space="preserve"> 10</w:t>
            </w:r>
          </w:p>
        </w:tc>
        <w:tc>
          <w:tcPr>
            <w:tcW w:w="1513" w:type="dxa"/>
            <w:tcBorders>
              <w:top w:val="nil"/>
              <w:left w:val="single" w:sz="4" w:space="0" w:color="auto"/>
              <w:bottom w:val="nil"/>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 xml:space="preserve"> 3</w:t>
            </w:r>
          </w:p>
        </w:tc>
      </w:tr>
      <w:tr w:rsidR="00CC45FC">
        <w:trPr>
          <w:trHeight w:val="212"/>
        </w:trPr>
        <w:tc>
          <w:tcPr>
            <w:tcW w:w="1883" w:type="dxa"/>
            <w:tcBorders>
              <w:top w:val="nil"/>
              <w:left w:val="single" w:sz="8" w:space="0" w:color="auto"/>
              <w:bottom w:val="nil"/>
              <w:right w:val="single" w:sz="8" w:space="0" w:color="auto"/>
            </w:tcBorders>
            <w:shd w:val="clear" w:color="auto" w:fill="auto"/>
            <w:vAlign w:val="center"/>
          </w:tcPr>
          <w:p w:rsidR="00CC45FC" w:rsidRDefault="004A7700">
            <w:pPr>
              <w:spacing w:after="0" w:line="240" w:lineRule="auto"/>
              <w:jc w:val="both"/>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Internal policies</w:t>
            </w:r>
          </w:p>
        </w:tc>
        <w:tc>
          <w:tcPr>
            <w:tcW w:w="1418" w:type="dxa"/>
            <w:tcBorders>
              <w:top w:val="nil"/>
              <w:left w:val="nil"/>
              <w:bottom w:val="nil"/>
              <w:right w:val="single" w:sz="4"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 xml:space="preserve"> 23</w:t>
            </w:r>
          </w:p>
        </w:tc>
        <w:tc>
          <w:tcPr>
            <w:tcW w:w="1417" w:type="dxa"/>
            <w:tcBorders>
              <w:top w:val="nil"/>
              <w:left w:val="single" w:sz="4" w:space="0" w:color="auto"/>
              <w:bottom w:val="nil"/>
              <w:right w:val="double" w:sz="6"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 xml:space="preserve"> 10</w:t>
            </w:r>
          </w:p>
        </w:tc>
        <w:tc>
          <w:tcPr>
            <w:tcW w:w="1519" w:type="dxa"/>
            <w:tcBorders>
              <w:top w:val="nil"/>
              <w:left w:val="double" w:sz="6" w:space="0" w:color="auto"/>
              <w:bottom w:val="nil"/>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 xml:space="preserve"> 23</w:t>
            </w:r>
          </w:p>
        </w:tc>
        <w:tc>
          <w:tcPr>
            <w:tcW w:w="1513" w:type="dxa"/>
            <w:tcBorders>
              <w:top w:val="nil"/>
              <w:left w:val="single" w:sz="4" w:space="0" w:color="auto"/>
              <w:bottom w:val="nil"/>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20"/>
                <w:lang w:eastAsia="en-GB"/>
              </w:rPr>
            </w:pPr>
            <w:r>
              <w:rPr>
                <w:rFonts w:ascii="Verdana" w:hAnsi="Verdana" w:cs="Verdana"/>
                <w:noProof/>
                <w:color w:val="000000"/>
                <w:sz w:val="16"/>
                <w:szCs w:val="20"/>
                <w:lang w:eastAsia="en-GB"/>
              </w:rPr>
              <w:t xml:space="preserve"> 10</w:t>
            </w:r>
          </w:p>
        </w:tc>
      </w:tr>
      <w:tr w:rsidR="00CC45FC">
        <w:trPr>
          <w:trHeight w:hRule="exact" w:val="248"/>
        </w:trPr>
        <w:tc>
          <w:tcPr>
            <w:tcW w:w="188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CC45FC" w:rsidRDefault="004A7700">
            <w:pPr>
              <w:spacing w:after="0" w:line="240" w:lineRule="auto"/>
              <w:jc w:val="both"/>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TOTAL</w:t>
            </w:r>
          </w:p>
        </w:tc>
        <w:tc>
          <w:tcPr>
            <w:tcW w:w="1418" w:type="dxa"/>
            <w:tcBorders>
              <w:top w:val="single" w:sz="8" w:space="0" w:color="auto"/>
              <w:left w:val="nil"/>
              <w:bottom w:val="single" w:sz="8" w:space="0" w:color="auto"/>
              <w:right w:val="single" w:sz="4" w:space="0" w:color="auto"/>
            </w:tcBorders>
          </w:tcPr>
          <w:p w:rsidR="00CC45FC" w:rsidRDefault="004A7700">
            <w:pPr>
              <w:autoSpaceDE w:val="0"/>
              <w:autoSpaceDN w:val="0"/>
              <w:adjustRightInd w:val="0"/>
              <w:spacing w:after="0" w:line="240" w:lineRule="auto"/>
              <w:jc w:val="right"/>
              <w:rPr>
                <w:rFonts w:ascii="Verdana" w:hAnsi="Verdana" w:cs="Verdana"/>
                <w:b/>
                <w:bCs/>
                <w:noProof/>
                <w:color w:val="000000"/>
                <w:sz w:val="16"/>
                <w:szCs w:val="20"/>
                <w:lang w:eastAsia="en-GB"/>
              </w:rPr>
            </w:pPr>
            <w:r>
              <w:rPr>
                <w:rFonts w:ascii="Verdana" w:hAnsi="Verdana" w:cs="Verdana"/>
                <w:b/>
                <w:bCs/>
                <w:noProof/>
                <w:color w:val="000000"/>
                <w:sz w:val="16"/>
                <w:szCs w:val="20"/>
                <w:lang w:eastAsia="en-GB"/>
              </w:rPr>
              <w:t>2 732</w:t>
            </w:r>
          </w:p>
        </w:tc>
        <w:tc>
          <w:tcPr>
            <w:tcW w:w="1417" w:type="dxa"/>
            <w:tcBorders>
              <w:top w:val="single" w:sz="8" w:space="0" w:color="auto"/>
              <w:left w:val="single" w:sz="4" w:space="0" w:color="auto"/>
              <w:bottom w:val="single" w:sz="8" w:space="0" w:color="auto"/>
              <w:right w:val="double" w:sz="6"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b/>
                <w:bCs/>
                <w:noProof/>
                <w:color w:val="000000"/>
                <w:sz w:val="16"/>
                <w:szCs w:val="20"/>
                <w:lang w:eastAsia="en-GB"/>
              </w:rPr>
            </w:pPr>
            <w:r>
              <w:rPr>
                <w:rFonts w:ascii="Verdana" w:hAnsi="Verdana" w:cs="Verdana"/>
                <w:b/>
                <w:bCs/>
                <w:noProof/>
                <w:color w:val="000000"/>
                <w:sz w:val="16"/>
                <w:szCs w:val="20"/>
                <w:lang w:eastAsia="en-GB"/>
              </w:rPr>
              <w:t>2 165</w:t>
            </w:r>
          </w:p>
        </w:tc>
        <w:tc>
          <w:tcPr>
            <w:tcW w:w="1519" w:type="dxa"/>
            <w:tcBorders>
              <w:top w:val="single" w:sz="8" w:space="0" w:color="auto"/>
              <w:left w:val="double" w:sz="6" w:space="0" w:color="auto"/>
              <w:bottom w:val="single" w:sz="8"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b/>
                <w:bCs/>
                <w:noProof/>
                <w:color w:val="000000"/>
                <w:sz w:val="16"/>
                <w:szCs w:val="20"/>
                <w:lang w:eastAsia="en-GB"/>
              </w:rPr>
            </w:pPr>
            <w:r>
              <w:rPr>
                <w:rFonts w:ascii="Verdana" w:hAnsi="Verdana" w:cs="Verdana"/>
                <w:b/>
                <w:bCs/>
                <w:noProof/>
                <w:color w:val="000000"/>
                <w:sz w:val="16"/>
                <w:szCs w:val="20"/>
                <w:lang w:eastAsia="en-GB"/>
              </w:rPr>
              <w:t>3 104</w:t>
            </w:r>
          </w:p>
        </w:tc>
        <w:tc>
          <w:tcPr>
            <w:tcW w:w="1513" w:type="dxa"/>
            <w:tcBorders>
              <w:top w:val="single" w:sz="8" w:space="0" w:color="auto"/>
              <w:left w:val="single" w:sz="4" w:space="0" w:color="auto"/>
              <w:bottom w:val="single" w:sz="8"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b/>
                <w:bCs/>
                <w:noProof/>
                <w:color w:val="000000"/>
                <w:sz w:val="16"/>
                <w:szCs w:val="20"/>
                <w:lang w:eastAsia="en-GB"/>
              </w:rPr>
            </w:pPr>
            <w:r>
              <w:rPr>
                <w:rFonts w:ascii="Verdana" w:hAnsi="Verdana" w:cs="Verdana"/>
                <w:b/>
                <w:bCs/>
                <w:noProof/>
                <w:color w:val="000000"/>
                <w:sz w:val="16"/>
                <w:szCs w:val="20"/>
                <w:lang w:eastAsia="en-GB"/>
              </w:rPr>
              <w:t>1 295</w:t>
            </w:r>
          </w:p>
        </w:tc>
      </w:tr>
    </w:tbl>
    <w:p w:rsidR="00CC45FC" w:rsidRDefault="004A7700">
      <w:pPr>
        <w:tabs>
          <w:tab w:val="left" w:pos="1418"/>
        </w:tabs>
        <w:spacing w:after="0" w:line="240" w:lineRule="auto"/>
        <w:ind w:firstLine="284"/>
        <w:rPr>
          <w:rFonts w:ascii="Verdana" w:eastAsia="Times New Roman" w:hAnsi="Verdana"/>
          <w:bCs/>
          <w:i/>
          <w:iCs/>
          <w:noProof/>
          <w:sz w:val="16"/>
          <w:szCs w:val="16"/>
          <w:lang w:eastAsia="en-GB"/>
        </w:rPr>
      </w:pPr>
      <w:r>
        <w:rPr>
          <w:rFonts w:ascii="Verdana" w:eastAsia="Times New Roman" w:hAnsi="Verdana"/>
          <w:bCs/>
          <w:i/>
          <w:iCs/>
          <w:noProof/>
          <w:sz w:val="16"/>
          <w:szCs w:val="16"/>
          <w:lang w:eastAsia="en-GB"/>
        </w:rPr>
        <w:t>*      Includes extrapolated corrections.</w:t>
      </w:r>
    </w:p>
    <w:p w:rsidR="00CC45FC" w:rsidRDefault="004A7700">
      <w:pPr>
        <w:spacing w:after="0" w:line="240" w:lineRule="auto"/>
        <w:ind w:left="567" w:hanging="284"/>
        <w:rPr>
          <w:rFonts w:ascii="Verdana" w:eastAsia="Times New Roman" w:hAnsi="Verdana"/>
          <w:bCs/>
          <w:i/>
          <w:iCs/>
          <w:noProof/>
          <w:sz w:val="16"/>
          <w:szCs w:val="16"/>
          <w:lang w:eastAsia="en-GB"/>
        </w:rPr>
      </w:pPr>
      <w:r>
        <w:rPr>
          <w:rFonts w:ascii="Verdana" w:eastAsia="Times New Roman" w:hAnsi="Verdana"/>
          <w:bCs/>
          <w:i/>
          <w:iCs/>
          <w:noProof/>
          <w:sz w:val="16"/>
          <w:szCs w:val="16"/>
          <w:lang w:eastAsia="en-GB"/>
        </w:rPr>
        <w:t>**</w:t>
      </w:r>
      <w:r>
        <w:rPr>
          <w:rFonts w:ascii="Verdana" w:eastAsia="Times New Roman" w:hAnsi="Verdana"/>
          <w:bCs/>
          <w:i/>
          <w:iCs/>
          <w:noProof/>
          <w:sz w:val="16"/>
          <w:szCs w:val="16"/>
          <w:lang w:eastAsia="en-GB"/>
        </w:rPr>
        <w:tab/>
        <w:t xml:space="preserve">  This represents a best estimate. The majority of financial corrections integrate amounts based on  </w:t>
      </w:r>
    </w:p>
    <w:p w:rsidR="00CC45FC" w:rsidRDefault="004A7700">
      <w:pPr>
        <w:spacing w:after="0" w:line="240" w:lineRule="auto"/>
        <w:ind w:left="567" w:hanging="284"/>
        <w:rPr>
          <w:rFonts w:ascii="Verdana" w:eastAsia="Times New Roman" w:hAnsi="Verdana"/>
          <w:bCs/>
          <w:i/>
          <w:iCs/>
          <w:noProof/>
          <w:sz w:val="16"/>
          <w:szCs w:val="16"/>
          <w:lang w:eastAsia="en-GB"/>
        </w:rPr>
      </w:pPr>
      <w:r>
        <w:rPr>
          <w:rFonts w:ascii="Verdana" w:eastAsia="Times New Roman" w:hAnsi="Verdana"/>
          <w:bCs/>
          <w:i/>
          <w:iCs/>
          <w:noProof/>
          <w:sz w:val="16"/>
          <w:szCs w:val="16"/>
          <w:lang w:eastAsia="en-GB"/>
        </w:rPr>
        <w:t xml:space="preserve">        precise calculations and flat rates.</w:t>
      </w:r>
    </w:p>
    <w:p w:rsidR="00CC45FC" w:rsidRDefault="004A7700">
      <w:pPr>
        <w:spacing w:after="0" w:line="240" w:lineRule="auto"/>
        <w:ind w:left="567" w:hanging="284"/>
        <w:rPr>
          <w:rFonts w:ascii="Verdana" w:eastAsia="Times New Roman" w:hAnsi="Verdana"/>
          <w:bCs/>
          <w:i/>
          <w:iCs/>
          <w:noProof/>
          <w:sz w:val="16"/>
          <w:szCs w:val="16"/>
          <w:lang w:eastAsia="en-GB"/>
        </w:rPr>
      </w:pPr>
      <w:r>
        <w:rPr>
          <w:rFonts w:ascii="Verdana" w:eastAsia="Times New Roman" w:hAnsi="Verdana"/>
          <w:bCs/>
          <w:i/>
          <w:iCs/>
          <w:noProof/>
          <w:sz w:val="16"/>
          <w:szCs w:val="16"/>
          <w:lang w:eastAsia="en-GB"/>
        </w:rPr>
        <w:t>***   Implemented flat-rate figures for Agriculture are not available.</w:t>
      </w:r>
    </w:p>
    <w:p w:rsidR="00CC45FC" w:rsidRDefault="004A7700">
      <w:pPr>
        <w:spacing w:after="0" w:line="240" w:lineRule="auto"/>
        <w:ind w:left="567" w:hanging="284"/>
        <w:rPr>
          <w:rFonts w:ascii="Verdana" w:eastAsia="Times New Roman" w:hAnsi="Verdana"/>
          <w:bCs/>
          <w:i/>
          <w:iCs/>
          <w:noProof/>
          <w:sz w:val="16"/>
          <w:szCs w:val="16"/>
          <w:lang w:eastAsia="en-GB"/>
        </w:rPr>
      </w:pPr>
      <w:r>
        <w:rPr>
          <w:rFonts w:ascii="Verdana" w:eastAsia="Times New Roman" w:hAnsi="Verdana"/>
          <w:bCs/>
          <w:i/>
          <w:iCs/>
          <w:noProof/>
          <w:sz w:val="16"/>
          <w:szCs w:val="16"/>
          <w:lang w:eastAsia="en-GB"/>
        </w:rPr>
        <w:t>**** Breakdown of flat-rate corrections available only for MFF 2007-2013.</w:t>
      </w:r>
    </w:p>
    <w:p w:rsidR="00CC45FC" w:rsidRDefault="00CC45FC">
      <w:pPr>
        <w:spacing w:after="0" w:line="240" w:lineRule="auto"/>
        <w:rPr>
          <w:rFonts w:ascii="Verdana" w:hAnsi="Verdana"/>
          <w:noProof/>
          <w:sz w:val="20"/>
          <w:szCs w:val="20"/>
          <w:lang w:eastAsia="en-GB"/>
        </w:rPr>
      </w:pPr>
    </w:p>
    <w:p w:rsidR="00CC45FC" w:rsidRDefault="004A7700">
      <w:pPr>
        <w:pStyle w:val="ManualHeading2"/>
        <w:rPr>
          <w:i/>
          <w:noProof/>
        </w:rPr>
      </w:pPr>
      <w:bookmarkStart w:id="139" w:name="_Toc456258180"/>
      <w:bookmarkStart w:id="140" w:name="_Toc456686588"/>
      <w:r>
        <w:t>3.</w:t>
      </w:r>
      <w:r>
        <w:tab/>
      </w:r>
      <w:r>
        <w:rPr>
          <w:noProof/>
        </w:rPr>
        <w:t>Breakdown of financial corrections at source in 2015</w:t>
      </w:r>
      <w:bookmarkEnd w:id="139"/>
      <w:bookmarkEnd w:id="140"/>
    </w:p>
    <w:p w:rsidR="00CC45FC" w:rsidRDefault="00CC45FC">
      <w:pPr>
        <w:spacing w:after="240" w:line="240" w:lineRule="auto"/>
        <w:jc w:val="both"/>
        <w:rPr>
          <w:rFonts w:ascii="Verdana" w:hAnsi="Verdana"/>
          <w:i/>
          <w:noProof/>
          <w:sz w:val="20"/>
        </w:rPr>
      </w:pPr>
    </w:p>
    <w:tbl>
      <w:tblPr>
        <w:tblpPr w:leftFromText="180" w:rightFromText="180" w:vertAnchor="text" w:horzAnchor="page" w:tblpX="3148" w:tblpY="58"/>
        <w:tblW w:w="5958" w:type="dxa"/>
        <w:tblLayout w:type="fixed"/>
        <w:tblLook w:val="04A0" w:firstRow="1" w:lastRow="0" w:firstColumn="1" w:lastColumn="0" w:noHBand="0" w:noVBand="1"/>
      </w:tblPr>
      <w:tblGrid>
        <w:gridCol w:w="1674"/>
        <w:gridCol w:w="2142"/>
        <w:gridCol w:w="2142"/>
      </w:tblGrid>
      <w:tr w:rsidR="00CC45FC">
        <w:trPr>
          <w:trHeight w:val="975"/>
        </w:trPr>
        <w:tc>
          <w:tcPr>
            <w:tcW w:w="1674" w:type="dxa"/>
            <w:tcBorders>
              <w:top w:val="single" w:sz="8" w:space="0" w:color="auto"/>
              <w:left w:val="single" w:sz="8" w:space="0" w:color="auto"/>
              <w:bottom w:val="single" w:sz="4"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Member State</w:t>
            </w:r>
          </w:p>
        </w:tc>
        <w:tc>
          <w:tcPr>
            <w:tcW w:w="2142" w:type="dxa"/>
            <w:tcBorders>
              <w:top w:val="single" w:sz="8" w:space="0" w:color="auto"/>
              <w:left w:val="single" w:sz="4" w:space="0" w:color="auto"/>
              <w:bottom w:val="single" w:sz="4" w:space="0" w:color="auto"/>
              <w:right w:val="single" w:sz="8" w:space="0" w:color="auto"/>
            </w:tcBorders>
            <w:shd w:val="clear" w:color="000000" w:fill="99CCFF"/>
            <w:vAlign w:val="center"/>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At source financial corrections confirmed in 2015 (EUR million)</w:t>
            </w:r>
          </w:p>
        </w:tc>
        <w:tc>
          <w:tcPr>
            <w:tcW w:w="2142" w:type="dxa"/>
            <w:tcBorders>
              <w:top w:val="single" w:sz="8" w:space="0" w:color="auto"/>
              <w:left w:val="single" w:sz="4" w:space="0" w:color="auto"/>
              <w:bottom w:val="single" w:sz="4" w:space="0" w:color="auto"/>
              <w:right w:val="single" w:sz="8" w:space="0" w:color="auto"/>
            </w:tcBorders>
            <w:shd w:val="clear" w:color="000000" w:fill="99CCFF"/>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At source financial corrections implemented in 2015 (EUR million)</w:t>
            </w:r>
          </w:p>
        </w:tc>
      </w:tr>
      <w:tr w:rsidR="00CC45FC">
        <w:trPr>
          <w:trHeight w:hRule="exact" w:val="228"/>
        </w:trPr>
        <w:tc>
          <w:tcPr>
            <w:tcW w:w="1674" w:type="dxa"/>
            <w:tcBorders>
              <w:left w:val="single" w:sz="4" w:space="0" w:color="auto"/>
              <w:right w:val="single" w:sz="4" w:space="0" w:color="auto"/>
            </w:tcBorders>
            <w:shd w:val="clear" w:color="auto" w:fill="auto"/>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Belgium</w:t>
            </w:r>
          </w:p>
        </w:tc>
        <w:tc>
          <w:tcPr>
            <w:tcW w:w="2142" w:type="dxa"/>
            <w:tcBorders>
              <w:top w:val="single" w:sz="4" w:space="0" w:color="auto"/>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0 </w:t>
            </w:r>
          </w:p>
        </w:tc>
        <w:tc>
          <w:tcPr>
            <w:tcW w:w="2142" w:type="dxa"/>
            <w:tcBorders>
              <w:top w:val="single" w:sz="4" w:space="0" w:color="auto"/>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0 </w:t>
            </w:r>
          </w:p>
        </w:tc>
      </w:tr>
      <w:tr w:rsidR="00CC45FC">
        <w:trPr>
          <w:trHeight w:hRule="exact" w:val="228"/>
        </w:trPr>
        <w:tc>
          <w:tcPr>
            <w:tcW w:w="1674" w:type="dxa"/>
            <w:tcBorders>
              <w:left w:val="single" w:sz="4" w:space="0" w:color="auto"/>
              <w:right w:val="single" w:sz="4" w:space="0" w:color="auto"/>
            </w:tcBorders>
            <w:shd w:val="clear" w:color="auto" w:fill="auto"/>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Bulgaria</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0 </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28 </w:t>
            </w:r>
          </w:p>
        </w:tc>
      </w:tr>
      <w:tr w:rsidR="00CC45FC">
        <w:trPr>
          <w:trHeight w:hRule="exact" w:val="228"/>
        </w:trPr>
        <w:tc>
          <w:tcPr>
            <w:tcW w:w="1674" w:type="dxa"/>
            <w:tcBorders>
              <w:left w:val="single" w:sz="4" w:space="0" w:color="auto"/>
              <w:right w:val="single" w:sz="4" w:space="0" w:color="auto"/>
            </w:tcBorders>
            <w:shd w:val="clear" w:color="auto" w:fill="auto"/>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Cyprus</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0 </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0 </w:t>
            </w:r>
          </w:p>
        </w:tc>
      </w:tr>
      <w:tr w:rsidR="00CC45FC">
        <w:trPr>
          <w:trHeight w:hRule="exact" w:val="228"/>
        </w:trPr>
        <w:tc>
          <w:tcPr>
            <w:tcW w:w="1674" w:type="dxa"/>
            <w:tcBorders>
              <w:left w:val="single" w:sz="4" w:space="0" w:color="auto"/>
              <w:right w:val="single" w:sz="4" w:space="0" w:color="auto"/>
            </w:tcBorders>
            <w:shd w:val="clear" w:color="auto" w:fill="auto"/>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Czech Republic</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3 </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67 </w:t>
            </w:r>
          </w:p>
        </w:tc>
      </w:tr>
      <w:tr w:rsidR="00CC45FC">
        <w:trPr>
          <w:trHeight w:hRule="exact" w:val="228"/>
        </w:trPr>
        <w:tc>
          <w:tcPr>
            <w:tcW w:w="1674" w:type="dxa"/>
            <w:tcBorders>
              <w:left w:val="single" w:sz="4" w:space="0" w:color="auto"/>
              <w:right w:val="single" w:sz="4" w:space="0" w:color="auto"/>
            </w:tcBorders>
            <w:shd w:val="clear" w:color="auto" w:fill="auto"/>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Spain</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7 </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7 </w:t>
            </w:r>
          </w:p>
        </w:tc>
      </w:tr>
      <w:tr w:rsidR="00CC45FC">
        <w:trPr>
          <w:trHeight w:hRule="exact" w:val="228"/>
        </w:trPr>
        <w:tc>
          <w:tcPr>
            <w:tcW w:w="1674" w:type="dxa"/>
            <w:tcBorders>
              <w:left w:val="single" w:sz="4" w:space="0" w:color="auto"/>
              <w:right w:val="single" w:sz="4" w:space="0" w:color="auto"/>
            </w:tcBorders>
            <w:shd w:val="clear" w:color="auto" w:fill="auto"/>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Finland</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0 </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0 </w:t>
            </w:r>
          </w:p>
        </w:tc>
      </w:tr>
      <w:tr w:rsidR="00CC45FC">
        <w:trPr>
          <w:trHeight w:hRule="exact" w:val="228"/>
        </w:trPr>
        <w:tc>
          <w:tcPr>
            <w:tcW w:w="1674" w:type="dxa"/>
            <w:tcBorders>
              <w:left w:val="single" w:sz="4" w:space="0" w:color="auto"/>
              <w:right w:val="single" w:sz="4" w:space="0" w:color="auto"/>
            </w:tcBorders>
            <w:shd w:val="clear" w:color="auto" w:fill="auto"/>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France</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3 </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3 </w:t>
            </w:r>
          </w:p>
        </w:tc>
      </w:tr>
      <w:tr w:rsidR="00CC45FC">
        <w:trPr>
          <w:trHeight w:hRule="exact" w:val="228"/>
        </w:trPr>
        <w:tc>
          <w:tcPr>
            <w:tcW w:w="1674" w:type="dxa"/>
            <w:tcBorders>
              <w:left w:val="single" w:sz="4" w:space="0" w:color="auto"/>
              <w:right w:val="single" w:sz="4" w:space="0" w:color="auto"/>
            </w:tcBorders>
            <w:shd w:val="clear" w:color="auto" w:fill="auto"/>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United Kingdom</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0 </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0 </w:t>
            </w:r>
          </w:p>
        </w:tc>
      </w:tr>
      <w:tr w:rsidR="00CC45FC">
        <w:trPr>
          <w:trHeight w:hRule="exact" w:val="228"/>
        </w:trPr>
        <w:tc>
          <w:tcPr>
            <w:tcW w:w="1674" w:type="dxa"/>
            <w:tcBorders>
              <w:left w:val="single" w:sz="4" w:space="0" w:color="auto"/>
              <w:right w:val="single" w:sz="4" w:space="0" w:color="auto"/>
            </w:tcBorders>
            <w:shd w:val="clear" w:color="auto" w:fill="auto"/>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Greece</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2 </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30 </w:t>
            </w:r>
          </w:p>
        </w:tc>
      </w:tr>
      <w:tr w:rsidR="00CC45FC">
        <w:trPr>
          <w:trHeight w:hRule="exact" w:val="228"/>
        </w:trPr>
        <w:tc>
          <w:tcPr>
            <w:tcW w:w="1674" w:type="dxa"/>
            <w:tcBorders>
              <w:left w:val="single" w:sz="4" w:space="0" w:color="auto"/>
              <w:right w:val="single" w:sz="4" w:space="0" w:color="auto"/>
            </w:tcBorders>
            <w:shd w:val="clear" w:color="auto" w:fill="auto"/>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Hungary</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12 </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126 </w:t>
            </w:r>
          </w:p>
        </w:tc>
      </w:tr>
      <w:tr w:rsidR="00CC45FC">
        <w:trPr>
          <w:trHeight w:hRule="exact" w:val="228"/>
        </w:trPr>
        <w:tc>
          <w:tcPr>
            <w:tcW w:w="1674" w:type="dxa"/>
            <w:tcBorders>
              <w:left w:val="single" w:sz="4" w:space="0" w:color="auto"/>
              <w:right w:val="single" w:sz="4" w:space="0" w:color="auto"/>
            </w:tcBorders>
            <w:shd w:val="clear" w:color="auto" w:fill="auto"/>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Ireland</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0 </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0 </w:t>
            </w:r>
          </w:p>
        </w:tc>
      </w:tr>
      <w:tr w:rsidR="00CC45FC">
        <w:trPr>
          <w:trHeight w:hRule="exact" w:val="228"/>
        </w:trPr>
        <w:tc>
          <w:tcPr>
            <w:tcW w:w="1674" w:type="dxa"/>
            <w:tcBorders>
              <w:left w:val="single" w:sz="4" w:space="0" w:color="auto"/>
              <w:right w:val="single" w:sz="4" w:space="0" w:color="auto"/>
            </w:tcBorders>
            <w:shd w:val="clear" w:color="auto" w:fill="auto"/>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Italy</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6 </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4 </w:t>
            </w:r>
          </w:p>
        </w:tc>
      </w:tr>
      <w:tr w:rsidR="00CC45FC">
        <w:trPr>
          <w:trHeight w:hRule="exact" w:val="228"/>
        </w:trPr>
        <w:tc>
          <w:tcPr>
            <w:tcW w:w="1674" w:type="dxa"/>
            <w:tcBorders>
              <w:left w:val="single" w:sz="4" w:space="0" w:color="auto"/>
              <w:right w:val="single" w:sz="4" w:space="0" w:color="auto"/>
            </w:tcBorders>
            <w:shd w:val="clear" w:color="auto" w:fill="auto"/>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Latvia</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2 </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2 </w:t>
            </w:r>
          </w:p>
        </w:tc>
      </w:tr>
      <w:tr w:rsidR="00CC45FC">
        <w:trPr>
          <w:trHeight w:hRule="exact" w:val="228"/>
        </w:trPr>
        <w:tc>
          <w:tcPr>
            <w:tcW w:w="1674" w:type="dxa"/>
            <w:tcBorders>
              <w:left w:val="single" w:sz="4" w:space="0" w:color="auto"/>
              <w:right w:val="single" w:sz="4" w:space="0" w:color="auto"/>
            </w:tcBorders>
            <w:shd w:val="clear" w:color="auto" w:fill="auto"/>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Netherlands</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1 </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1 </w:t>
            </w:r>
          </w:p>
        </w:tc>
      </w:tr>
      <w:tr w:rsidR="00CC45FC">
        <w:trPr>
          <w:trHeight w:hRule="exact" w:val="228"/>
        </w:trPr>
        <w:tc>
          <w:tcPr>
            <w:tcW w:w="1674" w:type="dxa"/>
            <w:tcBorders>
              <w:left w:val="single" w:sz="4" w:space="0" w:color="auto"/>
              <w:right w:val="single" w:sz="4" w:space="0" w:color="auto"/>
            </w:tcBorders>
            <w:shd w:val="clear" w:color="auto" w:fill="auto"/>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Poland</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56 </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4 </w:t>
            </w:r>
          </w:p>
        </w:tc>
      </w:tr>
      <w:tr w:rsidR="00CC45FC">
        <w:trPr>
          <w:trHeight w:hRule="exact" w:val="228"/>
        </w:trPr>
        <w:tc>
          <w:tcPr>
            <w:tcW w:w="1674" w:type="dxa"/>
            <w:tcBorders>
              <w:left w:val="single" w:sz="4" w:space="0" w:color="auto"/>
              <w:right w:val="single" w:sz="4" w:space="0" w:color="auto"/>
            </w:tcBorders>
            <w:shd w:val="clear" w:color="auto" w:fill="auto"/>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Portugal</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0 </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0 </w:t>
            </w:r>
          </w:p>
        </w:tc>
      </w:tr>
      <w:tr w:rsidR="00CC45FC">
        <w:trPr>
          <w:trHeight w:hRule="exact" w:val="228"/>
        </w:trPr>
        <w:tc>
          <w:tcPr>
            <w:tcW w:w="1674" w:type="dxa"/>
            <w:tcBorders>
              <w:left w:val="single" w:sz="4" w:space="0" w:color="auto"/>
              <w:right w:val="single" w:sz="4" w:space="0" w:color="auto"/>
            </w:tcBorders>
            <w:shd w:val="clear" w:color="auto" w:fill="auto"/>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Romania</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423 </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507 </w:t>
            </w:r>
          </w:p>
        </w:tc>
      </w:tr>
      <w:tr w:rsidR="00CC45FC">
        <w:trPr>
          <w:trHeight w:hRule="exact" w:val="228"/>
        </w:trPr>
        <w:tc>
          <w:tcPr>
            <w:tcW w:w="1674" w:type="dxa"/>
            <w:tcBorders>
              <w:left w:val="single" w:sz="4" w:space="0" w:color="auto"/>
              <w:right w:val="single" w:sz="4" w:space="0" w:color="auto"/>
            </w:tcBorders>
            <w:shd w:val="clear" w:color="auto" w:fill="auto"/>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Sweden</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5 </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5 </w:t>
            </w:r>
          </w:p>
        </w:tc>
      </w:tr>
      <w:tr w:rsidR="00CC45FC">
        <w:trPr>
          <w:trHeight w:hRule="exact" w:val="228"/>
        </w:trPr>
        <w:tc>
          <w:tcPr>
            <w:tcW w:w="1674" w:type="dxa"/>
            <w:tcBorders>
              <w:left w:val="single" w:sz="4" w:space="0" w:color="auto"/>
              <w:right w:val="single" w:sz="4" w:space="0" w:color="auto"/>
            </w:tcBorders>
            <w:shd w:val="clear" w:color="auto" w:fill="auto"/>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Slovakia</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5 </w:t>
            </w:r>
          </w:p>
        </w:tc>
        <w:tc>
          <w:tcPr>
            <w:tcW w:w="2142" w:type="dxa"/>
            <w:tcBorders>
              <w:left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5 </w:t>
            </w:r>
          </w:p>
        </w:tc>
      </w:tr>
      <w:tr w:rsidR="00CC45FC">
        <w:trPr>
          <w:trHeight w:hRule="exact" w:val="307"/>
        </w:trPr>
        <w:tc>
          <w:tcPr>
            <w:tcW w:w="1674"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CC45FC" w:rsidRDefault="004A7700">
            <w:pPr>
              <w:spacing w:after="0" w:line="240" w:lineRule="auto"/>
              <w:jc w:val="both"/>
              <w:rPr>
                <w:rFonts w:ascii="Verdana" w:eastAsia="Times New Roman" w:hAnsi="Verdana"/>
                <w:b/>
                <w:noProof/>
                <w:color w:val="000000"/>
                <w:sz w:val="16"/>
                <w:szCs w:val="16"/>
                <w:lang w:eastAsia="en-GB"/>
              </w:rPr>
            </w:pPr>
            <w:r>
              <w:rPr>
                <w:rFonts w:ascii="Verdana" w:eastAsia="Times New Roman" w:hAnsi="Verdana"/>
                <w:b/>
                <w:noProof/>
                <w:color w:val="000000"/>
                <w:sz w:val="16"/>
                <w:szCs w:val="16"/>
                <w:lang w:eastAsia="en-GB"/>
              </w:rPr>
              <w:t>TOTAL</w:t>
            </w:r>
          </w:p>
        </w:tc>
        <w:tc>
          <w:tcPr>
            <w:tcW w:w="2142" w:type="dxa"/>
            <w:tcBorders>
              <w:top w:val="single" w:sz="4" w:space="0" w:color="auto"/>
              <w:left w:val="single" w:sz="4" w:space="0" w:color="auto"/>
              <w:bottom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 xml:space="preserve">524 </w:t>
            </w:r>
          </w:p>
        </w:tc>
        <w:tc>
          <w:tcPr>
            <w:tcW w:w="2142" w:type="dxa"/>
            <w:tcBorders>
              <w:top w:val="single" w:sz="4" w:space="0" w:color="auto"/>
              <w:left w:val="single" w:sz="4" w:space="0" w:color="auto"/>
              <w:bottom w:val="single" w:sz="4" w:space="0" w:color="auto"/>
              <w:right w:val="single" w:sz="8" w:space="0" w:color="auto"/>
            </w:tcBorders>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 xml:space="preserve">788 </w:t>
            </w:r>
          </w:p>
        </w:tc>
      </w:tr>
    </w:tbl>
    <w:p w:rsidR="00CC45FC" w:rsidRDefault="00CC45FC">
      <w:pPr>
        <w:rPr>
          <w:noProof/>
          <w:lang w:eastAsia="en-GB"/>
        </w:rPr>
      </w:pPr>
    </w:p>
    <w:p w:rsidR="00CC45FC" w:rsidRDefault="00CC45FC">
      <w:pPr>
        <w:rPr>
          <w:noProof/>
          <w:lang w:eastAsia="en-GB"/>
        </w:rPr>
      </w:pPr>
    </w:p>
    <w:p w:rsidR="00CC45FC" w:rsidRDefault="00CC45FC">
      <w:pPr>
        <w:rPr>
          <w:noProof/>
          <w:lang w:eastAsia="en-GB"/>
        </w:rPr>
      </w:pPr>
    </w:p>
    <w:p w:rsidR="00CC45FC" w:rsidRDefault="00CC45FC">
      <w:pPr>
        <w:rPr>
          <w:noProof/>
          <w:lang w:eastAsia="en-GB"/>
        </w:rPr>
      </w:pPr>
    </w:p>
    <w:p w:rsidR="00CC45FC" w:rsidRDefault="00CC45FC">
      <w:pPr>
        <w:rPr>
          <w:noProof/>
          <w:lang w:eastAsia="en-GB"/>
        </w:rPr>
      </w:pPr>
    </w:p>
    <w:p w:rsidR="00CC45FC" w:rsidRDefault="00CC45FC">
      <w:pPr>
        <w:rPr>
          <w:noProof/>
          <w:lang w:eastAsia="en-GB"/>
        </w:rPr>
      </w:pPr>
    </w:p>
    <w:p w:rsidR="00CC45FC" w:rsidRDefault="00CC45FC">
      <w:pPr>
        <w:spacing w:after="0" w:line="240" w:lineRule="auto"/>
        <w:rPr>
          <w:noProof/>
          <w:lang w:eastAsia="en-GB"/>
        </w:rPr>
      </w:pPr>
    </w:p>
    <w:p w:rsidR="00CC45FC" w:rsidRDefault="00CC45FC">
      <w:pPr>
        <w:spacing w:after="0" w:line="240" w:lineRule="auto"/>
        <w:rPr>
          <w:noProof/>
          <w:lang w:eastAsia="en-GB"/>
        </w:rPr>
      </w:pPr>
    </w:p>
    <w:p w:rsidR="00CC45FC" w:rsidRDefault="00CC45FC">
      <w:pPr>
        <w:spacing w:after="0" w:line="240" w:lineRule="auto"/>
        <w:rPr>
          <w:noProof/>
          <w:lang w:eastAsia="en-GB"/>
        </w:rPr>
      </w:pPr>
    </w:p>
    <w:p w:rsidR="00CC45FC" w:rsidRDefault="00CC45FC">
      <w:pPr>
        <w:spacing w:after="0" w:line="240" w:lineRule="auto"/>
        <w:rPr>
          <w:noProof/>
          <w:lang w:eastAsia="en-GB"/>
        </w:rPr>
      </w:pPr>
    </w:p>
    <w:p w:rsidR="00CC45FC" w:rsidRDefault="00CC45FC">
      <w:pPr>
        <w:spacing w:after="0" w:line="240" w:lineRule="auto"/>
        <w:rPr>
          <w:noProof/>
          <w:lang w:eastAsia="en-GB"/>
        </w:rPr>
      </w:pPr>
    </w:p>
    <w:p w:rsidR="00CC45FC" w:rsidRDefault="00CC45FC">
      <w:pPr>
        <w:spacing w:after="0" w:line="240" w:lineRule="auto"/>
        <w:rPr>
          <w:noProof/>
          <w:lang w:eastAsia="en-GB"/>
        </w:rPr>
      </w:pPr>
    </w:p>
    <w:p w:rsidR="00CC45FC" w:rsidRDefault="00CC45FC">
      <w:pPr>
        <w:spacing w:after="0" w:line="240" w:lineRule="auto"/>
        <w:rPr>
          <w:noProof/>
          <w:lang w:eastAsia="en-GB"/>
        </w:rPr>
      </w:pPr>
    </w:p>
    <w:p w:rsidR="00CC45FC" w:rsidRDefault="00CC45FC">
      <w:pPr>
        <w:spacing w:after="0" w:line="240" w:lineRule="auto"/>
        <w:rPr>
          <w:noProof/>
          <w:lang w:eastAsia="en-GB"/>
        </w:rPr>
      </w:pPr>
    </w:p>
    <w:p w:rsidR="00CC45FC" w:rsidRDefault="00CC45FC">
      <w:pPr>
        <w:spacing w:after="0" w:line="240" w:lineRule="auto"/>
        <w:rPr>
          <w:noProof/>
          <w:sz w:val="16"/>
          <w:szCs w:val="16"/>
          <w:lang w:eastAsia="en-GB"/>
        </w:rPr>
      </w:pPr>
    </w:p>
    <w:p w:rsidR="00CC45FC" w:rsidRDefault="00CC45FC">
      <w:pPr>
        <w:spacing w:after="0" w:line="240" w:lineRule="auto"/>
        <w:jc w:val="both"/>
        <w:rPr>
          <w:rFonts w:ascii="Verdana" w:hAnsi="Verdana"/>
          <w:noProof/>
          <w:sz w:val="20"/>
        </w:rPr>
      </w:pPr>
    </w:p>
    <w:p w:rsidR="00CC45FC" w:rsidRDefault="00CC45FC">
      <w:pPr>
        <w:spacing w:after="0" w:line="240" w:lineRule="auto"/>
        <w:rPr>
          <w:rFonts w:ascii="Verdana" w:hAnsi="Verdana"/>
          <w:b/>
          <w:noProof/>
        </w:rPr>
      </w:pPr>
    </w:p>
    <w:p w:rsidR="00CC45FC" w:rsidRDefault="004A7700">
      <w:pPr>
        <w:spacing w:after="0" w:line="240" w:lineRule="auto"/>
        <w:rPr>
          <w:rFonts w:ascii="Verdana" w:hAnsi="Verdana"/>
          <w:b/>
          <w:noProof/>
        </w:rPr>
      </w:pPr>
      <w:r>
        <w:rPr>
          <w:rFonts w:ascii="Verdana" w:hAnsi="Verdana"/>
          <w:b/>
          <w:noProof/>
        </w:rPr>
        <w:br w:type="page"/>
      </w:r>
    </w:p>
    <w:p w:rsidR="00CC45FC" w:rsidRDefault="004A7700">
      <w:pPr>
        <w:pStyle w:val="ManualHeading2"/>
        <w:rPr>
          <w:i/>
          <w:noProof/>
        </w:rPr>
      </w:pPr>
      <w:bookmarkStart w:id="141" w:name="_Toc456258181"/>
      <w:bookmarkStart w:id="142" w:name="_Toc456686589"/>
      <w:r>
        <w:t>4.</w:t>
      </w:r>
      <w:r>
        <w:tab/>
      </w:r>
      <w:r>
        <w:rPr>
          <w:noProof/>
        </w:rPr>
        <w:t>Breakdown of net financial corrections in 2015</w:t>
      </w:r>
      <w:bookmarkEnd w:id="141"/>
      <w:bookmarkEnd w:id="142"/>
    </w:p>
    <w:tbl>
      <w:tblPr>
        <w:tblW w:w="9238" w:type="dxa"/>
        <w:tblInd w:w="-34" w:type="dxa"/>
        <w:tblLook w:val="04A0" w:firstRow="1" w:lastRow="0" w:firstColumn="1" w:lastColumn="0" w:noHBand="0" w:noVBand="1"/>
      </w:tblPr>
      <w:tblGrid>
        <w:gridCol w:w="3828"/>
        <w:gridCol w:w="1559"/>
        <w:gridCol w:w="1843"/>
        <w:gridCol w:w="2008"/>
      </w:tblGrid>
      <w:tr w:rsidR="00CC45FC">
        <w:trPr>
          <w:trHeight w:val="600"/>
        </w:trPr>
        <w:tc>
          <w:tcPr>
            <w:tcW w:w="9238" w:type="dxa"/>
            <w:gridSpan w:val="4"/>
            <w:tcBorders>
              <w:top w:val="nil"/>
              <w:left w:val="nil"/>
              <w:bottom w:val="nil"/>
              <w:right w:val="nil"/>
            </w:tcBorders>
            <w:shd w:val="clear" w:color="auto" w:fill="auto"/>
            <w:noWrap/>
            <w:vAlign w:val="center"/>
            <w:hideMark/>
          </w:tcPr>
          <w:p w:rsidR="00CC45FC" w:rsidRDefault="004A7700">
            <w:pPr>
              <w:spacing w:after="0" w:line="240" w:lineRule="auto"/>
              <w:jc w:val="both"/>
              <w:rPr>
                <w:rFonts w:ascii="Verdana" w:eastAsia="Times New Roman" w:hAnsi="Verdana"/>
                <w:b/>
                <w:bCs/>
                <w:i/>
                <w:iCs/>
                <w:noProof/>
                <w:color w:val="000000"/>
                <w:sz w:val="20"/>
                <w:szCs w:val="20"/>
                <w:u w:val="single"/>
                <w:lang w:eastAsia="en-GB"/>
              </w:rPr>
            </w:pPr>
            <w:r>
              <w:rPr>
                <w:rFonts w:ascii="Verdana" w:eastAsia="Times New Roman" w:hAnsi="Verdana"/>
                <w:b/>
                <w:bCs/>
                <w:i/>
                <w:iCs/>
                <w:noProof/>
                <w:color w:val="000000"/>
                <w:sz w:val="20"/>
                <w:szCs w:val="20"/>
                <w:u w:val="single"/>
                <w:lang w:eastAsia="en-GB"/>
              </w:rPr>
              <w:t xml:space="preserve">Confirmed </w:t>
            </w:r>
          </w:p>
        </w:tc>
      </w:tr>
      <w:tr w:rsidR="00CC45FC">
        <w:trPr>
          <w:trHeight w:val="270"/>
        </w:trPr>
        <w:tc>
          <w:tcPr>
            <w:tcW w:w="9238" w:type="dxa"/>
            <w:gridSpan w:val="4"/>
            <w:tcBorders>
              <w:top w:val="nil"/>
              <w:left w:val="nil"/>
              <w:bottom w:val="single" w:sz="8" w:space="0" w:color="auto"/>
              <w:right w:val="nil"/>
            </w:tcBorders>
            <w:shd w:val="clear" w:color="auto" w:fill="auto"/>
            <w:noWrap/>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EUR millions</w:t>
            </w:r>
          </w:p>
        </w:tc>
      </w:tr>
      <w:tr w:rsidR="00CC45FC">
        <w:trPr>
          <w:trHeight w:val="1275"/>
        </w:trPr>
        <w:tc>
          <w:tcPr>
            <w:tcW w:w="3828" w:type="dxa"/>
            <w:tcBorders>
              <w:top w:val="nil"/>
              <w:left w:val="single" w:sz="8" w:space="0" w:color="auto"/>
              <w:bottom w:val="single" w:sz="8" w:space="0" w:color="000000"/>
              <w:right w:val="single" w:sz="8" w:space="0" w:color="auto"/>
            </w:tcBorders>
            <w:shd w:val="clear" w:color="000000" w:fill="99CCFF"/>
            <w:noWrap/>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MFF Heading</w:t>
            </w:r>
          </w:p>
        </w:tc>
        <w:tc>
          <w:tcPr>
            <w:tcW w:w="1559" w:type="dxa"/>
            <w:tcBorders>
              <w:top w:val="nil"/>
              <w:left w:val="nil"/>
              <w:bottom w:val="single" w:sz="8" w:space="0" w:color="auto"/>
              <w:right w:val="nil"/>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Net financial corrections confirmed in 2015</w:t>
            </w:r>
          </w:p>
        </w:tc>
        <w:tc>
          <w:tcPr>
            <w:tcW w:w="1843" w:type="dxa"/>
            <w:tcBorders>
              <w:top w:val="nil"/>
              <w:left w:val="single" w:sz="8" w:space="0" w:color="auto"/>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Financial corrections with replacement of expenditure and other corrections  confirmed in 2015</w:t>
            </w:r>
          </w:p>
        </w:tc>
        <w:tc>
          <w:tcPr>
            <w:tcW w:w="2008" w:type="dxa"/>
            <w:tcBorders>
              <w:top w:val="nil"/>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 xml:space="preserve">Total financial corrections </w:t>
            </w:r>
            <w:r>
              <w:rPr>
                <w:rFonts w:ascii="Verdana" w:eastAsia="Times New Roman" w:hAnsi="Verdana"/>
                <w:b/>
                <w:bCs/>
                <w:noProof/>
                <w:color w:val="000000"/>
                <w:sz w:val="16"/>
                <w:szCs w:val="16"/>
                <w:u w:val="single"/>
                <w:lang w:eastAsia="en-GB"/>
              </w:rPr>
              <w:t>confirmed</w:t>
            </w:r>
            <w:r>
              <w:rPr>
                <w:rFonts w:ascii="Verdana" w:eastAsia="Times New Roman" w:hAnsi="Verdana"/>
                <w:b/>
                <w:bCs/>
                <w:noProof/>
                <w:color w:val="000000"/>
                <w:sz w:val="16"/>
                <w:szCs w:val="16"/>
                <w:lang w:eastAsia="en-GB"/>
              </w:rPr>
              <w:t xml:space="preserve"> in 2015</w:t>
            </w:r>
          </w:p>
        </w:tc>
      </w:tr>
      <w:tr w:rsidR="00CC45FC">
        <w:trPr>
          <w:trHeight w:val="383"/>
        </w:trPr>
        <w:tc>
          <w:tcPr>
            <w:tcW w:w="3828" w:type="dxa"/>
            <w:tcBorders>
              <w:top w:val="nil"/>
              <w:left w:val="single" w:sz="8" w:space="0" w:color="auto"/>
              <w:bottom w:val="single" w:sz="8" w:space="0" w:color="auto"/>
              <w:right w:val="single" w:sz="8" w:space="0" w:color="auto"/>
            </w:tcBorders>
            <w:shd w:val="clear" w:color="000000" w:fill="D9D9D9"/>
            <w:noWrap/>
            <w:vAlign w:val="center"/>
            <w:hideMark/>
          </w:tcPr>
          <w:p w:rsidR="00CC45FC" w:rsidRDefault="004A7700">
            <w:pPr>
              <w:spacing w:after="0" w:line="240" w:lineRule="auto"/>
              <w:jc w:val="both"/>
              <w:rPr>
                <w:rFonts w:ascii="Verdana" w:eastAsia="Times New Roman" w:hAnsi="Verdana"/>
                <w:b/>
                <w:bCs/>
                <w:i/>
                <w:iCs/>
                <w:noProof/>
                <w:color w:val="000000"/>
                <w:sz w:val="16"/>
                <w:szCs w:val="16"/>
                <w:lang w:eastAsia="en-GB"/>
              </w:rPr>
            </w:pPr>
            <w:r>
              <w:rPr>
                <w:rFonts w:ascii="Verdana" w:eastAsia="Times New Roman" w:hAnsi="Verdana"/>
                <w:b/>
                <w:bCs/>
                <w:i/>
                <w:iCs/>
                <w:noProof/>
                <w:color w:val="000000"/>
                <w:sz w:val="16"/>
                <w:szCs w:val="16"/>
                <w:lang w:eastAsia="en-GB"/>
              </w:rPr>
              <w:t>Smart &amp; inclusive growth</w:t>
            </w:r>
          </w:p>
        </w:tc>
        <w:tc>
          <w:tcPr>
            <w:tcW w:w="1559" w:type="dxa"/>
            <w:tcBorders>
              <w:top w:val="nil"/>
              <w:left w:val="nil"/>
              <w:bottom w:val="single" w:sz="8" w:space="0" w:color="auto"/>
              <w:right w:val="nil"/>
            </w:tcBorders>
            <w:shd w:val="clear" w:color="000000" w:fill="D9D9D9"/>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(241)</w:t>
            </w:r>
          </w:p>
        </w:tc>
        <w:tc>
          <w:tcPr>
            <w:tcW w:w="1843" w:type="dxa"/>
            <w:tcBorders>
              <w:top w:val="nil"/>
              <w:left w:val="single" w:sz="8" w:space="0" w:color="auto"/>
              <w:bottom w:val="single" w:sz="8" w:space="0" w:color="auto"/>
              <w:right w:val="single" w:sz="8" w:space="0" w:color="auto"/>
            </w:tcBorders>
            <w:shd w:val="clear" w:color="000000" w:fill="D9D9D9"/>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1 878</w:t>
            </w:r>
          </w:p>
        </w:tc>
        <w:tc>
          <w:tcPr>
            <w:tcW w:w="2008" w:type="dxa"/>
            <w:tcBorders>
              <w:top w:val="nil"/>
              <w:left w:val="nil"/>
              <w:bottom w:val="single" w:sz="8" w:space="0" w:color="auto"/>
              <w:right w:val="single" w:sz="8" w:space="0" w:color="auto"/>
            </w:tcBorders>
            <w:shd w:val="clear" w:color="000000" w:fill="D9D9D9"/>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1 637</w:t>
            </w:r>
          </w:p>
        </w:tc>
      </w:tr>
      <w:tr w:rsidR="00CC45FC">
        <w:trPr>
          <w:trHeight w:val="133"/>
        </w:trPr>
        <w:tc>
          <w:tcPr>
            <w:tcW w:w="3828" w:type="dxa"/>
            <w:tcBorders>
              <w:top w:val="nil"/>
              <w:left w:val="single" w:sz="8" w:space="0" w:color="auto"/>
              <w:bottom w:val="nil"/>
              <w:right w:val="single" w:sz="8" w:space="0" w:color="auto"/>
            </w:tcBorders>
            <w:shd w:val="clear" w:color="auto" w:fill="auto"/>
            <w:noWrap/>
            <w:vAlign w:val="center"/>
          </w:tcPr>
          <w:p w:rsidR="00CC45FC" w:rsidRDefault="004A7700">
            <w:pPr>
              <w:spacing w:after="0" w:line="240" w:lineRule="auto"/>
              <w:ind w:firstLine="318"/>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ERDF</w:t>
            </w:r>
          </w:p>
        </w:tc>
        <w:tc>
          <w:tcPr>
            <w:tcW w:w="1559" w:type="dxa"/>
            <w:tcBorders>
              <w:top w:val="nil"/>
              <w:left w:val="nil"/>
              <w:bottom w:val="nil"/>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127</w:t>
            </w:r>
          </w:p>
        </w:tc>
        <w:tc>
          <w:tcPr>
            <w:tcW w:w="1843"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1 157</w:t>
            </w:r>
          </w:p>
        </w:tc>
        <w:tc>
          <w:tcPr>
            <w:tcW w:w="2008" w:type="dxa"/>
            <w:tcBorders>
              <w:top w:val="nil"/>
              <w:left w:val="nil"/>
              <w:bottom w:val="nil"/>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1 283</w:t>
            </w:r>
          </w:p>
        </w:tc>
      </w:tr>
      <w:tr w:rsidR="00CC45FC">
        <w:trPr>
          <w:trHeight w:val="133"/>
        </w:trPr>
        <w:tc>
          <w:tcPr>
            <w:tcW w:w="3828" w:type="dxa"/>
            <w:tcBorders>
              <w:top w:val="nil"/>
              <w:left w:val="single" w:sz="8" w:space="0" w:color="auto"/>
              <w:right w:val="single" w:sz="8" w:space="0" w:color="auto"/>
            </w:tcBorders>
            <w:shd w:val="clear" w:color="auto" w:fill="auto"/>
            <w:noWrap/>
            <w:vAlign w:val="center"/>
          </w:tcPr>
          <w:p w:rsidR="00CC45FC" w:rsidRDefault="004A7700">
            <w:pPr>
              <w:spacing w:after="0" w:line="240" w:lineRule="auto"/>
              <w:ind w:firstLine="318"/>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Court of Justice judgements</w:t>
            </w:r>
          </w:p>
        </w:tc>
        <w:tc>
          <w:tcPr>
            <w:tcW w:w="1559" w:type="dxa"/>
            <w:tcBorders>
              <w:top w:val="nil"/>
              <w:left w:val="nil"/>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(457)</w:t>
            </w:r>
          </w:p>
        </w:tc>
        <w:tc>
          <w:tcPr>
            <w:tcW w:w="1843" w:type="dxa"/>
            <w:tcBorders>
              <w:top w:val="nil"/>
              <w:left w:val="single" w:sz="8" w:space="0" w:color="auto"/>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2008" w:type="dxa"/>
            <w:tcBorders>
              <w:top w:val="nil"/>
              <w:left w:val="nil"/>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(457)</w:t>
            </w:r>
          </w:p>
        </w:tc>
      </w:tr>
      <w:tr w:rsidR="00CC45FC">
        <w:trPr>
          <w:trHeight w:val="133"/>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ERDF total</w:t>
            </w:r>
          </w:p>
        </w:tc>
        <w:tc>
          <w:tcPr>
            <w:tcW w:w="1559" w:type="dxa"/>
            <w:tcBorders>
              <w:top w:val="nil"/>
              <w:left w:val="nil"/>
              <w:bottom w:val="single" w:sz="8" w:space="0" w:color="auto"/>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(330)</w:t>
            </w:r>
          </w:p>
        </w:tc>
        <w:tc>
          <w:tcPr>
            <w:tcW w:w="1843" w:type="dxa"/>
            <w:tcBorders>
              <w:top w:val="nil"/>
              <w:left w:val="single" w:sz="8" w:space="0" w:color="auto"/>
              <w:bottom w:val="single" w:sz="8" w:space="0" w:color="auto"/>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1 157</w:t>
            </w:r>
          </w:p>
        </w:tc>
        <w:tc>
          <w:tcPr>
            <w:tcW w:w="2008" w:type="dxa"/>
            <w:tcBorders>
              <w:top w:val="nil"/>
              <w:left w:val="nil"/>
              <w:bottom w:val="single" w:sz="8" w:space="0" w:color="auto"/>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 xml:space="preserve"> 826</w:t>
            </w:r>
          </w:p>
        </w:tc>
      </w:tr>
      <w:tr w:rsidR="00CC45FC">
        <w:trPr>
          <w:trHeight w:val="85"/>
        </w:trPr>
        <w:tc>
          <w:tcPr>
            <w:tcW w:w="3828" w:type="dxa"/>
            <w:tcBorders>
              <w:top w:val="single" w:sz="8" w:space="0" w:color="auto"/>
              <w:left w:val="single" w:sz="8" w:space="0" w:color="auto"/>
              <w:bottom w:val="nil"/>
              <w:right w:val="single" w:sz="8" w:space="0" w:color="auto"/>
            </w:tcBorders>
            <w:shd w:val="clear" w:color="auto" w:fill="auto"/>
            <w:noWrap/>
            <w:vAlign w:val="center"/>
          </w:tcPr>
          <w:p w:rsidR="00CC45FC" w:rsidRDefault="004A7700">
            <w:pPr>
              <w:spacing w:after="0" w:line="240" w:lineRule="auto"/>
              <w:ind w:firstLine="318"/>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Cohesion Fund</w:t>
            </w:r>
          </w:p>
        </w:tc>
        <w:tc>
          <w:tcPr>
            <w:tcW w:w="1559" w:type="dxa"/>
            <w:tcBorders>
              <w:top w:val="single" w:sz="8" w:space="0" w:color="auto"/>
              <w:left w:val="nil"/>
              <w:bottom w:val="nil"/>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26</w:t>
            </w:r>
          </w:p>
        </w:tc>
        <w:tc>
          <w:tcPr>
            <w:tcW w:w="1843" w:type="dxa"/>
            <w:tcBorders>
              <w:top w:val="single" w:sz="8" w:space="0" w:color="auto"/>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446</w:t>
            </w:r>
          </w:p>
        </w:tc>
        <w:tc>
          <w:tcPr>
            <w:tcW w:w="2008" w:type="dxa"/>
            <w:tcBorders>
              <w:top w:val="single" w:sz="8" w:space="0" w:color="auto"/>
              <w:left w:val="nil"/>
              <w:bottom w:val="nil"/>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472</w:t>
            </w:r>
          </w:p>
        </w:tc>
      </w:tr>
      <w:tr w:rsidR="00CC45FC">
        <w:trPr>
          <w:trHeight w:val="85"/>
        </w:trPr>
        <w:tc>
          <w:tcPr>
            <w:tcW w:w="3828" w:type="dxa"/>
            <w:tcBorders>
              <w:top w:val="nil"/>
              <w:left w:val="single" w:sz="8" w:space="0" w:color="auto"/>
              <w:right w:val="single" w:sz="8" w:space="0" w:color="auto"/>
            </w:tcBorders>
            <w:shd w:val="clear" w:color="auto" w:fill="auto"/>
            <w:noWrap/>
            <w:vAlign w:val="center"/>
          </w:tcPr>
          <w:p w:rsidR="00CC45FC" w:rsidRDefault="004A7700">
            <w:pPr>
              <w:spacing w:after="0" w:line="240" w:lineRule="auto"/>
              <w:ind w:firstLine="318"/>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Court of Justice judgements</w:t>
            </w:r>
          </w:p>
        </w:tc>
        <w:tc>
          <w:tcPr>
            <w:tcW w:w="1559" w:type="dxa"/>
            <w:tcBorders>
              <w:top w:val="nil"/>
              <w:left w:val="nil"/>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(9)</w:t>
            </w:r>
          </w:p>
        </w:tc>
        <w:tc>
          <w:tcPr>
            <w:tcW w:w="1843" w:type="dxa"/>
            <w:tcBorders>
              <w:top w:val="nil"/>
              <w:left w:val="single" w:sz="8" w:space="0" w:color="auto"/>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2008" w:type="dxa"/>
            <w:tcBorders>
              <w:top w:val="nil"/>
              <w:left w:val="nil"/>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(9)</w:t>
            </w:r>
          </w:p>
        </w:tc>
      </w:tr>
      <w:tr w:rsidR="00CC45FC">
        <w:trPr>
          <w:trHeight w:val="85"/>
        </w:trPr>
        <w:tc>
          <w:tcPr>
            <w:tcW w:w="3828" w:type="dxa"/>
            <w:tcBorders>
              <w:top w:val="nil"/>
              <w:left w:val="single" w:sz="8" w:space="0" w:color="auto"/>
              <w:bottom w:val="single" w:sz="8" w:space="0" w:color="auto"/>
              <w:right w:val="single" w:sz="8" w:space="0" w:color="auto"/>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Cohesion Fund total</w:t>
            </w:r>
          </w:p>
        </w:tc>
        <w:tc>
          <w:tcPr>
            <w:tcW w:w="1559" w:type="dxa"/>
            <w:tcBorders>
              <w:top w:val="nil"/>
              <w:left w:val="nil"/>
              <w:bottom w:val="single" w:sz="8" w:space="0" w:color="auto"/>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 xml:space="preserve"> 17</w:t>
            </w:r>
          </w:p>
        </w:tc>
        <w:tc>
          <w:tcPr>
            <w:tcW w:w="1843" w:type="dxa"/>
            <w:tcBorders>
              <w:top w:val="nil"/>
              <w:left w:val="single" w:sz="8" w:space="0" w:color="auto"/>
              <w:bottom w:val="single" w:sz="8" w:space="0" w:color="auto"/>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 xml:space="preserve"> 446</w:t>
            </w:r>
          </w:p>
        </w:tc>
        <w:tc>
          <w:tcPr>
            <w:tcW w:w="2008" w:type="dxa"/>
            <w:tcBorders>
              <w:top w:val="nil"/>
              <w:left w:val="nil"/>
              <w:bottom w:val="single" w:sz="8" w:space="0" w:color="auto"/>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 xml:space="preserve"> 462</w:t>
            </w:r>
          </w:p>
        </w:tc>
      </w:tr>
      <w:tr w:rsidR="00CC45FC">
        <w:trPr>
          <w:trHeight w:val="159"/>
        </w:trPr>
        <w:tc>
          <w:tcPr>
            <w:tcW w:w="3828" w:type="dxa"/>
            <w:tcBorders>
              <w:top w:val="single" w:sz="8" w:space="0" w:color="auto"/>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ESF</w:t>
            </w:r>
          </w:p>
        </w:tc>
        <w:tc>
          <w:tcPr>
            <w:tcW w:w="1559" w:type="dxa"/>
            <w:tcBorders>
              <w:top w:val="single" w:sz="8" w:space="0" w:color="auto"/>
              <w:left w:val="nil"/>
              <w:bottom w:val="nil"/>
              <w:right w:val="nil"/>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73</w:t>
            </w:r>
          </w:p>
        </w:tc>
        <w:tc>
          <w:tcPr>
            <w:tcW w:w="1843" w:type="dxa"/>
            <w:tcBorders>
              <w:top w:val="single" w:sz="8" w:space="0" w:color="auto"/>
              <w:left w:val="single" w:sz="8" w:space="0" w:color="auto"/>
              <w:bottom w:val="single" w:sz="8" w:space="0" w:color="auto"/>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276</w:t>
            </w:r>
          </w:p>
        </w:tc>
        <w:tc>
          <w:tcPr>
            <w:tcW w:w="2008" w:type="dxa"/>
            <w:tcBorders>
              <w:top w:val="single" w:sz="8" w:space="0" w:color="auto"/>
              <w:left w:val="nil"/>
              <w:bottom w:val="nil"/>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 xml:space="preserve"> 348</w:t>
            </w:r>
          </w:p>
        </w:tc>
      </w:tr>
      <w:tr w:rsidR="00CC45FC">
        <w:trPr>
          <w:trHeight w:val="469"/>
        </w:trPr>
        <w:tc>
          <w:tcPr>
            <w:tcW w:w="382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CC45FC" w:rsidRDefault="004A7700">
            <w:pPr>
              <w:spacing w:after="0" w:line="240" w:lineRule="auto"/>
              <w:jc w:val="both"/>
              <w:rPr>
                <w:rFonts w:ascii="Verdana" w:eastAsia="Times New Roman" w:hAnsi="Verdana"/>
                <w:b/>
                <w:bCs/>
                <w:i/>
                <w:iCs/>
                <w:noProof/>
                <w:color w:val="000000"/>
                <w:sz w:val="16"/>
                <w:szCs w:val="16"/>
                <w:lang w:eastAsia="en-GB"/>
              </w:rPr>
            </w:pPr>
            <w:r>
              <w:rPr>
                <w:rFonts w:ascii="Verdana" w:eastAsia="Times New Roman" w:hAnsi="Verdana"/>
                <w:b/>
                <w:bCs/>
                <w:i/>
                <w:iCs/>
                <w:noProof/>
                <w:color w:val="000000"/>
                <w:sz w:val="16"/>
                <w:szCs w:val="16"/>
                <w:lang w:eastAsia="en-GB"/>
              </w:rPr>
              <w:t>Sustainable growth: natural resources</w:t>
            </w:r>
          </w:p>
        </w:tc>
        <w:tc>
          <w:tcPr>
            <w:tcW w:w="1559" w:type="dxa"/>
            <w:tcBorders>
              <w:top w:val="single" w:sz="8" w:space="0" w:color="auto"/>
              <w:left w:val="nil"/>
              <w:bottom w:val="single" w:sz="8" w:space="0" w:color="auto"/>
              <w:right w:val="single" w:sz="8" w:space="0" w:color="auto"/>
            </w:tcBorders>
            <w:shd w:val="clear" w:color="000000" w:fill="D9D9D9"/>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1 063</w:t>
            </w:r>
          </w:p>
        </w:tc>
        <w:tc>
          <w:tcPr>
            <w:tcW w:w="1843" w:type="dxa"/>
            <w:tcBorders>
              <w:top w:val="nil"/>
              <w:left w:val="nil"/>
              <w:bottom w:val="single" w:sz="8" w:space="0" w:color="auto"/>
              <w:right w:val="single" w:sz="8" w:space="0" w:color="auto"/>
            </w:tcBorders>
            <w:shd w:val="clear" w:color="000000" w:fill="D9D9D9"/>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9</w:t>
            </w:r>
          </w:p>
        </w:tc>
        <w:tc>
          <w:tcPr>
            <w:tcW w:w="2008" w:type="dxa"/>
            <w:tcBorders>
              <w:top w:val="single" w:sz="8" w:space="0" w:color="auto"/>
              <w:left w:val="nil"/>
              <w:bottom w:val="single" w:sz="8" w:space="0" w:color="auto"/>
              <w:right w:val="single" w:sz="8" w:space="0" w:color="auto"/>
            </w:tcBorders>
            <w:shd w:val="clear" w:color="000000" w:fill="D9D9D9"/>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1 072</w:t>
            </w:r>
          </w:p>
        </w:tc>
      </w:tr>
      <w:tr w:rsidR="00CC45FC">
        <w:trPr>
          <w:trHeight w:val="121"/>
        </w:trPr>
        <w:tc>
          <w:tcPr>
            <w:tcW w:w="3828"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EAGF</w:t>
            </w:r>
          </w:p>
        </w:tc>
        <w:tc>
          <w:tcPr>
            <w:tcW w:w="1559" w:type="dxa"/>
            <w:tcBorders>
              <w:top w:val="nil"/>
              <w:left w:val="nil"/>
              <w:bottom w:val="nil"/>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918</w:t>
            </w:r>
          </w:p>
        </w:tc>
        <w:tc>
          <w:tcPr>
            <w:tcW w:w="1843"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bCs/>
                <w:noProof/>
                <w:color w:val="000000"/>
                <w:sz w:val="16"/>
                <w:szCs w:val="16"/>
                <w:lang w:eastAsia="en-GB"/>
              </w:rPr>
            </w:pPr>
            <w:r>
              <w:rPr>
                <w:rFonts w:ascii="Verdana" w:hAnsi="Verdana" w:cs="Verdana"/>
                <w:bCs/>
                <w:noProof/>
                <w:color w:val="000000"/>
                <w:sz w:val="16"/>
                <w:szCs w:val="16"/>
                <w:lang w:eastAsia="en-GB"/>
              </w:rPr>
              <w:t>4</w:t>
            </w:r>
          </w:p>
        </w:tc>
        <w:tc>
          <w:tcPr>
            <w:tcW w:w="2008" w:type="dxa"/>
            <w:tcBorders>
              <w:top w:val="nil"/>
              <w:left w:val="nil"/>
              <w:bottom w:val="nil"/>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 xml:space="preserve"> 922</w:t>
            </w:r>
          </w:p>
        </w:tc>
      </w:tr>
      <w:tr w:rsidR="00CC45FC">
        <w:trPr>
          <w:trHeight w:val="215"/>
        </w:trPr>
        <w:tc>
          <w:tcPr>
            <w:tcW w:w="3828"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Rural Development</w:t>
            </w:r>
          </w:p>
        </w:tc>
        <w:tc>
          <w:tcPr>
            <w:tcW w:w="1559" w:type="dxa"/>
            <w:tcBorders>
              <w:top w:val="nil"/>
              <w:left w:val="nil"/>
              <w:bottom w:val="nil"/>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46</w:t>
            </w:r>
          </w:p>
        </w:tc>
        <w:tc>
          <w:tcPr>
            <w:tcW w:w="1843"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w:t>
            </w:r>
          </w:p>
        </w:tc>
        <w:tc>
          <w:tcPr>
            <w:tcW w:w="2008" w:type="dxa"/>
            <w:tcBorders>
              <w:top w:val="nil"/>
              <w:left w:val="nil"/>
              <w:bottom w:val="nil"/>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 xml:space="preserve"> 46</w:t>
            </w:r>
          </w:p>
        </w:tc>
      </w:tr>
      <w:tr w:rsidR="00CC45FC">
        <w:trPr>
          <w:trHeight w:val="147"/>
        </w:trPr>
        <w:tc>
          <w:tcPr>
            <w:tcW w:w="3828"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FIFG/EFF</w:t>
            </w:r>
          </w:p>
        </w:tc>
        <w:tc>
          <w:tcPr>
            <w:tcW w:w="1559" w:type="dxa"/>
            <w:tcBorders>
              <w:top w:val="nil"/>
              <w:left w:val="nil"/>
              <w:bottom w:val="nil"/>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w:t>
            </w:r>
          </w:p>
        </w:tc>
        <w:tc>
          <w:tcPr>
            <w:tcW w:w="1843"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4</w:t>
            </w:r>
          </w:p>
        </w:tc>
        <w:tc>
          <w:tcPr>
            <w:tcW w:w="2008" w:type="dxa"/>
            <w:tcBorders>
              <w:top w:val="nil"/>
              <w:left w:val="nil"/>
              <w:bottom w:val="nil"/>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 xml:space="preserve"> 6</w:t>
            </w:r>
          </w:p>
        </w:tc>
      </w:tr>
      <w:tr w:rsidR="00CC45FC">
        <w:trPr>
          <w:trHeight w:val="79"/>
        </w:trPr>
        <w:tc>
          <w:tcPr>
            <w:tcW w:w="3828"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EAGGF Guidance</w:t>
            </w:r>
          </w:p>
        </w:tc>
        <w:tc>
          <w:tcPr>
            <w:tcW w:w="1559" w:type="dxa"/>
            <w:tcBorders>
              <w:top w:val="nil"/>
              <w:left w:val="nil"/>
              <w:bottom w:val="nil"/>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97</w:t>
            </w:r>
          </w:p>
        </w:tc>
        <w:tc>
          <w:tcPr>
            <w:tcW w:w="1843"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w:t>
            </w:r>
          </w:p>
        </w:tc>
        <w:tc>
          <w:tcPr>
            <w:tcW w:w="2008" w:type="dxa"/>
            <w:tcBorders>
              <w:top w:val="nil"/>
              <w:left w:val="nil"/>
              <w:bottom w:val="nil"/>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 xml:space="preserve"> 97</w:t>
            </w:r>
          </w:p>
        </w:tc>
      </w:tr>
      <w:tr w:rsidR="00CC45FC">
        <w:trPr>
          <w:trHeight w:val="270"/>
        </w:trPr>
        <w:tc>
          <w:tcPr>
            <w:tcW w:w="3828"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CC45FC" w:rsidRDefault="004A7700">
            <w:pPr>
              <w:spacing w:after="0" w:line="240" w:lineRule="auto"/>
              <w:rPr>
                <w:rFonts w:ascii="Verdana" w:eastAsia="Times New Roman" w:hAnsi="Verdana"/>
                <w:b/>
                <w:bCs/>
                <w:i/>
                <w:iCs/>
                <w:noProof/>
                <w:color w:val="000000"/>
                <w:sz w:val="16"/>
                <w:szCs w:val="16"/>
                <w:lang w:eastAsia="en-GB"/>
              </w:rPr>
            </w:pPr>
            <w:r>
              <w:rPr>
                <w:rFonts w:ascii="Verdana" w:eastAsia="Times New Roman" w:hAnsi="Verdana"/>
                <w:b/>
                <w:bCs/>
                <w:i/>
                <w:iCs/>
                <w:noProof/>
                <w:color w:val="000000"/>
                <w:sz w:val="16"/>
                <w:szCs w:val="16"/>
                <w:lang w:eastAsia="en-GB"/>
              </w:rPr>
              <w:t xml:space="preserve">Security &amp; citizenship </w:t>
            </w:r>
          </w:p>
        </w:tc>
        <w:tc>
          <w:tcPr>
            <w:tcW w:w="1559" w:type="dxa"/>
            <w:tcBorders>
              <w:top w:val="single" w:sz="8" w:space="0" w:color="auto"/>
              <w:left w:val="nil"/>
              <w:bottom w:val="single" w:sz="8" w:space="0" w:color="auto"/>
              <w:right w:val="nil"/>
            </w:tcBorders>
            <w:shd w:val="clear" w:color="000000" w:fill="D9D9D9"/>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 xml:space="preserve"> 9</w:t>
            </w:r>
          </w:p>
        </w:tc>
        <w:tc>
          <w:tcPr>
            <w:tcW w:w="1843" w:type="dxa"/>
            <w:tcBorders>
              <w:top w:val="single" w:sz="8" w:space="0" w:color="auto"/>
              <w:left w:val="single" w:sz="8" w:space="0" w:color="auto"/>
              <w:bottom w:val="single" w:sz="8" w:space="0" w:color="auto"/>
              <w:right w:val="single" w:sz="8" w:space="0" w:color="auto"/>
            </w:tcBorders>
            <w:shd w:val="clear" w:color="000000" w:fill="D9D9D9"/>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15</w:t>
            </w:r>
          </w:p>
        </w:tc>
        <w:tc>
          <w:tcPr>
            <w:tcW w:w="2008" w:type="dxa"/>
            <w:tcBorders>
              <w:top w:val="single" w:sz="8" w:space="0" w:color="auto"/>
              <w:left w:val="single" w:sz="8" w:space="0" w:color="auto"/>
              <w:bottom w:val="single" w:sz="8" w:space="0" w:color="auto"/>
              <w:right w:val="single" w:sz="8" w:space="0" w:color="auto"/>
            </w:tcBorders>
            <w:shd w:val="clear" w:color="000000" w:fill="D9D9D9"/>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 xml:space="preserve"> 23</w:t>
            </w:r>
          </w:p>
        </w:tc>
      </w:tr>
      <w:tr w:rsidR="00CC45FC">
        <w:trPr>
          <w:trHeight w:val="270"/>
        </w:trPr>
        <w:tc>
          <w:tcPr>
            <w:tcW w:w="3828" w:type="dxa"/>
            <w:tcBorders>
              <w:top w:val="nil"/>
              <w:left w:val="single" w:sz="8" w:space="0" w:color="auto"/>
              <w:bottom w:val="single" w:sz="8" w:space="0" w:color="auto"/>
              <w:right w:val="single" w:sz="8" w:space="0" w:color="auto"/>
            </w:tcBorders>
            <w:shd w:val="clear" w:color="auto" w:fill="auto"/>
            <w:noWrap/>
            <w:vAlign w:val="center"/>
          </w:tcPr>
          <w:p w:rsidR="00CC45FC" w:rsidRDefault="004A7700">
            <w:pPr>
              <w:spacing w:after="0" w:line="240" w:lineRule="auto"/>
              <w:rPr>
                <w:rFonts w:ascii="Verdana" w:eastAsia="Times New Roman" w:hAnsi="Verdana"/>
                <w:i/>
                <w:noProof/>
                <w:color w:val="000000"/>
                <w:sz w:val="16"/>
                <w:szCs w:val="16"/>
                <w:lang w:eastAsia="en-GB"/>
              </w:rPr>
            </w:pPr>
            <w:r>
              <w:rPr>
                <w:rFonts w:ascii="Verdana" w:eastAsia="Times New Roman" w:hAnsi="Verdana"/>
                <w:i/>
                <w:noProof/>
                <w:color w:val="000000"/>
                <w:sz w:val="16"/>
                <w:szCs w:val="16"/>
                <w:lang w:eastAsia="en-GB"/>
              </w:rPr>
              <w:t>Migration and home affairs</w:t>
            </w:r>
          </w:p>
        </w:tc>
        <w:tc>
          <w:tcPr>
            <w:tcW w:w="1559" w:type="dxa"/>
            <w:tcBorders>
              <w:top w:val="nil"/>
              <w:left w:val="nil"/>
              <w:bottom w:val="nil"/>
              <w:right w:val="nil"/>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9</w:t>
            </w:r>
          </w:p>
        </w:tc>
        <w:tc>
          <w:tcPr>
            <w:tcW w:w="1843" w:type="dxa"/>
            <w:tcBorders>
              <w:top w:val="nil"/>
              <w:left w:val="single" w:sz="8" w:space="0" w:color="auto"/>
              <w:bottom w:val="nil"/>
              <w:right w:val="single" w:sz="8" w:space="0" w:color="auto"/>
            </w:tcBorders>
            <w:shd w:val="clear" w:color="000000" w:fill="FFFFFF"/>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15</w:t>
            </w:r>
          </w:p>
        </w:tc>
        <w:tc>
          <w:tcPr>
            <w:tcW w:w="2008" w:type="dxa"/>
            <w:tcBorders>
              <w:top w:val="nil"/>
              <w:left w:val="nil"/>
              <w:bottom w:val="nil"/>
              <w:right w:val="single" w:sz="8" w:space="0" w:color="auto"/>
            </w:tcBorders>
            <w:shd w:val="clear" w:color="000000" w:fill="C6D9F1"/>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 xml:space="preserve"> 23</w:t>
            </w:r>
          </w:p>
        </w:tc>
      </w:tr>
      <w:tr w:rsidR="00CC45FC">
        <w:trPr>
          <w:trHeight w:val="270"/>
        </w:trPr>
        <w:tc>
          <w:tcPr>
            <w:tcW w:w="3828" w:type="dxa"/>
            <w:tcBorders>
              <w:top w:val="nil"/>
              <w:left w:val="single" w:sz="8" w:space="0" w:color="auto"/>
              <w:bottom w:val="single" w:sz="8" w:space="0" w:color="auto"/>
              <w:right w:val="single" w:sz="8" w:space="0" w:color="auto"/>
            </w:tcBorders>
            <w:shd w:val="clear" w:color="000000" w:fill="D9D9D9"/>
            <w:noWrap/>
            <w:vAlign w:val="center"/>
            <w:hideMark/>
          </w:tcPr>
          <w:p w:rsidR="00CC45FC" w:rsidRDefault="004A7700">
            <w:pPr>
              <w:spacing w:after="0" w:line="240" w:lineRule="auto"/>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TOTAL</w:t>
            </w:r>
          </w:p>
        </w:tc>
        <w:tc>
          <w:tcPr>
            <w:tcW w:w="1559" w:type="dxa"/>
            <w:tcBorders>
              <w:top w:val="single" w:sz="8" w:space="0" w:color="auto"/>
              <w:left w:val="nil"/>
              <w:bottom w:val="single" w:sz="8" w:space="0" w:color="auto"/>
              <w:right w:val="single" w:sz="8" w:space="0" w:color="auto"/>
            </w:tcBorders>
            <w:shd w:val="clear" w:color="000000" w:fill="D9D9D9"/>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 xml:space="preserve"> 831</w:t>
            </w:r>
          </w:p>
        </w:tc>
        <w:tc>
          <w:tcPr>
            <w:tcW w:w="1843" w:type="dxa"/>
            <w:tcBorders>
              <w:top w:val="single" w:sz="8" w:space="0" w:color="auto"/>
              <w:left w:val="nil"/>
              <w:bottom w:val="single" w:sz="8" w:space="0" w:color="auto"/>
              <w:right w:val="single" w:sz="8" w:space="0" w:color="auto"/>
            </w:tcBorders>
            <w:shd w:val="clear" w:color="000000" w:fill="D9D9D9"/>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1 901</w:t>
            </w:r>
          </w:p>
        </w:tc>
        <w:tc>
          <w:tcPr>
            <w:tcW w:w="2008" w:type="dxa"/>
            <w:tcBorders>
              <w:top w:val="single" w:sz="8" w:space="0" w:color="auto"/>
              <w:left w:val="nil"/>
              <w:bottom w:val="single" w:sz="8" w:space="0" w:color="auto"/>
              <w:right w:val="single" w:sz="8" w:space="0" w:color="auto"/>
            </w:tcBorders>
            <w:shd w:val="clear" w:color="000000" w:fill="D9D9D9"/>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2 732</w:t>
            </w:r>
          </w:p>
        </w:tc>
      </w:tr>
    </w:tbl>
    <w:p w:rsidR="00CC45FC" w:rsidRDefault="004A7700">
      <w:pPr>
        <w:spacing w:after="120" w:line="240" w:lineRule="auto"/>
        <w:jc w:val="both"/>
        <w:rPr>
          <w:rFonts w:ascii="Verdana" w:hAnsi="Verdana"/>
          <w:i/>
          <w:noProof/>
          <w:sz w:val="16"/>
          <w:szCs w:val="16"/>
        </w:rPr>
      </w:pPr>
      <w:r>
        <w:rPr>
          <w:rFonts w:ascii="Verdana" w:hAnsi="Verdana"/>
          <w:i/>
          <w:noProof/>
          <w:sz w:val="16"/>
          <w:szCs w:val="16"/>
        </w:rPr>
        <w:t>A total of EUR 549 million remain to be classified and is treated as non-net corrections in this table.</w:t>
      </w:r>
    </w:p>
    <w:p w:rsidR="00CC45FC" w:rsidRDefault="00CC45FC">
      <w:pPr>
        <w:spacing w:after="240" w:line="240" w:lineRule="auto"/>
        <w:jc w:val="both"/>
        <w:rPr>
          <w:rFonts w:ascii="Verdana" w:hAnsi="Verdana"/>
          <w:b/>
          <w:noProof/>
        </w:rPr>
      </w:pPr>
    </w:p>
    <w:tbl>
      <w:tblPr>
        <w:tblW w:w="9356" w:type="dxa"/>
        <w:tblInd w:w="108" w:type="dxa"/>
        <w:tblLook w:val="04A0" w:firstRow="1" w:lastRow="0" w:firstColumn="1" w:lastColumn="0" w:noHBand="0" w:noVBand="1"/>
      </w:tblPr>
      <w:tblGrid>
        <w:gridCol w:w="3686"/>
        <w:gridCol w:w="1559"/>
        <w:gridCol w:w="1843"/>
        <w:gridCol w:w="2268"/>
      </w:tblGrid>
      <w:tr w:rsidR="00CC45FC">
        <w:trPr>
          <w:trHeight w:val="600"/>
        </w:trPr>
        <w:tc>
          <w:tcPr>
            <w:tcW w:w="9356" w:type="dxa"/>
            <w:gridSpan w:val="4"/>
            <w:tcBorders>
              <w:top w:val="nil"/>
              <w:left w:val="nil"/>
              <w:bottom w:val="nil"/>
              <w:right w:val="nil"/>
            </w:tcBorders>
            <w:shd w:val="clear" w:color="auto" w:fill="auto"/>
            <w:noWrap/>
            <w:vAlign w:val="center"/>
            <w:hideMark/>
          </w:tcPr>
          <w:p w:rsidR="00CC45FC" w:rsidRDefault="004A7700">
            <w:pPr>
              <w:spacing w:after="0" w:line="240" w:lineRule="auto"/>
              <w:jc w:val="both"/>
              <w:rPr>
                <w:rFonts w:ascii="Verdana" w:eastAsia="Times New Roman" w:hAnsi="Verdana"/>
                <w:b/>
                <w:bCs/>
                <w:i/>
                <w:iCs/>
                <w:noProof/>
                <w:color w:val="000000"/>
                <w:sz w:val="20"/>
                <w:szCs w:val="20"/>
                <w:u w:val="single"/>
                <w:lang w:eastAsia="en-GB"/>
              </w:rPr>
            </w:pPr>
            <w:r>
              <w:rPr>
                <w:rFonts w:ascii="Verdana" w:eastAsia="Times New Roman" w:hAnsi="Verdana"/>
                <w:b/>
                <w:bCs/>
                <w:i/>
                <w:iCs/>
                <w:noProof/>
                <w:color w:val="000000"/>
                <w:sz w:val="20"/>
                <w:szCs w:val="20"/>
                <w:u w:val="single"/>
                <w:lang w:eastAsia="en-GB"/>
              </w:rPr>
              <w:t>Implemented</w:t>
            </w:r>
          </w:p>
        </w:tc>
      </w:tr>
      <w:tr w:rsidR="00CC45FC">
        <w:trPr>
          <w:trHeight w:val="270"/>
        </w:trPr>
        <w:tc>
          <w:tcPr>
            <w:tcW w:w="9356" w:type="dxa"/>
            <w:gridSpan w:val="4"/>
            <w:tcBorders>
              <w:top w:val="nil"/>
              <w:left w:val="nil"/>
              <w:bottom w:val="single" w:sz="8" w:space="0" w:color="auto"/>
              <w:right w:val="nil"/>
            </w:tcBorders>
            <w:shd w:val="clear" w:color="auto" w:fill="auto"/>
            <w:noWrap/>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EUR millions</w:t>
            </w:r>
          </w:p>
        </w:tc>
      </w:tr>
      <w:tr w:rsidR="00CC45FC">
        <w:trPr>
          <w:trHeight w:val="1275"/>
        </w:trPr>
        <w:tc>
          <w:tcPr>
            <w:tcW w:w="3686" w:type="dxa"/>
            <w:tcBorders>
              <w:top w:val="nil"/>
              <w:left w:val="single" w:sz="8" w:space="0" w:color="auto"/>
              <w:bottom w:val="single" w:sz="8" w:space="0" w:color="000000"/>
              <w:right w:val="single" w:sz="8" w:space="0" w:color="auto"/>
            </w:tcBorders>
            <w:shd w:val="clear" w:color="000000" w:fill="99CCFF"/>
            <w:noWrap/>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MFF Heading</w:t>
            </w:r>
          </w:p>
        </w:tc>
        <w:tc>
          <w:tcPr>
            <w:tcW w:w="1559" w:type="dxa"/>
            <w:tcBorders>
              <w:top w:val="nil"/>
              <w:left w:val="nil"/>
              <w:bottom w:val="single" w:sz="8" w:space="0" w:color="auto"/>
              <w:right w:val="nil"/>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Net financial corrections implemented in 2015</w:t>
            </w:r>
          </w:p>
        </w:tc>
        <w:tc>
          <w:tcPr>
            <w:tcW w:w="1843" w:type="dxa"/>
            <w:tcBorders>
              <w:top w:val="nil"/>
              <w:left w:val="single" w:sz="8" w:space="0" w:color="auto"/>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Financial corrections with replacement of expenditure and other corrections implemented in 2015</w:t>
            </w:r>
          </w:p>
        </w:tc>
        <w:tc>
          <w:tcPr>
            <w:tcW w:w="2268" w:type="dxa"/>
            <w:tcBorders>
              <w:top w:val="nil"/>
              <w:left w:val="nil"/>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 xml:space="preserve">Total financial corrections </w:t>
            </w:r>
            <w:r>
              <w:rPr>
                <w:rFonts w:ascii="Verdana" w:eastAsia="Times New Roman" w:hAnsi="Verdana"/>
                <w:b/>
                <w:bCs/>
                <w:noProof/>
                <w:color w:val="000000"/>
                <w:sz w:val="16"/>
                <w:szCs w:val="16"/>
                <w:u w:val="single"/>
                <w:lang w:eastAsia="en-GB"/>
              </w:rPr>
              <w:t>implemented</w:t>
            </w:r>
            <w:r>
              <w:rPr>
                <w:rFonts w:ascii="Verdana" w:eastAsia="Times New Roman" w:hAnsi="Verdana"/>
                <w:b/>
                <w:bCs/>
                <w:noProof/>
                <w:color w:val="000000"/>
                <w:sz w:val="16"/>
                <w:szCs w:val="16"/>
                <w:lang w:eastAsia="en-GB"/>
              </w:rPr>
              <w:t xml:space="preserve"> in 2015</w:t>
            </w:r>
          </w:p>
        </w:tc>
      </w:tr>
      <w:tr w:rsidR="00CC45FC">
        <w:trPr>
          <w:trHeight w:val="275"/>
        </w:trPr>
        <w:tc>
          <w:tcPr>
            <w:tcW w:w="3686" w:type="dxa"/>
            <w:tcBorders>
              <w:top w:val="nil"/>
              <w:left w:val="single" w:sz="8" w:space="0" w:color="auto"/>
              <w:bottom w:val="single" w:sz="8" w:space="0" w:color="auto"/>
              <w:right w:val="single" w:sz="8" w:space="0" w:color="auto"/>
            </w:tcBorders>
            <w:shd w:val="clear" w:color="000000" w:fill="D9D9D9"/>
            <w:noWrap/>
            <w:vAlign w:val="center"/>
            <w:hideMark/>
          </w:tcPr>
          <w:p w:rsidR="00CC45FC" w:rsidRDefault="004A7700">
            <w:pPr>
              <w:spacing w:after="0" w:line="240" w:lineRule="auto"/>
              <w:jc w:val="both"/>
              <w:rPr>
                <w:rFonts w:ascii="Verdana" w:eastAsia="Times New Roman" w:hAnsi="Verdana"/>
                <w:b/>
                <w:bCs/>
                <w:i/>
                <w:iCs/>
                <w:noProof/>
                <w:color w:val="000000"/>
                <w:sz w:val="16"/>
                <w:szCs w:val="16"/>
                <w:lang w:eastAsia="en-GB"/>
              </w:rPr>
            </w:pPr>
            <w:r>
              <w:rPr>
                <w:rFonts w:ascii="Verdana" w:eastAsia="Times New Roman" w:hAnsi="Verdana"/>
                <w:b/>
                <w:bCs/>
                <w:i/>
                <w:iCs/>
                <w:noProof/>
                <w:color w:val="000000"/>
                <w:sz w:val="16"/>
                <w:szCs w:val="16"/>
                <w:lang w:eastAsia="en-GB"/>
              </w:rPr>
              <w:t>Smart &amp; inclusive growth</w:t>
            </w:r>
          </w:p>
        </w:tc>
        <w:tc>
          <w:tcPr>
            <w:tcW w:w="1559" w:type="dxa"/>
            <w:tcBorders>
              <w:top w:val="nil"/>
              <w:left w:val="nil"/>
              <w:bottom w:val="single" w:sz="8" w:space="0" w:color="auto"/>
              <w:right w:val="nil"/>
            </w:tcBorders>
            <w:shd w:val="clear" w:color="000000" w:fill="D9D9D9"/>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(117)</w:t>
            </w:r>
          </w:p>
        </w:tc>
        <w:tc>
          <w:tcPr>
            <w:tcW w:w="1843" w:type="dxa"/>
            <w:tcBorders>
              <w:top w:val="nil"/>
              <w:left w:val="single" w:sz="8" w:space="0" w:color="auto"/>
              <w:bottom w:val="single" w:sz="8" w:space="0" w:color="auto"/>
              <w:right w:val="single" w:sz="8" w:space="0" w:color="auto"/>
            </w:tcBorders>
            <w:shd w:val="clear" w:color="000000" w:fill="D9D9D9"/>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1 883</w:t>
            </w:r>
          </w:p>
        </w:tc>
        <w:tc>
          <w:tcPr>
            <w:tcW w:w="2268" w:type="dxa"/>
            <w:tcBorders>
              <w:top w:val="nil"/>
              <w:left w:val="nil"/>
              <w:bottom w:val="single" w:sz="8" w:space="0" w:color="auto"/>
              <w:right w:val="single" w:sz="8" w:space="0" w:color="auto"/>
            </w:tcBorders>
            <w:shd w:val="clear" w:color="000000" w:fill="D9D9D9"/>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1 766</w:t>
            </w:r>
          </w:p>
        </w:tc>
      </w:tr>
      <w:tr w:rsidR="00CC45FC">
        <w:trPr>
          <w:trHeight w:val="123"/>
        </w:trPr>
        <w:tc>
          <w:tcPr>
            <w:tcW w:w="3686" w:type="dxa"/>
            <w:tcBorders>
              <w:top w:val="nil"/>
              <w:left w:val="single" w:sz="8" w:space="0" w:color="auto"/>
              <w:bottom w:val="nil"/>
              <w:right w:val="single" w:sz="8" w:space="0" w:color="auto"/>
            </w:tcBorders>
            <w:shd w:val="clear" w:color="auto" w:fill="auto"/>
            <w:noWrap/>
            <w:vAlign w:val="center"/>
          </w:tcPr>
          <w:p w:rsidR="00CC45FC" w:rsidRDefault="004A7700">
            <w:pPr>
              <w:spacing w:after="0" w:line="240" w:lineRule="auto"/>
              <w:ind w:firstLine="318"/>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ERDF</w:t>
            </w:r>
          </w:p>
        </w:tc>
        <w:tc>
          <w:tcPr>
            <w:tcW w:w="1559" w:type="dxa"/>
            <w:tcBorders>
              <w:top w:val="nil"/>
              <w:left w:val="nil"/>
              <w:bottom w:val="nil"/>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259</w:t>
            </w:r>
          </w:p>
        </w:tc>
        <w:tc>
          <w:tcPr>
            <w:tcW w:w="1843"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973</w:t>
            </w:r>
          </w:p>
        </w:tc>
        <w:tc>
          <w:tcPr>
            <w:tcW w:w="2268" w:type="dxa"/>
            <w:tcBorders>
              <w:top w:val="nil"/>
              <w:left w:val="nil"/>
              <w:bottom w:val="nil"/>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1 231</w:t>
            </w:r>
          </w:p>
        </w:tc>
      </w:tr>
      <w:tr w:rsidR="00CC45FC">
        <w:trPr>
          <w:trHeight w:val="123"/>
        </w:trPr>
        <w:tc>
          <w:tcPr>
            <w:tcW w:w="3686" w:type="dxa"/>
            <w:tcBorders>
              <w:top w:val="nil"/>
              <w:left w:val="single" w:sz="8" w:space="0" w:color="auto"/>
              <w:right w:val="single" w:sz="8" w:space="0" w:color="auto"/>
            </w:tcBorders>
            <w:shd w:val="clear" w:color="auto" w:fill="auto"/>
            <w:noWrap/>
            <w:vAlign w:val="center"/>
          </w:tcPr>
          <w:p w:rsidR="00CC45FC" w:rsidRDefault="004A7700">
            <w:pPr>
              <w:spacing w:after="0" w:line="240" w:lineRule="auto"/>
              <w:ind w:firstLine="318"/>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Court of Justice judgements</w:t>
            </w:r>
          </w:p>
        </w:tc>
        <w:tc>
          <w:tcPr>
            <w:tcW w:w="1559" w:type="dxa"/>
            <w:tcBorders>
              <w:top w:val="nil"/>
              <w:left w:val="nil"/>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(457)</w:t>
            </w:r>
          </w:p>
        </w:tc>
        <w:tc>
          <w:tcPr>
            <w:tcW w:w="1843" w:type="dxa"/>
            <w:tcBorders>
              <w:top w:val="nil"/>
              <w:left w:val="single" w:sz="8" w:space="0" w:color="auto"/>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2268" w:type="dxa"/>
            <w:tcBorders>
              <w:top w:val="nil"/>
              <w:left w:val="nil"/>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(457)</w:t>
            </w:r>
          </w:p>
        </w:tc>
      </w:tr>
      <w:tr w:rsidR="00CC45FC">
        <w:trPr>
          <w:trHeight w:val="123"/>
        </w:trPr>
        <w:tc>
          <w:tcPr>
            <w:tcW w:w="3686" w:type="dxa"/>
            <w:tcBorders>
              <w:top w:val="nil"/>
              <w:left w:val="single" w:sz="8" w:space="0" w:color="auto"/>
              <w:bottom w:val="single" w:sz="8" w:space="0" w:color="auto"/>
              <w:right w:val="single" w:sz="8" w:space="0" w:color="auto"/>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ERDF total</w:t>
            </w:r>
          </w:p>
        </w:tc>
        <w:tc>
          <w:tcPr>
            <w:tcW w:w="1559" w:type="dxa"/>
            <w:tcBorders>
              <w:top w:val="nil"/>
              <w:left w:val="nil"/>
              <w:bottom w:val="single" w:sz="8" w:space="0" w:color="auto"/>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(198)</w:t>
            </w:r>
          </w:p>
        </w:tc>
        <w:tc>
          <w:tcPr>
            <w:tcW w:w="1843" w:type="dxa"/>
            <w:tcBorders>
              <w:top w:val="nil"/>
              <w:left w:val="single" w:sz="8" w:space="0" w:color="auto"/>
              <w:bottom w:val="single" w:sz="8" w:space="0" w:color="auto"/>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 xml:space="preserve"> 973</w:t>
            </w:r>
          </w:p>
        </w:tc>
        <w:tc>
          <w:tcPr>
            <w:tcW w:w="2268" w:type="dxa"/>
            <w:tcBorders>
              <w:top w:val="nil"/>
              <w:left w:val="nil"/>
              <w:bottom w:val="single" w:sz="8" w:space="0" w:color="auto"/>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 xml:space="preserve"> 774</w:t>
            </w:r>
          </w:p>
        </w:tc>
      </w:tr>
      <w:tr w:rsidR="00CC45FC">
        <w:trPr>
          <w:trHeight w:val="123"/>
        </w:trPr>
        <w:tc>
          <w:tcPr>
            <w:tcW w:w="3686" w:type="dxa"/>
            <w:tcBorders>
              <w:top w:val="single" w:sz="8" w:space="0" w:color="auto"/>
              <w:left w:val="single" w:sz="8" w:space="0" w:color="auto"/>
              <w:bottom w:val="nil"/>
              <w:right w:val="single" w:sz="8" w:space="0" w:color="auto"/>
            </w:tcBorders>
            <w:shd w:val="clear" w:color="auto" w:fill="auto"/>
            <w:noWrap/>
            <w:vAlign w:val="center"/>
          </w:tcPr>
          <w:p w:rsidR="00CC45FC" w:rsidRDefault="004A7700">
            <w:pPr>
              <w:spacing w:after="0" w:line="240" w:lineRule="auto"/>
              <w:ind w:firstLine="318"/>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Cohesion Fund</w:t>
            </w:r>
          </w:p>
        </w:tc>
        <w:tc>
          <w:tcPr>
            <w:tcW w:w="1559" w:type="dxa"/>
            <w:tcBorders>
              <w:top w:val="single" w:sz="8" w:space="0" w:color="auto"/>
              <w:left w:val="nil"/>
              <w:bottom w:val="nil"/>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63</w:t>
            </w:r>
          </w:p>
        </w:tc>
        <w:tc>
          <w:tcPr>
            <w:tcW w:w="1843" w:type="dxa"/>
            <w:tcBorders>
              <w:top w:val="single" w:sz="8" w:space="0" w:color="auto"/>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576</w:t>
            </w:r>
          </w:p>
        </w:tc>
        <w:tc>
          <w:tcPr>
            <w:tcW w:w="2268" w:type="dxa"/>
            <w:tcBorders>
              <w:top w:val="single" w:sz="8" w:space="0" w:color="auto"/>
              <w:left w:val="nil"/>
              <w:bottom w:val="nil"/>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639</w:t>
            </w:r>
          </w:p>
        </w:tc>
      </w:tr>
      <w:tr w:rsidR="00CC45FC">
        <w:trPr>
          <w:trHeight w:val="123"/>
        </w:trPr>
        <w:tc>
          <w:tcPr>
            <w:tcW w:w="3686" w:type="dxa"/>
            <w:tcBorders>
              <w:top w:val="nil"/>
              <w:left w:val="single" w:sz="8" w:space="0" w:color="auto"/>
              <w:right w:val="single" w:sz="8" w:space="0" w:color="auto"/>
            </w:tcBorders>
            <w:shd w:val="clear" w:color="auto" w:fill="auto"/>
            <w:noWrap/>
            <w:vAlign w:val="center"/>
          </w:tcPr>
          <w:p w:rsidR="00CC45FC" w:rsidRDefault="004A7700">
            <w:pPr>
              <w:spacing w:after="0" w:line="240" w:lineRule="auto"/>
              <w:ind w:firstLine="318"/>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Court of Justice judgements</w:t>
            </w:r>
          </w:p>
        </w:tc>
        <w:tc>
          <w:tcPr>
            <w:tcW w:w="1559" w:type="dxa"/>
            <w:tcBorders>
              <w:top w:val="nil"/>
              <w:left w:val="nil"/>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(54)</w:t>
            </w:r>
          </w:p>
        </w:tc>
        <w:tc>
          <w:tcPr>
            <w:tcW w:w="1843" w:type="dxa"/>
            <w:tcBorders>
              <w:top w:val="nil"/>
              <w:left w:val="single" w:sz="8" w:space="0" w:color="auto"/>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0</w:t>
            </w:r>
          </w:p>
        </w:tc>
        <w:tc>
          <w:tcPr>
            <w:tcW w:w="2268" w:type="dxa"/>
            <w:tcBorders>
              <w:top w:val="nil"/>
              <w:left w:val="nil"/>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(54)</w:t>
            </w:r>
          </w:p>
        </w:tc>
      </w:tr>
      <w:tr w:rsidR="00CC45FC">
        <w:trPr>
          <w:trHeight w:val="217"/>
        </w:trPr>
        <w:tc>
          <w:tcPr>
            <w:tcW w:w="3686" w:type="dxa"/>
            <w:tcBorders>
              <w:top w:val="nil"/>
              <w:left w:val="single" w:sz="8" w:space="0" w:color="auto"/>
              <w:bottom w:val="single" w:sz="8" w:space="0" w:color="auto"/>
              <w:right w:val="single" w:sz="8" w:space="0" w:color="auto"/>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Cohesion Fund total</w:t>
            </w:r>
          </w:p>
        </w:tc>
        <w:tc>
          <w:tcPr>
            <w:tcW w:w="1559" w:type="dxa"/>
            <w:tcBorders>
              <w:top w:val="nil"/>
              <w:left w:val="nil"/>
              <w:bottom w:val="single" w:sz="8" w:space="0" w:color="auto"/>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 xml:space="preserve"> 9</w:t>
            </w:r>
          </w:p>
        </w:tc>
        <w:tc>
          <w:tcPr>
            <w:tcW w:w="1843" w:type="dxa"/>
            <w:tcBorders>
              <w:top w:val="nil"/>
              <w:left w:val="single" w:sz="8" w:space="0" w:color="auto"/>
              <w:bottom w:val="single" w:sz="8" w:space="0" w:color="auto"/>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 xml:space="preserve"> 576</w:t>
            </w:r>
          </w:p>
        </w:tc>
        <w:tc>
          <w:tcPr>
            <w:tcW w:w="2268" w:type="dxa"/>
            <w:tcBorders>
              <w:top w:val="nil"/>
              <w:left w:val="nil"/>
              <w:bottom w:val="single" w:sz="8" w:space="0" w:color="auto"/>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 xml:space="preserve"> 585</w:t>
            </w:r>
          </w:p>
        </w:tc>
      </w:tr>
      <w:tr w:rsidR="00CC45FC">
        <w:trPr>
          <w:trHeight w:val="135"/>
        </w:trPr>
        <w:tc>
          <w:tcPr>
            <w:tcW w:w="3686" w:type="dxa"/>
            <w:tcBorders>
              <w:top w:val="single" w:sz="8" w:space="0" w:color="auto"/>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ESF</w:t>
            </w:r>
          </w:p>
        </w:tc>
        <w:tc>
          <w:tcPr>
            <w:tcW w:w="1559" w:type="dxa"/>
            <w:tcBorders>
              <w:top w:val="single" w:sz="8" w:space="0" w:color="auto"/>
              <w:left w:val="nil"/>
              <w:bottom w:val="nil"/>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73</w:t>
            </w:r>
          </w:p>
        </w:tc>
        <w:tc>
          <w:tcPr>
            <w:tcW w:w="1843" w:type="dxa"/>
            <w:tcBorders>
              <w:top w:val="single" w:sz="8" w:space="0" w:color="auto"/>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334</w:t>
            </w:r>
          </w:p>
        </w:tc>
        <w:tc>
          <w:tcPr>
            <w:tcW w:w="2268" w:type="dxa"/>
            <w:tcBorders>
              <w:top w:val="single" w:sz="8" w:space="0" w:color="auto"/>
              <w:left w:val="nil"/>
              <w:bottom w:val="nil"/>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 xml:space="preserve"> 407</w:t>
            </w:r>
          </w:p>
        </w:tc>
      </w:tr>
      <w:tr w:rsidR="00CC45FC">
        <w:trPr>
          <w:trHeight w:val="319"/>
        </w:trPr>
        <w:tc>
          <w:tcPr>
            <w:tcW w:w="368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CC45FC" w:rsidRDefault="004A7700">
            <w:pPr>
              <w:spacing w:after="0" w:line="240" w:lineRule="auto"/>
              <w:jc w:val="both"/>
              <w:rPr>
                <w:rFonts w:ascii="Verdana" w:eastAsia="Times New Roman" w:hAnsi="Verdana"/>
                <w:b/>
                <w:bCs/>
                <w:i/>
                <w:iCs/>
                <w:noProof/>
                <w:color w:val="000000"/>
                <w:sz w:val="16"/>
                <w:szCs w:val="16"/>
                <w:lang w:eastAsia="en-GB"/>
              </w:rPr>
            </w:pPr>
            <w:r>
              <w:rPr>
                <w:rFonts w:ascii="Verdana" w:eastAsia="Times New Roman" w:hAnsi="Verdana"/>
                <w:b/>
                <w:bCs/>
                <w:i/>
                <w:iCs/>
                <w:noProof/>
                <w:color w:val="000000"/>
                <w:sz w:val="16"/>
                <w:szCs w:val="16"/>
                <w:lang w:eastAsia="en-GB"/>
              </w:rPr>
              <w:t>Sustainable growth: natural resources</w:t>
            </w:r>
          </w:p>
        </w:tc>
        <w:tc>
          <w:tcPr>
            <w:tcW w:w="1559" w:type="dxa"/>
            <w:tcBorders>
              <w:top w:val="single" w:sz="8" w:space="0" w:color="auto"/>
              <w:left w:val="nil"/>
              <w:bottom w:val="single" w:sz="8" w:space="0" w:color="auto"/>
              <w:right w:val="single" w:sz="8" w:space="0" w:color="auto"/>
            </w:tcBorders>
            <w:shd w:val="clear" w:color="000000" w:fill="D9D9D9"/>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1 289</w:t>
            </w:r>
          </w:p>
        </w:tc>
        <w:tc>
          <w:tcPr>
            <w:tcW w:w="1843" w:type="dxa"/>
            <w:tcBorders>
              <w:top w:val="single" w:sz="8" w:space="0" w:color="auto"/>
              <w:left w:val="nil"/>
              <w:bottom w:val="single" w:sz="8" w:space="0" w:color="auto"/>
              <w:right w:val="single" w:sz="8" w:space="0" w:color="auto"/>
            </w:tcBorders>
            <w:shd w:val="clear" w:color="000000" w:fill="D9D9D9"/>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25</w:t>
            </w:r>
          </w:p>
        </w:tc>
        <w:tc>
          <w:tcPr>
            <w:tcW w:w="2268" w:type="dxa"/>
            <w:tcBorders>
              <w:top w:val="single" w:sz="8" w:space="0" w:color="auto"/>
              <w:left w:val="nil"/>
              <w:bottom w:val="single" w:sz="8" w:space="0" w:color="auto"/>
              <w:right w:val="single" w:sz="8" w:space="0" w:color="auto"/>
            </w:tcBorders>
            <w:shd w:val="clear" w:color="000000" w:fill="D9D9D9"/>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1 314</w:t>
            </w:r>
          </w:p>
        </w:tc>
      </w:tr>
      <w:tr w:rsidR="00CC45FC">
        <w:trPr>
          <w:trHeight w:val="81"/>
        </w:trPr>
        <w:tc>
          <w:tcPr>
            <w:tcW w:w="3686"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EAGF</w:t>
            </w:r>
          </w:p>
        </w:tc>
        <w:tc>
          <w:tcPr>
            <w:tcW w:w="1559" w:type="dxa"/>
            <w:tcBorders>
              <w:top w:val="nil"/>
              <w:left w:val="nil"/>
              <w:bottom w:val="nil"/>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998</w:t>
            </w:r>
          </w:p>
        </w:tc>
        <w:tc>
          <w:tcPr>
            <w:tcW w:w="1843"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bCs/>
                <w:noProof/>
                <w:color w:val="000000"/>
                <w:sz w:val="16"/>
                <w:szCs w:val="16"/>
                <w:lang w:eastAsia="en-GB"/>
              </w:rPr>
            </w:pPr>
            <w:r>
              <w:rPr>
                <w:rFonts w:ascii="Verdana" w:hAnsi="Verdana" w:cs="Verdana"/>
                <w:bCs/>
                <w:noProof/>
                <w:color w:val="000000"/>
                <w:sz w:val="16"/>
                <w:szCs w:val="16"/>
                <w:lang w:eastAsia="en-GB"/>
              </w:rPr>
              <w:t>20</w:t>
            </w:r>
          </w:p>
        </w:tc>
        <w:tc>
          <w:tcPr>
            <w:tcW w:w="2268" w:type="dxa"/>
            <w:tcBorders>
              <w:top w:val="nil"/>
              <w:left w:val="nil"/>
              <w:bottom w:val="nil"/>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1 017</w:t>
            </w:r>
          </w:p>
        </w:tc>
      </w:tr>
      <w:tr w:rsidR="00CC45FC">
        <w:trPr>
          <w:trHeight w:val="176"/>
        </w:trPr>
        <w:tc>
          <w:tcPr>
            <w:tcW w:w="3686"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Rural Development</w:t>
            </w:r>
          </w:p>
        </w:tc>
        <w:tc>
          <w:tcPr>
            <w:tcW w:w="1559" w:type="dxa"/>
            <w:tcBorders>
              <w:top w:val="nil"/>
              <w:left w:val="nil"/>
              <w:bottom w:val="nil"/>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263</w:t>
            </w:r>
          </w:p>
        </w:tc>
        <w:tc>
          <w:tcPr>
            <w:tcW w:w="1843"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w:t>
            </w:r>
          </w:p>
        </w:tc>
        <w:tc>
          <w:tcPr>
            <w:tcW w:w="2268" w:type="dxa"/>
            <w:tcBorders>
              <w:top w:val="nil"/>
              <w:left w:val="nil"/>
              <w:bottom w:val="nil"/>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 xml:space="preserve"> 263</w:t>
            </w:r>
          </w:p>
        </w:tc>
      </w:tr>
      <w:tr w:rsidR="00CC45FC">
        <w:trPr>
          <w:trHeight w:val="121"/>
        </w:trPr>
        <w:tc>
          <w:tcPr>
            <w:tcW w:w="3686"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FIFG/EFF</w:t>
            </w:r>
          </w:p>
        </w:tc>
        <w:tc>
          <w:tcPr>
            <w:tcW w:w="1559" w:type="dxa"/>
            <w:tcBorders>
              <w:top w:val="nil"/>
              <w:left w:val="nil"/>
              <w:bottom w:val="nil"/>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5</w:t>
            </w:r>
          </w:p>
        </w:tc>
        <w:tc>
          <w:tcPr>
            <w:tcW w:w="1843"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5</w:t>
            </w:r>
          </w:p>
        </w:tc>
        <w:tc>
          <w:tcPr>
            <w:tcW w:w="2268" w:type="dxa"/>
            <w:tcBorders>
              <w:top w:val="nil"/>
              <w:left w:val="nil"/>
              <w:bottom w:val="nil"/>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 xml:space="preserve"> 10</w:t>
            </w:r>
          </w:p>
        </w:tc>
      </w:tr>
      <w:tr w:rsidR="00CC45FC">
        <w:trPr>
          <w:trHeight w:val="209"/>
        </w:trPr>
        <w:tc>
          <w:tcPr>
            <w:tcW w:w="3686" w:type="dxa"/>
            <w:tcBorders>
              <w:top w:val="nil"/>
              <w:left w:val="single" w:sz="8" w:space="0" w:color="auto"/>
              <w:bottom w:val="nil"/>
              <w:right w:val="single" w:sz="8" w:space="0" w:color="auto"/>
            </w:tcBorders>
            <w:shd w:val="clear" w:color="auto" w:fill="auto"/>
            <w:noWrap/>
            <w:vAlign w:val="center"/>
            <w:hideMark/>
          </w:tcPr>
          <w:p w:rsidR="00CC45FC" w:rsidRDefault="004A7700">
            <w:pPr>
              <w:spacing w:after="0" w:line="240" w:lineRule="auto"/>
              <w:jc w:val="both"/>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EAGGF Guidance</w:t>
            </w:r>
          </w:p>
        </w:tc>
        <w:tc>
          <w:tcPr>
            <w:tcW w:w="1559" w:type="dxa"/>
            <w:tcBorders>
              <w:top w:val="nil"/>
              <w:left w:val="nil"/>
              <w:bottom w:val="nil"/>
              <w:right w:val="nil"/>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24</w:t>
            </w:r>
          </w:p>
        </w:tc>
        <w:tc>
          <w:tcPr>
            <w:tcW w:w="1843" w:type="dxa"/>
            <w:tcBorders>
              <w:top w:val="nil"/>
              <w:left w:val="single" w:sz="8" w:space="0" w:color="auto"/>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w:t>
            </w:r>
          </w:p>
        </w:tc>
        <w:tc>
          <w:tcPr>
            <w:tcW w:w="2268" w:type="dxa"/>
            <w:tcBorders>
              <w:top w:val="nil"/>
              <w:left w:val="nil"/>
              <w:bottom w:val="nil"/>
              <w:right w:val="single" w:sz="8" w:space="0" w:color="auto"/>
            </w:tcBorders>
            <w:shd w:val="clear" w:color="000000" w:fill="C6D9F1"/>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 xml:space="preserve"> 24</w:t>
            </w:r>
          </w:p>
        </w:tc>
      </w:tr>
      <w:tr w:rsidR="00CC45FC">
        <w:trPr>
          <w:trHeight w:val="270"/>
        </w:trPr>
        <w:tc>
          <w:tcPr>
            <w:tcW w:w="3686" w:type="dxa"/>
            <w:tcBorders>
              <w:top w:val="single" w:sz="8" w:space="0" w:color="auto"/>
              <w:left w:val="single" w:sz="8" w:space="0" w:color="auto"/>
              <w:bottom w:val="single" w:sz="8" w:space="0" w:color="auto"/>
              <w:right w:val="single" w:sz="8" w:space="0" w:color="auto"/>
            </w:tcBorders>
            <w:shd w:val="clear" w:color="000000" w:fill="D9D9D9"/>
            <w:noWrap/>
            <w:vAlign w:val="center"/>
            <w:hideMark/>
          </w:tcPr>
          <w:p w:rsidR="00CC45FC" w:rsidRDefault="004A7700">
            <w:pPr>
              <w:spacing w:after="0" w:line="240" w:lineRule="auto"/>
              <w:rPr>
                <w:rFonts w:ascii="Verdana" w:eastAsia="Times New Roman" w:hAnsi="Verdana"/>
                <w:b/>
                <w:bCs/>
                <w:i/>
                <w:iCs/>
                <w:noProof/>
                <w:color w:val="000000"/>
                <w:sz w:val="16"/>
                <w:szCs w:val="16"/>
                <w:lang w:eastAsia="en-GB"/>
              </w:rPr>
            </w:pPr>
            <w:r>
              <w:rPr>
                <w:rFonts w:ascii="Verdana" w:eastAsia="Times New Roman" w:hAnsi="Verdana"/>
                <w:b/>
                <w:bCs/>
                <w:i/>
                <w:iCs/>
                <w:noProof/>
                <w:color w:val="000000"/>
                <w:sz w:val="16"/>
                <w:szCs w:val="16"/>
                <w:lang w:eastAsia="en-GB"/>
              </w:rPr>
              <w:t xml:space="preserve">Security &amp; citizenship </w:t>
            </w:r>
          </w:p>
        </w:tc>
        <w:tc>
          <w:tcPr>
            <w:tcW w:w="1559" w:type="dxa"/>
            <w:tcBorders>
              <w:top w:val="single" w:sz="8" w:space="0" w:color="auto"/>
              <w:left w:val="nil"/>
              <w:bottom w:val="single" w:sz="8" w:space="0" w:color="auto"/>
              <w:right w:val="nil"/>
            </w:tcBorders>
            <w:shd w:val="clear" w:color="000000" w:fill="D9D9D9"/>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 xml:space="preserve"> 9</w:t>
            </w:r>
          </w:p>
        </w:tc>
        <w:tc>
          <w:tcPr>
            <w:tcW w:w="1843" w:type="dxa"/>
            <w:tcBorders>
              <w:top w:val="single" w:sz="8" w:space="0" w:color="auto"/>
              <w:left w:val="single" w:sz="8" w:space="0" w:color="auto"/>
              <w:bottom w:val="single" w:sz="8" w:space="0" w:color="auto"/>
              <w:right w:val="single" w:sz="8" w:space="0" w:color="auto"/>
            </w:tcBorders>
            <w:shd w:val="clear" w:color="000000" w:fill="D9D9D9"/>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15</w:t>
            </w:r>
          </w:p>
        </w:tc>
        <w:tc>
          <w:tcPr>
            <w:tcW w:w="2268" w:type="dxa"/>
            <w:tcBorders>
              <w:top w:val="single" w:sz="8" w:space="0" w:color="auto"/>
              <w:left w:val="nil"/>
              <w:bottom w:val="single" w:sz="8" w:space="0" w:color="auto"/>
              <w:right w:val="single" w:sz="8" w:space="0" w:color="auto"/>
            </w:tcBorders>
            <w:shd w:val="clear" w:color="000000" w:fill="D9D9D9"/>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 xml:space="preserve"> 23</w:t>
            </w:r>
          </w:p>
        </w:tc>
      </w:tr>
      <w:tr w:rsidR="00CC45FC">
        <w:trPr>
          <w:trHeight w:val="125"/>
        </w:trPr>
        <w:tc>
          <w:tcPr>
            <w:tcW w:w="3686" w:type="dxa"/>
            <w:tcBorders>
              <w:top w:val="nil"/>
              <w:left w:val="single" w:sz="8" w:space="0" w:color="auto"/>
              <w:bottom w:val="single" w:sz="8" w:space="0" w:color="auto"/>
              <w:right w:val="single" w:sz="8" w:space="0" w:color="auto"/>
            </w:tcBorders>
            <w:shd w:val="clear" w:color="auto" w:fill="auto"/>
            <w:noWrap/>
            <w:vAlign w:val="center"/>
            <w:hideMark/>
          </w:tcPr>
          <w:p w:rsidR="00CC45FC" w:rsidRDefault="004A7700">
            <w:pPr>
              <w:spacing w:after="0" w:line="240" w:lineRule="auto"/>
              <w:rPr>
                <w:rFonts w:ascii="Verdana" w:eastAsia="Times New Roman" w:hAnsi="Verdana"/>
                <w:noProof/>
                <w:color w:val="000000"/>
                <w:sz w:val="16"/>
                <w:szCs w:val="16"/>
                <w:lang w:eastAsia="en-GB"/>
              </w:rPr>
            </w:pPr>
            <w:r>
              <w:rPr>
                <w:rFonts w:ascii="Verdana" w:eastAsia="Times New Roman" w:hAnsi="Verdana"/>
                <w:noProof/>
                <w:color w:val="000000"/>
                <w:sz w:val="16"/>
                <w:szCs w:val="16"/>
                <w:lang w:eastAsia="en-GB"/>
              </w:rPr>
              <w:t>Migration &amp; home affairs</w:t>
            </w:r>
          </w:p>
        </w:tc>
        <w:tc>
          <w:tcPr>
            <w:tcW w:w="1559" w:type="dxa"/>
            <w:tcBorders>
              <w:top w:val="nil"/>
              <w:left w:val="nil"/>
              <w:bottom w:val="nil"/>
              <w:right w:val="nil"/>
            </w:tcBorders>
            <w:shd w:val="clear" w:color="000000" w:fill="FFFFFF"/>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 xml:space="preserve"> 9</w:t>
            </w:r>
          </w:p>
        </w:tc>
        <w:tc>
          <w:tcPr>
            <w:tcW w:w="1843" w:type="dxa"/>
            <w:tcBorders>
              <w:top w:val="nil"/>
              <w:left w:val="single" w:sz="8" w:space="0" w:color="auto"/>
              <w:bottom w:val="nil"/>
              <w:right w:val="single" w:sz="8" w:space="0" w:color="auto"/>
            </w:tcBorders>
            <w:shd w:val="clear" w:color="000000" w:fill="FFFFFF"/>
            <w:noWrap/>
          </w:tcPr>
          <w:p w:rsidR="00CC45FC" w:rsidRDefault="004A7700">
            <w:pPr>
              <w:autoSpaceDE w:val="0"/>
              <w:autoSpaceDN w:val="0"/>
              <w:adjustRightInd w:val="0"/>
              <w:spacing w:after="0" w:line="240" w:lineRule="auto"/>
              <w:jc w:val="right"/>
              <w:rPr>
                <w:rFonts w:ascii="Verdana" w:hAnsi="Verdana" w:cs="Verdana"/>
                <w:i/>
                <w:iCs/>
                <w:noProof/>
                <w:color w:val="000000"/>
                <w:sz w:val="16"/>
                <w:szCs w:val="16"/>
                <w:lang w:eastAsia="en-GB"/>
              </w:rPr>
            </w:pPr>
            <w:r>
              <w:rPr>
                <w:rFonts w:ascii="Verdana" w:hAnsi="Verdana" w:cs="Verdana"/>
                <w:i/>
                <w:iCs/>
                <w:noProof/>
                <w:color w:val="000000"/>
                <w:sz w:val="16"/>
                <w:szCs w:val="16"/>
                <w:lang w:eastAsia="en-GB"/>
              </w:rPr>
              <w:t>15</w:t>
            </w:r>
          </w:p>
        </w:tc>
        <w:tc>
          <w:tcPr>
            <w:tcW w:w="2268" w:type="dxa"/>
            <w:tcBorders>
              <w:top w:val="nil"/>
              <w:left w:val="nil"/>
              <w:bottom w:val="nil"/>
              <w:right w:val="single" w:sz="8" w:space="0" w:color="auto"/>
            </w:tcBorders>
            <w:shd w:val="clear" w:color="000000" w:fill="C6D9F1"/>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 xml:space="preserve"> 23</w:t>
            </w:r>
          </w:p>
        </w:tc>
      </w:tr>
      <w:tr w:rsidR="00CC45FC">
        <w:trPr>
          <w:trHeight w:val="270"/>
        </w:trPr>
        <w:tc>
          <w:tcPr>
            <w:tcW w:w="3686" w:type="dxa"/>
            <w:tcBorders>
              <w:top w:val="nil"/>
              <w:left w:val="single" w:sz="8" w:space="0" w:color="auto"/>
              <w:bottom w:val="single" w:sz="8" w:space="0" w:color="auto"/>
              <w:right w:val="single" w:sz="8" w:space="0" w:color="auto"/>
            </w:tcBorders>
            <w:shd w:val="clear" w:color="000000" w:fill="D9D9D9"/>
            <w:noWrap/>
            <w:vAlign w:val="center"/>
            <w:hideMark/>
          </w:tcPr>
          <w:p w:rsidR="00CC45FC" w:rsidRDefault="004A7700">
            <w:pPr>
              <w:spacing w:after="0" w:line="240" w:lineRule="auto"/>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TOTAL</w:t>
            </w:r>
          </w:p>
        </w:tc>
        <w:tc>
          <w:tcPr>
            <w:tcW w:w="1559" w:type="dxa"/>
            <w:tcBorders>
              <w:top w:val="single" w:sz="8" w:space="0" w:color="auto"/>
              <w:left w:val="nil"/>
              <w:bottom w:val="single" w:sz="8" w:space="0" w:color="auto"/>
              <w:right w:val="nil"/>
            </w:tcBorders>
            <w:shd w:val="clear" w:color="000000" w:fill="D9D9D9"/>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1 181</w:t>
            </w:r>
          </w:p>
        </w:tc>
        <w:tc>
          <w:tcPr>
            <w:tcW w:w="1843" w:type="dxa"/>
            <w:tcBorders>
              <w:top w:val="single" w:sz="8" w:space="0" w:color="auto"/>
              <w:left w:val="single" w:sz="8" w:space="0" w:color="auto"/>
              <w:bottom w:val="single" w:sz="8" w:space="0" w:color="auto"/>
              <w:right w:val="single" w:sz="8" w:space="0" w:color="auto"/>
            </w:tcBorders>
            <w:shd w:val="clear" w:color="000000" w:fill="D9D9D9"/>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1 923</w:t>
            </w:r>
          </w:p>
        </w:tc>
        <w:tc>
          <w:tcPr>
            <w:tcW w:w="2268" w:type="dxa"/>
            <w:tcBorders>
              <w:top w:val="single" w:sz="8" w:space="0" w:color="auto"/>
              <w:left w:val="nil"/>
              <w:bottom w:val="single" w:sz="8" w:space="0" w:color="auto"/>
              <w:right w:val="single" w:sz="8" w:space="0" w:color="auto"/>
            </w:tcBorders>
            <w:shd w:val="clear" w:color="000000" w:fill="D9D9D9"/>
            <w:vAlign w:val="center"/>
          </w:tcPr>
          <w:p w:rsidR="00CC45FC" w:rsidRDefault="004A7700">
            <w:pPr>
              <w:autoSpaceDE w:val="0"/>
              <w:autoSpaceDN w:val="0"/>
              <w:adjustRightInd w:val="0"/>
              <w:spacing w:after="0" w:line="240" w:lineRule="auto"/>
              <w:jc w:val="right"/>
              <w:rPr>
                <w:rFonts w:ascii="Verdana" w:hAnsi="Verdana" w:cs="Verdana"/>
                <w:b/>
                <w:bCs/>
                <w:i/>
                <w:iCs/>
                <w:noProof/>
                <w:color w:val="000000"/>
                <w:sz w:val="16"/>
                <w:szCs w:val="16"/>
                <w:lang w:eastAsia="en-GB"/>
              </w:rPr>
            </w:pPr>
            <w:r>
              <w:rPr>
                <w:rFonts w:ascii="Verdana" w:hAnsi="Verdana" w:cs="Verdana"/>
                <w:b/>
                <w:bCs/>
                <w:i/>
                <w:iCs/>
                <w:noProof/>
                <w:color w:val="000000"/>
                <w:sz w:val="16"/>
                <w:szCs w:val="16"/>
                <w:lang w:eastAsia="en-GB"/>
              </w:rPr>
              <w:t>3 104</w:t>
            </w:r>
          </w:p>
        </w:tc>
      </w:tr>
    </w:tbl>
    <w:p w:rsidR="00CC45FC" w:rsidRDefault="00CC45FC">
      <w:pPr>
        <w:spacing w:after="0" w:line="240" w:lineRule="auto"/>
        <w:rPr>
          <w:rFonts w:ascii="Verdana" w:hAnsi="Verdana"/>
          <w:b/>
          <w:i/>
          <w:noProof/>
          <w:sz w:val="20"/>
        </w:rPr>
      </w:pPr>
    </w:p>
    <w:p w:rsidR="00CC45FC" w:rsidRDefault="004A7700">
      <w:pPr>
        <w:pStyle w:val="ManualHeading2"/>
        <w:rPr>
          <w:i/>
          <w:noProof/>
        </w:rPr>
      </w:pPr>
      <w:bookmarkStart w:id="143" w:name="_Toc456258182"/>
      <w:bookmarkStart w:id="144" w:name="_Toc456686590"/>
      <w:r>
        <w:t>5.</w:t>
      </w:r>
      <w:r>
        <w:tab/>
      </w:r>
      <w:r>
        <w:rPr>
          <w:noProof/>
        </w:rPr>
        <w:t>Agricultural amounts recovered from final beneficiaries by the Member States in 2015</w:t>
      </w:r>
      <w:bookmarkEnd w:id="143"/>
      <w:bookmarkEnd w:id="144"/>
    </w:p>
    <w:p w:rsidR="00CC45FC" w:rsidRDefault="00CC45FC">
      <w:pPr>
        <w:spacing w:after="120" w:line="240" w:lineRule="auto"/>
        <w:jc w:val="both"/>
        <w:rPr>
          <w:rFonts w:ascii="Verdana" w:hAnsi="Verdana"/>
          <w:b/>
          <w:i/>
          <w:noProof/>
          <w:sz w:val="18"/>
        </w:rPr>
      </w:pPr>
    </w:p>
    <w:tbl>
      <w:tblPr>
        <w:tblW w:w="6640" w:type="dxa"/>
        <w:tblInd w:w="93" w:type="dxa"/>
        <w:tblLook w:val="04A0" w:firstRow="1" w:lastRow="0" w:firstColumn="1" w:lastColumn="0" w:noHBand="0" w:noVBand="1"/>
      </w:tblPr>
      <w:tblGrid>
        <w:gridCol w:w="1660"/>
        <w:gridCol w:w="1660"/>
        <w:gridCol w:w="1660"/>
        <w:gridCol w:w="1660"/>
      </w:tblGrid>
      <w:tr w:rsidR="00CC45FC">
        <w:trPr>
          <w:trHeight w:val="315"/>
        </w:trPr>
        <w:tc>
          <w:tcPr>
            <w:tcW w:w="6640" w:type="dxa"/>
            <w:gridSpan w:val="4"/>
            <w:tcBorders>
              <w:top w:val="nil"/>
              <w:left w:val="nil"/>
              <w:bottom w:val="single" w:sz="8" w:space="0" w:color="auto"/>
              <w:right w:val="nil"/>
            </w:tcBorders>
            <w:shd w:val="clear" w:color="auto" w:fill="auto"/>
            <w:noWrap/>
            <w:vAlign w:val="center"/>
            <w:hideMark/>
          </w:tcPr>
          <w:p w:rsidR="00CC45FC" w:rsidRDefault="004A7700">
            <w:pPr>
              <w:spacing w:after="0" w:line="240" w:lineRule="auto"/>
              <w:jc w:val="right"/>
              <w:rPr>
                <w:rFonts w:ascii="Arial" w:eastAsia="Times New Roman" w:hAnsi="Arial" w:cs="Arial"/>
                <w:i/>
                <w:iCs/>
                <w:noProof/>
                <w:color w:val="000000"/>
                <w:sz w:val="20"/>
                <w:szCs w:val="20"/>
                <w:lang w:eastAsia="en-GB"/>
              </w:rPr>
            </w:pPr>
            <w:r>
              <w:rPr>
                <w:rFonts w:ascii="Arial" w:eastAsia="Times New Roman" w:hAnsi="Arial" w:cs="Arial"/>
                <w:i/>
                <w:iCs/>
                <w:noProof/>
                <w:color w:val="000000"/>
                <w:sz w:val="16"/>
                <w:szCs w:val="20"/>
                <w:lang w:eastAsia="en-GB"/>
              </w:rPr>
              <w:t>EUR millions</w:t>
            </w:r>
          </w:p>
        </w:tc>
      </w:tr>
      <w:tr w:rsidR="00CC45FC">
        <w:trPr>
          <w:trHeight w:val="435"/>
        </w:trPr>
        <w:tc>
          <w:tcPr>
            <w:tcW w:w="1660" w:type="dxa"/>
            <w:tcBorders>
              <w:top w:val="nil"/>
              <w:left w:val="single" w:sz="8" w:space="0" w:color="auto"/>
              <w:bottom w:val="single" w:sz="8" w:space="0" w:color="auto"/>
              <w:right w:val="nil"/>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Member State</w:t>
            </w:r>
          </w:p>
        </w:tc>
        <w:tc>
          <w:tcPr>
            <w:tcW w:w="1660" w:type="dxa"/>
            <w:tcBorders>
              <w:top w:val="nil"/>
              <w:left w:val="single" w:sz="8" w:space="0" w:color="auto"/>
              <w:bottom w:val="single" w:sz="8" w:space="0" w:color="auto"/>
              <w:right w:val="nil"/>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EAGF</w:t>
            </w:r>
          </w:p>
        </w:tc>
        <w:tc>
          <w:tcPr>
            <w:tcW w:w="1660" w:type="dxa"/>
            <w:tcBorders>
              <w:top w:val="nil"/>
              <w:left w:val="single" w:sz="8" w:space="0" w:color="auto"/>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EAFRD</w:t>
            </w:r>
          </w:p>
        </w:tc>
        <w:tc>
          <w:tcPr>
            <w:tcW w:w="1660" w:type="dxa"/>
            <w:tcBorders>
              <w:top w:val="nil"/>
              <w:left w:val="nil"/>
              <w:bottom w:val="nil"/>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Total 2015</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Belgium</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2.8</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0.6</w:t>
            </w:r>
          </w:p>
        </w:tc>
        <w:tc>
          <w:tcPr>
            <w:tcW w:w="1660" w:type="dxa"/>
            <w:tcBorders>
              <w:top w:val="single" w:sz="8" w:space="0" w:color="auto"/>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3.4</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Bulgaria</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1.6</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3.1</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4.7</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Czech Republic</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0.6</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1.0</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1.6</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Denmark</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2.4</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3.3</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5.6</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Germany</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11.3</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11.7</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23.0</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Estonia</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0.5</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1.3</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1.7</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Ireland</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5.6</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2.8</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8.4</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Greece</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2.8</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3.0</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5.7</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Spain</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19.0</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6.6</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25.5</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France</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22.9</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3.9</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26.8</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Croatia</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0.3</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0.0</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0.3</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Italy</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20.0</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21.1</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41.1</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Cyprus</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0.3</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0.0</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0.4</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Latvia</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1.5</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1.0</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2.5</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Lithuania</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14.9</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1.3</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16.2</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Luxembourg</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0.3</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0.2</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0.5</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Hungary</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3.6</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9.1</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12.7</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Malta</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0.0</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0.1</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0.2</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Netherlands</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2.6</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1.0</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3.5</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Austria</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5.7</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8.2</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13.9</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Poland</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8.1</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19.4</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27.5</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Portugal</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4.9</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11.7</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16.7</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Romania</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10.0</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31.5</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41.4</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Slovenia</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0.6</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0.9</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1.5</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Slovakia</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1.4</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1.2</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2.5</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Finland</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1.1</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1.5</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2.6</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Sweden</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2.0</w:t>
            </w:r>
          </w:p>
        </w:tc>
        <w:tc>
          <w:tcPr>
            <w:tcW w:w="1660" w:type="dxa"/>
            <w:tcBorders>
              <w:top w:val="nil"/>
              <w:left w:val="nil"/>
              <w:bottom w:val="nil"/>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1.5</w:t>
            </w:r>
          </w:p>
        </w:tc>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3.4</w:t>
            </w:r>
          </w:p>
        </w:tc>
      </w:tr>
      <w:tr w:rsidR="00CC45FC">
        <w:trPr>
          <w:trHeight w:val="315"/>
        </w:trPr>
        <w:tc>
          <w:tcPr>
            <w:tcW w:w="1660" w:type="dxa"/>
            <w:tcBorders>
              <w:top w:val="nil"/>
              <w:left w:val="single" w:sz="8" w:space="0" w:color="auto"/>
              <w:bottom w:val="single" w:sz="8" w:space="0" w:color="auto"/>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United Kingdom</w:t>
            </w:r>
          </w:p>
        </w:tc>
        <w:tc>
          <w:tcPr>
            <w:tcW w:w="1660" w:type="dxa"/>
            <w:tcBorders>
              <w:top w:val="nil"/>
              <w:left w:val="nil"/>
              <w:bottom w:val="single" w:sz="8" w:space="0" w:color="auto"/>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9.0</w:t>
            </w:r>
          </w:p>
        </w:tc>
        <w:tc>
          <w:tcPr>
            <w:tcW w:w="1660" w:type="dxa"/>
            <w:tcBorders>
              <w:top w:val="nil"/>
              <w:left w:val="nil"/>
              <w:bottom w:val="single" w:sz="8" w:space="0" w:color="auto"/>
              <w:right w:val="nil"/>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6.9</w:t>
            </w:r>
          </w:p>
        </w:tc>
        <w:tc>
          <w:tcPr>
            <w:tcW w:w="1660" w:type="dxa"/>
            <w:tcBorders>
              <w:top w:val="nil"/>
              <w:left w:val="single" w:sz="8" w:space="0" w:color="auto"/>
              <w:bottom w:val="single" w:sz="8" w:space="0" w:color="auto"/>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15.9</w:t>
            </w:r>
          </w:p>
        </w:tc>
      </w:tr>
      <w:tr w:rsidR="00CC45FC">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hideMark/>
          </w:tcPr>
          <w:p w:rsidR="00CC45FC" w:rsidRDefault="004A7700">
            <w:pPr>
              <w:autoSpaceDE w:val="0"/>
              <w:autoSpaceDN w:val="0"/>
              <w:adjustRightInd w:val="0"/>
              <w:spacing w:after="0" w:line="240" w:lineRule="auto"/>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Total</w:t>
            </w:r>
          </w:p>
        </w:tc>
        <w:tc>
          <w:tcPr>
            <w:tcW w:w="1660" w:type="dxa"/>
            <w:tcBorders>
              <w:top w:val="nil"/>
              <w:left w:val="nil"/>
              <w:bottom w:val="single" w:sz="8" w:space="0" w:color="auto"/>
              <w:right w:val="single" w:sz="8" w:space="0" w:color="auto"/>
            </w:tcBorders>
            <w:shd w:val="clear" w:color="auto" w:fill="auto"/>
            <w:noWrap/>
            <w:vAlign w:val="center"/>
            <w:hideMark/>
          </w:tcPr>
          <w:p w:rsidR="00CC45FC" w:rsidRDefault="004A7700">
            <w:pPr>
              <w:autoSpaceDE w:val="0"/>
              <w:autoSpaceDN w:val="0"/>
              <w:adjustRightInd w:val="0"/>
              <w:spacing w:after="0" w:line="240" w:lineRule="auto"/>
              <w:jc w:val="center"/>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155.4</w:t>
            </w:r>
          </w:p>
        </w:tc>
        <w:tc>
          <w:tcPr>
            <w:tcW w:w="1660" w:type="dxa"/>
            <w:tcBorders>
              <w:top w:val="nil"/>
              <w:left w:val="nil"/>
              <w:bottom w:val="single" w:sz="8" w:space="0" w:color="auto"/>
              <w:right w:val="single" w:sz="8" w:space="0" w:color="auto"/>
            </w:tcBorders>
            <w:shd w:val="clear" w:color="auto" w:fill="auto"/>
            <w:noWrap/>
            <w:vAlign w:val="center"/>
            <w:hideMark/>
          </w:tcPr>
          <w:p w:rsidR="00CC45FC" w:rsidRDefault="004A7700">
            <w:pPr>
              <w:autoSpaceDE w:val="0"/>
              <w:autoSpaceDN w:val="0"/>
              <w:adjustRightInd w:val="0"/>
              <w:spacing w:after="0" w:line="240" w:lineRule="auto"/>
              <w:jc w:val="center"/>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153.8</w:t>
            </w:r>
          </w:p>
        </w:tc>
        <w:tc>
          <w:tcPr>
            <w:tcW w:w="1660" w:type="dxa"/>
            <w:tcBorders>
              <w:top w:val="nil"/>
              <w:left w:val="nil"/>
              <w:bottom w:val="single" w:sz="8" w:space="0" w:color="auto"/>
              <w:right w:val="single" w:sz="8" w:space="0" w:color="auto"/>
            </w:tcBorders>
            <w:shd w:val="clear" w:color="auto" w:fill="auto"/>
            <w:noWrap/>
            <w:vAlign w:val="center"/>
            <w:hideMark/>
          </w:tcPr>
          <w:p w:rsidR="00CC45FC" w:rsidRDefault="004A7700">
            <w:pPr>
              <w:autoSpaceDE w:val="0"/>
              <w:autoSpaceDN w:val="0"/>
              <w:adjustRightInd w:val="0"/>
              <w:spacing w:after="0" w:line="240" w:lineRule="auto"/>
              <w:jc w:val="center"/>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309.2</w:t>
            </w:r>
          </w:p>
        </w:tc>
      </w:tr>
    </w:tbl>
    <w:p w:rsidR="00CC45FC" w:rsidRDefault="00CC45FC">
      <w:pPr>
        <w:spacing w:line="240" w:lineRule="auto"/>
        <w:jc w:val="both"/>
        <w:rPr>
          <w:rFonts w:ascii="Verdana" w:hAnsi="Verdana" w:cs="Calibri"/>
          <w:b/>
          <w:noProof/>
          <w:sz w:val="20"/>
          <w:szCs w:val="20"/>
          <w:u w:val="single"/>
        </w:rPr>
      </w:pPr>
    </w:p>
    <w:p w:rsidR="00CC45FC" w:rsidRDefault="004A7700">
      <w:pPr>
        <w:spacing w:after="0" w:line="240" w:lineRule="auto"/>
        <w:rPr>
          <w:rFonts w:ascii="Verdana" w:hAnsi="Verdana"/>
          <w:b/>
          <w:i/>
          <w:noProof/>
          <w:sz w:val="20"/>
        </w:rPr>
      </w:pPr>
      <w:r>
        <w:rPr>
          <w:rFonts w:ascii="Verdana" w:hAnsi="Verdana"/>
          <w:b/>
          <w:i/>
          <w:noProof/>
          <w:sz w:val="20"/>
        </w:rPr>
        <w:br w:type="page"/>
      </w:r>
    </w:p>
    <w:p w:rsidR="00CC45FC" w:rsidRDefault="004A7700">
      <w:pPr>
        <w:pStyle w:val="ManualHeading2"/>
        <w:rPr>
          <w:i/>
          <w:noProof/>
        </w:rPr>
      </w:pPr>
      <w:bookmarkStart w:id="145" w:name="_Toc456258183"/>
      <w:bookmarkStart w:id="146" w:name="_Toc456686591"/>
      <w:r>
        <w:t>6.</w:t>
      </w:r>
      <w:r>
        <w:tab/>
      </w:r>
      <w:r>
        <w:rPr>
          <w:noProof/>
        </w:rPr>
        <w:t xml:space="preserve">Member States own corrections in 2015 applied before payments to beneficiaries are executed </w:t>
      </w:r>
      <w:r>
        <w:rPr>
          <w:noProof/>
          <w:sz w:val="18"/>
          <w:szCs w:val="20"/>
        </w:rPr>
        <w:t>(in addition to Commission reporting</w:t>
      </w:r>
      <w:r>
        <w:rPr>
          <w:rStyle w:val="FootnoteReference"/>
          <w:rFonts w:ascii="Verdana" w:hAnsi="Verdana"/>
          <w:noProof/>
          <w:sz w:val="18"/>
          <w:szCs w:val="20"/>
        </w:rPr>
        <w:footnoteReference w:id="31"/>
      </w:r>
      <w:r>
        <w:rPr>
          <w:noProof/>
          <w:sz w:val="18"/>
          <w:szCs w:val="20"/>
        </w:rPr>
        <w:t>)</w:t>
      </w:r>
      <w:bookmarkEnd w:id="145"/>
      <w:bookmarkEnd w:id="146"/>
      <w:r>
        <w:rPr>
          <w:noProof/>
        </w:rPr>
        <w:t xml:space="preserve"> </w:t>
      </w:r>
    </w:p>
    <w:p w:rsidR="00CC45FC" w:rsidRDefault="00CC45FC">
      <w:pPr>
        <w:spacing w:after="0" w:line="240" w:lineRule="auto"/>
        <w:jc w:val="both"/>
        <w:rPr>
          <w:rFonts w:ascii="Verdana" w:hAnsi="Verdana"/>
          <w:b/>
          <w:i/>
          <w:noProof/>
          <w:sz w:val="20"/>
          <w:szCs w:val="20"/>
        </w:rPr>
      </w:pPr>
    </w:p>
    <w:tbl>
      <w:tblPr>
        <w:tblW w:w="8300" w:type="dxa"/>
        <w:tblInd w:w="93" w:type="dxa"/>
        <w:tblLook w:val="04A0" w:firstRow="1" w:lastRow="0" w:firstColumn="1" w:lastColumn="0" w:noHBand="0" w:noVBand="1"/>
      </w:tblPr>
      <w:tblGrid>
        <w:gridCol w:w="1660"/>
        <w:gridCol w:w="1660"/>
        <w:gridCol w:w="1660"/>
        <w:gridCol w:w="1660"/>
        <w:gridCol w:w="1660"/>
      </w:tblGrid>
      <w:tr w:rsidR="00CC45FC">
        <w:trPr>
          <w:trHeight w:val="315"/>
        </w:trPr>
        <w:tc>
          <w:tcPr>
            <w:tcW w:w="8300" w:type="dxa"/>
            <w:gridSpan w:val="5"/>
            <w:tcBorders>
              <w:top w:val="nil"/>
              <w:left w:val="nil"/>
              <w:bottom w:val="single" w:sz="8" w:space="0" w:color="auto"/>
              <w:right w:val="nil"/>
            </w:tcBorders>
            <w:shd w:val="clear" w:color="auto" w:fill="auto"/>
            <w:noWrap/>
            <w:vAlign w:val="center"/>
            <w:hideMark/>
          </w:tcPr>
          <w:p w:rsidR="00CC45FC" w:rsidRDefault="004A7700">
            <w:pPr>
              <w:spacing w:after="0" w:line="240" w:lineRule="auto"/>
              <w:jc w:val="right"/>
              <w:rPr>
                <w:rFonts w:ascii="Verdana" w:eastAsia="Times New Roman" w:hAnsi="Verdana" w:cs="Arial"/>
                <w:i/>
                <w:iCs/>
                <w:noProof/>
                <w:color w:val="000000"/>
                <w:sz w:val="20"/>
                <w:szCs w:val="20"/>
                <w:lang w:eastAsia="en-GB"/>
              </w:rPr>
            </w:pPr>
            <w:r>
              <w:rPr>
                <w:rFonts w:ascii="Verdana" w:eastAsia="Times New Roman" w:hAnsi="Verdana" w:cs="Arial"/>
                <w:i/>
                <w:iCs/>
                <w:noProof/>
                <w:color w:val="000000"/>
                <w:sz w:val="16"/>
                <w:szCs w:val="20"/>
                <w:lang w:eastAsia="en-GB"/>
              </w:rPr>
              <w:t>EUR millions</w:t>
            </w:r>
          </w:p>
        </w:tc>
      </w:tr>
      <w:tr w:rsidR="00CC45FC">
        <w:trPr>
          <w:trHeight w:val="435"/>
        </w:trPr>
        <w:tc>
          <w:tcPr>
            <w:tcW w:w="1660" w:type="dxa"/>
            <w:tcBorders>
              <w:top w:val="nil"/>
              <w:left w:val="single" w:sz="8" w:space="0" w:color="auto"/>
              <w:bottom w:val="single" w:sz="8" w:space="0" w:color="auto"/>
              <w:right w:val="nil"/>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Member State</w:t>
            </w:r>
          </w:p>
        </w:tc>
        <w:tc>
          <w:tcPr>
            <w:tcW w:w="1660" w:type="dxa"/>
            <w:tcBorders>
              <w:top w:val="nil"/>
              <w:left w:val="single" w:sz="8" w:space="0" w:color="auto"/>
              <w:bottom w:val="single" w:sz="8" w:space="0" w:color="auto"/>
              <w:right w:val="nil"/>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EAGF Market Measures</w:t>
            </w:r>
          </w:p>
        </w:tc>
        <w:tc>
          <w:tcPr>
            <w:tcW w:w="1660" w:type="dxa"/>
            <w:tcBorders>
              <w:top w:val="nil"/>
              <w:left w:val="single" w:sz="8" w:space="0" w:color="auto"/>
              <w:bottom w:val="single" w:sz="8" w:space="0" w:color="auto"/>
              <w:right w:val="nil"/>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EAGF Direct Payments</w:t>
            </w:r>
          </w:p>
        </w:tc>
        <w:tc>
          <w:tcPr>
            <w:tcW w:w="1660" w:type="dxa"/>
            <w:tcBorders>
              <w:top w:val="nil"/>
              <w:left w:val="single" w:sz="8" w:space="0" w:color="auto"/>
              <w:bottom w:val="single" w:sz="8" w:space="0" w:color="auto"/>
              <w:right w:val="nil"/>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EAFRD</w:t>
            </w:r>
          </w:p>
        </w:tc>
        <w:tc>
          <w:tcPr>
            <w:tcW w:w="1660" w:type="dxa"/>
            <w:tcBorders>
              <w:top w:val="nil"/>
              <w:left w:val="single" w:sz="8" w:space="0" w:color="auto"/>
              <w:bottom w:val="single" w:sz="8" w:space="0" w:color="auto"/>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Total 2015</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Belgium</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0.3</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1.2</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0.9</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2.4</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Bulgaria</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0.2</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13.5</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7.2</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20.8</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Czech Republic</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0.0</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0.3</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0.8</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1.1</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Denmark</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0.0</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1.1</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1.4</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2.6</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Germany</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4.7</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5.1</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7.5</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17.3</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Estonia</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0.0</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0.6</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1.4</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2.0</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Ireland</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3.0</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2.6</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0.7</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6.2</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Greece</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0.6</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11.6</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6.4</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18.6</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Spain</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27.0</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25.9</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17.2</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70.1</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France</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9.5</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5.2</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5.6</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20.4</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Croatia</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0.1</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1.0</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0.0</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1.1</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Italy</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3.9</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26.9</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8.0</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38.8</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Cyprus</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0.1</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0.7</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0.2</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0.9</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Latvia</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0.0</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1.2</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1.6</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2.8</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Lithuania</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0.0</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0.8</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2.9</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3.7</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Luxembourg</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0.0</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0.0</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0.1</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0.1</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Hungary</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2.6</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11.3</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15.3</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29.1</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Malta</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0.0</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0.0</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0.4</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0.4</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Netherlands</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6.5</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0.8</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1.8</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9.1</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Austria</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2.2</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2.4</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3.5</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8.1</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Poland</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12.8</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12.5</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9.9</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35.2</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Portugal</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0.9</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2.6</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5.5</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9.0</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Romania</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2.1</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11.5</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13.3</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26.9</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Slovenia</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0.1</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0.2</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0.9</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1.2</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Slovakia</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0.2</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3.6</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1.2</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4.9</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Finland</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0.0</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2.1</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2.3</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4.4</w:t>
            </w:r>
          </w:p>
        </w:tc>
      </w:tr>
      <w:tr w:rsidR="00CC45FC">
        <w:trPr>
          <w:trHeight w:val="300"/>
        </w:trPr>
        <w:tc>
          <w:tcPr>
            <w:tcW w:w="1660" w:type="dxa"/>
            <w:tcBorders>
              <w:top w:val="nil"/>
              <w:left w:val="single" w:sz="8" w:space="0" w:color="auto"/>
              <w:bottom w:val="nil"/>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Sweden</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4.6</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0.7</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2.3</w:t>
            </w:r>
          </w:p>
        </w:tc>
        <w:tc>
          <w:tcPr>
            <w:tcW w:w="1660" w:type="dxa"/>
            <w:tcBorders>
              <w:top w:val="nil"/>
              <w:left w:val="nil"/>
              <w:bottom w:val="nil"/>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7.6</w:t>
            </w:r>
          </w:p>
        </w:tc>
      </w:tr>
      <w:tr w:rsidR="00CC45FC">
        <w:trPr>
          <w:trHeight w:val="315"/>
        </w:trPr>
        <w:tc>
          <w:tcPr>
            <w:tcW w:w="1660" w:type="dxa"/>
            <w:tcBorders>
              <w:top w:val="nil"/>
              <w:left w:val="single" w:sz="8" w:space="0" w:color="auto"/>
              <w:bottom w:val="single" w:sz="8" w:space="0" w:color="auto"/>
              <w:right w:val="single" w:sz="8" w:space="0" w:color="auto"/>
            </w:tcBorders>
            <w:shd w:val="clear" w:color="auto" w:fill="auto"/>
            <w:noWrap/>
            <w:hideMark/>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United Kingdom</w:t>
            </w:r>
          </w:p>
        </w:tc>
        <w:tc>
          <w:tcPr>
            <w:tcW w:w="1660" w:type="dxa"/>
            <w:tcBorders>
              <w:top w:val="nil"/>
              <w:left w:val="nil"/>
              <w:bottom w:val="single" w:sz="8" w:space="0" w:color="auto"/>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0.6</w:t>
            </w:r>
          </w:p>
        </w:tc>
        <w:tc>
          <w:tcPr>
            <w:tcW w:w="1660" w:type="dxa"/>
            <w:tcBorders>
              <w:top w:val="nil"/>
              <w:left w:val="nil"/>
              <w:bottom w:val="single" w:sz="8" w:space="0" w:color="auto"/>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2.7</w:t>
            </w:r>
          </w:p>
        </w:tc>
        <w:tc>
          <w:tcPr>
            <w:tcW w:w="1660" w:type="dxa"/>
            <w:tcBorders>
              <w:top w:val="nil"/>
              <w:left w:val="nil"/>
              <w:bottom w:val="single" w:sz="8" w:space="0" w:color="auto"/>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5.2</w:t>
            </w:r>
          </w:p>
        </w:tc>
        <w:tc>
          <w:tcPr>
            <w:tcW w:w="1660" w:type="dxa"/>
            <w:tcBorders>
              <w:top w:val="nil"/>
              <w:left w:val="nil"/>
              <w:bottom w:val="single" w:sz="8" w:space="0" w:color="auto"/>
              <w:right w:val="single" w:sz="8" w:space="0" w:color="auto"/>
            </w:tcBorders>
            <w:shd w:val="clear" w:color="auto" w:fill="auto"/>
            <w:noWrap/>
            <w:hideMark/>
          </w:tcPr>
          <w:p w:rsidR="00CC45FC" w:rsidRDefault="004A7700">
            <w:pPr>
              <w:autoSpaceDE w:val="0"/>
              <w:autoSpaceDN w:val="0"/>
              <w:adjustRightInd w:val="0"/>
              <w:spacing w:after="0" w:line="240" w:lineRule="auto"/>
              <w:jc w:val="center"/>
              <w:rPr>
                <w:rFonts w:ascii="Verdana" w:hAnsi="Verdana" w:cs="Verdana"/>
                <w:noProof/>
                <w:color w:val="000000"/>
                <w:sz w:val="16"/>
                <w:szCs w:val="16"/>
                <w:lang w:eastAsia="en-GB"/>
              </w:rPr>
            </w:pPr>
            <w:r>
              <w:rPr>
                <w:rFonts w:ascii="Verdana" w:hAnsi="Verdana" w:cs="Verdana"/>
                <w:noProof/>
                <w:color w:val="000000"/>
                <w:sz w:val="16"/>
                <w:szCs w:val="16"/>
                <w:lang w:eastAsia="en-GB"/>
              </w:rPr>
              <w:t>8.5</w:t>
            </w:r>
          </w:p>
        </w:tc>
      </w:tr>
      <w:tr w:rsidR="00CC45FC">
        <w:trPr>
          <w:trHeight w:val="315"/>
        </w:trPr>
        <w:tc>
          <w:tcPr>
            <w:tcW w:w="1660" w:type="dxa"/>
            <w:tcBorders>
              <w:top w:val="nil"/>
              <w:left w:val="single" w:sz="8" w:space="0" w:color="auto"/>
              <w:bottom w:val="single" w:sz="8" w:space="0" w:color="auto"/>
              <w:right w:val="single" w:sz="8" w:space="0" w:color="auto"/>
            </w:tcBorders>
            <w:shd w:val="clear" w:color="auto" w:fill="auto"/>
            <w:noWrap/>
            <w:vAlign w:val="center"/>
          </w:tcPr>
          <w:p w:rsidR="00CC45FC" w:rsidRDefault="004A7700">
            <w:pPr>
              <w:autoSpaceDE w:val="0"/>
              <w:autoSpaceDN w:val="0"/>
              <w:adjustRightInd w:val="0"/>
              <w:spacing w:after="0" w:line="240" w:lineRule="auto"/>
              <w:jc w:val="center"/>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Total</w:t>
            </w:r>
          </w:p>
        </w:tc>
        <w:tc>
          <w:tcPr>
            <w:tcW w:w="1660" w:type="dxa"/>
            <w:tcBorders>
              <w:top w:val="nil"/>
              <w:left w:val="nil"/>
              <w:bottom w:val="single" w:sz="8" w:space="0" w:color="auto"/>
              <w:right w:val="single" w:sz="8" w:space="0" w:color="auto"/>
            </w:tcBorders>
            <w:shd w:val="clear" w:color="auto" w:fill="auto"/>
            <w:noWrap/>
            <w:vAlign w:val="center"/>
          </w:tcPr>
          <w:p w:rsidR="00CC45FC" w:rsidRDefault="004A7700">
            <w:pPr>
              <w:autoSpaceDE w:val="0"/>
              <w:autoSpaceDN w:val="0"/>
              <w:adjustRightInd w:val="0"/>
              <w:spacing w:after="0" w:line="240" w:lineRule="auto"/>
              <w:jc w:val="center"/>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81.9</w:t>
            </w:r>
          </w:p>
        </w:tc>
        <w:tc>
          <w:tcPr>
            <w:tcW w:w="1660" w:type="dxa"/>
            <w:tcBorders>
              <w:top w:val="nil"/>
              <w:left w:val="nil"/>
              <w:bottom w:val="single" w:sz="8" w:space="0" w:color="auto"/>
              <w:right w:val="single" w:sz="8" w:space="0" w:color="auto"/>
            </w:tcBorders>
            <w:shd w:val="clear" w:color="auto" w:fill="auto"/>
            <w:noWrap/>
            <w:vAlign w:val="center"/>
          </w:tcPr>
          <w:p w:rsidR="00CC45FC" w:rsidRDefault="004A7700">
            <w:pPr>
              <w:autoSpaceDE w:val="0"/>
              <w:autoSpaceDN w:val="0"/>
              <w:adjustRightInd w:val="0"/>
              <w:spacing w:after="0" w:line="240" w:lineRule="auto"/>
              <w:jc w:val="center"/>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148.0</w:t>
            </w:r>
          </w:p>
        </w:tc>
        <w:tc>
          <w:tcPr>
            <w:tcW w:w="1660" w:type="dxa"/>
            <w:tcBorders>
              <w:top w:val="nil"/>
              <w:left w:val="nil"/>
              <w:bottom w:val="single" w:sz="8" w:space="0" w:color="auto"/>
              <w:right w:val="single" w:sz="8" w:space="0" w:color="auto"/>
            </w:tcBorders>
            <w:shd w:val="clear" w:color="auto" w:fill="auto"/>
            <w:noWrap/>
            <w:vAlign w:val="center"/>
          </w:tcPr>
          <w:p w:rsidR="00CC45FC" w:rsidRDefault="004A7700">
            <w:pPr>
              <w:autoSpaceDE w:val="0"/>
              <w:autoSpaceDN w:val="0"/>
              <w:adjustRightInd w:val="0"/>
              <w:spacing w:after="0" w:line="240" w:lineRule="auto"/>
              <w:jc w:val="center"/>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123.3</w:t>
            </w:r>
          </w:p>
        </w:tc>
        <w:tc>
          <w:tcPr>
            <w:tcW w:w="1660" w:type="dxa"/>
            <w:tcBorders>
              <w:top w:val="nil"/>
              <w:left w:val="nil"/>
              <w:bottom w:val="single" w:sz="8" w:space="0" w:color="auto"/>
              <w:right w:val="single" w:sz="8" w:space="0" w:color="auto"/>
            </w:tcBorders>
            <w:shd w:val="clear" w:color="auto" w:fill="auto"/>
            <w:noWrap/>
            <w:vAlign w:val="center"/>
          </w:tcPr>
          <w:p w:rsidR="00CC45FC" w:rsidRDefault="004A7700">
            <w:pPr>
              <w:autoSpaceDE w:val="0"/>
              <w:autoSpaceDN w:val="0"/>
              <w:adjustRightInd w:val="0"/>
              <w:spacing w:after="0" w:line="240" w:lineRule="auto"/>
              <w:jc w:val="center"/>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353.2</w:t>
            </w:r>
          </w:p>
        </w:tc>
      </w:tr>
    </w:tbl>
    <w:p w:rsidR="00CC45FC" w:rsidRDefault="00CC45FC">
      <w:pPr>
        <w:spacing w:after="0" w:line="240" w:lineRule="auto"/>
        <w:rPr>
          <w:rFonts w:ascii="Verdana" w:eastAsia="Times New Roman" w:hAnsi="Verdana"/>
          <w:b/>
          <w:bCs/>
          <w:noProof/>
          <w:color w:val="000000"/>
          <w:sz w:val="16"/>
          <w:szCs w:val="16"/>
          <w:lang w:eastAsia="en-GB"/>
        </w:rPr>
      </w:pPr>
    </w:p>
    <w:p w:rsidR="00CC45FC" w:rsidRDefault="004A7700">
      <w:pPr>
        <w:spacing w:after="0" w:line="240" w:lineRule="auto"/>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br w:type="page"/>
      </w:r>
    </w:p>
    <w:p w:rsidR="00CC45FC" w:rsidRDefault="004A7700">
      <w:pPr>
        <w:pStyle w:val="ManualHeading2"/>
        <w:rPr>
          <w:i/>
          <w:noProof/>
        </w:rPr>
      </w:pPr>
      <w:bookmarkStart w:id="147" w:name="_Toc456258184"/>
      <w:bookmarkStart w:id="148" w:name="_Toc456686592"/>
      <w:r>
        <w:t>7.</w:t>
      </w:r>
      <w:r>
        <w:tab/>
      </w:r>
      <w:r>
        <w:rPr>
          <w:noProof/>
        </w:rPr>
        <w:t>Cumulative corrections at end 2015 reported by Member States for Cohesion Policy period 2007-2013</w:t>
      </w:r>
      <w:r>
        <w:rPr>
          <w:rStyle w:val="FootnoteReference"/>
          <w:rFonts w:ascii="Verdana" w:hAnsi="Verdana"/>
          <w:b w:val="0"/>
          <w:noProof/>
          <w:sz w:val="22"/>
          <w:szCs w:val="22"/>
        </w:rPr>
        <w:footnoteReference w:id="32"/>
      </w:r>
      <w:bookmarkEnd w:id="147"/>
      <w:bookmarkEnd w:id="148"/>
    </w:p>
    <w:p w:rsidR="00CC45FC" w:rsidRDefault="00CC45FC">
      <w:pPr>
        <w:spacing w:after="0" w:line="240" w:lineRule="auto"/>
        <w:jc w:val="both"/>
        <w:rPr>
          <w:rFonts w:ascii="Verdana" w:hAnsi="Verdana"/>
          <w:b/>
          <w:i/>
          <w:noProof/>
          <w:sz w:val="18"/>
        </w:rPr>
      </w:pPr>
    </w:p>
    <w:tbl>
      <w:tblPr>
        <w:tblW w:w="3117" w:type="pct"/>
        <w:tblInd w:w="1144" w:type="dxa"/>
        <w:tblLook w:val="04A0" w:firstRow="1" w:lastRow="0" w:firstColumn="1" w:lastColumn="0" w:noHBand="0" w:noVBand="1"/>
      </w:tblPr>
      <w:tblGrid>
        <w:gridCol w:w="2168"/>
        <w:gridCol w:w="1018"/>
        <w:gridCol w:w="898"/>
        <w:gridCol w:w="784"/>
        <w:gridCol w:w="1011"/>
      </w:tblGrid>
      <w:tr w:rsidR="00CC45FC">
        <w:trPr>
          <w:trHeight w:val="270"/>
        </w:trPr>
        <w:tc>
          <w:tcPr>
            <w:tcW w:w="5000" w:type="pct"/>
            <w:gridSpan w:val="5"/>
            <w:tcBorders>
              <w:top w:val="nil"/>
              <w:left w:val="nil"/>
              <w:bottom w:val="single" w:sz="8" w:space="0" w:color="auto"/>
              <w:right w:val="nil"/>
            </w:tcBorders>
            <w:shd w:val="clear" w:color="auto" w:fill="auto"/>
            <w:vAlign w:val="center"/>
            <w:hideMark/>
          </w:tcPr>
          <w:p w:rsidR="00CC45FC" w:rsidRDefault="004A7700">
            <w:pPr>
              <w:spacing w:after="0" w:line="240" w:lineRule="auto"/>
              <w:jc w:val="right"/>
              <w:rPr>
                <w:rFonts w:ascii="Verdana" w:eastAsia="Times New Roman" w:hAnsi="Verdana"/>
                <w:i/>
                <w:iCs/>
                <w:noProof/>
                <w:color w:val="000000"/>
                <w:sz w:val="16"/>
                <w:szCs w:val="16"/>
                <w:lang w:eastAsia="en-GB"/>
              </w:rPr>
            </w:pPr>
            <w:r>
              <w:rPr>
                <w:rFonts w:ascii="Verdana" w:eastAsia="Times New Roman" w:hAnsi="Verdana"/>
                <w:i/>
                <w:iCs/>
                <w:noProof/>
                <w:color w:val="000000"/>
                <w:sz w:val="16"/>
                <w:szCs w:val="16"/>
                <w:lang w:eastAsia="en-GB"/>
              </w:rPr>
              <w:t>EUR millions</w:t>
            </w:r>
          </w:p>
        </w:tc>
      </w:tr>
      <w:tr w:rsidR="00CC45FC">
        <w:trPr>
          <w:trHeight w:val="255"/>
        </w:trPr>
        <w:tc>
          <w:tcPr>
            <w:tcW w:w="1843" w:type="pct"/>
            <w:vMerge w:val="restart"/>
            <w:tcBorders>
              <w:top w:val="nil"/>
              <w:left w:val="single" w:sz="8" w:space="0" w:color="auto"/>
              <w:bottom w:val="single" w:sz="8" w:space="0" w:color="000000"/>
              <w:right w:val="single" w:sz="8" w:space="0" w:color="auto"/>
            </w:tcBorders>
            <w:shd w:val="clear" w:color="000000" w:fill="99CCFF"/>
            <w:vAlign w:val="center"/>
            <w:hideMark/>
          </w:tcPr>
          <w:p w:rsidR="00CC45FC" w:rsidRDefault="004A7700">
            <w:pPr>
              <w:spacing w:after="0" w:line="240" w:lineRule="auto"/>
              <w:jc w:val="both"/>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Member State</w:t>
            </w:r>
          </w:p>
        </w:tc>
        <w:tc>
          <w:tcPr>
            <w:tcW w:w="866" w:type="pct"/>
            <w:vMerge w:val="restart"/>
            <w:tcBorders>
              <w:top w:val="nil"/>
              <w:left w:val="single" w:sz="8" w:space="0" w:color="auto"/>
              <w:bottom w:val="single" w:sz="8" w:space="0" w:color="000000"/>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ERDF/CF</w:t>
            </w:r>
          </w:p>
        </w:tc>
        <w:tc>
          <w:tcPr>
            <w:tcW w:w="764" w:type="pct"/>
            <w:vMerge w:val="restart"/>
            <w:tcBorders>
              <w:top w:val="nil"/>
              <w:left w:val="single" w:sz="8" w:space="0" w:color="auto"/>
              <w:bottom w:val="single" w:sz="8" w:space="0" w:color="000000"/>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ESF</w:t>
            </w:r>
          </w:p>
        </w:tc>
        <w:tc>
          <w:tcPr>
            <w:tcW w:w="667" w:type="pct"/>
            <w:vMerge w:val="restart"/>
            <w:tcBorders>
              <w:top w:val="nil"/>
              <w:left w:val="single" w:sz="8" w:space="0" w:color="auto"/>
              <w:bottom w:val="single" w:sz="8" w:space="0" w:color="000000"/>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EFF</w:t>
            </w:r>
          </w:p>
        </w:tc>
        <w:tc>
          <w:tcPr>
            <w:tcW w:w="860" w:type="pct"/>
            <w:vMerge w:val="restart"/>
            <w:tcBorders>
              <w:top w:val="nil"/>
              <w:left w:val="single" w:sz="8" w:space="0" w:color="auto"/>
              <w:bottom w:val="single" w:sz="8" w:space="0" w:color="000000"/>
              <w:right w:val="single" w:sz="8" w:space="0" w:color="auto"/>
            </w:tcBorders>
            <w:shd w:val="clear" w:color="000000" w:fill="99CCFF"/>
            <w:vAlign w:val="center"/>
            <w:hideMark/>
          </w:tcPr>
          <w:p w:rsidR="00CC45FC" w:rsidRDefault="004A7700">
            <w:pPr>
              <w:spacing w:after="0" w:line="240" w:lineRule="auto"/>
              <w:jc w:val="center"/>
              <w:rPr>
                <w:rFonts w:ascii="Verdana" w:eastAsia="Times New Roman" w:hAnsi="Verdana"/>
                <w:b/>
                <w:bCs/>
                <w:noProof/>
                <w:color w:val="000000"/>
                <w:sz w:val="16"/>
                <w:szCs w:val="16"/>
                <w:lang w:eastAsia="en-GB"/>
              </w:rPr>
            </w:pPr>
            <w:r>
              <w:rPr>
                <w:rFonts w:ascii="Verdana" w:eastAsia="Times New Roman" w:hAnsi="Verdana"/>
                <w:b/>
                <w:bCs/>
                <w:noProof/>
                <w:color w:val="000000"/>
                <w:sz w:val="16"/>
                <w:szCs w:val="16"/>
                <w:lang w:eastAsia="en-GB"/>
              </w:rPr>
              <w:t>Total</w:t>
            </w:r>
          </w:p>
        </w:tc>
      </w:tr>
      <w:tr w:rsidR="00CC45FC">
        <w:trPr>
          <w:trHeight w:val="270"/>
        </w:trPr>
        <w:tc>
          <w:tcPr>
            <w:tcW w:w="1843" w:type="pct"/>
            <w:vMerge/>
            <w:tcBorders>
              <w:top w:val="nil"/>
              <w:left w:val="single" w:sz="8" w:space="0" w:color="auto"/>
              <w:bottom w:val="single" w:sz="8" w:space="0" w:color="000000"/>
              <w:right w:val="single" w:sz="8" w:space="0" w:color="auto"/>
            </w:tcBorders>
            <w:vAlign w:val="center"/>
            <w:hideMark/>
          </w:tcPr>
          <w:p w:rsidR="00CC45FC" w:rsidRDefault="00CC45FC">
            <w:pPr>
              <w:spacing w:after="0" w:line="240" w:lineRule="auto"/>
              <w:rPr>
                <w:rFonts w:ascii="Verdana" w:eastAsia="Times New Roman" w:hAnsi="Verdana"/>
                <w:b/>
                <w:bCs/>
                <w:noProof/>
                <w:color w:val="000000"/>
                <w:sz w:val="16"/>
                <w:szCs w:val="16"/>
                <w:lang w:eastAsia="en-GB"/>
              </w:rPr>
            </w:pPr>
          </w:p>
        </w:tc>
        <w:tc>
          <w:tcPr>
            <w:tcW w:w="866" w:type="pct"/>
            <w:vMerge/>
            <w:tcBorders>
              <w:top w:val="nil"/>
              <w:left w:val="single" w:sz="8" w:space="0" w:color="auto"/>
              <w:bottom w:val="single" w:sz="8" w:space="0" w:color="000000"/>
              <w:right w:val="single" w:sz="8" w:space="0" w:color="auto"/>
            </w:tcBorders>
            <w:vAlign w:val="center"/>
            <w:hideMark/>
          </w:tcPr>
          <w:p w:rsidR="00CC45FC" w:rsidRDefault="00CC45FC">
            <w:pPr>
              <w:spacing w:after="0" w:line="240" w:lineRule="auto"/>
              <w:rPr>
                <w:rFonts w:ascii="Verdana" w:eastAsia="Times New Roman" w:hAnsi="Verdana"/>
                <w:b/>
                <w:bCs/>
                <w:noProof/>
                <w:color w:val="000000"/>
                <w:sz w:val="16"/>
                <w:szCs w:val="16"/>
                <w:lang w:eastAsia="en-GB"/>
              </w:rPr>
            </w:pPr>
          </w:p>
        </w:tc>
        <w:tc>
          <w:tcPr>
            <w:tcW w:w="764" w:type="pct"/>
            <w:vMerge/>
            <w:tcBorders>
              <w:top w:val="nil"/>
              <w:left w:val="single" w:sz="8" w:space="0" w:color="auto"/>
              <w:bottom w:val="single" w:sz="8" w:space="0" w:color="000000"/>
              <w:right w:val="single" w:sz="8" w:space="0" w:color="auto"/>
            </w:tcBorders>
            <w:vAlign w:val="center"/>
            <w:hideMark/>
          </w:tcPr>
          <w:p w:rsidR="00CC45FC" w:rsidRDefault="00CC45FC">
            <w:pPr>
              <w:spacing w:after="0" w:line="240" w:lineRule="auto"/>
              <w:rPr>
                <w:rFonts w:ascii="Verdana" w:eastAsia="Times New Roman" w:hAnsi="Verdana"/>
                <w:b/>
                <w:bCs/>
                <w:noProof/>
                <w:color w:val="000000"/>
                <w:sz w:val="16"/>
                <w:szCs w:val="16"/>
                <w:lang w:eastAsia="en-GB"/>
              </w:rPr>
            </w:pPr>
          </w:p>
        </w:tc>
        <w:tc>
          <w:tcPr>
            <w:tcW w:w="667" w:type="pct"/>
            <w:vMerge/>
            <w:tcBorders>
              <w:top w:val="nil"/>
              <w:left w:val="single" w:sz="8" w:space="0" w:color="auto"/>
              <w:bottom w:val="single" w:sz="8" w:space="0" w:color="000000"/>
              <w:right w:val="single" w:sz="8" w:space="0" w:color="auto"/>
            </w:tcBorders>
            <w:vAlign w:val="center"/>
            <w:hideMark/>
          </w:tcPr>
          <w:p w:rsidR="00CC45FC" w:rsidRDefault="00CC45FC">
            <w:pPr>
              <w:spacing w:after="0" w:line="240" w:lineRule="auto"/>
              <w:rPr>
                <w:rFonts w:ascii="Verdana" w:eastAsia="Times New Roman" w:hAnsi="Verdana"/>
                <w:b/>
                <w:bCs/>
                <w:noProof/>
                <w:color w:val="000000"/>
                <w:sz w:val="16"/>
                <w:szCs w:val="16"/>
                <w:lang w:eastAsia="en-GB"/>
              </w:rPr>
            </w:pPr>
          </w:p>
        </w:tc>
        <w:tc>
          <w:tcPr>
            <w:tcW w:w="860" w:type="pct"/>
            <w:vMerge/>
            <w:tcBorders>
              <w:top w:val="nil"/>
              <w:left w:val="single" w:sz="8" w:space="0" w:color="auto"/>
              <w:bottom w:val="single" w:sz="8" w:space="0" w:color="000000"/>
              <w:right w:val="single" w:sz="8" w:space="0" w:color="auto"/>
            </w:tcBorders>
            <w:vAlign w:val="center"/>
            <w:hideMark/>
          </w:tcPr>
          <w:p w:rsidR="00CC45FC" w:rsidRDefault="00CC45FC">
            <w:pPr>
              <w:spacing w:after="0" w:line="240" w:lineRule="auto"/>
              <w:rPr>
                <w:rFonts w:ascii="Verdana" w:eastAsia="Times New Roman" w:hAnsi="Verdana"/>
                <w:b/>
                <w:bCs/>
                <w:noProof/>
                <w:color w:val="000000"/>
                <w:sz w:val="16"/>
                <w:szCs w:val="16"/>
                <w:lang w:eastAsia="en-GB"/>
              </w:rPr>
            </w:pP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Belgium</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5.2</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23.4</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28.6</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Bulgaria</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62.8</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4.8</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67.7</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Czech Republic</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336.4</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2.8</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339.1</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Denmark</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0.7</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0.1</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0.2</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1.0</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Germany</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393.7</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99.2</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1.2</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494.1</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Estonia</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19.0</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0.7</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0.5</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20.3</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Ireland</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0.8</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18.2</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0.2</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19.1</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Greece</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672.7</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33.3</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0.1</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706.2</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Spain</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499.7</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240.7</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47.1</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787.5</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France</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164.9</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64.2</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2.4</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231.5</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Croatia</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1.7</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0.3</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2.0</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Italy</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435.8</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111.6</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4.2</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551.6</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Cyprus</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0.7</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0.6</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0.3</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1.7</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Latvia</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4.1</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2.5</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1.2</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7.8</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Lithuania</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18.8</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0.6</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0.1</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19.5</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Luxembourg</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1.0</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1.0</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Hungary</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302.1</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2.7</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0.1</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304.9</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Malta</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1.6</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0.3</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0.0</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1.9</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Netherlands</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10.0</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5.5</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5.5</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21.0</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Austria</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10.8</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4.4</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0.0</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15.1</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Poland</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530.4</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0.8</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531.1</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Portugal</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223.1</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73.4</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2.5</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299.0</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Romania</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252.3</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252.3</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Slovenia</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73.8</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6.8</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0.0</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80.7</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Slovakia</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168.6</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8.9</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0.1</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177.5</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Finland</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2.0</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0.9</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1.0</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3.9</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Sweden</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7.1</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1.4</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0.3</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8.8</w:t>
            </w:r>
          </w:p>
        </w:tc>
      </w:tr>
      <w:tr w:rsidR="00CC45FC">
        <w:trPr>
          <w:trHeight w:val="244"/>
        </w:trPr>
        <w:tc>
          <w:tcPr>
            <w:tcW w:w="1843" w:type="pct"/>
            <w:tcBorders>
              <w:top w:val="nil"/>
              <w:left w:val="single" w:sz="8" w:space="0" w:color="auto"/>
              <w:bottom w:val="nil"/>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United Kingdom</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137.3</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42.8</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2.7</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182.7</w:t>
            </w:r>
          </w:p>
        </w:tc>
      </w:tr>
      <w:tr w:rsidR="00CC45FC">
        <w:trPr>
          <w:trHeight w:val="244"/>
        </w:trPr>
        <w:tc>
          <w:tcPr>
            <w:tcW w:w="1843" w:type="pct"/>
            <w:tcBorders>
              <w:top w:val="nil"/>
              <w:left w:val="single" w:sz="8" w:space="0" w:color="auto"/>
              <w:bottom w:val="single" w:sz="8" w:space="0" w:color="auto"/>
              <w:right w:val="single" w:sz="8" w:space="0" w:color="auto"/>
            </w:tcBorders>
            <w:shd w:val="clear" w:color="auto" w:fill="auto"/>
            <w:noWrap/>
          </w:tcPr>
          <w:p w:rsidR="00CC45FC" w:rsidRDefault="004A7700">
            <w:pPr>
              <w:autoSpaceDE w:val="0"/>
              <w:autoSpaceDN w:val="0"/>
              <w:adjustRightInd w:val="0"/>
              <w:spacing w:after="0" w:line="240" w:lineRule="auto"/>
              <w:rPr>
                <w:rFonts w:ascii="Verdana" w:hAnsi="Verdana" w:cs="Verdana"/>
                <w:noProof/>
                <w:color w:val="000000"/>
                <w:sz w:val="16"/>
                <w:szCs w:val="16"/>
                <w:lang w:eastAsia="en-GB"/>
              </w:rPr>
            </w:pPr>
            <w:r>
              <w:rPr>
                <w:rFonts w:ascii="Verdana" w:hAnsi="Verdana" w:cs="Verdana"/>
                <w:noProof/>
                <w:color w:val="000000"/>
                <w:sz w:val="16"/>
                <w:szCs w:val="16"/>
                <w:lang w:eastAsia="en-GB"/>
              </w:rPr>
              <w:t>Cross-border</w:t>
            </w:r>
          </w:p>
        </w:tc>
        <w:tc>
          <w:tcPr>
            <w:tcW w:w="866"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35.6</w:t>
            </w:r>
          </w:p>
        </w:tc>
        <w:tc>
          <w:tcPr>
            <w:tcW w:w="764"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w:t>
            </w:r>
          </w:p>
        </w:tc>
        <w:tc>
          <w:tcPr>
            <w:tcW w:w="667" w:type="pct"/>
            <w:tcBorders>
              <w:top w:val="nil"/>
              <w:left w:val="nil"/>
              <w:bottom w:val="nil"/>
              <w:right w:val="single" w:sz="8" w:space="0" w:color="auto"/>
            </w:tcBorders>
            <w:shd w:val="clear" w:color="auto" w:fill="auto"/>
          </w:tcPr>
          <w:p w:rsidR="00CC45FC" w:rsidRDefault="004A7700">
            <w:pPr>
              <w:autoSpaceDE w:val="0"/>
              <w:autoSpaceDN w:val="0"/>
              <w:adjustRightInd w:val="0"/>
              <w:spacing w:after="0" w:line="240" w:lineRule="auto"/>
              <w:jc w:val="right"/>
              <w:rPr>
                <w:rFonts w:ascii="Verdana" w:hAnsi="Verdana" w:cs="Verdana"/>
                <w:noProof/>
                <w:color w:val="000000"/>
                <w:sz w:val="16"/>
                <w:szCs w:val="16"/>
                <w:lang w:eastAsia="en-GB"/>
              </w:rPr>
            </w:pPr>
            <w:r>
              <w:rPr>
                <w:rFonts w:ascii="Verdana" w:hAnsi="Verdana" w:cs="Verdana"/>
                <w:noProof/>
                <w:color w:val="000000"/>
                <w:sz w:val="16"/>
                <w:szCs w:val="16"/>
                <w:lang w:eastAsia="en-GB"/>
              </w:rPr>
              <w:t>-</w:t>
            </w:r>
          </w:p>
        </w:tc>
        <w:tc>
          <w:tcPr>
            <w:tcW w:w="860" w:type="pct"/>
            <w:tcBorders>
              <w:top w:val="nil"/>
              <w:left w:val="nil"/>
              <w:bottom w:val="nil"/>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35.6</w:t>
            </w:r>
          </w:p>
        </w:tc>
      </w:tr>
      <w:tr w:rsidR="00CC45FC">
        <w:trPr>
          <w:trHeight w:val="300"/>
        </w:trPr>
        <w:tc>
          <w:tcPr>
            <w:tcW w:w="1843" w:type="pct"/>
            <w:tcBorders>
              <w:top w:val="nil"/>
              <w:left w:val="single" w:sz="8" w:space="0" w:color="auto"/>
              <w:bottom w:val="single" w:sz="8" w:space="0" w:color="auto"/>
              <w:right w:val="nil"/>
            </w:tcBorders>
            <w:shd w:val="clear" w:color="auto" w:fill="auto"/>
            <w:noWrap/>
          </w:tcPr>
          <w:p w:rsidR="00CC45FC" w:rsidRDefault="004A7700">
            <w:pPr>
              <w:autoSpaceDE w:val="0"/>
              <w:autoSpaceDN w:val="0"/>
              <w:adjustRightInd w:val="0"/>
              <w:spacing w:after="0" w:line="240" w:lineRule="auto"/>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TOTAL IMPLEMENTED</w:t>
            </w:r>
          </w:p>
        </w:tc>
        <w:tc>
          <w:tcPr>
            <w:tcW w:w="866" w:type="pct"/>
            <w:tcBorders>
              <w:top w:val="single" w:sz="8" w:space="0" w:color="auto"/>
              <w:left w:val="single" w:sz="8" w:space="0" w:color="auto"/>
              <w:bottom w:val="single" w:sz="8" w:space="0" w:color="auto"/>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4 371.7</w:t>
            </w:r>
          </w:p>
        </w:tc>
        <w:tc>
          <w:tcPr>
            <w:tcW w:w="764" w:type="pct"/>
            <w:tcBorders>
              <w:top w:val="single" w:sz="8" w:space="0" w:color="auto"/>
              <w:left w:val="nil"/>
              <w:bottom w:val="single" w:sz="8" w:space="0" w:color="auto"/>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751.3</w:t>
            </w:r>
          </w:p>
        </w:tc>
        <w:tc>
          <w:tcPr>
            <w:tcW w:w="667" w:type="pct"/>
            <w:tcBorders>
              <w:top w:val="single" w:sz="8" w:space="0" w:color="auto"/>
              <w:left w:val="nil"/>
              <w:bottom w:val="single" w:sz="8" w:space="0" w:color="auto"/>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70.4</w:t>
            </w:r>
          </w:p>
        </w:tc>
        <w:tc>
          <w:tcPr>
            <w:tcW w:w="860" w:type="pct"/>
            <w:tcBorders>
              <w:top w:val="single" w:sz="8" w:space="0" w:color="auto"/>
              <w:left w:val="nil"/>
              <w:bottom w:val="single" w:sz="8" w:space="0" w:color="auto"/>
              <w:right w:val="single" w:sz="8" w:space="0" w:color="auto"/>
            </w:tcBorders>
            <w:shd w:val="clear" w:color="auto" w:fill="auto"/>
            <w:noWrap/>
          </w:tcPr>
          <w:p w:rsidR="00CC45FC" w:rsidRDefault="004A7700">
            <w:pPr>
              <w:autoSpaceDE w:val="0"/>
              <w:autoSpaceDN w:val="0"/>
              <w:adjustRightInd w:val="0"/>
              <w:spacing w:after="0" w:line="240" w:lineRule="auto"/>
              <w:jc w:val="right"/>
              <w:rPr>
                <w:rFonts w:ascii="Verdana" w:hAnsi="Verdana" w:cs="Verdana"/>
                <w:b/>
                <w:bCs/>
                <w:noProof/>
                <w:color w:val="000000"/>
                <w:sz w:val="16"/>
                <w:szCs w:val="16"/>
                <w:lang w:eastAsia="en-GB"/>
              </w:rPr>
            </w:pPr>
            <w:r>
              <w:rPr>
                <w:rFonts w:ascii="Verdana" w:hAnsi="Verdana" w:cs="Verdana"/>
                <w:b/>
                <w:bCs/>
                <w:noProof/>
                <w:color w:val="000000"/>
                <w:sz w:val="16"/>
                <w:szCs w:val="16"/>
                <w:lang w:eastAsia="en-GB"/>
              </w:rPr>
              <w:t>5 193.5</w:t>
            </w:r>
          </w:p>
        </w:tc>
      </w:tr>
    </w:tbl>
    <w:p w:rsidR="00CC45FC" w:rsidRDefault="00CC45FC">
      <w:pPr>
        <w:spacing w:after="0" w:line="240" w:lineRule="auto"/>
        <w:rPr>
          <w:rFonts w:ascii="Verdana" w:hAnsi="Verdana"/>
          <w:noProof/>
          <w:sz w:val="20"/>
        </w:rPr>
      </w:pPr>
    </w:p>
    <w:p w:rsidR="00CC45FC" w:rsidRDefault="00CC45FC">
      <w:pPr>
        <w:spacing w:after="0" w:line="240" w:lineRule="auto"/>
        <w:rPr>
          <w:rFonts w:ascii="Verdana" w:hAnsi="Verdana"/>
          <w:b/>
          <w:i/>
          <w:noProof/>
          <w:sz w:val="20"/>
        </w:rPr>
      </w:pPr>
    </w:p>
    <w:p w:rsidR="00CC45FC" w:rsidRDefault="00CC45FC">
      <w:pPr>
        <w:spacing w:after="0" w:line="240" w:lineRule="auto"/>
        <w:rPr>
          <w:rFonts w:ascii="Verdana" w:hAnsi="Verdana"/>
          <w:b/>
          <w:i/>
          <w:noProof/>
          <w:sz w:val="20"/>
        </w:rPr>
      </w:pPr>
    </w:p>
    <w:sectPr w:rsidR="00CC45FC">
      <w:headerReference w:type="even" r:id="rId31"/>
      <w:headerReference w:type="default" r:id="rId32"/>
      <w:footerReference w:type="even" r:id="rId33"/>
      <w:footerReference w:type="default" r:id="rId34"/>
      <w:headerReference w:type="first" r:id="rId35"/>
      <w:footerReference w:type="first" r:id="rId36"/>
      <w:pgSz w:w="11906" w:h="16838"/>
      <w:pgMar w:top="1440" w:right="1558" w:bottom="1440" w:left="1134" w:header="708" w:footer="708" w:gutter="0"/>
      <w:pgNumType w:start="1"/>
      <w:cols w:space="720"/>
      <w:docGrid w:linePitch="360"/>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7700" w:rsidRDefault="004A7700">
      <w:pPr>
        <w:spacing w:after="0" w:line="240" w:lineRule="auto"/>
      </w:pPr>
      <w:r>
        <w:separator/>
      </w:r>
    </w:p>
  </w:endnote>
  <w:endnote w:type="continuationSeparator" w:id="0">
    <w:p w:rsidR="004A7700" w:rsidRDefault="004A770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EC Square Sans Pro">
    <w:altName w:val="Segoe UI"/>
    <w:panose1 w:val="020B0506040000020004"/>
    <w:charset w:val="00"/>
    <w:family w:val="swiss"/>
    <w:pitch w:val="variable"/>
    <w:sig w:usb0="A00002BF" w:usb1="5000E0FB" w:usb2="00000000" w:usb3="00000000" w:csb0="0000019F" w:csb1="00000000"/>
  </w:font>
  <w:font w:name="Calibri,Bold">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9A" w:rsidRDefault="005F1E9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700" w:rsidRDefault="004A7700">
    <w:pPr>
      <w:pStyle w:val="FooterCoverPage"/>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fldSimple w:instr=" DOCVARIABLE &quot;LW_Confidence&quot; \* MERGEFORMAT ">
      <w:r w:rsidR="005F1E9A">
        <w:t xml:space="preserve"> </w:t>
      </w:r>
    </w:fldSimple>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9A" w:rsidRDefault="005F1E9A">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700" w:rsidRDefault="004A7700">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79363462"/>
      <w:docPartObj>
        <w:docPartGallery w:val="Page Numbers (Bottom of Page)"/>
        <w:docPartUnique/>
      </w:docPartObj>
    </w:sdtPr>
    <w:sdtEndPr>
      <w:rPr>
        <w:noProof/>
      </w:rPr>
    </w:sdtEndPr>
    <w:sdtContent>
      <w:p w:rsidR="004A7700" w:rsidRDefault="004A7700">
        <w:pPr>
          <w:pStyle w:val="Footer"/>
          <w:jc w:val="center"/>
        </w:pPr>
        <w:r>
          <w:fldChar w:fldCharType="begin"/>
        </w:r>
        <w:r>
          <w:instrText xml:space="preserve"> PAGE   \* MERGEFORMAT </w:instrText>
        </w:r>
        <w:r>
          <w:fldChar w:fldCharType="separate"/>
        </w:r>
        <w:r w:rsidR="005F1E9A">
          <w:rPr>
            <w:noProof/>
          </w:rPr>
          <w:t>1</w:t>
        </w:r>
        <w:r>
          <w:rPr>
            <w:noProof/>
          </w:rPr>
          <w:fldChar w:fldCharType="end"/>
        </w:r>
      </w:p>
    </w:sdtContent>
  </w:sdt>
  <w:p w:rsidR="004A7700" w:rsidRDefault="004A7700">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700" w:rsidRDefault="004A7700">
    <w:r>
      <w:cr/>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7700" w:rsidRDefault="004A7700">
      <w:pPr>
        <w:spacing w:after="0" w:line="240" w:lineRule="auto"/>
      </w:pPr>
      <w:r>
        <w:separator/>
      </w:r>
    </w:p>
  </w:footnote>
  <w:footnote w:type="continuationSeparator" w:id="0">
    <w:p w:rsidR="004A7700" w:rsidRDefault="004A7700">
      <w:pPr>
        <w:spacing w:after="0" w:line="240" w:lineRule="auto"/>
      </w:pPr>
      <w:r>
        <w:continuationSeparator/>
      </w:r>
    </w:p>
  </w:footnote>
  <w:footnote w:id="1">
    <w:p w:rsidR="004A7700" w:rsidRDefault="004A7700">
      <w:pPr>
        <w:pStyle w:val="FootnoteText"/>
        <w:spacing w:after="0"/>
        <w:rPr>
          <w:lang w:val="en-GB"/>
        </w:rPr>
      </w:pPr>
      <w:r>
        <w:rPr>
          <w:rStyle w:val="FootnoteReference"/>
          <w:rFonts w:ascii="Verdana" w:hAnsi="Verdana"/>
          <w:sz w:val="14"/>
          <w:szCs w:val="16"/>
        </w:rPr>
        <w:footnoteRef/>
      </w:r>
      <w:r>
        <w:rPr>
          <w:rFonts w:ascii="Verdana" w:hAnsi="Verdana"/>
          <w:sz w:val="14"/>
          <w:szCs w:val="16"/>
        </w:rPr>
        <w:t xml:space="preserve"> </w:t>
      </w:r>
      <w:r>
        <w:rPr>
          <w:rFonts w:ascii="Verdana" w:hAnsi="Verdana"/>
          <w:sz w:val="14"/>
          <w:szCs w:val="16"/>
          <w:lang w:val="en-GB"/>
        </w:rPr>
        <w:tab/>
      </w:r>
      <w:r>
        <w:rPr>
          <w:rFonts w:ascii="Verdana" w:hAnsi="Verdana"/>
          <w:bCs/>
          <w:sz w:val="14"/>
          <w:szCs w:val="16"/>
        </w:rPr>
        <w:t>Regulation (EU, Euratom) No 966/2012 of the European Parliament and of the Council of 25 October 2012 on the financial</w:t>
      </w:r>
      <w:r>
        <w:rPr>
          <w:rFonts w:ascii="Verdana" w:hAnsi="Verdana"/>
          <w:bCs/>
          <w:sz w:val="12"/>
          <w:szCs w:val="16"/>
        </w:rPr>
        <w:t xml:space="preserve"> </w:t>
      </w:r>
      <w:r>
        <w:rPr>
          <w:rFonts w:ascii="Verdana" w:hAnsi="Verdana"/>
          <w:bCs/>
          <w:sz w:val="14"/>
          <w:szCs w:val="16"/>
        </w:rPr>
        <w:t>rules applicable to the general budget of the Union and repealing Council Regulation (EC, Euratom) No 1605/2002 – OJ L 298, 26.10.2012, p. 1.</w:t>
      </w:r>
    </w:p>
  </w:footnote>
  <w:footnote w:id="2">
    <w:p w:rsidR="004A7700" w:rsidRDefault="004A7700">
      <w:pPr>
        <w:pStyle w:val="FootnoteText"/>
        <w:spacing w:after="0"/>
        <w:rPr>
          <w:lang w:val="en-GB"/>
        </w:rPr>
      </w:pPr>
      <w:r>
        <w:rPr>
          <w:rStyle w:val="FootnoteReference"/>
          <w:rFonts w:ascii="Verdana" w:hAnsi="Verdana"/>
          <w:sz w:val="14"/>
          <w:szCs w:val="16"/>
        </w:rPr>
        <w:footnoteRef/>
      </w:r>
      <w:r>
        <w:t xml:space="preserve"> </w:t>
      </w:r>
      <w:r>
        <w:rPr>
          <w:lang w:val="en-GB"/>
        </w:rPr>
        <w:tab/>
      </w:r>
      <w:r>
        <w:rPr>
          <w:rFonts w:ascii="Verdana" w:hAnsi="Verdana"/>
          <w:sz w:val="14"/>
          <w:lang w:val="en-GB"/>
        </w:rPr>
        <w:t>Regulation (EU) Nº 1306/2013 of the European Parliament and of the Council on the financing, management and monitoring of the common agricultural policy - OJ L 347, 20.12.2013, p. 549.</w:t>
      </w:r>
    </w:p>
  </w:footnote>
  <w:footnote w:id="3">
    <w:p w:rsidR="004A7700" w:rsidRDefault="004A7700">
      <w:pPr>
        <w:pStyle w:val="FootnoteText"/>
        <w:spacing w:after="0"/>
        <w:rPr>
          <w:rFonts w:ascii="Verdana" w:hAnsi="Verdana"/>
          <w:sz w:val="14"/>
          <w:lang w:val="en-GB"/>
        </w:rPr>
      </w:pPr>
      <w:r>
        <w:rPr>
          <w:rStyle w:val="FootnoteReference"/>
          <w:rFonts w:ascii="Verdana" w:hAnsi="Verdana"/>
          <w:sz w:val="14"/>
        </w:rPr>
        <w:footnoteRef/>
      </w:r>
      <w:r>
        <w:rPr>
          <w:rFonts w:ascii="Verdana" w:hAnsi="Verdana"/>
          <w:sz w:val="14"/>
        </w:rPr>
        <w:t xml:space="preserve"> </w:t>
      </w:r>
      <w:r>
        <w:rPr>
          <w:rFonts w:ascii="Verdana" w:hAnsi="Verdana"/>
          <w:sz w:val="14"/>
          <w:lang w:val="en-GB"/>
        </w:rPr>
        <w:tab/>
        <w:t>OJ L 255, 28.8.2014, p. 59.</w:t>
      </w:r>
    </w:p>
  </w:footnote>
  <w:footnote w:id="4">
    <w:p w:rsidR="004A7700" w:rsidRDefault="004A7700">
      <w:pPr>
        <w:pStyle w:val="FootnoteText"/>
        <w:spacing w:after="0"/>
        <w:rPr>
          <w:rFonts w:ascii="Verdana" w:hAnsi="Verdana" w:cstheme="minorHAnsi"/>
          <w:sz w:val="14"/>
          <w:szCs w:val="16"/>
        </w:rPr>
      </w:pPr>
      <w:r>
        <w:rPr>
          <w:rStyle w:val="FootnoteReference"/>
          <w:rFonts w:ascii="Verdana" w:hAnsi="Verdana" w:cstheme="minorHAnsi"/>
          <w:sz w:val="14"/>
          <w:szCs w:val="16"/>
        </w:rPr>
        <w:footnoteRef/>
      </w:r>
      <w:r>
        <w:rPr>
          <w:rFonts w:ascii="Verdana" w:hAnsi="Verdana" w:cstheme="minorHAnsi"/>
          <w:sz w:val="14"/>
          <w:szCs w:val="16"/>
        </w:rPr>
        <w:t xml:space="preserve"> </w:t>
      </w:r>
      <w:r>
        <w:rPr>
          <w:rFonts w:ascii="Verdana" w:hAnsi="Verdana" w:cstheme="minorHAnsi"/>
          <w:sz w:val="14"/>
          <w:szCs w:val="16"/>
        </w:rPr>
        <w:tab/>
        <w:t>Article 54(2) of Regulation (EU) No 1306/2013.</w:t>
      </w:r>
    </w:p>
  </w:footnote>
  <w:footnote w:id="5">
    <w:p w:rsidR="004A7700" w:rsidRDefault="004A7700">
      <w:pPr>
        <w:pStyle w:val="FootnoteText"/>
        <w:rPr>
          <w:rFonts w:ascii="Verdana" w:hAnsi="Verdana"/>
          <w:sz w:val="14"/>
          <w:szCs w:val="16"/>
        </w:rPr>
      </w:pPr>
      <w:r>
        <w:rPr>
          <w:rStyle w:val="FootnoteReference"/>
          <w:rFonts w:ascii="Verdana" w:hAnsi="Verdana"/>
          <w:sz w:val="14"/>
          <w:szCs w:val="16"/>
        </w:rPr>
        <w:footnoteRef/>
      </w:r>
      <w:r>
        <w:rPr>
          <w:rFonts w:ascii="Verdana" w:hAnsi="Verdana"/>
          <w:sz w:val="14"/>
          <w:szCs w:val="16"/>
        </w:rPr>
        <w:t xml:space="preserve"> </w:t>
      </w:r>
      <w:r>
        <w:rPr>
          <w:rFonts w:ascii="Verdana" w:hAnsi="Verdana"/>
          <w:sz w:val="14"/>
          <w:szCs w:val="16"/>
          <w:lang w:val="en-GB"/>
        </w:rPr>
        <w:tab/>
      </w:r>
      <w:r>
        <w:rPr>
          <w:rFonts w:ascii="Verdana" w:hAnsi="Verdana" w:cstheme="minorHAnsi"/>
          <w:sz w:val="14"/>
          <w:szCs w:val="16"/>
        </w:rPr>
        <w:t>Article 5</w:t>
      </w:r>
      <w:r>
        <w:rPr>
          <w:rFonts w:ascii="Verdana" w:hAnsi="Verdana" w:cstheme="minorHAnsi"/>
          <w:sz w:val="14"/>
          <w:szCs w:val="16"/>
          <w:lang w:val="en-GB"/>
        </w:rPr>
        <w:t>5</w:t>
      </w:r>
      <w:r>
        <w:rPr>
          <w:rFonts w:ascii="Verdana" w:hAnsi="Verdana" w:cstheme="minorHAnsi"/>
          <w:sz w:val="14"/>
          <w:szCs w:val="16"/>
        </w:rPr>
        <w:t xml:space="preserve"> of Regulation (EU) No 1306/2013.</w:t>
      </w:r>
    </w:p>
  </w:footnote>
  <w:footnote w:id="6">
    <w:p w:rsidR="004A7700" w:rsidRDefault="004A7700">
      <w:pPr>
        <w:pStyle w:val="FootnoteText"/>
        <w:spacing w:after="0"/>
        <w:rPr>
          <w:rFonts w:ascii="Verdana" w:hAnsi="Verdana"/>
          <w:sz w:val="14"/>
          <w:lang w:val="en-GB"/>
        </w:rPr>
      </w:pPr>
      <w:r>
        <w:rPr>
          <w:rStyle w:val="FootnoteReference"/>
          <w:rFonts w:ascii="Verdana" w:hAnsi="Verdana"/>
          <w:sz w:val="14"/>
        </w:rPr>
        <w:footnoteRef/>
      </w:r>
      <w:r>
        <w:rPr>
          <w:rFonts w:ascii="Verdana" w:hAnsi="Verdana"/>
          <w:sz w:val="14"/>
        </w:rPr>
        <w:t xml:space="preserve"> </w:t>
      </w:r>
      <w:r>
        <w:rPr>
          <w:rFonts w:ascii="Verdana" w:hAnsi="Verdana"/>
          <w:sz w:val="14"/>
          <w:lang w:val="en-GB"/>
        </w:rPr>
        <w:tab/>
        <w:t>Report from the Commission to the European Parliament, the Council and the European Court of Auditors: 2015 Annual Management and Performance Report for the EU Budget, COM(2016) 446 final, 5.7.2016.</w:t>
      </w:r>
    </w:p>
  </w:footnote>
  <w:footnote w:id="7">
    <w:p w:rsidR="004A7700" w:rsidRDefault="004A7700">
      <w:pPr>
        <w:pStyle w:val="FootnoteText"/>
        <w:spacing w:after="0"/>
        <w:rPr>
          <w:rFonts w:ascii="Verdana" w:hAnsi="Verdana"/>
          <w:sz w:val="14"/>
          <w:lang w:val="en-GB"/>
        </w:rPr>
      </w:pPr>
      <w:r>
        <w:rPr>
          <w:rStyle w:val="FootnoteReference"/>
          <w:rFonts w:ascii="Verdana" w:hAnsi="Verdana"/>
          <w:sz w:val="14"/>
        </w:rPr>
        <w:footnoteRef/>
      </w:r>
      <w:r>
        <w:rPr>
          <w:rFonts w:ascii="Verdana" w:hAnsi="Verdana"/>
          <w:sz w:val="14"/>
        </w:rPr>
        <w:t xml:space="preserve"> </w:t>
      </w:r>
      <w:r>
        <w:rPr>
          <w:rFonts w:ascii="Verdana" w:hAnsi="Verdana"/>
          <w:sz w:val="14"/>
          <w:lang w:val="en-GB"/>
        </w:rPr>
        <w:tab/>
        <w:t>It should be noted that due to the rounding of figures into millions of euros, some financial data in the tables below may appear not to add-up.</w:t>
      </w:r>
    </w:p>
  </w:footnote>
  <w:footnote w:id="8">
    <w:p w:rsidR="004A7700" w:rsidRDefault="004A7700">
      <w:pPr>
        <w:pStyle w:val="FootnoteText"/>
        <w:spacing w:after="0"/>
        <w:rPr>
          <w:rFonts w:ascii="Verdana" w:hAnsi="Verdana"/>
          <w:color w:val="000000" w:themeColor="text1"/>
          <w:sz w:val="14"/>
          <w:szCs w:val="14"/>
          <w:lang w:val="en-GB"/>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lang w:val="en-GB"/>
        </w:rPr>
        <w:tab/>
        <w:t>More detailed information can be found in section 2.4.2.1 in the 2015 annual activity report of DG AGRI (</w:t>
      </w:r>
      <w:r>
        <w:rPr>
          <w:rFonts w:ascii="Verdana" w:hAnsi="Verdana"/>
          <w:color w:val="000000" w:themeColor="text1"/>
          <w:sz w:val="14"/>
          <w:szCs w:val="14"/>
          <w:lang w:val="en-GB"/>
        </w:rPr>
        <w:t>http://ec.europa.eu/atwork/index_en.htm).</w:t>
      </w:r>
    </w:p>
  </w:footnote>
  <w:footnote w:id="9">
    <w:p w:rsidR="004A7700" w:rsidRDefault="004A7700">
      <w:pPr>
        <w:pStyle w:val="FootnoteText"/>
        <w:spacing w:after="0"/>
        <w:rPr>
          <w:sz w:val="14"/>
          <w:szCs w:val="16"/>
          <w:lang w:val="en-GB"/>
        </w:rPr>
      </w:pPr>
      <w:r>
        <w:rPr>
          <w:rStyle w:val="FootnoteReference"/>
          <w:sz w:val="14"/>
          <w:szCs w:val="16"/>
        </w:rPr>
        <w:footnoteRef/>
      </w:r>
      <w:r>
        <w:rPr>
          <w:sz w:val="14"/>
          <w:szCs w:val="16"/>
        </w:rPr>
        <w:t xml:space="preserve"> </w:t>
      </w:r>
      <w:r>
        <w:rPr>
          <w:sz w:val="14"/>
          <w:szCs w:val="16"/>
          <w:lang w:val="en-GB"/>
        </w:rPr>
        <w:tab/>
        <w:t>I</w:t>
      </w:r>
      <w:r>
        <w:rPr>
          <w:rFonts w:ascii="Verdana" w:hAnsi="Verdana"/>
          <w:sz w:val="14"/>
          <w:szCs w:val="16"/>
          <w:lang w:val="en-GB"/>
        </w:rPr>
        <w:t>t needs to be underlined that in some cases the amounts communicated by the Member States cover both individual and flat-rate / extrapolated corrections; for reporting purposes these amounts are included under the category (individual corrections of flat-rate) which is considered prevalent. These two limitations do not have an impact on the reliability of the global amounts reported.</w:t>
      </w:r>
    </w:p>
  </w:footnote>
  <w:footnote w:id="10">
    <w:p w:rsidR="004A7700" w:rsidRDefault="004A7700">
      <w:pPr>
        <w:pStyle w:val="FootnoteText"/>
        <w:spacing w:after="0"/>
        <w:rPr>
          <w:sz w:val="16"/>
          <w:lang w:val="en-GB"/>
        </w:rPr>
      </w:pPr>
      <w:r>
        <w:rPr>
          <w:rStyle w:val="FootnoteReference"/>
        </w:rPr>
        <w:footnoteRef/>
      </w:r>
      <w:r>
        <w:t xml:space="preserve"> </w:t>
      </w:r>
      <w:r>
        <w:rPr>
          <w:lang w:val="en-GB"/>
        </w:rPr>
        <w:tab/>
      </w:r>
      <w:r>
        <w:rPr>
          <w:rFonts w:ascii="Verdana" w:hAnsi="Verdana"/>
          <w:sz w:val="14"/>
        </w:rPr>
        <w:t>For ERDF/CF, since there is no legal requirement for Member States to report on at source financial corrections, nor a structured reporting since the beginning of the programming period, the amounts reported represent a prudent and non-exhaustive estimation for cases for which the Commission could reconstitute a clear audit trail at the level of the certifying authority.</w:t>
      </w:r>
    </w:p>
  </w:footnote>
  <w:footnote w:id="11">
    <w:p w:rsidR="004A7700" w:rsidRDefault="004A7700">
      <w:pPr>
        <w:pStyle w:val="FootnoteText"/>
        <w:spacing w:after="0"/>
        <w:ind w:left="284" w:hanging="284"/>
        <w:rPr>
          <w:rStyle w:val="FootnoteReference"/>
          <w:sz w:val="14"/>
          <w:szCs w:val="16"/>
        </w:rPr>
      </w:pPr>
      <w:r>
        <w:rPr>
          <w:rStyle w:val="FootnoteReference"/>
          <w:rFonts w:ascii="Verdana" w:hAnsi="Verdana"/>
          <w:sz w:val="14"/>
          <w:szCs w:val="16"/>
        </w:rPr>
        <w:footnoteRef/>
      </w:r>
      <w:r>
        <w:rPr>
          <w:rStyle w:val="FootnoteReference"/>
          <w:rFonts w:ascii="Verdana" w:hAnsi="Verdana"/>
          <w:sz w:val="14"/>
          <w:szCs w:val="16"/>
        </w:rPr>
        <w:t xml:space="preserve"> </w:t>
      </w:r>
      <w:r>
        <w:rPr>
          <w:rFonts w:ascii="Verdana" w:hAnsi="Verdana"/>
          <w:sz w:val="14"/>
          <w:szCs w:val="16"/>
          <w:lang w:val="en-GB"/>
        </w:rPr>
        <w:tab/>
      </w:r>
      <w:r>
        <w:rPr>
          <w:rStyle w:val="FootnoteReference"/>
          <w:rFonts w:ascii="Verdana" w:hAnsi="Verdana"/>
          <w:sz w:val="14"/>
          <w:szCs w:val="16"/>
          <w:vertAlign w:val="baseline"/>
        </w:rPr>
        <w:t>Article 21(3)(c) of the Financial Regulation.</w:t>
      </w:r>
    </w:p>
  </w:footnote>
  <w:footnote w:id="12">
    <w:p w:rsidR="004A7700" w:rsidRDefault="004A7700">
      <w:pPr>
        <w:pStyle w:val="FootnoteText"/>
        <w:spacing w:after="0"/>
        <w:rPr>
          <w:rFonts w:ascii="Verdana" w:hAnsi="Verdana"/>
          <w:sz w:val="14"/>
          <w:lang w:val="en-GB"/>
        </w:rPr>
      </w:pPr>
      <w:r>
        <w:rPr>
          <w:rStyle w:val="FootnoteReference"/>
          <w:rFonts w:ascii="Verdana" w:hAnsi="Verdana"/>
          <w:sz w:val="14"/>
        </w:rPr>
        <w:footnoteRef/>
      </w:r>
      <w:r>
        <w:rPr>
          <w:rFonts w:ascii="Verdana" w:hAnsi="Verdana"/>
          <w:sz w:val="14"/>
        </w:rPr>
        <w:t xml:space="preserve"> </w:t>
      </w:r>
      <w:r>
        <w:rPr>
          <w:rFonts w:ascii="Verdana" w:hAnsi="Verdana"/>
          <w:sz w:val="14"/>
          <w:lang w:val="en-GB"/>
        </w:rPr>
        <w:tab/>
        <w:t>OJ L 255, 28.8.2014, p. 18 and 59.</w:t>
      </w:r>
    </w:p>
  </w:footnote>
  <w:footnote w:id="13">
    <w:p w:rsidR="004A7700" w:rsidRDefault="004A7700">
      <w:pPr>
        <w:pStyle w:val="FootnoteText"/>
        <w:spacing w:after="0"/>
        <w:rPr>
          <w:rFonts w:ascii="Verdana" w:hAnsi="Verdana"/>
          <w:sz w:val="14"/>
          <w:lang w:val="en-GB"/>
        </w:rPr>
      </w:pPr>
      <w:r>
        <w:rPr>
          <w:rStyle w:val="FootnoteReference"/>
          <w:rFonts w:ascii="Verdana" w:hAnsi="Verdana"/>
          <w:sz w:val="14"/>
        </w:rPr>
        <w:footnoteRef/>
      </w:r>
      <w:r>
        <w:rPr>
          <w:rFonts w:ascii="Verdana" w:hAnsi="Verdana"/>
          <w:sz w:val="14"/>
        </w:rPr>
        <w:t xml:space="preserve"> </w:t>
      </w:r>
      <w:r>
        <w:rPr>
          <w:rFonts w:ascii="Verdana" w:hAnsi="Verdana"/>
          <w:sz w:val="14"/>
          <w:lang w:val="en-GB"/>
        </w:rPr>
        <w:tab/>
        <w:t>Regulation (EU) Nº 1306/2013 of the European Parliament and of the Council on the financing, management and monitoring of the common agricultural policy - OJ L 347, 20.12.2013, p. 549.</w:t>
      </w:r>
    </w:p>
  </w:footnote>
  <w:footnote w:id="14">
    <w:p w:rsidR="004A7700" w:rsidRDefault="004A7700">
      <w:pPr>
        <w:pStyle w:val="FootnoteText"/>
        <w:spacing w:after="0"/>
        <w:rPr>
          <w:rFonts w:ascii="Verdana" w:hAnsi="Verdana"/>
          <w:sz w:val="14"/>
          <w:lang w:val="en-GB"/>
        </w:rPr>
      </w:pPr>
      <w:r>
        <w:rPr>
          <w:rStyle w:val="FootnoteReference"/>
          <w:rFonts w:ascii="Verdana" w:hAnsi="Verdana"/>
          <w:sz w:val="14"/>
        </w:rPr>
        <w:footnoteRef/>
      </w:r>
      <w:r>
        <w:rPr>
          <w:rFonts w:ascii="Verdana" w:hAnsi="Verdana"/>
          <w:sz w:val="14"/>
        </w:rPr>
        <w:t xml:space="preserve"> </w:t>
      </w:r>
      <w:r>
        <w:rPr>
          <w:rFonts w:ascii="Verdana" w:hAnsi="Verdana"/>
          <w:sz w:val="14"/>
          <w:lang w:val="en-GB"/>
        </w:rPr>
        <w:tab/>
        <w:t>Art. 41 of Reg. 1306/2013.</w:t>
      </w:r>
    </w:p>
  </w:footnote>
  <w:footnote w:id="15">
    <w:p w:rsidR="004A7700" w:rsidRDefault="004A7700">
      <w:pPr>
        <w:pStyle w:val="FootnoteText"/>
        <w:spacing w:after="0"/>
        <w:rPr>
          <w:rFonts w:ascii="Verdana" w:hAnsi="Verdana"/>
          <w:sz w:val="14"/>
          <w:lang w:val="en-GB"/>
        </w:rPr>
      </w:pPr>
      <w:r>
        <w:rPr>
          <w:rStyle w:val="FootnoteReference"/>
          <w:rFonts w:ascii="Verdana" w:hAnsi="Verdana"/>
          <w:sz w:val="14"/>
        </w:rPr>
        <w:footnoteRef/>
      </w:r>
      <w:r>
        <w:rPr>
          <w:rFonts w:ascii="Verdana" w:hAnsi="Verdana"/>
          <w:sz w:val="14"/>
        </w:rPr>
        <w:t xml:space="preserve"> </w:t>
      </w:r>
      <w:r>
        <w:rPr>
          <w:rFonts w:ascii="Verdana" w:hAnsi="Verdana"/>
          <w:sz w:val="14"/>
          <w:lang w:val="en-GB"/>
        </w:rPr>
        <w:tab/>
        <w:t>Regulation (EU) Nº 1303/2013 of the European Parliament and of the Council laying down common provisions on the European Regional Development Fund, the European Social Fund, the Cohesion Fund, the European Agricultural Fund for Rural Development and the European Maritime and Fisheries Fund covered by the Common Strategic Framework and laying down general provisions on the European Regional Funds, the European Social Fund and the Cohesion Fund repealing Regulation (EC) Nº 1083/2006 – OJ L 347, 20.12.2013, p. 320.</w:t>
      </w:r>
    </w:p>
  </w:footnote>
  <w:footnote w:id="16">
    <w:p w:rsidR="004A7700" w:rsidRDefault="004A7700">
      <w:pPr>
        <w:pStyle w:val="FootnoteText"/>
        <w:spacing w:after="0"/>
        <w:rPr>
          <w:rStyle w:val="FootnoteReference"/>
          <w:rFonts w:ascii="Verdana" w:hAnsi="Verdana"/>
          <w:sz w:val="14"/>
          <w:szCs w:val="16"/>
          <w:vertAlign w:val="baseline"/>
        </w:rPr>
      </w:pPr>
      <w:r>
        <w:rPr>
          <w:rStyle w:val="FootnoteReference"/>
          <w:rFonts w:ascii="Verdana" w:hAnsi="Verdana"/>
          <w:sz w:val="14"/>
          <w:szCs w:val="16"/>
        </w:rPr>
        <w:footnoteRef/>
      </w:r>
      <w:r>
        <w:rPr>
          <w:rStyle w:val="FootnoteReference"/>
          <w:rFonts w:ascii="Verdana" w:hAnsi="Verdana"/>
          <w:sz w:val="14"/>
          <w:szCs w:val="16"/>
        </w:rPr>
        <w:t xml:space="preserve"> </w:t>
      </w:r>
      <w:r>
        <w:rPr>
          <w:rFonts w:ascii="Verdana" w:hAnsi="Verdana"/>
          <w:sz w:val="14"/>
          <w:szCs w:val="16"/>
          <w:lang w:val="en-GB"/>
        </w:rPr>
        <w:tab/>
      </w:r>
      <w:r>
        <w:rPr>
          <w:rStyle w:val="FootnoteReference"/>
          <w:rFonts w:ascii="Verdana" w:hAnsi="Verdana"/>
          <w:sz w:val="14"/>
          <w:szCs w:val="16"/>
          <w:vertAlign w:val="baseline"/>
        </w:rPr>
        <w:t>The procedure by which the Commission accepts the accounts of the Member States and thereby the expenditure made by the paying agencies to farmers and beneficiaries. Firstly</w:t>
      </w:r>
      <w:r>
        <w:rPr>
          <w:rFonts w:ascii="Verdana" w:hAnsi="Verdana"/>
          <w:sz w:val="14"/>
          <w:szCs w:val="16"/>
          <w:lang w:val="en-GB"/>
        </w:rPr>
        <w:t>,</w:t>
      </w:r>
      <w:r>
        <w:rPr>
          <w:rStyle w:val="FootnoteReference"/>
          <w:rFonts w:ascii="Verdana" w:hAnsi="Verdana"/>
          <w:sz w:val="14"/>
          <w:szCs w:val="16"/>
          <w:vertAlign w:val="baseline"/>
        </w:rPr>
        <w:t xml:space="preserve"> the accounts of paying agencies are checked for accuracy by certification bodies in the Member States and are then subject to an annual financial clearance decision by the Commission. Secondly</w:t>
      </w:r>
      <w:r>
        <w:rPr>
          <w:rFonts w:ascii="Verdana" w:hAnsi="Verdana"/>
          <w:sz w:val="14"/>
          <w:szCs w:val="16"/>
          <w:lang w:val="en-GB"/>
        </w:rPr>
        <w:t>,</w:t>
      </w:r>
      <w:r>
        <w:rPr>
          <w:rStyle w:val="FootnoteReference"/>
          <w:rFonts w:ascii="Verdana" w:hAnsi="Verdana"/>
          <w:sz w:val="14"/>
          <w:szCs w:val="16"/>
          <w:vertAlign w:val="baseline"/>
        </w:rPr>
        <w:t xml:space="preserve"> the Commission itself then carries out the conformity clearance procedure based on audits which permit it to identify and exclude (in later years) payments not complying with the rules.</w:t>
      </w:r>
    </w:p>
  </w:footnote>
  <w:footnote w:id="17">
    <w:p w:rsidR="004A7700" w:rsidRDefault="004A7700">
      <w:pPr>
        <w:pStyle w:val="FootnoteText"/>
        <w:rPr>
          <w:rFonts w:ascii="Verdana" w:hAnsi="Verdana"/>
          <w:sz w:val="14"/>
          <w:szCs w:val="16"/>
          <w:lang w:val="en-GB"/>
        </w:rPr>
      </w:pPr>
      <w:r>
        <w:rPr>
          <w:rStyle w:val="FootnoteReference"/>
          <w:rFonts w:ascii="Verdana" w:hAnsi="Verdana"/>
          <w:sz w:val="14"/>
          <w:szCs w:val="16"/>
        </w:rPr>
        <w:footnoteRef/>
      </w:r>
      <w:r>
        <w:rPr>
          <w:rFonts w:ascii="Verdana" w:hAnsi="Verdana"/>
          <w:sz w:val="14"/>
          <w:szCs w:val="16"/>
        </w:rPr>
        <w:t xml:space="preserve"> </w:t>
      </w:r>
      <w:r>
        <w:rPr>
          <w:rFonts w:ascii="Verdana" w:hAnsi="Verdana"/>
          <w:sz w:val="14"/>
          <w:szCs w:val="16"/>
          <w:lang w:val="en-GB"/>
        </w:rPr>
        <w:tab/>
      </w:r>
      <w:r>
        <w:rPr>
          <w:rFonts w:ascii="Verdana" w:hAnsi="Verdana"/>
          <w:sz w:val="14"/>
          <w:szCs w:val="16"/>
        </w:rPr>
        <w:t xml:space="preserve">Commission Implementing Regulation (EU) No 375/2012 of 2 May 2012 amending Regulation (EC) No 885/2006 laying down detailed rules for the application of Council Regulation (EC) No 1290/2005 as regards the accreditation of paying agencies and other bodies and the clearance of the accounts of the EAGF and EAFRD </w:t>
      </w:r>
      <w:r>
        <w:rPr>
          <w:rFonts w:ascii="Verdana" w:hAnsi="Verdana"/>
          <w:bCs/>
          <w:sz w:val="14"/>
          <w:szCs w:val="16"/>
        </w:rPr>
        <w:t>- OJ L 118, 3.5.2012, p. 4–5.</w:t>
      </w:r>
    </w:p>
  </w:footnote>
  <w:footnote w:id="18">
    <w:p w:rsidR="004A7700" w:rsidRDefault="004A7700">
      <w:pPr>
        <w:pStyle w:val="FootnoteText"/>
        <w:spacing w:after="0"/>
        <w:jc w:val="left"/>
        <w:rPr>
          <w:rFonts w:ascii="Verdana" w:hAnsi="Verdana"/>
          <w:sz w:val="14"/>
          <w:szCs w:val="16"/>
        </w:rPr>
      </w:pPr>
      <w:r>
        <w:rPr>
          <w:rStyle w:val="FootnoteReference"/>
          <w:rFonts w:ascii="Verdana" w:hAnsi="Verdana"/>
          <w:sz w:val="14"/>
          <w:szCs w:val="16"/>
        </w:rPr>
        <w:footnoteRef/>
      </w:r>
      <w:r>
        <w:rPr>
          <w:rFonts w:ascii="Verdana" w:hAnsi="Verdana"/>
          <w:sz w:val="14"/>
          <w:szCs w:val="16"/>
        </w:rPr>
        <w:t xml:space="preserve"> </w:t>
      </w:r>
      <w:r>
        <w:rPr>
          <w:rFonts w:ascii="Verdana" w:hAnsi="Verdana"/>
          <w:sz w:val="14"/>
          <w:szCs w:val="16"/>
          <w:lang w:val="en-GB"/>
        </w:rPr>
        <w:tab/>
      </w:r>
      <w:r>
        <w:rPr>
          <w:rFonts w:ascii="Verdana" w:hAnsi="Verdana"/>
          <w:sz w:val="14"/>
          <w:szCs w:val="16"/>
        </w:rPr>
        <w:t>As at end 2014, 50 cases were being followed up. For 8 cases the follow-up was finalised in 2015. 28 new final case reports which were received from OLAF in 2015 are being followed up.</w:t>
      </w:r>
    </w:p>
  </w:footnote>
  <w:footnote w:id="19">
    <w:p w:rsidR="004A7700" w:rsidRDefault="004A7700">
      <w:pPr>
        <w:pStyle w:val="FootnoteText"/>
        <w:spacing w:after="0"/>
        <w:jc w:val="left"/>
        <w:rPr>
          <w:rFonts w:ascii="Verdana" w:hAnsi="Verdana"/>
          <w:sz w:val="14"/>
          <w:szCs w:val="16"/>
          <w:lang w:val="pt-PT"/>
        </w:rPr>
      </w:pPr>
      <w:r>
        <w:rPr>
          <w:rStyle w:val="FootnoteReference"/>
          <w:rFonts w:ascii="Verdana" w:hAnsi="Verdana"/>
          <w:sz w:val="14"/>
          <w:szCs w:val="16"/>
        </w:rPr>
        <w:footnoteRef/>
      </w:r>
      <w:r>
        <w:rPr>
          <w:rFonts w:ascii="Verdana" w:hAnsi="Verdana"/>
          <w:sz w:val="14"/>
          <w:szCs w:val="16"/>
        </w:rPr>
        <w:t xml:space="preserve"> </w:t>
      </w:r>
      <w:r>
        <w:rPr>
          <w:rFonts w:ascii="Verdana" w:hAnsi="Verdana"/>
          <w:sz w:val="14"/>
          <w:szCs w:val="16"/>
          <w:lang w:val="pt-PT"/>
        </w:rPr>
        <w:tab/>
      </w:r>
      <w:r>
        <w:rPr>
          <w:rFonts w:ascii="Verdana" w:hAnsi="Verdana"/>
          <w:sz w:val="14"/>
          <w:szCs w:val="16"/>
        </w:rPr>
        <w:t>COM(</w:t>
      </w:r>
      <w:r>
        <w:rPr>
          <w:rFonts w:ascii="Verdana" w:hAnsi="Verdana"/>
          <w:sz w:val="14"/>
          <w:szCs w:val="16"/>
          <w:lang w:val="pt-PT"/>
        </w:rPr>
        <w:t>2015</w:t>
      </w:r>
      <w:r>
        <w:rPr>
          <w:rFonts w:ascii="Verdana" w:hAnsi="Verdana"/>
          <w:sz w:val="14"/>
          <w:szCs w:val="16"/>
        </w:rPr>
        <w:t>)</w:t>
      </w:r>
      <w:r>
        <w:rPr>
          <w:rFonts w:ascii="Verdana" w:hAnsi="Verdana"/>
          <w:sz w:val="14"/>
          <w:szCs w:val="16"/>
          <w:lang w:val="pt-PT"/>
        </w:rPr>
        <w:t>386</w:t>
      </w:r>
      <w:r>
        <w:rPr>
          <w:rFonts w:ascii="Verdana" w:hAnsi="Verdana"/>
          <w:sz w:val="14"/>
          <w:szCs w:val="16"/>
        </w:rPr>
        <w:t xml:space="preserve"> final</w:t>
      </w:r>
      <w:r>
        <w:rPr>
          <w:rFonts w:ascii="Verdana" w:hAnsi="Verdana"/>
          <w:sz w:val="14"/>
          <w:szCs w:val="16"/>
          <w:lang w:val="pt-PT"/>
        </w:rPr>
        <w:t xml:space="preserve"> http://ec.europa.eu/anti_fraud/documents/reports-commission/2014/pif_report_2015_en.pdf.</w:t>
      </w:r>
    </w:p>
  </w:footnote>
  <w:footnote w:id="20">
    <w:p w:rsidR="004A7700" w:rsidRDefault="004A7700">
      <w:pPr>
        <w:pStyle w:val="FootnoteText"/>
        <w:spacing w:after="0"/>
        <w:rPr>
          <w:rFonts w:ascii="Verdana" w:hAnsi="Verdana"/>
          <w:sz w:val="14"/>
          <w:szCs w:val="16"/>
          <w:lang w:val="en-GB"/>
        </w:rPr>
      </w:pPr>
      <w:r>
        <w:rPr>
          <w:rStyle w:val="FootnoteReference"/>
          <w:rFonts w:ascii="Verdana" w:hAnsi="Verdana"/>
          <w:sz w:val="14"/>
          <w:szCs w:val="16"/>
        </w:rPr>
        <w:footnoteRef/>
      </w:r>
      <w:r>
        <w:rPr>
          <w:rFonts w:ascii="Verdana" w:hAnsi="Verdana"/>
          <w:sz w:val="14"/>
          <w:szCs w:val="16"/>
        </w:rPr>
        <w:t xml:space="preserve"> </w:t>
      </w:r>
      <w:r>
        <w:rPr>
          <w:rFonts w:ascii="Verdana" w:hAnsi="Verdana"/>
          <w:sz w:val="14"/>
          <w:szCs w:val="16"/>
          <w:lang w:val="en-GB"/>
        </w:rPr>
        <w:tab/>
        <w:t>See Ares(2015)6023058 of 23 December 2015.</w:t>
      </w:r>
    </w:p>
  </w:footnote>
  <w:footnote w:id="21">
    <w:p w:rsidR="004A7700" w:rsidRDefault="004A7700">
      <w:pPr>
        <w:pStyle w:val="FootnoteText"/>
        <w:spacing w:after="0"/>
        <w:rPr>
          <w:rFonts w:ascii="Verdana" w:hAnsi="Verdana"/>
          <w:sz w:val="14"/>
          <w:lang w:val="en-GB"/>
        </w:rPr>
      </w:pPr>
      <w:r>
        <w:rPr>
          <w:rStyle w:val="FootnoteReference"/>
          <w:rFonts w:ascii="Verdana" w:hAnsi="Verdana"/>
          <w:sz w:val="14"/>
        </w:rPr>
        <w:footnoteRef/>
      </w:r>
      <w:r>
        <w:rPr>
          <w:rFonts w:ascii="Verdana" w:hAnsi="Verdana"/>
          <w:sz w:val="14"/>
        </w:rPr>
        <w:t xml:space="preserve"> </w:t>
      </w:r>
      <w:r>
        <w:rPr>
          <w:rFonts w:ascii="Verdana" w:hAnsi="Verdana"/>
          <w:sz w:val="14"/>
          <w:lang w:val="en-GB"/>
        </w:rPr>
        <w:tab/>
        <w:t>DG Employment, Social Affairs and Inclusion (EMPL), DG Maritime Affairs and Fisheries (MARE) and DG Regional and Urban Policy (REGIO).</w:t>
      </w:r>
    </w:p>
  </w:footnote>
  <w:footnote w:id="22">
    <w:p w:rsidR="004A7700" w:rsidRDefault="004A7700">
      <w:pPr>
        <w:pStyle w:val="FootnoteText"/>
        <w:spacing w:after="0"/>
        <w:rPr>
          <w:rFonts w:ascii="Verdana" w:hAnsi="Verdana"/>
          <w:sz w:val="14"/>
          <w:lang w:val="en-GB"/>
        </w:rPr>
      </w:pPr>
      <w:r>
        <w:rPr>
          <w:rStyle w:val="FootnoteReference"/>
          <w:rFonts w:ascii="Verdana" w:hAnsi="Verdana"/>
          <w:sz w:val="14"/>
        </w:rPr>
        <w:footnoteRef/>
      </w:r>
      <w:r>
        <w:rPr>
          <w:rFonts w:ascii="Verdana" w:hAnsi="Verdana"/>
          <w:sz w:val="14"/>
        </w:rPr>
        <w:t xml:space="preserve"> </w:t>
      </w:r>
      <w:r>
        <w:rPr>
          <w:rFonts w:ascii="Verdana" w:hAnsi="Verdana"/>
          <w:sz w:val="14"/>
          <w:lang w:val="en-GB"/>
        </w:rPr>
        <w:tab/>
        <w:t>The amount reported for 2015 includes negative financial corrections regarding lost Court cases and thus compensates the trend described here – see section 3.2.2.</w:t>
      </w:r>
    </w:p>
  </w:footnote>
  <w:footnote w:id="23">
    <w:p w:rsidR="004A7700" w:rsidRDefault="004A7700">
      <w:pPr>
        <w:pStyle w:val="FootnoteText"/>
        <w:spacing w:after="0"/>
        <w:rPr>
          <w:rStyle w:val="FootnoteReference"/>
          <w:rFonts w:ascii="Verdana" w:hAnsi="Verdana"/>
          <w:sz w:val="14"/>
          <w:vertAlign w:val="baseline"/>
        </w:rPr>
      </w:pPr>
      <w:r>
        <w:rPr>
          <w:rStyle w:val="FootnoteReference"/>
          <w:rFonts w:ascii="Verdana" w:hAnsi="Verdana"/>
          <w:sz w:val="14"/>
          <w:szCs w:val="16"/>
        </w:rPr>
        <w:footnoteRef/>
      </w:r>
      <w:r>
        <w:rPr>
          <w:rStyle w:val="FootnoteReference"/>
          <w:sz w:val="18"/>
        </w:rPr>
        <w:t xml:space="preserve"> </w:t>
      </w:r>
      <w:r>
        <w:rPr>
          <w:sz w:val="18"/>
          <w:lang w:val="en-GB"/>
        </w:rPr>
        <w:tab/>
      </w:r>
      <w:r>
        <w:rPr>
          <w:rStyle w:val="FootnoteReference"/>
          <w:rFonts w:ascii="Verdana" w:hAnsi="Verdana"/>
          <w:sz w:val="14"/>
          <w:vertAlign w:val="baseline"/>
        </w:rPr>
        <w:t>For a more exhaustive explanation of the corrective mechanism put in place by the Commission for the closure 2000-</w:t>
      </w:r>
      <w:r>
        <w:rPr>
          <w:rFonts w:ascii="Verdana" w:hAnsi="Verdana"/>
          <w:sz w:val="14"/>
          <w:lang w:val="en-GB"/>
        </w:rPr>
        <w:t>20</w:t>
      </w:r>
      <w:r>
        <w:rPr>
          <w:rStyle w:val="FootnoteReference"/>
          <w:rFonts w:ascii="Verdana" w:hAnsi="Verdana"/>
          <w:sz w:val="14"/>
          <w:vertAlign w:val="baseline"/>
        </w:rPr>
        <w:t>06, see the Report on financial corrections carried out for ERDF and ESF on 2000-</w:t>
      </w:r>
      <w:r>
        <w:rPr>
          <w:rFonts w:ascii="Verdana" w:hAnsi="Verdana"/>
          <w:sz w:val="14"/>
          <w:lang w:val="en-GB"/>
        </w:rPr>
        <w:t>20</w:t>
      </w:r>
      <w:r>
        <w:rPr>
          <w:rStyle w:val="FootnoteReference"/>
          <w:rFonts w:ascii="Verdana" w:hAnsi="Verdana"/>
          <w:sz w:val="14"/>
          <w:vertAlign w:val="baseline"/>
        </w:rPr>
        <w:t>06 programmes (Ares(2013)689652 – 12 April 2013).</w:t>
      </w:r>
    </w:p>
  </w:footnote>
  <w:footnote w:id="24">
    <w:p w:rsidR="004A7700" w:rsidRDefault="004A7700">
      <w:pPr>
        <w:pStyle w:val="FootnoteText"/>
        <w:spacing w:after="0"/>
        <w:rPr>
          <w:rFonts w:ascii="Verdana" w:hAnsi="Verdana"/>
          <w:sz w:val="14"/>
          <w:szCs w:val="16"/>
          <w:lang w:val="en-GB"/>
        </w:rPr>
      </w:pPr>
      <w:r>
        <w:rPr>
          <w:rStyle w:val="FootnoteReference"/>
          <w:rFonts w:ascii="Verdana" w:hAnsi="Verdana"/>
          <w:sz w:val="14"/>
          <w:szCs w:val="16"/>
        </w:rPr>
        <w:footnoteRef/>
      </w:r>
      <w:r>
        <w:rPr>
          <w:rFonts w:ascii="Verdana" w:hAnsi="Verdana"/>
          <w:sz w:val="14"/>
          <w:szCs w:val="16"/>
        </w:rPr>
        <w:t xml:space="preserve"> </w:t>
      </w:r>
      <w:r>
        <w:rPr>
          <w:rFonts w:ascii="Verdana" w:hAnsi="Verdana"/>
          <w:sz w:val="14"/>
          <w:szCs w:val="16"/>
          <w:lang w:val="en-GB"/>
        </w:rPr>
        <w:tab/>
        <w:t>This amount does not include the at source financial corrections applied by the Member States before declaring the expenditure to the Commission, since there was no legal requirement to report such amounts. Consequently, the Commission does not have such information.</w:t>
      </w:r>
    </w:p>
  </w:footnote>
  <w:footnote w:id="25">
    <w:p w:rsidR="004A7700" w:rsidRDefault="004A7700">
      <w:pPr>
        <w:pStyle w:val="FootnoteText"/>
        <w:spacing w:after="0"/>
        <w:rPr>
          <w:rFonts w:ascii="Verdana" w:hAnsi="Verdana"/>
          <w:sz w:val="14"/>
          <w:lang w:val="en-GB"/>
        </w:rPr>
      </w:pPr>
      <w:r>
        <w:rPr>
          <w:rStyle w:val="FootnoteReference"/>
          <w:rFonts w:ascii="Verdana" w:hAnsi="Verdana"/>
          <w:sz w:val="14"/>
        </w:rPr>
        <w:footnoteRef/>
      </w:r>
      <w:r>
        <w:rPr>
          <w:rFonts w:ascii="Verdana" w:hAnsi="Verdana"/>
          <w:sz w:val="14"/>
        </w:rPr>
        <w:t xml:space="preserve"> </w:t>
      </w:r>
      <w:r>
        <w:rPr>
          <w:rFonts w:ascii="Verdana" w:hAnsi="Verdana"/>
          <w:sz w:val="14"/>
          <w:lang w:val="en-GB"/>
        </w:rPr>
        <w:tab/>
        <w:t>At source corrections are excluded from this annual reporting, in line with the legal framework applicable for 2007-2013.</w:t>
      </w:r>
    </w:p>
  </w:footnote>
  <w:footnote w:id="26">
    <w:p w:rsidR="004A7700" w:rsidRDefault="004A7700">
      <w:pPr>
        <w:pStyle w:val="FootnoteText"/>
        <w:spacing w:after="0"/>
        <w:rPr>
          <w:rFonts w:ascii="Verdana" w:hAnsi="Verdana"/>
          <w:sz w:val="14"/>
          <w:lang w:val="en-GB"/>
        </w:rPr>
      </w:pPr>
      <w:r>
        <w:rPr>
          <w:rStyle w:val="FootnoteReference"/>
          <w:rFonts w:ascii="Verdana" w:hAnsi="Verdana"/>
          <w:sz w:val="14"/>
        </w:rPr>
        <w:footnoteRef/>
      </w:r>
      <w:r>
        <w:rPr>
          <w:rFonts w:ascii="Verdana" w:hAnsi="Verdana"/>
          <w:sz w:val="14"/>
        </w:rPr>
        <w:t xml:space="preserve"> </w:t>
      </w:r>
      <w:r>
        <w:rPr>
          <w:rFonts w:ascii="Verdana" w:hAnsi="Verdana"/>
          <w:sz w:val="14"/>
          <w:lang w:val="en-GB"/>
        </w:rPr>
        <w:tab/>
        <w:t>In order to eliminate the risk of double counting, the amounts reported in this section are calculated as the difference between the cumulative amounts reported by the Member States (Art. 20 reports on withdrawals and recoveries) and the financial corrections reported by the Commission (table 3.2.3 above)</w:t>
      </w:r>
    </w:p>
  </w:footnote>
  <w:footnote w:id="27">
    <w:p w:rsidR="004A7700" w:rsidRDefault="004A7700">
      <w:pPr>
        <w:pStyle w:val="FootnoteText"/>
        <w:spacing w:after="0"/>
        <w:ind w:left="426" w:hanging="426"/>
        <w:rPr>
          <w:rFonts w:ascii="Verdana" w:hAnsi="Verdana"/>
          <w:sz w:val="14"/>
          <w:szCs w:val="14"/>
          <w:lang w:val="en-GB"/>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lang w:val="en-GB"/>
        </w:rPr>
        <w:tab/>
        <w:t>Research budget implemented by the Commission and Executive Agencies.</w:t>
      </w:r>
    </w:p>
  </w:footnote>
  <w:footnote w:id="28">
    <w:p w:rsidR="004A7700" w:rsidRDefault="004A7700">
      <w:pPr>
        <w:pStyle w:val="FootnoteText"/>
        <w:spacing w:after="0"/>
        <w:ind w:left="426" w:hanging="426"/>
        <w:rPr>
          <w:rFonts w:ascii="Verdana" w:hAnsi="Verdana"/>
          <w:sz w:val="14"/>
          <w:szCs w:val="14"/>
          <w:lang w:val="en-GB"/>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lang w:val="en-GB"/>
        </w:rPr>
        <w:tab/>
        <w:t>Implementation of Research budget entrusted to joint undertakings.</w:t>
      </w:r>
    </w:p>
  </w:footnote>
  <w:footnote w:id="29">
    <w:p w:rsidR="004A7700" w:rsidRDefault="004A7700">
      <w:pPr>
        <w:pStyle w:val="FootnoteText"/>
        <w:tabs>
          <w:tab w:val="left" w:pos="426"/>
        </w:tabs>
        <w:spacing w:after="0"/>
        <w:ind w:left="0" w:firstLine="0"/>
        <w:rPr>
          <w:rFonts w:ascii="Verdana" w:hAnsi="Verdana"/>
          <w:sz w:val="14"/>
          <w:szCs w:val="14"/>
          <w:lang w:val="en-GB"/>
        </w:rPr>
      </w:pPr>
      <w:r>
        <w:rPr>
          <w:rStyle w:val="FootnoteReference"/>
          <w:rFonts w:ascii="Verdana" w:hAnsi="Verdana"/>
          <w:sz w:val="14"/>
          <w:szCs w:val="14"/>
        </w:rPr>
        <w:footnoteRef/>
      </w:r>
      <w:r>
        <w:rPr>
          <w:rFonts w:ascii="Verdana" w:hAnsi="Verdana"/>
          <w:sz w:val="14"/>
          <w:szCs w:val="14"/>
        </w:rPr>
        <w:t xml:space="preserve"> </w:t>
      </w:r>
      <w:r>
        <w:rPr>
          <w:rFonts w:ascii="Verdana" w:hAnsi="Verdana"/>
          <w:sz w:val="14"/>
          <w:szCs w:val="14"/>
          <w:lang w:val="en-GB"/>
        </w:rPr>
        <w:tab/>
        <w:t>Budget implementation by international organisations.</w:t>
      </w:r>
    </w:p>
  </w:footnote>
  <w:footnote w:id="30">
    <w:p w:rsidR="004A7700" w:rsidRDefault="004A7700">
      <w:pPr>
        <w:pStyle w:val="FootnoteText"/>
        <w:tabs>
          <w:tab w:val="left" w:pos="426"/>
        </w:tabs>
        <w:spacing w:after="0"/>
        <w:ind w:left="426" w:hanging="426"/>
        <w:rPr>
          <w:rFonts w:ascii="Verdana" w:hAnsi="Verdana"/>
          <w:b/>
          <w:color w:val="000000" w:themeColor="text1"/>
          <w:sz w:val="14"/>
          <w:szCs w:val="14"/>
          <w:lang w:val="en-GB"/>
        </w:rPr>
      </w:pPr>
      <w:r>
        <w:rPr>
          <w:rStyle w:val="FootnoteReference"/>
          <w:rFonts w:ascii="Verdana" w:hAnsi="Verdana"/>
          <w:color w:val="000000" w:themeColor="text1"/>
          <w:sz w:val="14"/>
          <w:szCs w:val="14"/>
        </w:rPr>
        <w:footnoteRef/>
      </w:r>
      <w:r>
        <w:rPr>
          <w:rFonts w:ascii="Verdana" w:hAnsi="Verdana"/>
          <w:color w:val="000000" w:themeColor="text1"/>
          <w:sz w:val="14"/>
          <w:szCs w:val="14"/>
        </w:rPr>
        <w:t xml:space="preserve"> </w:t>
      </w:r>
      <w:r>
        <w:rPr>
          <w:rFonts w:ascii="Verdana" w:hAnsi="Verdana"/>
          <w:color w:val="000000" w:themeColor="text1"/>
          <w:sz w:val="14"/>
          <w:szCs w:val="14"/>
          <w:lang w:val="en-GB"/>
        </w:rPr>
        <w:tab/>
      </w:r>
      <w:r>
        <w:rPr>
          <w:rStyle w:val="Strong"/>
          <w:rFonts w:ascii="Verdana" w:hAnsi="Verdana"/>
          <w:b w:val="0"/>
          <w:color w:val="000000" w:themeColor="text1"/>
          <w:sz w:val="14"/>
          <w:szCs w:val="14"/>
          <w:lang w:val="en"/>
        </w:rPr>
        <w:t>Regulation (EU, Euratom) No2015/1929 of the European Parliament and of the Council of 28 October 2015 amending Regulation (EU, Euratom) No 966/2012 on the financial rules applicable to the general budget of the Union (OLJ L 286, 30.10.2015, p.1).</w:t>
      </w:r>
    </w:p>
  </w:footnote>
  <w:footnote w:id="31">
    <w:p w:rsidR="004A7700" w:rsidRDefault="004A7700">
      <w:pPr>
        <w:pStyle w:val="FootnoteText"/>
        <w:rPr>
          <w:rFonts w:ascii="Verdana" w:hAnsi="Verdana"/>
          <w:sz w:val="14"/>
          <w:lang w:val="en-GB"/>
        </w:rPr>
      </w:pPr>
      <w:r>
        <w:rPr>
          <w:rStyle w:val="FootnoteReference"/>
          <w:rFonts w:ascii="Verdana" w:hAnsi="Verdana"/>
          <w:sz w:val="14"/>
        </w:rPr>
        <w:footnoteRef/>
      </w:r>
      <w:r>
        <w:rPr>
          <w:rFonts w:ascii="Verdana" w:hAnsi="Verdana"/>
          <w:sz w:val="14"/>
        </w:rPr>
        <w:t xml:space="preserve"> </w:t>
      </w:r>
      <w:r>
        <w:rPr>
          <w:rFonts w:ascii="Verdana" w:hAnsi="Verdana"/>
          <w:sz w:val="14"/>
          <w:lang w:val="en-GB"/>
        </w:rPr>
        <w:tab/>
        <w:t>S</w:t>
      </w:r>
      <w:r>
        <w:rPr>
          <w:rFonts w:ascii="Verdana" w:hAnsi="Verdana"/>
          <w:sz w:val="14"/>
        </w:rPr>
        <w:t>temming from Member States' control statistics reported to the Commission</w:t>
      </w:r>
      <w:r>
        <w:rPr>
          <w:rFonts w:ascii="Verdana" w:hAnsi="Verdana"/>
          <w:sz w:val="14"/>
          <w:lang w:val="en-GB"/>
        </w:rPr>
        <w:t>.</w:t>
      </w:r>
    </w:p>
  </w:footnote>
  <w:footnote w:id="32">
    <w:p w:rsidR="004A7700" w:rsidRDefault="004A7700">
      <w:pPr>
        <w:pStyle w:val="FootnoteText"/>
        <w:rPr>
          <w:rFonts w:ascii="Verdana" w:hAnsi="Verdana"/>
          <w:sz w:val="14"/>
          <w:lang w:val="en-GB"/>
        </w:rPr>
      </w:pPr>
      <w:r>
        <w:rPr>
          <w:rStyle w:val="FootnoteReference"/>
        </w:rPr>
        <w:footnoteRef/>
      </w:r>
      <w:r>
        <w:t xml:space="preserve"> </w:t>
      </w:r>
      <w:r>
        <w:rPr>
          <w:lang w:val="en-GB"/>
        </w:rPr>
        <w:tab/>
      </w:r>
      <w:r>
        <w:rPr>
          <w:rFonts w:ascii="Verdana" w:hAnsi="Verdana"/>
          <w:sz w:val="14"/>
          <w:lang w:val="en-GB"/>
        </w:rPr>
        <w:t>In addition to Commission reporting – see section 5.5.</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9A" w:rsidRDefault="005F1E9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9A" w:rsidRDefault="005F1E9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F1E9A" w:rsidRDefault="005F1E9A">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700" w:rsidRDefault="004A770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700" w:rsidRDefault="004A7700">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A7700" w:rsidRDefault="004A770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lvl w:ilvl="0">
      <w:start w:val="1"/>
      <w:numFmt w:val="decimal"/>
      <w:pStyle w:val="ListNumber5"/>
      <w:lvlText w:val="%1."/>
      <w:lvlJc w:val="left"/>
      <w:pPr>
        <w:tabs>
          <w:tab w:val="num" w:pos="1492"/>
        </w:tabs>
        <w:ind w:left="1492" w:hanging="360"/>
      </w:pPr>
    </w:lvl>
  </w:abstractNum>
  <w:abstractNum w:abstractNumId="1">
    <w:nsid w:val="FFFFFF80"/>
    <w:multiLevelType w:val="singleLevel"/>
    <w:tmpl w:val="1FA45650"/>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006D7112"/>
    <w:multiLevelType w:val="hybridMultilevel"/>
    <w:tmpl w:val="C97040E6"/>
    <w:lvl w:ilvl="0" w:tplc="08090001">
      <w:start w:val="1"/>
      <w:numFmt w:val="bullet"/>
      <w:lvlText w:val=""/>
      <w:lvlJc w:val="left"/>
      <w:pPr>
        <w:ind w:left="720" w:hanging="360"/>
      </w:pPr>
      <w:rPr>
        <w:rFonts w:ascii="Symbol" w:hAnsi="Symbol" w:hint="default"/>
      </w:rPr>
    </w:lvl>
    <w:lvl w:ilvl="1" w:tplc="84B49448">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47D4E03"/>
    <w:multiLevelType w:val="hybridMultilevel"/>
    <w:tmpl w:val="215C43CE"/>
    <w:lvl w:ilvl="0" w:tplc="08090001">
      <w:start w:val="1"/>
      <w:numFmt w:val="bullet"/>
      <w:lvlText w:val=""/>
      <w:lvlJc w:val="left"/>
      <w:pPr>
        <w:ind w:left="784" w:hanging="360"/>
      </w:pPr>
      <w:rPr>
        <w:rFonts w:ascii="Symbol" w:hAnsi="Symbol" w:hint="default"/>
      </w:rPr>
    </w:lvl>
    <w:lvl w:ilvl="1" w:tplc="08090003" w:tentative="1">
      <w:start w:val="1"/>
      <w:numFmt w:val="bullet"/>
      <w:lvlText w:val="o"/>
      <w:lvlJc w:val="left"/>
      <w:pPr>
        <w:ind w:left="1504" w:hanging="360"/>
      </w:pPr>
      <w:rPr>
        <w:rFonts w:ascii="Courier New" w:hAnsi="Courier New" w:cs="Courier New" w:hint="default"/>
      </w:rPr>
    </w:lvl>
    <w:lvl w:ilvl="2" w:tplc="08090005" w:tentative="1">
      <w:start w:val="1"/>
      <w:numFmt w:val="bullet"/>
      <w:lvlText w:val=""/>
      <w:lvlJc w:val="left"/>
      <w:pPr>
        <w:ind w:left="2224" w:hanging="360"/>
      </w:pPr>
      <w:rPr>
        <w:rFonts w:ascii="Wingdings" w:hAnsi="Wingdings" w:hint="default"/>
      </w:rPr>
    </w:lvl>
    <w:lvl w:ilvl="3" w:tplc="08090001" w:tentative="1">
      <w:start w:val="1"/>
      <w:numFmt w:val="bullet"/>
      <w:lvlText w:val=""/>
      <w:lvlJc w:val="left"/>
      <w:pPr>
        <w:ind w:left="2944" w:hanging="360"/>
      </w:pPr>
      <w:rPr>
        <w:rFonts w:ascii="Symbol" w:hAnsi="Symbol" w:hint="default"/>
      </w:rPr>
    </w:lvl>
    <w:lvl w:ilvl="4" w:tplc="08090003" w:tentative="1">
      <w:start w:val="1"/>
      <w:numFmt w:val="bullet"/>
      <w:lvlText w:val="o"/>
      <w:lvlJc w:val="left"/>
      <w:pPr>
        <w:ind w:left="3664" w:hanging="360"/>
      </w:pPr>
      <w:rPr>
        <w:rFonts w:ascii="Courier New" w:hAnsi="Courier New" w:cs="Courier New" w:hint="default"/>
      </w:rPr>
    </w:lvl>
    <w:lvl w:ilvl="5" w:tplc="08090005" w:tentative="1">
      <w:start w:val="1"/>
      <w:numFmt w:val="bullet"/>
      <w:lvlText w:val=""/>
      <w:lvlJc w:val="left"/>
      <w:pPr>
        <w:ind w:left="4384" w:hanging="360"/>
      </w:pPr>
      <w:rPr>
        <w:rFonts w:ascii="Wingdings" w:hAnsi="Wingdings" w:hint="default"/>
      </w:rPr>
    </w:lvl>
    <w:lvl w:ilvl="6" w:tplc="08090001" w:tentative="1">
      <w:start w:val="1"/>
      <w:numFmt w:val="bullet"/>
      <w:lvlText w:val=""/>
      <w:lvlJc w:val="left"/>
      <w:pPr>
        <w:ind w:left="5104" w:hanging="360"/>
      </w:pPr>
      <w:rPr>
        <w:rFonts w:ascii="Symbol" w:hAnsi="Symbol" w:hint="default"/>
      </w:rPr>
    </w:lvl>
    <w:lvl w:ilvl="7" w:tplc="08090003" w:tentative="1">
      <w:start w:val="1"/>
      <w:numFmt w:val="bullet"/>
      <w:lvlText w:val="o"/>
      <w:lvlJc w:val="left"/>
      <w:pPr>
        <w:ind w:left="5824" w:hanging="360"/>
      </w:pPr>
      <w:rPr>
        <w:rFonts w:ascii="Courier New" w:hAnsi="Courier New" w:cs="Courier New" w:hint="default"/>
      </w:rPr>
    </w:lvl>
    <w:lvl w:ilvl="8" w:tplc="08090005" w:tentative="1">
      <w:start w:val="1"/>
      <w:numFmt w:val="bullet"/>
      <w:lvlText w:val=""/>
      <w:lvlJc w:val="left"/>
      <w:pPr>
        <w:ind w:left="6544" w:hanging="360"/>
      </w:pPr>
      <w:rPr>
        <w:rFonts w:ascii="Wingdings" w:hAnsi="Wingdings" w:hint="default"/>
      </w:rPr>
    </w:lvl>
  </w:abstractNum>
  <w:abstractNum w:abstractNumId="4">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nsid w:val="0581652A"/>
    <w:multiLevelType w:val="multilevel"/>
    <w:tmpl w:val="0809001F"/>
    <w:styleLink w:val="Style1"/>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6">
    <w:nsid w:val="0CDA3ACC"/>
    <w:multiLevelType w:val="hybridMultilevel"/>
    <w:tmpl w:val="DFBEF85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0E40568E"/>
    <w:multiLevelType w:val="multilevel"/>
    <w:tmpl w:val="3854380A"/>
    <w:lvl w:ilvl="0">
      <w:start w:val="2"/>
      <w:numFmt w:val="decimal"/>
      <w:lvlText w:val="%1."/>
      <w:lvlJc w:val="left"/>
      <w:pPr>
        <w:tabs>
          <w:tab w:val="num" w:pos="480"/>
        </w:tabs>
        <w:ind w:left="480" w:hanging="480"/>
      </w:pPr>
      <w:rPr>
        <w:rFonts w:hint="default"/>
        <w:b/>
      </w:rPr>
    </w:lvl>
    <w:lvl w:ilvl="1">
      <w:start w:val="1"/>
      <w:numFmt w:val="decimal"/>
      <w:lvlText w:val="%2."/>
      <w:lvlJc w:val="left"/>
      <w:pPr>
        <w:tabs>
          <w:tab w:val="num" w:pos="1026"/>
        </w:tabs>
        <w:ind w:left="1026" w:hanging="600"/>
      </w:pPr>
      <w:rPr>
        <w:rFonts w:hint="default"/>
        <w:sz w:val="22"/>
      </w:rPr>
    </w:lvl>
    <w:lvl w:ilvl="2">
      <w:start w:val="1"/>
      <w:numFmt w:val="none"/>
      <w:lvlText w:val="3.1."/>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8">
    <w:nsid w:val="0F1264B4"/>
    <w:multiLevelType w:val="hybridMultilevel"/>
    <w:tmpl w:val="2DC64A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108C7D1C"/>
    <w:multiLevelType w:val="hybridMultilevel"/>
    <w:tmpl w:val="FD4A86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1262685D"/>
    <w:multiLevelType w:val="singleLevel"/>
    <w:tmpl w:val="D96C95A2"/>
    <w:lvl w:ilvl="0">
      <w:start w:val="1"/>
      <w:numFmt w:val="bullet"/>
      <w:pStyle w:val="ListBullet4"/>
      <w:lvlText w:val=""/>
      <w:lvlJc w:val="left"/>
      <w:pPr>
        <w:tabs>
          <w:tab w:val="num" w:pos="3163"/>
        </w:tabs>
        <w:ind w:left="3163" w:hanging="283"/>
      </w:pPr>
      <w:rPr>
        <w:rFonts w:ascii="Symbol" w:hAnsi="Symbol"/>
      </w:rPr>
    </w:lvl>
  </w:abstractNum>
  <w:abstractNum w:abstractNumId="11">
    <w:nsid w:val="130E2DC8"/>
    <w:multiLevelType w:val="multilevel"/>
    <w:tmpl w:val="3854380A"/>
    <w:lvl w:ilvl="0">
      <w:start w:val="2"/>
      <w:numFmt w:val="decimal"/>
      <w:lvlText w:val="%1."/>
      <w:lvlJc w:val="left"/>
      <w:pPr>
        <w:tabs>
          <w:tab w:val="num" w:pos="480"/>
        </w:tabs>
        <w:ind w:left="480" w:hanging="480"/>
      </w:pPr>
      <w:rPr>
        <w:rFonts w:hint="default"/>
        <w:b/>
      </w:rPr>
    </w:lvl>
    <w:lvl w:ilvl="1">
      <w:start w:val="1"/>
      <w:numFmt w:val="decimal"/>
      <w:lvlText w:val="%2."/>
      <w:lvlJc w:val="left"/>
      <w:pPr>
        <w:tabs>
          <w:tab w:val="num" w:pos="1026"/>
        </w:tabs>
        <w:ind w:left="1026" w:hanging="600"/>
      </w:pPr>
      <w:rPr>
        <w:rFonts w:hint="default"/>
        <w:sz w:val="22"/>
      </w:rPr>
    </w:lvl>
    <w:lvl w:ilvl="2">
      <w:start w:val="1"/>
      <w:numFmt w:val="none"/>
      <w:lvlText w:val="3.1."/>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143D0A16"/>
    <w:multiLevelType w:val="singleLevel"/>
    <w:tmpl w:val="01FA5668"/>
    <w:lvl w:ilvl="0">
      <w:start w:val="1"/>
      <w:numFmt w:val="bullet"/>
      <w:pStyle w:val="ListBullet3"/>
      <w:lvlText w:val=""/>
      <w:lvlJc w:val="left"/>
      <w:pPr>
        <w:tabs>
          <w:tab w:val="num" w:pos="2199"/>
        </w:tabs>
        <w:ind w:left="2199" w:hanging="283"/>
      </w:pPr>
      <w:rPr>
        <w:rFonts w:ascii="Symbol" w:hAnsi="Symbol"/>
      </w:rPr>
    </w:lvl>
  </w:abstractNum>
  <w:abstractNum w:abstractNumId="13">
    <w:nsid w:val="1AC7089E"/>
    <w:multiLevelType w:val="hybridMultilevel"/>
    <w:tmpl w:val="5720CA90"/>
    <w:lvl w:ilvl="0" w:tplc="3B24305A">
      <w:start w:val="1"/>
      <w:numFmt w:val="decimal"/>
      <w:lvlText w:val="(%1)"/>
      <w:lvlJc w:val="left"/>
      <w:pPr>
        <w:ind w:left="735" w:hanging="375"/>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nsid w:val="1F5E1D64"/>
    <w:multiLevelType w:val="multilevel"/>
    <w:tmpl w:val="F7E6CECC"/>
    <w:lvl w:ilvl="0">
      <w:start w:val="1"/>
      <w:numFmt w:val="decimal"/>
      <w:lvlText w:val="%1."/>
      <w:lvlJc w:val="left"/>
      <w:pPr>
        <w:tabs>
          <w:tab w:val="num" w:pos="360"/>
        </w:tabs>
        <w:ind w:left="0" w:firstLine="0"/>
      </w:pPr>
      <w:rPr>
        <w:rFonts w:hint="default"/>
      </w:rPr>
    </w:lvl>
    <w:lvl w:ilvl="1">
      <w:start w:val="9"/>
      <w:numFmt w:val="decimal"/>
      <w:pStyle w:val="Para2"/>
      <w:lvlText w:val="%1.%2."/>
      <w:lvlJc w:val="left"/>
      <w:pPr>
        <w:tabs>
          <w:tab w:val="num" w:pos="720"/>
        </w:tabs>
        <w:ind w:left="0" w:firstLine="0"/>
      </w:pPr>
      <w:rPr>
        <w:rFonts w:hint="default"/>
      </w:rPr>
    </w:lvl>
    <w:lvl w:ilvl="2">
      <w:start w:val="1"/>
      <w:numFmt w:val="decimal"/>
      <w:pStyle w:val="Para3"/>
      <w:lvlText w:val="%1.%2.%3."/>
      <w:lvlJc w:val="left"/>
      <w:pPr>
        <w:tabs>
          <w:tab w:val="num" w:pos="720"/>
        </w:tabs>
        <w:ind w:left="0" w:firstLine="0"/>
      </w:pPr>
      <w:rPr>
        <w:rFonts w:hint="default"/>
      </w:rPr>
    </w:lvl>
    <w:lvl w:ilvl="3">
      <w:start w:val="1"/>
      <w:numFmt w:val="lowerLetter"/>
      <w:pStyle w:val="Para4"/>
      <w:lvlText w:val="(%4)"/>
      <w:lvlJc w:val="left"/>
      <w:pPr>
        <w:tabs>
          <w:tab w:val="num" w:pos="454"/>
        </w:tabs>
        <w:ind w:left="454" w:hanging="454"/>
      </w:pPr>
      <w:rPr>
        <w:rFonts w:hint="default"/>
      </w:rPr>
    </w:lvl>
    <w:lvl w:ilvl="4">
      <w:start w:val="1"/>
      <w:numFmt w:val="lowerRoman"/>
      <w:pStyle w:val="Para5"/>
      <w:lvlText w:val="(%5)"/>
      <w:lvlJc w:val="left"/>
      <w:pPr>
        <w:tabs>
          <w:tab w:val="num" w:pos="1174"/>
        </w:tabs>
        <w:ind w:left="851" w:hanging="397"/>
      </w:pPr>
      <w:rPr>
        <w:rFonts w:hint="default"/>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7920"/>
        </w:tabs>
        <w:ind w:left="4320" w:hanging="1440"/>
      </w:pPr>
      <w:rPr>
        <w:rFonts w:hint="default"/>
      </w:rPr>
    </w:lvl>
  </w:abstractNum>
  <w:abstractNum w:abstractNumId="15">
    <w:nsid w:val="22D57C8E"/>
    <w:multiLevelType w:val="hybridMultilevel"/>
    <w:tmpl w:val="55924DB6"/>
    <w:lvl w:ilvl="0" w:tplc="1CDC6D70">
      <w:numFmt w:val="bullet"/>
      <w:lvlText w:val="-"/>
      <w:lvlJc w:val="left"/>
      <w:pPr>
        <w:ind w:left="720" w:hanging="360"/>
      </w:pPr>
      <w:rPr>
        <w:rFonts w:ascii="Calibri" w:eastAsia="Calibri" w:hAnsi="Calibri"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23BA45AA"/>
    <w:multiLevelType w:val="hybridMultilevel"/>
    <w:tmpl w:val="AE34755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7">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8">
    <w:nsid w:val="251C653F"/>
    <w:multiLevelType w:val="hybridMultilevel"/>
    <w:tmpl w:val="FD6CB4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2AA23723"/>
    <w:multiLevelType w:val="hybridMultilevel"/>
    <w:tmpl w:val="7FE0481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0">
    <w:nsid w:val="2AF76E7A"/>
    <w:multiLevelType w:val="singleLevel"/>
    <w:tmpl w:val="C74C5A32"/>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1">
    <w:nsid w:val="2C8D5AD3"/>
    <w:multiLevelType w:val="singleLevel"/>
    <w:tmpl w:val="82EE6B70"/>
    <w:lvl w:ilvl="0">
      <w:start w:val="1"/>
      <w:numFmt w:val="bullet"/>
      <w:pStyle w:val="ListBullet2"/>
      <w:lvlText w:val=""/>
      <w:lvlJc w:val="left"/>
      <w:pPr>
        <w:tabs>
          <w:tab w:val="num" w:pos="1360"/>
        </w:tabs>
        <w:ind w:left="1360" w:hanging="283"/>
      </w:pPr>
      <w:rPr>
        <w:rFonts w:ascii="Symbol" w:hAnsi="Symbol"/>
      </w:rPr>
    </w:lvl>
  </w:abstractNum>
  <w:abstractNum w:abstractNumId="22">
    <w:nsid w:val="359A0316"/>
    <w:multiLevelType w:val="hybridMultilevel"/>
    <w:tmpl w:val="BD5CE308"/>
    <w:lvl w:ilvl="0" w:tplc="FFFFFFFF">
      <w:start w:val="1"/>
      <w:numFmt w:val="bullet"/>
      <w:pStyle w:val="ADPPuce1"/>
      <w:lvlText w:val=""/>
      <w:lvlJc w:val="left"/>
      <w:pPr>
        <w:tabs>
          <w:tab w:val="num" w:pos="1080"/>
        </w:tabs>
        <w:ind w:left="1060" w:hanging="340"/>
      </w:pPr>
      <w:rPr>
        <w:rFonts w:ascii="Symbol" w:hAnsi="Symbol" w:hint="default"/>
        <w:color w:val="000080"/>
      </w:rPr>
    </w:lvl>
    <w:lvl w:ilvl="1" w:tplc="FFFFFFFF">
      <w:numFmt w:val="bullet"/>
      <w:lvlText w:val="-"/>
      <w:lvlJc w:val="left"/>
      <w:pPr>
        <w:tabs>
          <w:tab w:val="num" w:pos="1083"/>
        </w:tabs>
        <w:ind w:left="1083" w:hanging="360"/>
      </w:pPr>
      <w:rPr>
        <w:rFonts w:ascii="Times New Roman" w:eastAsia="Times New Roman" w:hAnsi="Times New Roman" w:cs="Times New Roman" w:hint="default"/>
      </w:rPr>
    </w:lvl>
    <w:lvl w:ilvl="2" w:tplc="FFFFFFFF" w:tentative="1">
      <w:start w:val="1"/>
      <w:numFmt w:val="bullet"/>
      <w:lvlText w:val=""/>
      <w:lvlJc w:val="left"/>
      <w:pPr>
        <w:tabs>
          <w:tab w:val="num" w:pos="1803"/>
        </w:tabs>
        <w:ind w:left="1803" w:hanging="360"/>
      </w:pPr>
      <w:rPr>
        <w:rFonts w:ascii="Wingdings" w:hAnsi="Wingdings" w:hint="default"/>
      </w:rPr>
    </w:lvl>
    <w:lvl w:ilvl="3" w:tplc="FFFFFFFF" w:tentative="1">
      <w:start w:val="1"/>
      <w:numFmt w:val="bullet"/>
      <w:lvlText w:val=""/>
      <w:lvlJc w:val="left"/>
      <w:pPr>
        <w:tabs>
          <w:tab w:val="num" w:pos="2523"/>
        </w:tabs>
        <w:ind w:left="2523" w:hanging="360"/>
      </w:pPr>
      <w:rPr>
        <w:rFonts w:ascii="Symbol" w:hAnsi="Symbol" w:hint="default"/>
      </w:rPr>
    </w:lvl>
    <w:lvl w:ilvl="4" w:tplc="FFFFFFFF" w:tentative="1">
      <w:start w:val="1"/>
      <w:numFmt w:val="bullet"/>
      <w:lvlText w:val="o"/>
      <w:lvlJc w:val="left"/>
      <w:pPr>
        <w:tabs>
          <w:tab w:val="num" w:pos="3243"/>
        </w:tabs>
        <w:ind w:left="3243" w:hanging="360"/>
      </w:pPr>
      <w:rPr>
        <w:rFonts w:ascii="Courier New" w:hAnsi="Courier New" w:hint="default"/>
      </w:rPr>
    </w:lvl>
    <w:lvl w:ilvl="5" w:tplc="FFFFFFFF" w:tentative="1">
      <w:start w:val="1"/>
      <w:numFmt w:val="bullet"/>
      <w:lvlText w:val=""/>
      <w:lvlJc w:val="left"/>
      <w:pPr>
        <w:tabs>
          <w:tab w:val="num" w:pos="3963"/>
        </w:tabs>
        <w:ind w:left="3963" w:hanging="360"/>
      </w:pPr>
      <w:rPr>
        <w:rFonts w:ascii="Wingdings" w:hAnsi="Wingdings" w:hint="default"/>
      </w:rPr>
    </w:lvl>
    <w:lvl w:ilvl="6" w:tplc="FFFFFFFF" w:tentative="1">
      <w:start w:val="1"/>
      <w:numFmt w:val="bullet"/>
      <w:lvlText w:val=""/>
      <w:lvlJc w:val="left"/>
      <w:pPr>
        <w:tabs>
          <w:tab w:val="num" w:pos="4683"/>
        </w:tabs>
        <w:ind w:left="4683" w:hanging="360"/>
      </w:pPr>
      <w:rPr>
        <w:rFonts w:ascii="Symbol" w:hAnsi="Symbol" w:hint="default"/>
      </w:rPr>
    </w:lvl>
    <w:lvl w:ilvl="7" w:tplc="FFFFFFFF" w:tentative="1">
      <w:start w:val="1"/>
      <w:numFmt w:val="bullet"/>
      <w:lvlText w:val="o"/>
      <w:lvlJc w:val="left"/>
      <w:pPr>
        <w:tabs>
          <w:tab w:val="num" w:pos="5403"/>
        </w:tabs>
        <w:ind w:left="5403" w:hanging="360"/>
      </w:pPr>
      <w:rPr>
        <w:rFonts w:ascii="Courier New" w:hAnsi="Courier New" w:hint="default"/>
      </w:rPr>
    </w:lvl>
    <w:lvl w:ilvl="8" w:tplc="FFFFFFFF" w:tentative="1">
      <w:start w:val="1"/>
      <w:numFmt w:val="bullet"/>
      <w:lvlText w:val=""/>
      <w:lvlJc w:val="left"/>
      <w:pPr>
        <w:tabs>
          <w:tab w:val="num" w:pos="6123"/>
        </w:tabs>
        <w:ind w:left="6123" w:hanging="360"/>
      </w:pPr>
      <w:rPr>
        <w:rFonts w:ascii="Wingdings" w:hAnsi="Wingdings" w:hint="default"/>
      </w:rPr>
    </w:lvl>
  </w:abstractNum>
  <w:abstractNum w:abstractNumId="23">
    <w:nsid w:val="3A050637"/>
    <w:multiLevelType w:val="hybridMultilevel"/>
    <w:tmpl w:val="2514C218"/>
    <w:lvl w:ilvl="0" w:tplc="08090005">
      <w:start w:val="1"/>
      <w:numFmt w:val="bullet"/>
      <w:lvlText w:val=""/>
      <w:lvlJc w:val="left"/>
      <w:pPr>
        <w:ind w:left="1146" w:hanging="360"/>
      </w:pPr>
      <w:rPr>
        <w:rFonts w:ascii="Wingdings" w:hAnsi="Wingdings"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24">
    <w:nsid w:val="3A5459E8"/>
    <w:multiLevelType w:val="singleLevel"/>
    <w:tmpl w:val="2188C922"/>
    <w:lvl w:ilvl="0">
      <w:start w:val="1"/>
      <w:numFmt w:val="bullet"/>
      <w:lvlRestart w:val="0"/>
      <w:pStyle w:val="Tiret1"/>
      <w:lvlText w:val="–"/>
      <w:lvlJc w:val="left"/>
      <w:pPr>
        <w:tabs>
          <w:tab w:val="num" w:pos="1417"/>
        </w:tabs>
        <w:ind w:left="1417" w:hanging="567"/>
      </w:pPr>
    </w:lvl>
  </w:abstractNum>
  <w:abstractNum w:abstractNumId="25">
    <w:nsid w:val="3A7730C4"/>
    <w:multiLevelType w:val="singleLevel"/>
    <w:tmpl w:val="456C96DE"/>
    <w:lvl w:ilvl="0">
      <w:start w:val="1"/>
      <w:numFmt w:val="bullet"/>
      <w:pStyle w:val="ListBullet1"/>
      <w:lvlText w:val=""/>
      <w:lvlJc w:val="left"/>
      <w:pPr>
        <w:tabs>
          <w:tab w:val="num" w:pos="765"/>
        </w:tabs>
        <w:ind w:left="765" w:hanging="283"/>
      </w:pPr>
      <w:rPr>
        <w:rFonts w:ascii="Symbol" w:hAnsi="Symbol"/>
      </w:rPr>
    </w:lvl>
  </w:abstractNum>
  <w:abstractNum w:abstractNumId="26">
    <w:nsid w:val="3BA736C9"/>
    <w:multiLevelType w:val="singleLevel"/>
    <w:tmpl w:val="F00A6C0C"/>
    <w:lvl w:ilvl="0">
      <w:start w:val="1"/>
      <w:numFmt w:val="bullet"/>
      <w:lvlRestart w:val="0"/>
      <w:pStyle w:val="Tiret0"/>
      <w:lvlText w:val="–"/>
      <w:lvlJc w:val="left"/>
      <w:pPr>
        <w:tabs>
          <w:tab w:val="num" w:pos="850"/>
        </w:tabs>
        <w:ind w:left="850" w:hanging="850"/>
      </w:pPr>
    </w:lvl>
  </w:abstractNum>
  <w:abstractNum w:abstractNumId="27">
    <w:nsid w:val="3C90278F"/>
    <w:multiLevelType w:val="singleLevel"/>
    <w:tmpl w:val="0FE08974"/>
    <w:lvl w:ilvl="0">
      <w:start w:val="1"/>
      <w:numFmt w:val="bullet"/>
      <w:lvlRestart w:val="0"/>
      <w:pStyle w:val="Tiret3"/>
      <w:lvlText w:val="–"/>
      <w:lvlJc w:val="left"/>
      <w:pPr>
        <w:tabs>
          <w:tab w:val="num" w:pos="2551"/>
        </w:tabs>
        <w:ind w:left="2551" w:hanging="567"/>
      </w:pPr>
    </w:lvl>
  </w:abstractNum>
  <w:abstractNum w:abstractNumId="28">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1">
    <w:nsid w:val="48842C30"/>
    <w:multiLevelType w:val="singleLevel"/>
    <w:tmpl w:val="4FA60B90"/>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3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3">
    <w:nsid w:val="4A432656"/>
    <w:multiLevelType w:val="multilevel"/>
    <w:tmpl w:val="4F62D4A2"/>
    <w:lvl w:ilvl="0">
      <w:start w:val="1"/>
      <w:numFmt w:val="decimal"/>
      <w:lvlText w:val="%1."/>
      <w:lvlJc w:val="left"/>
      <w:pPr>
        <w:tabs>
          <w:tab w:val="num" w:pos="480"/>
        </w:tabs>
        <w:ind w:left="480" w:hanging="480"/>
      </w:pPr>
      <w:rPr>
        <w:rFonts w:hint="default"/>
        <w:b/>
      </w:rPr>
    </w:lvl>
    <w:lvl w:ilvl="1">
      <w:start w:val="1"/>
      <w:numFmt w:val="decimal"/>
      <w:pStyle w:val="Heading2"/>
      <w:lvlText w:val="%1.%2."/>
      <w:lvlJc w:val="left"/>
      <w:pPr>
        <w:tabs>
          <w:tab w:val="num" w:pos="1026"/>
        </w:tabs>
        <w:ind w:left="1026" w:hanging="600"/>
      </w:pPr>
      <w:rPr>
        <w:rFonts w:ascii="Verdana" w:hAnsi="Verdana" w:hint="default"/>
        <w:sz w:val="22"/>
      </w:rPr>
    </w:lvl>
    <w:lvl w:ilvl="2">
      <w:start w:val="1"/>
      <w:numFmt w:val="none"/>
      <w:pStyle w:val="Heading3"/>
      <w:lvlText w:val="3.1."/>
      <w:lvlJc w:val="left"/>
      <w:pPr>
        <w:tabs>
          <w:tab w:val="num" w:pos="1920"/>
        </w:tabs>
        <w:ind w:left="1920" w:hanging="840"/>
      </w:pPr>
      <w:rPr>
        <w:rFonts w:hint="default"/>
      </w:rPr>
    </w:lvl>
    <w:lvl w:ilvl="3">
      <w:start w:val="1"/>
      <w:numFmt w:val="decimal"/>
      <w:pStyle w:val="Heading4"/>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4">
    <w:nsid w:val="54593082"/>
    <w:multiLevelType w:val="singleLevel"/>
    <w:tmpl w:val="EDE069AC"/>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35">
    <w:nsid w:val="54BD0BEC"/>
    <w:multiLevelType w:val="singleLevel"/>
    <w:tmpl w:val="72D6F376"/>
    <w:lvl w:ilvl="0">
      <w:start w:val="1"/>
      <w:numFmt w:val="bullet"/>
      <w:pStyle w:val="ListBullet"/>
      <w:lvlText w:val=""/>
      <w:lvlJc w:val="left"/>
      <w:pPr>
        <w:tabs>
          <w:tab w:val="num" w:pos="283"/>
        </w:tabs>
        <w:ind w:left="283" w:hanging="283"/>
      </w:pPr>
      <w:rPr>
        <w:rFonts w:ascii="Symbol" w:hAnsi="Symbol"/>
      </w:rPr>
    </w:lvl>
  </w:abstractNum>
  <w:abstractNum w:abstractNumId="36">
    <w:nsid w:val="568864DC"/>
    <w:multiLevelType w:val="singleLevel"/>
    <w:tmpl w:val="485EBDAC"/>
    <w:lvl w:ilvl="0">
      <w:start w:val="1"/>
      <w:numFmt w:val="bullet"/>
      <w:lvlRestart w:val="0"/>
      <w:pStyle w:val="Tiret4"/>
      <w:lvlText w:val="–"/>
      <w:lvlJc w:val="left"/>
      <w:pPr>
        <w:tabs>
          <w:tab w:val="num" w:pos="3118"/>
        </w:tabs>
        <w:ind w:left="3118" w:hanging="567"/>
      </w:pPr>
    </w:lvl>
  </w:abstractNum>
  <w:abstractNum w:abstractNumId="37">
    <w:nsid w:val="5A8F6E19"/>
    <w:multiLevelType w:val="hybridMultilevel"/>
    <w:tmpl w:val="2880FA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nsid w:val="5BA751CA"/>
    <w:multiLevelType w:val="multilevel"/>
    <w:tmpl w:val="3854380A"/>
    <w:lvl w:ilvl="0">
      <w:start w:val="2"/>
      <w:numFmt w:val="decimal"/>
      <w:lvlText w:val="%1."/>
      <w:lvlJc w:val="left"/>
      <w:pPr>
        <w:tabs>
          <w:tab w:val="num" w:pos="480"/>
        </w:tabs>
        <w:ind w:left="480" w:hanging="480"/>
      </w:pPr>
      <w:rPr>
        <w:rFonts w:hint="default"/>
        <w:b/>
      </w:rPr>
    </w:lvl>
    <w:lvl w:ilvl="1">
      <w:start w:val="1"/>
      <w:numFmt w:val="decimal"/>
      <w:lvlText w:val="%2."/>
      <w:lvlJc w:val="left"/>
      <w:pPr>
        <w:tabs>
          <w:tab w:val="num" w:pos="1026"/>
        </w:tabs>
        <w:ind w:left="1026" w:hanging="600"/>
      </w:pPr>
      <w:rPr>
        <w:rFonts w:hint="default"/>
        <w:sz w:val="22"/>
      </w:rPr>
    </w:lvl>
    <w:lvl w:ilvl="2">
      <w:start w:val="1"/>
      <w:numFmt w:val="none"/>
      <w:lvlText w:val="3.1."/>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9">
    <w:nsid w:val="5F342530"/>
    <w:multiLevelType w:val="singleLevel"/>
    <w:tmpl w:val="D5444702"/>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40">
    <w:nsid w:val="5F9C40AA"/>
    <w:multiLevelType w:val="singleLevel"/>
    <w:tmpl w:val="B89CB5A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41">
    <w:nsid w:val="62970F71"/>
    <w:multiLevelType w:val="singleLevel"/>
    <w:tmpl w:val="5AFA8C72"/>
    <w:lvl w:ilvl="0">
      <w:start w:val="1"/>
      <w:numFmt w:val="bullet"/>
      <w:lvlRestart w:val="0"/>
      <w:pStyle w:val="Tiret2"/>
      <w:lvlText w:val="–"/>
      <w:lvlJc w:val="left"/>
      <w:pPr>
        <w:tabs>
          <w:tab w:val="num" w:pos="1984"/>
        </w:tabs>
        <w:ind w:left="1984" w:hanging="567"/>
      </w:pPr>
    </w:lvl>
  </w:abstractNum>
  <w:abstractNum w:abstractNumId="42">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43">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44">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45">
    <w:nsid w:val="677D625A"/>
    <w:multiLevelType w:val="hybridMultilevel"/>
    <w:tmpl w:val="CFCED1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nsid w:val="689E4F55"/>
    <w:multiLevelType w:val="multilevel"/>
    <w:tmpl w:val="3854380A"/>
    <w:lvl w:ilvl="0">
      <w:start w:val="2"/>
      <w:numFmt w:val="decimal"/>
      <w:lvlText w:val="%1."/>
      <w:lvlJc w:val="left"/>
      <w:pPr>
        <w:tabs>
          <w:tab w:val="num" w:pos="480"/>
        </w:tabs>
        <w:ind w:left="480" w:hanging="480"/>
      </w:pPr>
      <w:rPr>
        <w:rFonts w:hint="default"/>
        <w:b/>
      </w:rPr>
    </w:lvl>
    <w:lvl w:ilvl="1">
      <w:start w:val="1"/>
      <w:numFmt w:val="decimal"/>
      <w:lvlText w:val="%2."/>
      <w:lvlJc w:val="left"/>
      <w:pPr>
        <w:tabs>
          <w:tab w:val="num" w:pos="1026"/>
        </w:tabs>
        <w:ind w:left="1026" w:hanging="600"/>
      </w:pPr>
      <w:rPr>
        <w:rFonts w:hint="default"/>
        <w:sz w:val="22"/>
      </w:rPr>
    </w:lvl>
    <w:lvl w:ilvl="2">
      <w:start w:val="1"/>
      <w:numFmt w:val="none"/>
      <w:lvlText w:val="3.1."/>
      <w:lvlJc w:val="left"/>
      <w:pPr>
        <w:tabs>
          <w:tab w:val="num" w:pos="1920"/>
        </w:tabs>
        <w:ind w:left="1920" w:hanging="840"/>
      </w:pPr>
      <w:rPr>
        <w:rFonts w:hint="default"/>
      </w:rPr>
    </w:lvl>
    <w:lvl w:ilvl="3">
      <w:start w:val="1"/>
      <w:numFmt w:val="decimal"/>
      <w:lvlText w:val="%1.%2.%3.%4."/>
      <w:lvlJc w:val="left"/>
      <w:pPr>
        <w:tabs>
          <w:tab w:val="num" w:pos="2880"/>
        </w:tabs>
        <w:ind w:left="2880" w:hanging="9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47">
    <w:nsid w:val="69995580"/>
    <w:multiLevelType w:val="singleLevel"/>
    <w:tmpl w:val="75CC7CBA"/>
    <w:lvl w:ilvl="0">
      <w:start w:val="1"/>
      <w:numFmt w:val="decimal"/>
      <w:lvlRestart w:val="0"/>
      <w:pStyle w:val="Considrant"/>
      <w:lvlText w:val="(%1)"/>
      <w:lvlJc w:val="left"/>
      <w:pPr>
        <w:tabs>
          <w:tab w:val="num" w:pos="709"/>
        </w:tabs>
        <w:ind w:left="709" w:hanging="709"/>
      </w:pPr>
    </w:lvl>
  </w:abstractNum>
  <w:abstractNum w:abstractNumId="48">
    <w:nsid w:val="6B781E33"/>
    <w:multiLevelType w:val="hybridMultilevel"/>
    <w:tmpl w:val="E710CE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9">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50">
    <w:nsid w:val="748D178B"/>
    <w:multiLevelType w:val="hybridMultilevel"/>
    <w:tmpl w:val="DC26197C"/>
    <w:lvl w:ilvl="0" w:tplc="60BEAD32">
      <w:start w:val="1"/>
      <w:numFmt w:val="bullet"/>
      <w:lvlText w:val="-"/>
      <w:lvlJc w:val="left"/>
      <w:pPr>
        <w:ind w:left="1800" w:hanging="360"/>
      </w:pPr>
      <w:rPr>
        <w:rFonts w:ascii="Arial" w:hAnsi="Arial" w:hint="default"/>
      </w:rPr>
    </w:lvl>
    <w:lvl w:ilvl="1" w:tplc="08090003" w:tentative="1">
      <w:start w:val="1"/>
      <w:numFmt w:val="bullet"/>
      <w:lvlText w:val="o"/>
      <w:lvlJc w:val="left"/>
      <w:pPr>
        <w:ind w:left="2460" w:hanging="360"/>
      </w:pPr>
      <w:rPr>
        <w:rFonts w:ascii="Courier New" w:hAnsi="Courier New" w:cs="Courier New" w:hint="default"/>
      </w:rPr>
    </w:lvl>
    <w:lvl w:ilvl="2" w:tplc="08090005" w:tentative="1">
      <w:start w:val="1"/>
      <w:numFmt w:val="bullet"/>
      <w:lvlText w:val=""/>
      <w:lvlJc w:val="left"/>
      <w:pPr>
        <w:ind w:left="3180" w:hanging="360"/>
      </w:pPr>
      <w:rPr>
        <w:rFonts w:ascii="Wingdings" w:hAnsi="Wingdings" w:hint="default"/>
      </w:rPr>
    </w:lvl>
    <w:lvl w:ilvl="3" w:tplc="08090001" w:tentative="1">
      <w:start w:val="1"/>
      <w:numFmt w:val="bullet"/>
      <w:lvlText w:val=""/>
      <w:lvlJc w:val="left"/>
      <w:pPr>
        <w:ind w:left="3900" w:hanging="360"/>
      </w:pPr>
      <w:rPr>
        <w:rFonts w:ascii="Symbol" w:hAnsi="Symbol" w:hint="default"/>
      </w:rPr>
    </w:lvl>
    <w:lvl w:ilvl="4" w:tplc="08090003" w:tentative="1">
      <w:start w:val="1"/>
      <w:numFmt w:val="bullet"/>
      <w:lvlText w:val="o"/>
      <w:lvlJc w:val="left"/>
      <w:pPr>
        <w:ind w:left="4620" w:hanging="360"/>
      </w:pPr>
      <w:rPr>
        <w:rFonts w:ascii="Courier New" w:hAnsi="Courier New" w:cs="Courier New" w:hint="default"/>
      </w:rPr>
    </w:lvl>
    <w:lvl w:ilvl="5" w:tplc="08090005" w:tentative="1">
      <w:start w:val="1"/>
      <w:numFmt w:val="bullet"/>
      <w:lvlText w:val=""/>
      <w:lvlJc w:val="left"/>
      <w:pPr>
        <w:ind w:left="5340" w:hanging="360"/>
      </w:pPr>
      <w:rPr>
        <w:rFonts w:ascii="Wingdings" w:hAnsi="Wingdings" w:hint="default"/>
      </w:rPr>
    </w:lvl>
    <w:lvl w:ilvl="6" w:tplc="08090001" w:tentative="1">
      <w:start w:val="1"/>
      <w:numFmt w:val="bullet"/>
      <w:lvlText w:val=""/>
      <w:lvlJc w:val="left"/>
      <w:pPr>
        <w:ind w:left="6060" w:hanging="360"/>
      </w:pPr>
      <w:rPr>
        <w:rFonts w:ascii="Symbol" w:hAnsi="Symbol" w:hint="default"/>
      </w:rPr>
    </w:lvl>
    <w:lvl w:ilvl="7" w:tplc="08090003" w:tentative="1">
      <w:start w:val="1"/>
      <w:numFmt w:val="bullet"/>
      <w:lvlText w:val="o"/>
      <w:lvlJc w:val="left"/>
      <w:pPr>
        <w:ind w:left="6780" w:hanging="360"/>
      </w:pPr>
      <w:rPr>
        <w:rFonts w:ascii="Courier New" w:hAnsi="Courier New" w:cs="Courier New" w:hint="default"/>
      </w:rPr>
    </w:lvl>
    <w:lvl w:ilvl="8" w:tplc="08090005" w:tentative="1">
      <w:start w:val="1"/>
      <w:numFmt w:val="bullet"/>
      <w:lvlText w:val=""/>
      <w:lvlJc w:val="left"/>
      <w:pPr>
        <w:ind w:left="7500" w:hanging="360"/>
      </w:pPr>
      <w:rPr>
        <w:rFonts w:ascii="Wingdings" w:hAnsi="Wingdings" w:hint="default"/>
      </w:rPr>
    </w:lvl>
  </w:abstractNum>
  <w:abstractNum w:abstractNumId="51">
    <w:nsid w:val="78646E5C"/>
    <w:multiLevelType w:val="hybridMultilevel"/>
    <w:tmpl w:val="F41A12F8"/>
    <w:lvl w:ilvl="0" w:tplc="08090005">
      <w:start w:val="1"/>
      <w:numFmt w:val="bullet"/>
      <w:lvlText w:val=""/>
      <w:lvlJc w:val="left"/>
      <w:pPr>
        <w:ind w:left="786" w:hanging="360"/>
      </w:pPr>
      <w:rPr>
        <w:rFonts w:ascii="Wingdings" w:hAnsi="Wingdings" w:hint="default"/>
      </w:rPr>
    </w:lvl>
    <w:lvl w:ilvl="1" w:tplc="08090003" w:tentative="1">
      <w:start w:val="1"/>
      <w:numFmt w:val="bullet"/>
      <w:lvlText w:val="o"/>
      <w:lvlJc w:val="left"/>
      <w:pPr>
        <w:ind w:left="1506" w:hanging="360"/>
      </w:pPr>
      <w:rPr>
        <w:rFonts w:ascii="Courier New" w:hAnsi="Courier New" w:cs="Courier New"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52">
    <w:nsid w:val="78EA708B"/>
    <w:multiLevelType w:val="hybridMultilevel"/>
    <w:tmpl w:val="2BDE2FBC"/>
    <w:lvl w:ilvl="0" w:tplc="B4CEC1E0">
      <w:start w:val="1"/>
      <w:numFmt w:val="decimal"/>
      <w:lvlText w:val="%1."/>
      <w:lvlJc w:val="left"/>
      <w:pPr>
        <w:ind w:left="360" w:hanging="360"/>
      </w:pPr>
      <w:rPr>
        <w:rFonts w:hint="default"/>
      </w:rPr>
    </w:lvl>
    <w:lvl w:ilvl="1" w:tplc="C060DD54">
      <w:start w:val="1"/>
      <w:numFmt w:val="decimal"/>
      <w:lvlText w:val="3.%2."/>
      <w:lvlJc w:val="left"/>
      <w:pPr>
        <w:ind w:left="1440" w:hanging="360"/>
      </w:pPr>
      <w:rPr>
        <w:rFonts w:hint="default"/>
        <w:caps w:val="0"/>
        <w:smallCaps w:val="0"/>
      </w:rPr>
    </w:lvl>
    <w:lvl w:ilvl="2" w:tplc="0809001B">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nsid w:val="7AE6177F"/>
    <w:multiLevelType w:val="hybridMultilevel"/>
    <w:tmpl w:val="35A452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4">
    <w:nsid w:val="7BE95D7F"/>
    <w:multiLevelType w:val="multilevel"/>
    <w:tmpl w:val="F126F780"/>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55">
    <w:nsid w:val="7CBD1F96"/>
    <w:multiLevelType w:val="hybridMultilevel"/>
    <w:tmpl w:val="E1A404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33"/>
  </w:num>
  <w:num w:numId="4">
    <w:abstractNumId w:val="35"/>
  </w:num>
  <w:num w:numId="5">
    <w:abstractNumId w:val="25"/>
  </w:num>
  <w:num w:numId="6">
    <w:abstractNumId w:val="21"/>
  </w:num>
  <w:num w:numId="7">
    <w:abstractNumId w:val="12"/>
  </w:num>
  <w:num w:numId="8">
    <w:abstractNumId w:val="10"/>
  </w:num>
  <w:num w:numId="9">
    <w:abstractNumId w:val="42"/>
  </w:num>
  <w:num w:numId="10">
    <w:abstractNumId w:val="44"/>
  </w:num>
  <w:num w:numId="11">
    <w:abstractNumId w:val="43"/>
  </w:num>
  <w:num w:numId="12">
    <w:abstractNumId w:val="49"/>
  </w:num>
  <w:num w:numId="13">
    <w:abstractNumId w:val="17"/>
  </w:num>
  <w:num w:numId="14">
    <w:abstractNumId w:val="28"/>
  </w:num>
  <w:num w:numId="15">
    <w:abstractNumId w:val="30"/>
  </w:num>
  <w:num w:numId="16">
    <w:abstractNumId w:val="29"/>
  </w:num>
  <w:num w:numId="17">
    <w:abstractNumId w:val="4"/>
  </w:num>
  <w:num w:numId="18">
    <w:abstractNumId w:val="32"/>
  </w:num>
  <w:num w:numId="19">
    <w:abstractNumId w:val="22"/>
  </w:num>
  <w:num w:numId="20">
    <w:abstractNumId w:val="26"/>
  </w:num>
  <w:num w:numId="21">
    <w:abstractNumId w:val="24"/>
  </w:num>
  <w:num w:numId="22">
    <w:abstractNumId w:val="41"/>
  </w:num>
  <w:num w:numId="23">
    <w:abstractNumId w:val="27"/>
  </w:num>
  <w:num w:numId="24">
    <w:abstractNumId w:val="36"/>
  </w:num>
  <w:num w:numId="25">
    <w:abstractNumId w:val="54"/>
  </w:num>
  <w:num w:numId="26">
    <w:abstractNumId w:val="34"/>
  </w:num>
  <w:num w:numId="27">
    <w:abstractNumId w:val="20"/>
  </w:num>
  <w:num w:numId="28">
    <w:abstractNumId w:val="40"/>
  </w:num>
  <w:num w:numId="29">
    <w:abstractNumId w:val="39"/>
  </w:num>
  <w:num w:numId="30">
    <w:abstractNumId w:val="31"/>
  </w:num>
  <w:num w:numId="31">
    <w:abstractNumId w:val="47"/>
  </w:num>
  <w:num w:numId="32">
    <w:abstractNumId w:val="5"/>
  </w:num>
  <w:num w:numId="33">
    <w:abstractNumId w:val="14"/>
  </w:num>
  <w:num w:numId="34">
    <w:abstractNumId w:val="13"/>
  </w:num>
  <w:num w:numId="35">
    <w:abstractNumId w:val="50"/>
  </w:num>
  <w:num w:numId="36">
    <w:abstractNumId w:val="48"/>
  </w:num>
  <w:num w:numId="37">
    <w:abstractNumId w:val="52"/>
  </w:num>
  <w:num w:numId="38">
    <w:abstractNumId w:val="8"/>
  </w:num>
  <w:num w:numId="39">
    <w:abstractNumId w:val="45"/>
  </w:num>
  <w:num w:numId="40">
    <w:abstractNumId w:val="33"/>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6"/>
  </w:num>
  <w:num w:numId="42">
    <w:abstractNumId w:val="7"/>
  </w:num>
  <w:num w:numId="43">
    <w:abstractNumId w:val="2"/>
  </w:num>
  <w:num w:numId="44">
    <w:abstractNumId w:val="53"/>
  </w:num>
  <w:num w:numId="45">
    <w:abstractNumId w:val="18"/>
  </w:num>
  <w:num w:numId="46">
    <w:abstractNumId w:val="9"/>
  </w:num>
  <w:num w:numId="47">
    <w:abstractNumId w:val="37"/>
  </w:num>
  <w:num w:numId="48">
    <w:abstractNumId w:val="16"/>
  </w:num>
  <w:num w:numId="49">
    <w:abstractNumId w:val="51"/>
  </w:num>
  <w:num w:numId="50">
    <w:abstractNumId w:val="23"/>
  </w:num>
  <w:num w:numId="51">
    <w:abstractNumId w:val="15"/>
  </w:num>
  <w:num w:numId="52">
    <w:abstractNumId w:val="3"/>
  </w:num>
  <w:num w:numId="53">
    <w:abstractNumId w:val="38"/>
  </w:num>
  <w:num w:numId="54">
    <w:abstractNumId w:val="11"/>
  </w:num>
  <w:num w:numId="55">
    <w:abstractNumId w:val="46"/>
  </w:num>
  <w:num w:numId="56">
    <w:abstractNumId w:val="33"/>
  </w:num>
  <w:num w:numId="57">
    <w:abstractNumId w:val="33"/>
  </w:num>
  <w:num w:numId="58">
    <w:abstractNumId w:val="19"/>
  </w:num>
  <w:num w:numId="59">
    <w:abstractNumId w:val="55"/>
  </w:num>
  <w:numIdMacAtCleanup w:val="5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20"/>
  <w:characterSpacingControl w:val="doNotCompress"/>
  <w:hdrShapeDefaults>
    <o:shapedefaults v:ext="edit" spidmax="25600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B801ECCFDEDA45A6ABE9A9EB87C362A6"/>
    <w:docVar w:name="LW_CROSSREFERENCE" w:val="&lt;UNUSED&gt;"/>
    <w:docVar w:name="LW_DocType" w:val="NORMAL"/>
    <w:docVar w:name="LW_EMISSION" w:val="18.7.2016"/>
    <w:docVar w:name="LW_EMISSION_ISODATE" w:val="2016-07-18"/>
    <w:docVar w:name="LW_EMISSION_LOCATION" w:val="BRX"/>
    <w:docVar w:name="LW_EMISSION_PREFIX" w:val="Brussels, "/>
    <w:docVar w:name="LW_EMISSION_SUFFIX" w:val=" "/>
    <w:docVar w:name="LW_ID_DOCTYPE_NONLW" w:val="CP-009"/>
    <w:docVar w:name="LW_LANGUE" w:val="EN"/>
    <w:docVar w:name="LW_MARKING" w:val="&lt;UNUSED&gt;"/>
    <w:docVar w:name="LW_NOM.INST" w:val="EUROPEAN COMMISSION"/>
    <w:docVar w:name="LW_NOM.INST_JOINTDOC" w:val="&lt;EMPTY&gt;"/>
    <w:docVar w:name="LW_PART_NBR" w:val="1"/>
    <w:docVar w:name="LW_PART_NBR_TOTAL" w:val="1"/>
    <w:docVar w:name="LW_REF.INST.NEW" w:val="COM"/>
    <w:docVar w:name="LW_REF.INST.NEW_ADOPTED" w:val="final"/>
    <w:docVar w:name="LW_REF.INST.NEW_TEXT" w:val="(2016) 486"/>
    <w:docVar w:name="LW_REF.INTERNE" w:val="&lt;UNUSED&gt;"/>
    <w:docVar w:name="LW_SOUS.TITRE.OBJ.CP" w:val="&lt;UNUSED&gt;"/>
    <w:docVar w:name="LW_SUPERTITRE" w:val="&lt;UNUSED&gt;"/>
    <w:docVar w:name="LW_TITRE.OBJ.CP" w:val="PROTECTION OF THE EU BUDGET TO END 2015"/>
    <w:docVar w:name="LW_TYPE.DOC.CP" w:val="COMMUNICATION FROM THE COMMISSION"/>
    <w:docVar w:name="LW_TYPE.DOC.CP.USERTEXT" w:val="TO THE EUROPEAN PARLIAMENT, THE COUNCIL AND THE COURT OF AUDITORS"/>
  </w:docVars>
  <w:rsids>
    <w:rsidRoot w:val="00CC45FC"/>
    <w:rsid w:val="004A7700"/>
    <w:rsid w:val="005F1E9A"/>
    <w:rsid w:val="00CC45F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5600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qFormat="1"/>
    <w:lsdException w:name="line number" w:uiPriority="99"/>
    <w:lsdException w:name="Title" w:semiHidden="0" w:unhideWhenUsed="0" w:qFormat="1"/>
    <w:lsdException w:name="Signature" w:uiPriority="99"/>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240" w:line="240" w:lineRule="auto"/>
      <w:jc w:val="both"/>
      <w:outlineLvl w:val="0"/>
    </w:pPr>
    <w:rPr>
      <w:rFonts w:ascii="Verdana" w:eastAsia="Times New Roman" w:hAnsi="Verdana"/>
      <w:b/>
      <w:caps/>
      <w:smallCaps/>
      <w:kern w:val="32"/>
      <w:szCs w:val="32"/>
      <w:lang w:val="x-none"/>
    </w:rPr>
  </w:style>
  <w:style w:type="paragraph" w:styleId="Heading2">
    <w:name w:val="heading 2"/>
    <w:basedOn w:val="Normal"/>
    <w:next w:val="Normal"/>
    <w:link w:val="Heading2Char"/>
    <w:uiPriority w:val="9"/>
    <w:unhideWhenUsed/>
    <w:qFormat/>
    <w:pPr>
      <w:keepNext/>
      <w:numPr>
        <w:ilvl w:val="1"/>
        <w:numId w:val="3"/>
      </w:numPr>
      <w:spacing w:before="240" w:after="60"/>
      <w:outlineLvl w:val="1"/>
    </w:pPr>
    <w:rPr>
      <w:rFonts w:ascii="Cambria" w:eastAsia="Times New Roman" w:hAnsi="Cambria"/>
      <w:b/>
      <w:bCs/>
      <w:i/>
      <w:iCs/>
      <w:sz w:val="28"/>
      <w:szCs w:val="28"/>
      <w:lang w:val="x-none"/>
    </w:rPr>
  </w:style>
  <w:style w:type="paragraph" w:styleId="Heading3">
    <w:name w:val="heading 3"/>
    <w:basedOn w:val="Normal"/>
    <w:next w:val="Text3"/>
    <w:link w:val="Heading3Char"/>
    <w:qFormat/>
    <w:pPr>
      <w:keepNext/>
      <w:numPr>
        <w:ilvl w:val="2"/>
        <w:numId w:val="3"/>
      </w:numPr>
      <w:spacing w:after="240" w:line="240" w:lineRule="auto"/>
      <w:jc w:val="both"/>
      <w:outlineLvl w:val="2"/>
    </w:pPr>
    <w:rPr>
      <w:rFonts w:ascii="Times New Roman" w:eastAsia="Times New Roman" w:hAnsi="Times New Roman"/>
      <w:i/>
      <w:sz w:val="24"/>
      <w:szCs w:val="20"/>
      <w:lang w:val="x-none"/>
    </w:rPr>
  </w:style>
  <w:style w:type="paragraph" w:styleId="Heading4">
    <w:name w:val="heading 4"/>
    <w:basedOn w:val="Normal"/>
    <w:next w:val="Text4"/>
    <w:link w:val="Heading4Char"/>
    <w:qFormat/>
    <w:pPr>
      <w:keepNext/>
      <w:numPr>
        <w:ilvl w:val="3"/>
        <w:numId w:val="3"/>
      </w:numPr>
      <w:spacing w:after="240" w:line="240" w:lineRule="auto"/>
      <w:jc w:val="both"/>
      <w:outlineLvl w:val="3"/>
    </w:pPr>
    <w:rPr>
      <w:rFonts w:ascii="Times New Roman" w:eastAsia="Times New Roman" w:hAnsi="Times New Roman"/>
      <w:sz w:val="24"/>
      <w:szCs w:val="20"/>
      <w:lang w:val="x-none"/>
    </w:rPr>
  </w:style>
  <w:style w:type="paragraph" w:styleId="Heading5">
    <w:name w:val="heading 5"/>
    <w:basedOn w:val="Normal"/>
    <w:next w:val="Normal"/>
    <w:link w:val="Heading5Char"/>
    <w:qFormat/>
    <w:pPr>
      <w:spacing w:before="240" w:after="60" w:line="240" w:lineRule="auto"/>
      <w:ind w:left="3332" w:hanging="708"/>
      <w:jc w:val="both"/>
      <w:outlineLvl w:val="4"/>
    </w:pPr>
    <w:rPr>
      <w:rFonts w:ascii="Arial" w:eastAsia="Times New Roman" w:hAnsi="Arial"/>
      <w:szCs w:val="20"/>
      <w:lang w:val="x-none"/>
    </w:rPr>
  </w:style>
  <w:style w:type="paragraph" w:styleId="Heading6">
    <w:name w:val="heading 6"/>
    <w:basedOn w:val="Normal"/>
    <w:next w:val="Normal"/>
    <w:link w:val="Heading6Char"/>
    <w:qFormat/>
    <w:pPr>
      <w:spacing w:before="240" w:after="60" w:line="240" w:lineRule="auto"/>
      <w:ind w:left="4040" w:hanging="708"/>
      <w:jc w:val="both"/>
      <w:outlineLvl w:val="5"/>
    </w:pPr>
    <w:rPr>
      <w:rFonts w:ascii="Arial" w:eastAsia="Times New Roman" w:hAnsi="Arial"/>
      <w:i/>
      <w:szCs w:val="20"/>
      <w:lang w:val="x-none"/>
    </w:rPr>
  </w:style>
  <w:style w:type="paragraph" w:styleId="Heading7">
    <w:name w:val="heading 7"/>
    <w:basedOn w:val="Normal"/>
    <w:next w:val="Normal"/>
    <w:link w:val="Heading7Char"/>
    <w:qFormat/>
    <w:pPr>
      <w:spacing w:before="240" w:after="60" w:line="240" w:lineRule="auto"/>
      <w:ind w:left="4748" w:hanging="708"/>
      <w:jc w:val="both"/>
      <w:outlineLvl w:val="6"/>
    </w:pPr>
    <w:rPr>
      <w:rFonts w:ascii="Arial" w:eastAsia="Times New Roman" w:hAnsi="Arial"/>
      <w:sz w:val="20"/>
      <w:szCs w:val="20"/>
      <w:lang w:val="x-none"/>
    </w:rPr>
  </w:style>
  <w:style w:type="paragraph" w:styleId="Heading8">
    <w:name w:val="heading 8"/>
    <w:basedOn w:val="Normal"/>
    <w:next w:val="Normal"/>
    <w:link w:val="Heading8Char"/>
    <w:qFormat/>
    <w:pPr>
      <w:spacing w:before="240" w:after="60" w:line="240" w:lineRule="auto"/>
      <w:ind w:left="5456" w:hanging="708"/>
      <w:jc w:val="both"/>
      <w:outlineLvl w:val="7"/>
    </w:pPr>
    <w:rPr>
      <w:rFonts w:ascii="Arial" w:eastAsia="Times New Roman" w:hAnsi="Arial"/>
      <w:i/>
      <w:sz w:val="20"/>
      <w:szCs w:val="20"/>
      <w:lang w:val="x-none"/>
    </w:rPr>
  </w:style>
  <w:style w:type="paragraph" w:styleId="Heading9">
    <w:name w:val="heading 9"/>
    <w:basedOn w:val="Normal"/>
    <w:next w:val="Normal"/>
    <w:link w:val="Heading9Char"/>
    <w:qFormat/>
    <w:pPr>
      <w:spacing w:before="240" w:after="60" w:line="240" w:lineRule="auto"/>
      <w:ind w:left="6164" w:hanging="708"/>
      <w:jc w:val="both"/>
      <w:outlineLvl w:val="8"/>
    </w:pPr>
    <w:rPr>
      <w:rFonts w:ascii="Arial" w:eastAsia="Times New Roman" w:hAnsi="Arial"/>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rPr>
      <w:lang w:val="x-none"/>
    </w:r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rPr>
      <w:lang w:val="x-none"/>
    </w:r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styleId="Hyperlink">
    <w:name w:val="Hyperlink"/>
    <w:uiPriority w:val="99"/>
    <w:unhideWhenUsed/>
    <w:rPr>
      <w:color w:val="0000FF"/>
      <w:u w:val="single"/>
    </w:rPr>
  </w:style>
  <w:style w:type="character" w:customStyle="1" w:styleId="Heading1Char">
    <w:name w:val="Heading 1 Char"/>
    <w:link w:val="Heading1"/>
    <w:rPr>
      <w:rFonts w:ascii="Verdana" w:eastAsia="Times New Roman" w:hAnsi="Verdana"/>
      <w:b/>
      <w:caps/>
      <w:smallCaps/>
      <w:kern w:val="32"/>
      <w:sz w:val="22"/>
      <w:szCs w:val="32"/>
      <w:lang w:val="x-none" w:eastAsia="en-US"/>
    </w:rPr>
  </w:style>
  <w:style w:type="paragraph" w:styleId="TOCHeading">
    <w:name w:val="TOC Heading"/>
    <w:basedOn w:val="Normal"/>
    <w:next w:val="Normal"/>
    <w:uiPriority w:val="39"/>
    <w:unhideWhenUsed/>
    <w:qFormat/>
    <w:pPr>
      <w:spacing w:before="120" w:after="240" w:line="240" w:lineRule="auto"/>
      <w:jc w:val="center"/>
    </w:pPr>
    <w:rPr>
      <w:rFonts w:ascii="Times New Roman" w:hAnsi="Times New Roman"/>
      <w:b/>
      <w:sz w:val="28"/>
      <w:szCs w:val="20"/>
      <w:lang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hAnsi="Times New Roman"/>
      <w:sz w:val="24"/>
      <w:szCs w:val="20"/>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hAnsi="Times New Roman"/>
      <w:sz w:val="24"/>
      <w:szCs w:val="20"/>
      <w:lang w:eastAsia="en-GB"/>
    </w:rPr>
  </w:style>
  <w:style w:type="character" w:customStyle="1" w:styleId="Heading2Char">
    <w:name w:val="Heading 2 Char"/>
    <w:link w:val="Heading2"/>
    <w:uiPriority w:val="9"/>
    <w:rPr>
      <w:rFonts w:ascii="Cambria" w:eastAsia="Times New Roman" w:hAnsi="Cambria"/>
      <w:b/>
      <w:bCs/>
      <w:i/>
      <w:iCs/>
      <w:sz w:val="28"/>
      <w:szCs w:val="28"/>
      <w:lang w:val="x-none" w:eastAsia="en-US"/>
    </w:rPr>
  </w:style>
  <w:style w:type="character" w:customStyle="1" w:styleId="Heading3Char">
    <w:name w:val="Heading 3 Char"/>
    <w:link w:val="Heading3"/>
    <w:rPr>
      <w:rFonts w:ascii="Times New Roman" w:eastAsia="Times New Roman" w:hAnsi="Times New Roman"/>
      <w:i/>
      <w:sz w:val="24"/>
      <w:lang w:val="x-none" w:eastAsia="en-US"/>
    </w:rPr>
  </w:style>
  <w:style w:type="character" w:customStyle="1" w:styleId="Heading4Char">
    <w:name w:val="Heading 4 Char"/>
    <w:link w:val="Heading4"/>
    <w:rPr>
      <w:rFonts w:ascii="Times New Roman" w:eastAsia="Times New Roman" w:hAnsi="Times New Roman"/>
      <w:sz w:val="24"/>
      <w:lang w:val="x-none" w:eastAsia="en-US"/>
    </w:rPr>
  </w:style>
  <w:style w:type="character" w:customStyle="1" w:styleId="Heading5Char">
    <w:name w:val="Heading 5 Char"/>
    <w:link w:val="Heading5"/>
    <w:rPr>
      <w:rFonts w:ascii="Arial" w:eastAsia="Times New Roman" w:hAnsi="Arial"/>
      <w:sz w:val="22"/>
      <w:lang w:eastAsia="en-US"/>
    </w:rPr>
  </w:style>
  <w:style w:type="character" w:customStyle="1" w:styleId="Heading6Char">
    <w:name w:val="Heading 6 Char"/>
    <w:link w:val="Heading6"/>
    <w:rPr>
      <w:rFonts w:ascii="Arial" w:eastAsia="Times New Roman" w:hAnsi="Arial"/>
      <w:i/>
      <w:sz w:val="22"/>
      <w:lang w:eastAsia="en-US"/>
    </w:rPr>
  </w:style>
  <w:style w:type="character" w:customStyle="1" w:styleId="Heading7Char">
    <w:name w:val="Heading 7 Char"/>
    <w:link w:val="Heading7"/>
    <w:rPr>
      <w:rFonts w:ascii="Arial" w:eastAsia="Times New Roman" w:hAnsi="Arial"/>
      <w:lang w:eastAsia="en-US"/>
    </w:rPr>
  </w:style>
  <w:style w:type="character" w:customStyle="1" w:styleId="Heading8Char">
    <w:name w:val="Heading 8 Char"/>
    <w:link w:val="Heading8"/>
    <w:rPr>
      <w:rFonts w:ascii="Arial" w:eastAsia="Times New Roman" w:hAnsi="Arial"/>
      <w:i/>
      <w:lang w:eastAsia="en-US"/>
    </w:rPr>
  </w:style>
  <w:style w:type="character" w:customStyle="1" w:styleId="Heading9Char">
    <w:name w:val="Heading 9 Char"/>
    <w:link w:val="Heading9"/>
    <w:rPr>
      <w:rFonts w:ascii="Arial" w:eastAsia="Times New Roman" w:hAnsi="Arial"/>
      <w:i/>
      <w:sz w:val="18"/>
      <w:lang w:eastAsia="en-US"/>
    </w:rPr>
  </w:style>
  <w:style w:type="paragraph" w:customStyle="1" w:styleId="Text1">
    <w:name w:val="Text 1"/>
    <w:basedOn w:val="Normal"/>
    <w:pPr>
      <w:spacing w:after="240" w:line="240" w:lineRule="auto"/>
      <w:ind w:left="482"/>
      <w:jc w:val="both"/>
    </w:pPr>
    <w:rPr>
      <w:rFonts w:ascii="Times New Roman" w:eastAsia="Times New Roman" w:hAnsi="Times New Roman"/>
      <w:sz w:val="24"/>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sz w:val="24"/>
      <w:szCs w:val="20"/>
    </w:rPr>
  </w:style>
  <w:style w:type="paragraph" w:customStyle="1" w:styleId="Text3">
    <w:name w:val="Text 3"/>
    <w:basedOn w:val="Normal"/>
    <w:pPr>
      <w:tabs>
        <w:tab w:val="left" w:pos="2302"/>
      </w:tabs>
      <w:spacing w:after="240" w:line="240" w:lineRule="auto"/>
      <w:ind w:left="1916"/>
      <w:jc w:val="both"/>
    </w:pPr>
    <w:rPr>
      <w:rFonts w:ascii="Times New Roman" w:eastAsia="Times New Roman" w:hAnsi="Times New Roman"/>
      <w:sz w:val="24"/>
      <w:szCs w:val="20"/>
    </w:rPr>
  </w:style>
  <w:style w:type="paragraph" w:customStyle="1" w:styleId="Text4">
    <w:name w:val="Text 4"/>
    <w:basedOn w:val="Normal"/>
    <w:pPr>
      <w:spacing w:after="240" w:line="240" w:lineRule="auto"/>
      <w:ind w:left="2880"/>
      <w:jc w:val="both"/>
    </w:pPr>
    <w:rPr>
      <w:rFonts w:ascii="Times New Roman" w:eastAsia="Times New Roman" w:hAnsi="Times New Roman"/>
      <w:sz w:val="24"/>
      <w:szCs w:val="20"/>
    </w:rPr>
  </w:style>
  <w:style w:type="paragraph" w:customStyle="1" w:styleId="Address">
    <w:name w:val="Address"/>
    <w:basedOn w:val="Normal"/>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after="720" w:line="240" w:lineRule="auto"/>
    </w:pPr>
    <w:rPr>
      <w:rFonts w:ascii="Times New Roman" w:eastAsia="Times New Roman" w:hAnsi="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lang w:val="x-none"/>
    </w:rPr>
  </w:style>
  <w:style w:type="character" w:customStyle="1" w:styleId="BodyTextChar">
    <w:name w:val="Body Text Char"/>
    <w:link w:val="BodyText"/>
    <w:rPr>
      <w:rFonts w:ascii="Times New Roman" w:eastAsia="Times New Roman" w:hAnsi="Times New Roman"/>
      <w:sz w:val="24"/>
      <w:lang w:eastAsia="en-US"/>
    </w:rPr>
  </w:style>
  <w:style w:type="paragraph" w:styleId="BodyText2">
    <w:name w:val="Body Text 2"/>
    <w:basedOn w:val="Normal"/>
    <w:link w:val="BodyText2Char"/>
    <w:pPr>
      <w:spacing w:after="120" w:line="480" w:lineRule="auto"/>
      <w:jc w:val="both"/>
    </w:pPr>
    <w:rPr>
      <w:rFonts w:ascii="Times New Roman" w:eastAsia="Times New Roman" w:hAnsi="Times New Roman"/>
      <w:sz w:val="24"/>
      <w:szCs w:val="20"/>
      <w:lang w:val="x-none"/>
    </w:rPr>
  </w:style>
  <w:style w:type="character" w:customStyle="1" w:styleId="BodyText2Char">
    <w:name w:val="Body Text 2 Char"/>
    <w:link w:val="BodyText2"/>
    <w:rPr>
      <w:rFonts w:ascii="Times New Roman" w:eastAsia="Times New Roman" w:hAnsi="Times New Roman"/>
      <w:sz w:val="24"/>
      <w:lang w:eastAsia="en-US"/>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lang w:val="x-none"/>
    </w:rPr>
  </w:style>
  <w:style w:type="character" w:customStyle="1" w:styleId="BodyText3Char">
    <w:name w:val="Body Text 3 Char"/>
    <w:link w:val="BodyText3"/>
    <w:rPr>
      <w:rFonts w:ascii="Times New Roman" w:eastAsia="Times New Roman" w:hAnsi="Times New Roman"/>
      <w:sz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lang w:eastAsia="en-US"/>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szCs w:val="20"/>
      <w:lang w:val="x-none"/>
    </w:rPr>
  </w:style>
  <w:style w:type="character" w:customStyle="1" w:styleId="BodyTextIndentChar">
    <w:name w:val="Body Text Indent Char"/>
    <w:link w:val="BodyTextIndent"/>
    <w:rPr>
      <w:rFonts w:ascii="Times New Roman" w:eastAsia="Times New Roman" w:hAnsi="Times New Roman"/>
      <w:sz w:val="24"/>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lang w:eastAsia="en-US"/>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szCs w:val="20"/>
      <w:lang w:val="x-none"/>
    </w:rPr>
  </w:style>
  <w:style w:type="character" w:customStyle="1" w:styleId="BodyTextIndent2Char">
    <w:name w:val="Body Text Indent 2 Char"/>
    <w:link w:val="BodyTextIndent2"/>
    <w:rPr>
      <w:rFonts w:ascii="Times New Roman" w:eastAsia="Times New Roman" w:hAnsi="Times New Roman"/>
      <w:sz w:val="24"/>
      <w:lang w:eastAsia="en-US"/>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lang w:val="x-none"/>
    </w:rPr>
  </w:style>
  <w:style w:type="character" w:customStyle="1" w:styleId="BodyTextIndent3Char">
    <w:name w:val="Body Text Indent 3 Char"/>
    <w:link w:val="BodyTextIndent3"/>
    <w:rPr>
      <w:rFonts w:ascii="Times New Roman" w:eastAsia="Times New Roman" w:hAnsi="Times New Roman"/>
      <w:sz w:val="16"/>
      <w:lang w:eastAsia="en-US"/>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sz w:val="24"/>
      <w:szCs w:val="20"/>
      <w:lang w:val="x-none"/>
    </w:rPr>
  </w:style>
  <w:style w:type="character" w:customStyle="1" w:styleId="ClosingChar">
    <w:name w:val="Closing Char"/>
    <w:link w:val="Closing"/>
    <w:rPr>
      <w:rFonts w:ascii="Times New Roman" w:eastAsia="Times New Roman" w:hAnsi="Times New Roman"/>
      <w:sz w:val="24"/>
      <w:lang w:eastAsia="en-US"/>
    </w:rPr>
  </w:style>
  <w:style w:type="paragraph" w:styleId="Signature">
    <w:name w:val="Signature"/>
    <w:basedOn w:val="Normal"/>
    <w:next w:val="Contact"/>
    <w:link w:val="SignatureChar"/>
    <w:uiPriority w:val="99"/>
    <w:pPr>
      <w:tabs>
        <w:tab w:val="left" w:pos="5103"/>
      </w:tabs>
      <w:spacing w:before="1200" w:after="0" w:line="240" w:lineRule="auto"/>
      <w:ind w:left="5103"/>
      <w:jc w:val="center"/>
    </w:pPr>
    <w:rPr>
      <w:rFonts w:ascii="Times New Roman" w:eastAsia="Times New Roman" w:hAnsi="Times New Roman"/>
      <w:sz w:val="24"/>
      <w:szCs w:val="20"/>
      <w:lang w:val="x-none"/>
    </w:rPr>
  </w:style>
  <w:style w:type="character" w:customStyle="1" w:styleId="SignatureChar">
    <w:name w:val="Signature Char"/>
    <w:link w:val="Signature"/>
    <w:uiPriority w:val="99"/>
    <w:rPr>
      <w:rFonts w:ascii="Times New Roman" w:eastAsia="Times New Roman" w:hAnsi="Times New Roman"/>
      <w:sz w:val="24"/>
      <w:lang w:eastAsia="en-US"/>
    </w:rPr>
  </w:style>
  <w:style w:type="paragraph" w:customStyle="1" w:styleId="Enclosures">
    <w:name w:val="Enclosures"/>
    <w:basedOn w:val="Normal"/>
    <w:next w:val="Participants"/>
    <w:pPr>
      <w:keepNext/>
      <w:keepLines/>
      <w:tabs>
        <w:tab w:val="left" w:pos="5670"/>
      </w:tabs>
      <w:spacing w:before="480" w:after="0" w:line="240" w:lineRule="auto"/>
      <w:ind w:left="1985" w:hanging="1985"/>
    </w:pPr>
    <w:rPr>
      <w:rFonts w:ascii="Times New Roman" w:eastAsia="Times New Roman" w:hAnsi="Times New Roman"/>
      <w:sz w:val="24"/>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sz w:val="20"/>
      <w:szCs w:val="20"/>
      <w:lang w:val="x-none"/>
    </w:rPr>
  </w:style>
  <w:style w:type="character" w:customStyle="1" w:styleId="CommentTextChar">
    <w:name w:val="Comment Text Char"/>
    <w:link w:val="CommentText"/>
    <w:semiHidden/>
    <w:rPr>
      <w:rFonts w:ascii="Times New Roman" w:eastAsia="Times New Roman" w:hAnsi="Times New Roman"/>
      <w:lang w:eastAsia="en-US"/>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lang w:val="x-none"/>
    </w:rPr>
  </w:style>
  <w:style w:type="character" w:customStyle="1" w:styleId="DateChar">
    <w:name w:val="Date Char"/>
    <w:link w:val="Date"/>
    <w:rPr>
      <w:rFonts w:ascii="Times New Roman" w:eastAsia="Times New Roman" w:hAnsi="Times New Roman"/>
      <w:sz w:val="24"/>
      <w:lang w:eastAsia="en-US"/>
    </w:rPr>
  </w:style>
  <w:style w:type="paragraph" w:customStyle="1" w:styleId="References">
    <w:name w:val="References"/>
    <w:basedOn w:val="Normal"/>
    <w:next w:val="AddressTR"/>
    <w:uiPriority w:val="99"/>
    <w:pPr>
      <w:spacing w:after="240" w:line="240" w:lineRule="auto"/>
      <w:ind w:left="5103"/>
    </w:pPr>
    <w:rPr>
      <w:rFonts w:ascii="Times New Roman" w:eastAsia="Times New Roman" w:hAnsi="Times New Roman"/>
      <w:sz w:val="20"/>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sz w:val="24"/>
      <w:szCs w:val="20"/>
      <w:lang w:val="x-none"/>
    </w:rPr>
  </w:style>
  <w:style w:type="character" w:customStyle="1" w:styleId="DocumentMapChar">
    <w:name w:val="Document Map Char"/>
    <w:link w:val="DocumentMap"/>
    <w:semiHidden/>
    <w:rPr>
      <w:rFonts w:ascii="Tahoma" w:eastAsia="Times New Roman" w:hAnsi="Tahoma"/>
      <w:sz w:val="24"/>
      <w:shd w:val="clear" w:color="auto" w:fill="000080"/>
      <w:lang w:eastAsia="en-US"/>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sz w:val="20"/>
      <w:szCs w:val="20"/>
      <w:lang w:val="x-none"/>
    </w:rPr>
  </w:style>
  <w:style w:type="character" w:customStyle="1" w:styleId="EndnoteTextChar">
    <w:name w:val="Endnote Text Char"/>
    <w:link w:val="EndnoteText"/>
    <w:semiHidden/>
    <w:rPr>
      <w:rFonts w:ascii="Times New Roman" w:eastAsia="Times New Roman" w:hAnsi="Times New Roman"/>
      <w:lang w:eastAsia="en-US"/>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sz w:val="20"/>
      <w:szCs w:val="20"/>
    </w:rPr>
  </w:style>
  <w:style w:type="paragraph" w:styleId="FootnoteText">
    <w:name w:val="footnote text"/>
    <w:basedOn w:val="Normal"/>
    <w:link w:val="FootnoteTextChar"/>
    <w:uiPriority w:val="99"/>
    <w:semiHidden/>
    <w:pPr>
      <w:spacing w:after="240" w:line="240" w:lineRule="auto"/>
      <w:ind w:left="357" w:hanging="357"/>
      <w:jc w:val="both"/>
    </w:pPr>
    <w:rPr>
      <w:rFonts w:ascii="Times New Roman" w:eastAsia="Times New Roman" w:hAnsi="Times New Roman"/>
      <w:sz w:val="20"/>
      <w:szCs w:val="20"/>
      <w:lang w:val="x-none"/>
    </w:rPr>
  </w:style>
  <w:style w:type="character" w:customStyle="1" w:styleId="FootnoteTextChar">
    <w:name w:val="Footnote Text Char"/>
    <w:link w:val="FootnoteText"/>
    <w:uiPriority w:val="99"/>
    <w:semiHidden/>
    <w:rPr>
      <w:rFonts w:ascii="Times New Roman" w:eastAsia="Times New Roman" w:hAnsi="Times New Roman"/>
      <w:lang w:eastAsia="en-US"/>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sz w:val="24"/>
      <w:szCs w:val="20"/>
    </w:rPr>
  </w:style>
  <w:style w:type="paragraph" w:styleId="ListBullet">
    <w:name w:val="List Bullet"/>
    <w:basedOn w:val="Normal"/>
    <w:pPr>
      <w:numPr>
        <w:numId w:val="4"/>
      </w:numPr>
      <w:spacing w:after="240" w:line="240" w:lineRule="auto"/>
      <w:jc w:val="both"/>
    </w:pPr>
    <w:rPr>
      <w:rFonts w:ascii="Times New Roman" w:eastAsia="Times New Roman" w:hAnsi="Times New Roman"/>
      <w:sz w:val="24"/>
      <w:szCs w:val="20"/>
    </w:r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sz w:val="24"/>
      <w:szCs w:val="20"/>
    </w:r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spacing w:after="240" w:line="240" w:lineRule="auto"/>
      <w:jc w:val="both"/>
    </w:pPr>
    <w:rPr>
      <w:rFonts w:ascii="Times New Roman" w:eastAsia="Times New Roman" w:hAnsi="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eastAsia="en-US"/>
    </w:rPr>
  </w:style>
  <w:style w:type="character" w:customStyle="1" w:styleId="MacroTextChar">
    <w:name w:val="Macro Text Char"/>
    <w:link w:val="MacroText"/>
    <w:semiHidden/>
    <w:rPr>
      <w:rFonts w:ascii="Courier New" w:eastAsia="Times New Roman" w:hAnsi="Courier New"/>
      <w:lang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lang w:val="x-none"/>
    </w:rPr>
  </w:style>
  <w:style w:type="character" w:customStyle="1" w:styleId="MessageHeaderChar">
    <w:name w:val="Message Header Char"/>
    <w:link w:val="MessageHeader"/>
    <w:rPr>
      <w:rFonts w:ascii="Arial" w:eastAsia="Times New Roman" w:hAnsi="Arial"/>
      <w:sz w:val="24"/>
      <w:shd w:val="pct20" w:color="auto" w:fill="auto"/>
      <w:lang w:eastAsia="en-US"/>
    </w:rPr>
  </w:style>
  <w:style w:type="paragraph" w:styleId="NormalIndent">
    <w:name w:val="Normal Indent"/>
    <w:basedOn w:val="Normal"/>
    <w:pPr>
      <w:spacing w:after="240" w:line="240" w:lineRule="auto"/>
      <w:ind w:left="720"/>
      <w:jc w:val="both"/>
    </w:pPr>
    <w:rPr>
      <w:rFonts w:ascii="Times New Roman" w:eastAsia="Times New Roman" w:hAnsi="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szCs w:val="20"/>
      <w:lang w:val="x-none"/>
    </w:rPr>
  </w:style>
  <w:style w:type="character" w:customStyle="1" w:styleId="NoteHeadingChar">
    <w:name w:val="Note Heading Char"/>
    <w:link w:val="NoteHeading"/>
    <w:rPr>
      <w:rFonts w:ascii="Times New Roman" w:eastAsia="Times New Roman" w:hAnsi="Times New Roman"/>
      <w:sz w:val="24"/>
      <w:lang w:eastAsia="en-US"/>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szCs w:val="20"/>
    </w:rPr>
  </w:style>
  <w:style w:type="paragraph" w:customStyle="1" w:styleId="NumPar1">
    <w:name w:val="NumPar 1"/>
    <w:basedOn w:val="Heading1"/>
    <w:next w:val="Text1"/>
    <w:pPr>
      <w:keepNext w:val="0"/>
      <w:spacing w:before="0"/>
      <w:outlineLvl w:val="9"/>
    </w:pPr>
    <w:rPr>
      <w:rFonts w:ascii="Times New Roman" w:hAnsi="Times New Roman"/>
      <w:b w:val="0"/>
      <w:bCs/>
      <w:kern w:val="0"/>
      <w:sz w:val="24"/>
      <w:szCs w:val="20"/>
    </w:rPr>
  </w:style>
  <w:style w:type="paragraph" w:customStyle="1" w:styleId="NumPar2">
    <w:name w:val="NumPar 2"/>
    <w:basedOn w:val="Heading2"/>
    <w:next w:val="Text2"/>
    <w:pPr>
      <w:keepNext w:val="0"/>
      <w:numPr>
        <w:numId w:val="0"/>
      </w:numPr>
      <w:tabs>
        <w:tab w:val="num" w:pos="1080"/>
      </w:tabs>
      <w:spacing w:before="0" w:after="240" w:line="240" w:lineRule="auto"/>
      <w:ind w:left="1080" w:hanging="600"/>
      <w:jc w:val="both"/>
      <w:outlineLvl w:val="9"/>
    </w:pPr>
    <w:rPr>
      <w:rFonts w:ascii="Times New Roman" w:hAnsi="Times New Roman"/>
      <w:b w:val="0"/>
      <w:bCs w:val="0"/>
      <w:i w:val="0"/>
      <w:iCs w:val="0"/>
      <w:sz w:val="24"/>
      <w:szCs w:val="20"/>
    </w:rPr>
  </w:style>
  <w:style w:type="paragraph" w:customStyle="1" w:styleId="NumPar3">
    <w:name w:val="NumPar 3"/>
    <w:basedOn w:val="Heading3"/>
    <w:next w:val="Text3"/>
    <w:pPr>
      <w:keepNext w:val="0"/>
      <w:numPr>
        <w:numId w:val="0"/>
      </w:numPr>
      <w:tabs>
        <w:tab w:val="num" w:pos="1920"/>
      </w:tabs>
      <w:ind w:left="1920" w:hanging="840"/>
      <w:outlineLvl w:val="9"/>
    </w:pPr>
    <w:rPr>
      <w:i w:val="0"/>
    </w:rPr>
  </w:style>
  <w:style w:type="paragraph" w:customStyle="1" w:styleId="NumPar4">
    <w:name w:val="NumPar 4"/>
    <w:basedOn w:val="Heading4"/>
    <w:next w:val="Text4"/>
    <w:pPr>
      <w:keepNext w:val="0"/>
      <w:numPr>
        <w:numId w:val="0"/>
      </w:numPr>
      <w:tabs>
        <w:tab w:val="num" w:pos="2880"/>
      </w:tabs>
      <w:ind w:left="2880" w:hanging="960"/>
      <w:outlineLvl w:val="9"/>
    </w:pPr>
  </w:style>
  <w:style w:type="paragraph" w:styleId="PlainText">
    <w:name w:val="Plain Text"/>
    <w:basedOn w:val="Normal"/>
    <w:link w:val="PlainTextChar"/>
    <w:uiPriority w:val="99"/>
    <w:pPr>
      <w:spacing w:after="240" w:line="240" w:lineRule="auto"/>
      <w:jc w:val="both"/>
    </w:pPr>
    <w:rPr>
      <w:rFonts w:ascii="Courier New" w:eastAsia="Times New Roman" w:hAnsi="Courier New"/>
      <w:sz w:val="20"/>
      <w:szCs w:val="20"/>
      <w:lang w:val="x-none"/>
    </w:rPr>
  </w:style>
  <w:style w:type="character" w:customStyle="1" w:styleId="PlainTextChar">
    <w:name w:val="Plain Text Char"/>
    <w:link w:val="PlainText"/>
    <w:uiPriority w:val="99"/>
    <w:rPr>
      <w:rFonts w:ascii="Courier New" w:eastAsia="Times New Roman" w:hAnsi="Courier New"/>
      <w:lang w:eastAsia="en-US"/>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szCs w:val="20"/>
      <w:lang w:val="x-none"/>
    </w:rPr>
  </w:style>
  <w:style w:type="character" w:customStyle="1" w:styleId="SalutationChar">
    <w:name w:val="Salutation Char"/>
    <w:link w:val="Salutation"/>
    <w:rPr>
      <w:rFonts w:ascii="Times New Roman" w:eastAsia="Times New Roman" w:hAnsi="Times New Roman"/>
      <w:sz w:val="24"/>
      <w:lang w:eastAsia="en-US"/>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0"/>
      <w:lang w:val="x-none"/>
    </w:rPr>
  </w:style>
  <w:style w:type="character" w:customStyle="1" w:styleId="SubtitleChar">
    <w:name w:val="Subtitle Char"/>
    <w:link w:val="Subtitle"/>
    <w:rPr>
      <w:rFonts w:ascii="Arial" w:eastAsia="Times New Roman" w:hAnsi="Arial"/>
      <w:sz w:val="24"/>
      <w:lang w:eastAsia="en-US"/>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sz w:val="24"/>
      <w:szCs w:val="20"/>
    </w:rPr>
  </w:style>
  <w:style w:type="paragraph" w:styleId="Title">
    <w:name w:val="Title"/>
    <w:basedOn w:val="Normal"/>
    <w:link w:val="TitleChar"/>
    <w:qFormat/>
    <w:pPr>
      <w:spacing w:before="240" w:after="60" w:line="240" w:lineRule="auto"/>
      <w:jc w:val="center"/>
      <w:outlineLvl w:val="0"/>
    </w:pPr>
    <w:rPr>
      <w:rFonts w:ascii="Arial" w:eastAsia="Times New Roman" w:hAnsi="Arial"/>
      <w:b/>
      <w:kern w:val="28"/>
      <w:sz w:val="32"/>
      <w:szCs w:val="20"/>
      <w:lang w:val="x-none"/>
    </w:rPr>
  </w:style>
  <w:style w:type="character" w:customStyle="1" w:styleId="TitleChar">
    <w:name w:val="Title Char"/>
    <w:link w:val="Title"/>
    <w:rPr>
      <w:rFonts w:ascii="Arial" w:eastAsia="Times New Roman" w:hAnsi="Arial"/>
      <w:b/>
      <w:kern w:val="28"/>
      <w:sz w:val="32"/>
      <w:lang w:eastAsia="en-US"/>
    </w:rPr>
  </w:style>
  <w:style w:type="paragraph" w:styleId="TOAHeading">
    <w:name w:val="toa heading"/>
    <w:basedOn w:val="Normal"/>
    <w:next w:val="Normal"/>
    <w:semiHidden/>
    <w:pPr>
      <w:spacing w:before="120" w:after="240" w:line="240" w:lineRule="auto"/>
      <w:jc w:val="both"/>
    </w:pPr>
    <w:rPr>
      <w:rFonts w:ascii="Arial" w:eastAsia="Times New Roman" w:hAnsi="Arial"/>
      <w:b/>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sz w:val="24"/>
      <w:szCs w:val="20"/>
    </w:rPr>
  </w:style>
  <w:style w:type="paragraph" w:customStyle="1" w:styleId="ListBullet1">
    <w:name w:val="List Bullet 1"/>
    <w:basedOn w:val="Text1"/>
    <w:pPr>
      <w:numPr>
        <w:numId w:val="5"/>
      </w:numPr>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sz w:val="24"/>
      <w:szCs w:val="20"/>
    </w:r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sz w:val="24"/>
      <w:szCs w:val="20"/>
    </w:r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Contact">
    <w:name w:val="Contact"/>
    <w:basedOn w:val="Normal"/>
    <w:next w:val="Enclosures"/>
    <w:uiPriority w:val="99"/>
    <w:pPr>
      <w:spacing w:before="480" w:after="0" w:line="240" w:lineRule="auto"/>
      <w:ind w:left="567" w:hanging="567"/>
    </w:pPr>
    <w:rPr>
      <w:rFonts w:ascii="Times New Roman" w:eastAsia="Times New Roman" w:hAnsi="Times New Roman"/>
      <w:sz w:val="24"/>
      <w:szCs w:val="20"/>
    </w:r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i/>
      <w:sz w:val="20"/>
      <w:szCs w:val="20"/>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i/>
      <w:sz w:val="24"/>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after="0" w:line="240" w:lineRule="auto"/>
      <w:jc w:val="both"/>
    </w:pPr>
    <w:rPr>
      <w:rFonts w:ascii="Arial" w:eastAsia="Times New Roman" w:hAnsi="Arial"/>
      <w:b/>
      <w:sz w:val="16"/>
      <w:szCs w:val="20"/>
    </w:rPr>
  </w:style>
  <w:style w:type="paragraph" w:customStyle="1" w:styleId="Designator">
    <w:name w:val="Designator"/>
    <w:basedOn w:val="Normal"/>
    <w:pPr>
      <w:spacing w:after="0" w:line="240" w:lineRule="auto"/>
      <w:jc w:val="center"/>
    </w:pPr>
    <w:rPr>
      <w:rFonts w:ascii="Times New Roman" w:eastAsia="Times New Roman" w:hAnsi="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b/>
      <w:caps/>
      <w:sz w:val="32"/>
      <w:szCs w:val="20"/>
      <w:bdr w:val="single" w:sz="18" w:space="0" w:color="auto"/>
    </w:rPr>
  </w:style>
  <w:style w:type="paragraph" w:customStyle="1" w:styleId="TrsSecretUE">
    <w:name w:val="Très Secret UE"/>
    <w:basedOn w:val="Normal"/>
    <w:pPr>
      <w:spacing w:after="0" w:line="240" w:lineRule="auto"/>
      <w:jc w:val="center"/>
    </w:pPr>
    <w:rPr>
      <w:rFonts w:ascii="Times New Roman" w:eastAsia="Times New Roman" w:hAnsi="Times New Roman"/>
      <w:b/>
      <w:caps/>
      <w:color w:val="FF0000"/>
      <w:sz w:val="32"/>
      <w:szCs w:val="20"/>
      <w:bdr w:val="single" w:sz="18" w:space="0" w:color="FF0000"/>
    </w:rPr>
  </w:style>
  <w:style w:type="paragraph" w:customStyle="1" w:styleId="SecretUE">
    <w:name w:val="Secret UE"/>
    <w:basedOn w:val="Normal"/>
    <w:pPr>
      <w:spacing w:after="0" w:line="240" w:lineRule="auto"/>
      <w:jc w:val="center"/>
    </w:pPr>
    <w:rPr>
      <w:rFonts w:ascii="Times New Roman" w:eastAsia="Times New Roman" w:hAnsi="Times New Roman"/>
      <w:b/>
      <w:caps/>
      <w:color w:val="FF0000"/>
      <w:sz w:val="32"/>
      <w:szCs w:val="20"/>
      <w:bdr w:val="single" w:sz="18" w:space="0" w:color="FF000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character" w:styleId="FootnoteReference">
    <w:name w:val="footnote reference"/>
    <w:aliases w:val="EN Footnote Reference,-E Fußnotenzeichen,BVI fnr,Footnote,Footnote symbol,Footnote number,Footnote Reference Number,Footnote reference number,Times 10 Point,Exposant 3 Point,Footnote Reference Superscript,note TESI, BVI fnr,Appel note"/>
    <w:link w:val="FootnotesymbolCharChar"/>
    <w:uiPriority w:val="99"/>
    <w:qFormat/>
    <w:rPr>
      <w:vertAlign w:val="superscript"/>
    </w:rPr>
  </w:style>
  <w:style w:type="character" w:styleId="PageNumber">
    <w:name w:val="page number"/>
  </w:style>
  <w:style w:type="paragraph" w:customStyle="1" w:styleId="Style10">
    <w:name w:val="Style 1"/>
    <w:basedOn w:val="Normal"/>
    <w:pPr>
      <w:widowControl w:val="0"/>
      <w:autoSpaceDE w:val="0"/>
      <w:autoSpaceDN w:val="0"/>
      <w:adjustRightInd w:val="0"/>
      <w:spacing w:after="0" w:line="240" w:lineRule="auto"/>
    </w:pPr>
    <w:rPr>
      <w:rFonts w:ascii="Times New Roman" w:eastAsia="Times New Roman" w:hAnsi="Times New Roman"/>
      <w:sz w:val="20"/>
      <w:szCs w:val="24"/>
      <w:lang w:val="en-US"/>
    </w:rPr>
  </w:style>
  <w:style w:type="paragraph" w:customStyle="1" w:styleId="ADPPuce1">
    <w:name w:val="ADP Puce 1"/>
    <w:basedOn w:val="Normal"/>
    <w:pPr>
      <w:numPr>
        <w:numId w:val="19"/>
      </w:numPr>
      <w:spacing w:after="0" w:line="240" w:lineRule="auto"/>
      <w:ind w:left="1080" w:hanging="360"/>
      <w:jc w:val="both"/>
    </w:pPr>
    <w:rPr>
      <w:rFonts w:ascii="Arial" w:eastAsia="Times New Roman" w:hAnsi="Arial"/>
      <w:sz w:val="20"/>
      <w:szCs w:val="24"/>
    </w:rPr>
  </w:style>
  <w:style w:type="character" w:styleId="Emphasis">
    <w:name w:val="Emphasis"/>
    <w:qFormat/>
    <w:rPr>
      <w:i/>
      <w:iCs/>
    </w:rPr>
  </w:style>
  <w:style w:type="character" w:styleId="Strong">
    <w:name w:val="Strong"/>
    <w:uiPriority w:val="22"/>
    <w:qFormat/>
    <w:rPr>
      <w:b/>
      <w:bCs/>
    </w:rPr>
  </w:style>
  <w:style w:type="table" w:styleId="TableGrid">
    <w:name w:val="Table Grid"/>
    <w:basedOn w:val="TableNormal"/>
    <w:uiPriority w:val="59"/>
    <w:pPr>
      <w:spacing w:after="120" w:line="24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pPr>
      <w:spacing w:before="100" w:beforeAutospacing="1" w:after="100" w:afterAutospacing="1" w:line="220" w:lineRule="atLeast"/>
    </w:pPr>
    <w:rPr>
      <w:rFonts w:ascii="Verdana" w:eastAsia="Times New Roman" w:hAnsi="Verdana"/>
      <w:color w:val="000000"/>
      <w:sz w:val="16"/>
      <w:szCs w:val="16"/>
      <w:lang w:val="en-US"/>
    </w:rPr>
  </w:style>
  <w:style w:type="character" w:styleId="CommentReference">
    <w:name w:val="annotation reference"/>
    <w:semiHidden/>
    <w:rPr>
      <w:rFonts w:cs="Times New Roman"/>
      <w:sz w:val="16"/>
      <w:szCs w:val="16"/>
      <w:shd w:val="clear" w:color="auto" w:fill="auto"/>
    </w:rPr>
  </w:style>
  <w:style w:type="paragraph" w:customStyle="1" w:styleId="HeaderLandscape">
    <w:name w:val="HeaderLandscape"/>
    <w:basedOn w:val="Normal"/>
    <w:pPr>
      <w:tabs>
        <w:tab w:val="center" w:pos="7285"/>
        <w:tab w:val="right" w:pos="14003"/>
      </w:tabs>
      <w:spacing w:before="120"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5"/>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25"/>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25"/>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25"/>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25"/>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25"/>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25"/>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25"/>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25"/>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26"/>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9"/>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30"/>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sz w:val="24"/>
      <w:szCs w:val="24"/>
      <w:u w:val="single"/>
    </w:rPr>
  </w:style>
  <w:style w:type="paragraph" w:customStyle="1" w:styleId="Considrant">
    <w:name w:val="Considérant"/>
    <w:basedOn w:val="Normal"/>
    <w:pPr>
      <w:numPr>
        <w:numId w:val="31"/>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paragraph" w:styleId="CommentSubject">
    <w:name w:val="annotation subject"/>
    <w:basedOn w:val="CommentText"/>
    <w:next w:val="CommentText"/>
    <w:link w:val="CommentSubjectChar"/>
    <w:semiHidden/>
    <w:pPr>
      <w:spacing w:before="120" w:after="120"/>
    </w:pPr>
    <w:rPr>
      <w:b/>
      <w:bCs/>
      <w:lang w:eastAsia="de-DE"/>
    </w:rPr>
  </w:style>
  <w:style w:type="character" w:customStyle="1" w:styleId="CommentSubjectChar">
    <w:name w:val="Comment Subject Char"/>
    <w:link w:val="CommentSubject"/>
    <w:semiHidden/>
    <w:rPr>
      <w:rFonts w:ascii="Times New Roman" w:eastAsia="Times New Roman" w:hAnsi="Times New Roman"/>
      <w:b/>
      <w:bCs/>
      <w:lang w:eastAsia="de-DE"/>
    </w:rPr>
  </w:style>
  <w:style w:type="paragraph" w:styleId="BalloonText">
    <w:name w:val="Balloon Text"/>
    <w:basedOn w:val="Normal"/>
    <w:link w:val="BalloonTextChar"/>
    <w:semiHidden/>
    <w:pPr>
      <w:spacing w:before="120" w:after="120" w:line="240" w:lineRule="auto"/>
      <w:jc w:val="both"/>
    </w:pPr>
    <w:rPr>
      <w:rFonts w:ascii="Tahoma" w:eastAsia="Times New Roman" w:hAnsi="Tahoma"/>
      <w:sz w:val="16"/>
      <w:szCs w:val="16"/>
      <w:lang w:val="x-none" w:eastAsia="de-DE"/>
    </w:rPr>
  </w:style>
  <w:style w:type="character" w:customStyle="1" w:styleId="BalloonTextChar">
    <w:name w:val="Balloon Text Char"/>
    <w:link w:val="BalloonText"/>
    <w:semiHidden/>
    <w:rPr>
      <w:rFonts w:ascii="Tahoma" w:eastAsia="Times New Roman" w:hAnsi="Tahoma" w:cs="Tahoma"/>
      <w:sz w:val="16"/>
      <w:szCs w:val="16"/>
      <w:lang w:eastAsia="de-DE"/>
    </w:rPr>
  </w:style>
  <w:style w:type="table" w:customStyle="1" w:styleId="TableGrid1">
    <w:name w:val="Table Gri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pPr>
      <w:numPr>
        <w:numId w:val="32"/>
      </w:numPr>
    </w:pPr>
  </w:style>
  <w:style w:type="character" w:styleId="EndnoteReference">
    <w:name w:val="endnote reference"/>
    <w:semiHidden/>
    <w:rPr>
      <w:shd w:val="clear" w:color="auto" w:fill="auto"/>
      <w:vertAlign w:val="superscript"/>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szCs w:val="24"/>
      <w:lang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szCs w:val="24"/>
      <w:lang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szCs w:val="24"/>
      <w:lang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character" w:customStyle="1" w:styleId="titlebold1">
    <w:name w:val="titlebold1"/>
    <w:rPr>
      <w:rFonts w:ascii="Tahoma" w:hAnsi="Tahoma" w:cs="Tahoma" w:hint="default"/>
      <w:b/>
      <w:bCs/>
      <w:color w:val="006699"/>
      <w:sz w:val="24"/>
      <w:szCs w:val="24"/>
    </w:rPr>
  </w:style>
  <w:style w:type="character" w:customStyle="1" w:styleId="numerique2">
    <w:name w:val="numerique2"/>
  </w:style>
  <w:style w:type="character" w:customStyle="1" w:styleId="alpha2">
    <w:name w:val="alpha2"/>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ListParagraph">
    <w:name w:val="List Paragraph"/>
    <w:aliases w:val="List Paragraph compact,Normal bullet 2"/>
    <w:basedOn w:val="Normal"/>
    <w:link w:val="ListParagraphChar"/>
    <w:uiPriority w:val="34"/>
    <w:qFormat/>
    <w:pPr>
      <w:spacing w:after="240" w:line="240" w:lineRule="auto"/>
      <w:ind w:left="720"/>
      <w:contextualSpacing/>
      <w:jc w:val="both"/>
    </w:pPr>
    <w:rPr>
      <w:rFonts w:ascii="Times New Roman" w:eastAsia="Times New Roman" w:hAnsi="Times New Roman"/>
      <w:sz w:val="24"/>
      <w:szCs w:val="20"/>
    </w:rPr>
  </w:style>
  <w:style w:type="paragraph" w:customStyle="1" w:styleId="CM4">
    <w:name w:val="CM4"/>
    <w:basedOn w:val="Default"/>
    <w:next w:val="Default"/>
    <w:uiPriority w:val="99"/>
    <w:rPr>
      <w:rFonts w:ascii="Times New Roman" w:eastAsia="Times New Roman" w:hAnsi="Times New Roman" w:cs="Times New Roman"/>
      <w:color w:val="auto"/>
    </w:rPr>
  </w:style>
  <w:style w:type="paragraph" w:customStyle="1" w:styleId="Para2">
    <w:name w:val="Para_2"/>
    <w:basedOn w:val="Normal"/>
    <w:link w:val="Para2Char1"/>
    <w:pPr>
      <w:numPr>
        <w:ilvl w:val="1"/>
        <w:numId w:val="33"/>
      </w:numPr>
      <w:spacing w:after="240" w:line="360" w:lineRule="auto"/>
    </w:pPr>
    <w:rPr>
      <w:rFonts w:ascii="Arial" w:eastAsia="Times New Roman" w:hAnsi="Arial"/>
      <w:noProof/>
      <w:sz w:val="24"/>
      <w:szCs w:val="20"/>
      <w:lang w:val="x-none"/>
    </w:rPr>
  </w:style>
  <w:style w:type="paragraph" w:customStyle="1" w:styleId="Para3">
    <w:name w:val="Para_3"/>
    <w:basedOn w:val="Normal"/>
    <w:pPr>
      <w:numPr>
        <w:ilvl w:val="2"/>
        <w:numId w:val="33"/>
      </w:numPr>
      <w:tabs>
        <w:tab w:val="left" w:pos="992"/>
      </w:tabs>
      <w:spacing w:after="240" w:line="360" w:lineRule="auto"/>
    </w:pPr>
    <w:rPr>
      <w:rFonts w:ascii="Arial" w:eastAsia="Times New Roman" w:hAnsi="Arial"/>
      <w:noProof/>
      <w:sz w:val="24"/>
      <w:szCs w:val="20"/>
    </w:rPr>
  </w:style>
  <w:style w:type="paragraph" w:customStyle="1" w:styleId="Para4">
    <w:name w:val="Para_4"/>
    <w:basedOn w:val="Normal"/>
    <w:pPr>
      <w:numPr>
        <w:ilvl w:val="3"/>
        <w:numId w:val="33"/>
      </w:numPr>
      <w:spacing w:after="240" w:line="360" w:lineRule="auto"/>
    </w:pPr>
    <w:rPr>
      <w:rFonts w:ascii="Arial" w:eastAsia="Times New Roman" w:hAnsi="Arial"/>
      <w:sz w:val="24"/>
      <w:szCs w:val="20"/>
    </w:rPr>
  </w:style>
  <w:style w:type="paragraph" w:customStyle="1" w:styleId="Para5">
    <w:name w:val="Para_5"/>
    <w:basedOn w:val="Normal"/>
    <w:pPr>
      <w:numPr>
        <w:ilvl w:val="4"/>
        <w:numId w:val="33"/>
      </w:numPr>
      <w:tabs>
        <w:tab w:val="left" w:pos="567"/>
      </w:tabs>
      <w:spacing w:after="240" w:line="360" w:lineRule="auto"/>
    </w:pPr>
    <w:rPr>
      <w:rFonts w:ascii="Arial" w:eastAsia="Times New Roman" w:hAnsi="Arial"/>
      <w:sz w:val="24"/>
      <w:szCs w:val="20"/>
    </w:rPr>
  </w:style>
  <w:style w:type="character" w:customStyle="1" w:styleId="Para2Char1">
    <w:name w:val="Para_2 Char1"/>
    <w:link w:val="Para2"/>
    <w:rPr>
      <w:rFonts w:ascii="Arial" w:eastAsia="Times New Roman" w:hAnsi="Arial"/>
      <w:noProof/>
      <w:sz w:val="24"/>
      <w:lang w:val="x-none" w:eastAsia="en-US"/>
    </w:rPr>
  </w:style>
  <w:style w:type="paragraph" w:styleId="Revision">
    <w:name w:val="Revision"/>
    <w:hidden/>
    <w:uiPriority w:val="99"/>
    <w:semiHidden/>
    <w:rPr>
      <w:sz w:val="22"/>
      <w:szCs w:val="22"/>
      <w:lang w:eastAsia="en-US"/>
    </w:rPr>
  </w:style>
  <w:style w:type="paragraph" w:customStyle="1" w:styleId="FootnotesymbolCharChar">
    <w:name w:val="Footnote symbol Char Char"/>
    <w:aliases w:val="Footnote reference number Char Char,Times 10 Point Char Char,Exposant 3 Point Char Char,Ref Char Char,de nota al pie Char Char,note TESI Char Char,SUPERS Char Char,EN Footnote Reference Char Char"/>
    <w:basedOn w:val="Normal"/>
    <w:link w:val="FootnoteReference"/>
    <w:uiPriority w:val="99"/>
    <w:pPr>
      <w:spacing w:before="120" w:after="160" w:line="240" w:lineRule="exact"/>
    </w:pPr>
    <w:rPr>
      <w:sz w:val="20"/>
      <w:szCs w:val="20"/>
      <w:vertAlign w:val="superscript"/>
      <w:lang w:eastAsia="en-GB"/>
    </w:rPr>
  </w:style>
  <w:style w:type="paragraph" w:customStyle="1" w:styleId="Textstand-alone">
    <w:name w:val="Text_stand-alone"/>
    <w:basedOn w:val="Normal"/>
    <w:qFormat/>
    <w:pPr>
      <w:spacing w:before="240" w:after="240" w:line="240" w:lineRule="auto"/>
      <w:jc w:val="both"/>
    </w:pPr>
    <w:rPr>
      <w:rFonts w:ascii="Verdana" w:eastAsia="Times New Roman" w:hAnsi="Verdana"/>
      <w:noProof/>
      <w:sz w:val="18"/>
      <w:szCs w:val="18"/>
    </w:rPr>
  </w:style>
  <w:style w:type="character" w:customStyle="1" w:styleId="ListParagraphChar">
    <w:name w:val="List Paragraph Char"/>
    <w:aliases w:val="List Paragraph compact Char,Normal bullet 2 Char"/>
    <w:link w:val="ListParagraph"/>
    <w:uiPriority w:val="34"/>
    <w:rPr>
      <w:rFonts w:ascii="Times New Roman" w:eastAsia="Times New Roman" w:hAnsi="Times New Roman"/>
      <w:sz w:val="24"/>
      <w:lang w:eastAsia="en-US"/>
    </w:rPr>
  </w:style>
  <w:style w:type="paragraph" w:customStyle="1" w:styleId="PSParagraphText">
    <w:name w:val="PS_Paragraph_Text"/>
    <w:basedOn w:val="Normal"/>
    <w:link w:val="PSParagraphTextChar"/>
    <w:qFormat/>
    <w:pPr>
      <w:spacing w:after="120" w:line="240" w:lineRule="auto"/>
      <w:jc w:val="both"/>
    </w:pPr>
    <w:rPr>
      <w:rFonts w:ascii="EC Square Sans Pro" w:eastAsia="Times New Roman" w:hAnsi="EC Square Sans Pro"/>
      <w:sz w:val="20"/>
      <w:szCs w:val="20"/>
      <w:lang w:eastAsia="en-GB"/>
    </w:rPr>
  </w:style>
  <w:style w:type="character" w:customStyle="1" w:styleId="PSParagraphTextChar">
    <w:name w:val="PS_Paragraph_Text Char"/>
    <w:link w:val="PSParagraphText"/>
    <w:rPr>
      <w:rFonts w:ascii="EC Square Sans Pro" w:eastAsia="Times New Roman" w:hAnsi="EC Square Sans P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n-GB" w:eastAsia="en-GB"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footnote text" w:uiPriority="99"/>
    <w:lsdException w:name="header" w:uiPriority="99"/>
    <w:lsdException w:name="footer" w:uiPriority="99"/>
    <w:lsdException w:name="caption" w:qFormat="1"/>
    <w:lsdException w:name="footnote reference" w:uiPriority="99" w:qFormat="1"/>
    <w:lsdException w:name="line number" w:uiPriority="99"/>
    <w:lsdException w:name="Title" w:semiHidden="0" w:unhideWhenUsed="0" w:qFormat="1"/>
    <w:lsdException w:name="Signature" w:uiPriority="99"/>
    <w:lsdException w:name="Default Paragraph Font" w:uiPriority="1"/>
    <w:lsdException w:name="Subtitle" w:semiHidden="0" w:unhideWhenUsed="0" w:qFormat="1"/>
    <w:lsdException w:name="Hyperlink" w:uiPriority="99"/>
    <w:lsdException w:name="Strong" w:semiHidden="0" w:uiPriority="22" w:unhideWhenUsed="0" w:qFormat="1"/>
    <w:lsdException w:name="Emphasis" w:semiHidden="0" w:unhideWhenUsed="0" w:qFormat="1"/>
    <w:lsdException w:name="Plain Text" w:uiPriority="99"/>
    <w:lsdException w:name="E-mail Signature" w:uiPriority="99"/>
    <w:lsdException w:name="HTML Top of Form" w:uiPriority="99"/>
    <w:lsdException w:name="HTML Bottom of Form" w:uiPriority="99"/>
    <w:lsdException w:name="Normal (Web)" w:uiPriority="99"/>
    <w:lsdException w:name="HTML Acronym" w:uiPriority="99"/>
    <w:lsdException w:name="HTML Address" w:uiPriority="99"/>
    <w:lsdException w:name="HTML Cite" w:uiPriority="99"/>
    <w:lsdException w:name="HTML Code" w:uiPriority="99"/>
    <w:lsdException w:name="HTML Definition" w:uiPriority="99"/>
    <w:lsdException w:name="HTML Keyboard" w:uiPriority="99"/>
    <w:lsdException w:name="HTML Preformatted" w:uiPriority="99"/>
    <w:lsdException w:name="HTML Sample" w:uiPriority="99"/>
    <w:lsdException w:name="HTML Typewriter" w:uiPriority="99"/>
    <w:lsdException w:name="HTML Variable" w:uiPriority="99"/>
    <w:lsdException w:name="Normal Table" w:uiPriority="99"/>
    <w:lsdException w:name="No List" w:uiPriority="99"/>
    <w:lsdException w:name="Outline List 1" w:uiPriority="99"/>
    <w:lsdException w:name="Outline List 2" w:uiPriority="99"/>
    <w:lsdException w:name="Outline List 3" w:uiPriority="99"/>
    <w:lsdException w:name="Table Simple 1" w:uiPriority="99"/>
    <w:lsdException w:name="Table Simple 2" w:uiPriority="99"/>
    <w:lsdException w:name="Table Simple 3" w:uiPriority="99"/>
    <w:lsdException w:name="Table Classic 1" w:uiPriority="99"/>
    <w:lsdException w:name="Table Classic 2"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1" w:uiPriority="99"/>
    <w:lsdException w:name="Table Web 2" w:uiPriority="99"/>
    <w:lsdException w:name="Table Web 3" w:uiPriority="99"/>
    <w:lsdException w:name="Table Grid" w:semiHidden="0" w:uiPriority="59" w:unhideWhenUsed="0"/>
    <w:lsdException w:name="Table Theme" w:uiPriority="99"/>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eastAsia="en-US"/>
    </w:rPr>
  </w:style>
  <w:style w:type="paragraph" w:styleId="Heading1">
    <w:name w:val="heading 1"/>
    <w:basedOn w:val="Normal"/>
    <w:next w:val="Normal"/>
    <w:link w:val="Heading1Char"/>
    <w:qFormat/>
    <w:pPr>
      <w:keepNext/>
      <w:spacing w:before="240" w:after="240" w:line="240" w:lineRule="auto"/>
      <w:jc w:val="both"/>
      <w:outlineLvl w:val="0"/>
    </w:pPr>
    <w:rPr>
      <w:rFonts w:ascii="Verdana" w:eastAsia="Times New Roman" w:hAnsi="Verdana"/>
      <w:b/>
      <w:caps/>
      <w:smallCaps/>
      <w:kern w:val="32"/>
      <w:szCs w:val="32"/>
      <w:lang w:val="x-none"/>
    </w:rPr>
  </w:style>
  <w:style w:type="paragraph" w:styleId="Heading2">
    <w:name w:val="heading 2"/>
    <w:basedOn w:val="Normal"/>
    <w:next w:val="Normal"/>
    <w:link w:val="Heading2Char"/>
    <w:uiPriority w:val="9"/>
    <w:unhideWhenUsed/>
    <w:qFormat/>
    <w:pPr>
      <w:keepNext/>
      <w:numPr>
        <w:ilvl w:val="1"/>
        <w:numId w:val="3"/>
      </w:numPr>
      <w:spacing w:before="240" w:after="60"/>
      <w:outlineLvl w:val="1"/>
    </w:pPr>
    <w:rPr>
      <w:rFonts w:ascii="Cambria" w:eastAsia="Times New Roman" w:hAnsi="Cambria"/>
      <w:b/>
      <w:bCs/>
      <w:i/>
      <w:iCs/>
      <w:sz w:val="28"/>
      <w:szCs w:val="28"/>
      <w:lang w:val="x-none"/>
    </w:rPr>
  </w:style>
  <w:style w:type="paragraph" w:styleId="Heading3">
    <w:name w:val="heading 3"/>
    <w:basedOn w:val="Normal"/>
    <w:next w:val="Text3"/>
    <w:link w:val="Heading3Char"/>
    <w:qFormat/>
    <w:pPr>
      <w:keepNext/>
      <w:numPr>
        <w:ilvl w:val="2"/>
        <w:numId w:val="3"/>
      </w:numPr>
      <w:spacing w:after="240" w:line="240" w:lineRule="auto"/>
      <w:jc w:val="both"/>
      <w:outlineLvl w:val="2"/>
    </w:pPr>
    <w:rPr>
      <w:rFonts w:ascii="Times New Roman" w:eastAsia="Times New Roman" w:hAnsi="Times New Roman"/>
      <w:i/>
      <w:sz w:val="24"/>
      <w:szCs w:val="20"/>
      <w:lang w:val="x-none"/>
    </w:rPr>
  </w:style>
  <w:style w:type="paragraph" w:styleId="Heading4">
    <w:name w:val="heading 4"/>
    <w:basedOn w:val="Normal"/>
    <w:next w:val="Text4"/>
    <w:link w:val="Heading4Char"/>
    <w:qFormat/>
    <w:pPr>
      <w:keepNext/>
      <w:numPr>
        <w:ilvl w:val="3"/>
        <w:numId w:val="3"/>
      </w:numPr>
      <w:spacing w:after="240" w:line="240" w:lineRule="auto"/>
      <w:jc w:val="both"/>
      <w:outlineLvl w:val="3"/>
    </w:pPr>
    <w:rPr>
      <w:rFonts w:ascii="Times New Roman" w:eastAsia="Times New Roman" w:hAnsi="Times New Roman"/>
      <w:sz w:val="24"/>
      <w:szCs w:val="20"/>
      <w:lang w:val="x-none"/>
    </w:rPr>
  </w:style>
  <w:style w:type="paragraph" w:styleId="Heading5">
    <w:name w:val="heading 5"/>
    <w:basedOn w:val="Normal"/>
    <w:next w:val="Normal"/>
    <w:link w:val="Heading5Char"/>
    <w:qFormat/>
    <w:pPr>
      <w:spacing w:before="240" w:after="60" w:line="240" w:lineRule="auto"/>
      <w:ind w:left="3332" w:hanging="708"/>
      <w:jc w:val="both"/>
      <w:outlineLvl w:val="4"/>
    </w:pPr>
    <w:rPr>
      <w:rFonts w:ascii="Arial" w:eastAsia="Times New Roman" w:hAnsi="Arial"/>
      <w:szCs w:val="20"/>
      <w:lang w:val="x-none"/>
    </w:rPr>
  </w:style>
  <w:style w:type="paragraph" w:styleId="Heading6">
    <w:name w:val="heading 6"/>
    <w:basedOn w:val="Normal"/>
    <w:next w:val="Normal"/>
    <w:link w:val="Heading6Char"/>
    <w:qFormat/>
    <w:pPr>
      <w:spacing w:before="240" w:after="60" w:line="240" w:lineRule="auto"/>
      <w:ind w:left="4040" w:hanging="708"/>
      <w:jc w:val="both"/>
      <w:outlineLvl w:val="5"/>
    </w:pPr>
    <w:rPr>
      <w:rFonts w:ascii="Arial" w:eastAsia="Times New Roman" w:hAnsi="Arial"/>
      <w:i/>
      <w:szCs w:val="20"/>
      <w:lang w:val="x-none"/>
    </w:rPr>
  </w:style>
  <w:style w:type="paragraph" w:styleId="Heading7">
    <w:name w:val="heading 7"/>
    <w:basedOn w:val="Normal"/>
    <w:next w:val="Normal"/>
    <w:link w:val="Heading7Char"/>
    <w:qFormat/>
    <w:pPr>
      <w:spacing w:before="240" w:after="60" w:line="240" w:lineRule="auto"/>
      <w:ind w:left="4748" w:hanging="708"/>
      <w:jc w:val="both"/>
      <w:outlineLvl w:val="6"/>
    </w:pPr>
    <w:rPr>
      <w:rFonts w:ascii="Arial" w:eastAsia="Times New Roman" w:hAnsi="Arial"/>
      <w:sz w:val="20"/>
      <w:szCs w:val="20"/>
      <w:lang w:val="x-none"/>
    </w:rPr>
  </w:style>
  <w:style w:type="paragraph" w:styleId="Heading8">
    <w:name w:val="heading 8"/>
    <w:basedOn w:val="Normal"/>
    <w:next w:val="Normal"/>
    <w:link w:val="Heading8Char"/>
    <w:qFormat/>
    <w:pPr>
      <w:spacing w:before="240" w:after="60" w:line="240" w:lineRule="auto"/>
      <w:ind w:left="5456" w:hanging="708"/>
      <w:jc w:val="both"/>
      <w:outlineLvl w:val="7"/>
    </w:pPr>
    <w:rPr>
      <w:rFonts w:ascii="Arial" w:eastAsia="Times New Roman" w:hAnsi="Arial"/>
      <w:i/>
      <w:sz w:val="20"/>
      <w:szCs w:val="20"/>
      <w:lang w:val="x-none"/>
    </w:rPr>
  </w:style>
  <w:style w:type="paragraph" w:styleId="Heading9">
    <w:name w:val="heading 9"/>
    <w:basedOn w:val="Normal"/>
    <w:next w:val="Normal"/>
    <w:link w:val="Heading9Char"/>
    <w:qFormat/>
    <w:pPr>
      <w:spacing w:before="240" w:after="60" w:line="240" w:lineRule="auto"/>
      <w:ind w:left="6164" w:hanging="708"/>
      <w:jc w:val="both"/>
      <w:outlineLvl w:val="8"/>
    </w:pPr>
    <w:rPr>
      <w:rFonts w:ascii="Arial" w:eastAsia="Times New Roman" w:hAnsi="Arial"/>
      <w:i/>
      <w:sz w:val="18"/>
      <w:szCs w:val="20"/>
      <w:lang w:val="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Marker">
    <w:name w:val="Marker"/>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sz w:val="24"/>
    </w:rPr>
  </w:style>
  <w:style w:type="paragraph" w:styleId="Header">
    <w:name w:val="header"/>
    <w:basedOn w:val="Normal"/>
    <w:link w:val="HeaderChar"/>
    <w:uiPriority w:val="99"/>
    <w:unhideWhenUsed/>
    <w:pPr>
      <w:tabs>
        <w:tab w:val="center" w:pos="4513"/>
        <w:tab w:val="right" w:pos="9026"/>
      </w:tabs>
    </w:pPr>
    <w:rPr>
      <w:lang w:val="x-none"/>
    </w:rPr>
  </w:style>
  <w:style w:type="character" w:customStyle="1" w:styleId="HeaderChar">
    <w:name w:val="Header Char"/>
    <w:link w:val="Header"/>
    <w:uiPriority w:val="99"/>
    <w:rPr>
      <w:sz w:val="22"/>
      <w:szCs w:val="22"/>
      <w:lang w:eastAsia="en-US"/>
    </w:rPr>
  </w:style>
  <w:style w:type="paragraph" w:styleId="Footer">
    <w:name w:val="footer"/>
    <w:basedOn w:val="Normal"/>
    <w:link w:val="FooterChar"/>
    <w:uiPriority w:val="99"/>
    <w:unhideWhenUsed/>
    <w:pPr>
      <w:tabs>
        <w:tab w:val="center" w:pos="4513"/>
        <w:tab w:val="right" w:pos="9026"/>
      </w:tabs>
    </w:pPr>
    <w:rPr>
      <w:lang w:val="x-none"/>
    </w:rPr>
  </w:style>
  <w:style w:type="character" w:customStyle="1" w:styleId="FooterChar">
    <w:name w:val="Footer Char"/>
    <w:link w:val="Footer"/>
    <w:uiPriority w:val="99"/>
    <w:rPr>
      <w:sz w:val="22"/>
      <w:szCs w:val="22"/>
      <w:lang w:eastAsia="en-US"/>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sz w:val="24"/>
    </w:rPr>
  </w:style>
  <w:style w:type="character" w:customStyle="1" w:styleId="FooterCoverPageChar">
    <w:name w:val="Footer Cover Page Char"/>
    <w:link w:val="FooterCoverPage"/>
    <w:rPr>
      <w:rFonts w:ascii="Times New Roman" w:hAnsi="Times New Roman"/>
      <w:sz w:val="24"/>
      <w:szCs w:val="22"/>
      <w:lang w:eastAsia="en-US"/>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sz w:val="24"/>
    </w:rPr>
  </w:style>
  <w:style w:type="character" w:customStyle="1" w:styleId="HeaderCoverPageChar">
    <w:name w:val="Header Cover Page Char"/>
    <w:link w:val="HeaderCoverPage"/>
    <w:rPr>
      <w:rFonts w:ascii="Times New Roman" w:hAnsi="Times New Roman"/>
      <w:sz w:val="24"/>
      <w:szCs w:val="22"/>
      <w:lang w:eastAsia="en-US"/>
    </w:rPr>
  </w:style>
  <w:style w:type="character" w:styleId="Hyperlink">
    <w:name w:val="Hyperlink"/>
    <w:uiPriority w:val="99"/>
    <w:unhideWhenUsed/>
    <w:rPr>
      <w:color w:val="0000FF"/>
      <w:u w:val="single"/>
    </w:rPr>
  </w:style>
  <w:style w:type="character" w:customStyle="1" w:styleId="Heading1Char">
    <w:name w:val="Heading 1 Char"/>
    <w:link w:val="Heading1"/>
    <w:rPr>
      <w:rFonts w:ascii="Verdana" w:eastAsia="Times New Roman" w:hAnsi="Verdana"/>
      <w:b/>
      <w:caps/>
      <w:smallCaps/>
      <w:kern w:val="32"/>
      <w:sz w:val="22"/>
      <w:szCs w:val="32"/>
      <w:lang w:val="x-none" w:eastAsia="en-US"/>
    </w:rPr>
  </w:style>
  <w:style w:type="paragraph" w:styleId="TOCHeading">
    <w:name w:val="TOC Heading"/>
    <w:basedOn w:val="Normal"/>
    <w:next w:val="Normal"/>
    <w:uiPriority w:val="39"/>
    <w:unhideWhenUsed/>
    <w:qFormat/>
    <w:pPr>
      <w:spacing w:before="120" w:after="240" w:line="240" w:lineRule="auto"/>
      <w:jc w:val="center"/>
    </w:pPr>
    <w:rPr>
      <w:rFonts w:ascii="Times New Roman" w:hAnsi="Times New Roman"/>
      <w:b/>
      <w:sz w:val="28"/>
      <w:szCs w:val="20"/>
      <w:lang w:eastAsia="en-GB"/>
    </w:rPr>
  </w:style>
  <w:style w:type="paragraph" w:styleId="TOC1">
    <w:name w:val="toc 1"/>
    <w:basedOn w:val="Normal"/>
    <w:next w:val="Normal"/>
    <w:uiPriority w:val="39"/>
    <w:unhideWhenUsed/>
    <w:pPr>
      <w:tabs>
        <w:tab w:val="right" w:leader="dot" w:pos="9071"/>
      </w:tabs>
      <w:spacing w:before="60" w:after="120" w:line="240" w:lineRule="auto"/>
      <w:ind w:left="850" w:hanging="850"/>
    </w:pPr>
    <w:rPr>
      <w:rFonts w:ascii="Times New Roman" w:hAnsi="Times New Roman"/>
      <w:sz w:val="24"/>
      <w:szCs w:val="20"/>
      <w:lang w:eastAsia="en-GB"/>
    </w:rPr>
  </w:style>
  <w:style w:type="paragraph" w:styleId="TOC2">
    <w:name w:val="toc 2"/>
    <w:basedOn w:val="Normal"/>
    <w:next w:val="Normal"/>
    <w:uiPriority w:val="39"/>
    <w:unhideWhenUsed/>
    <w:pPr>
      <w:tabs>
        <w:tab w:val="right" w:leader="dot" w:pos="9071"/>
      </w:tabs>
      <w:spacing w:before="60" w:after="120" w:line="240" w:lineRule="auto"/>
      <w:ind w:left="850" w:hanging="850"/>
    </w:pPr>
    <w:rPr>
      <w:rFonts w:ascii="Times New Roman" w:hAnsi="Times New Roman"/>
      <w:sz w:val="24"/>
      <w:szCs w:val="20"/>
      <w:lang w:eastAsia="en-GB"/>
    </w:rPr>
  </w:style>
  <w:style w:type="character" w:customStyle="1" w:styleId="Heading2Char">
    <w:name w:val="Heading 2 Char"/>
    <w:link w:val="Heading2"/>
    <w:uiPriority w:val="9"/>
    <w:rPr>
      <w:rFonts w:ascii="Cambria" w:eastAsia="Times New Roman" w:hAnsi="Cambria"/>
      <w:b/>
      <w:bCs/>
      <w:i/>
      <w:iCs/>
      <w:sz w:val="28"/>
      <w:szCs w:val="28"/>
      <w:lang w:val="x-none" w:eastAsia="en-US"/>
    </w:rPr>
  </w:style>
  <w:style w:type="character" w:customStyle="1" w:styleId="Heading3Char">
    <w:name w:val="Heading 3 Char"/>
    <w:link w:val="Heading3"/>
    <w:rPr>
      <w:rFonts w:ascii="Times New Roman" w:eastAsia="Times New Roman" w:hAnsi="Times New Roman"/>
      <w:i/>
      <w:sz w:val="24"/>
      <w:lang w:val="x-none" w:eastAsia="en-US"/>
    </w:rPr>
  </w:style>
  <w:style w:type="character" w:customStyle="1" w:styleId="Heading4Char">
    <w:name w:val="Heading 4 Char"/>
    <w:link w:val="Heading4"/>
    <w:rPr>
      <w:rFonts w:ascii="Times New Roman" w:eastAsia="Times New Roman" w:hAnsi="Times New Roman"/>
      <w:sz w:val="24"/>
      <w:lang w:val="x-none" w:eastAsia="en-US"/>
    </w:rPr>
  </w:style>
  <w:style w:type="character" w:customStyle="1" w:styleId="Heading5Char">
    <w:name w:val="Heading 5 Char"/>
    <w:link w:val="Heading5"/>
    <w:rPr>
      <w:rFonts w:ascii="Arial" w:eastAsia="Times New Roman" w:hAnsi="Arial"/>
      <w:sz w:val="22"/>
      <w:lang w:eastAsia="en-US"/>
    </w:rPr>
  </w:style>
  <w:style w:type="character" w:customStyle="1" w:styleId="Heading6Char">
    <w:name w:val="Heading 6 Char"/>
    <w:link w:val="Heading6"/>
    <w:rPr>
      <w:rFonts w:ascii="Arial" w:eastAsia="Times New Roman" w:hAnsi="Arial"/>
      <w:i/>
      <w:sz w:val="22"/>
      <w:lang w:eastAsia="en-US"/>
    </w:rPr>
  </w:style>
  <w:style w:type="character" w:customStyle="1" w:styleId="Heading7Char">
    <w:name w:val="Heading 7 Char"/>
    <w:link w:val="Heading7"/>
    <w:rPr>
      <w:rFonts w:ascii="Arial" w:eastAsia="Times New Roman" w:hAnsi="Arial"/>
      <w:lang w:eastAsia="en-US"/>
    </w:rPr>
  </w:style>
  <w:style w:type="character" w:customStyle="1" w:styleId="Heading8Char">
    <w:name w:val="Heading 8 Char"/>
    <w:link w:val="Heading8"/>
    <w:rPr>
      <w:rFonts w:ascii="Arial" w:eastAsia="Times New Roman" w:hAnsi="Arial"/>
      <w:i/>
      <w:lang w:eastAsia="en-US"/>
    </w:rPr>
  </w:style>
  <w:style w:type="character" w:customStyle="1" w:styleId="Heading9Char">
    <w:name w:val="Heading 9 Char"/>
    <w:link w:val="Heading9"/>
    <w:rPr>
      <w:rFonts w:ascii="Arial" w:eastAsia="Times New Roman" w:hAnsi="Arial"/>
      <w:i/>
      <w:sz w:val="18"/>
      <w:lang w:eastAsia="en-US"/>
    </w:rPr>
  </w:style>
  <w:style w:type="paragraph" w:customStyle="1" w:styleId="Text1">
    <w:name w:val="Text 1"/>
    <w:basedOn w:val="Normal"/>
    <w:pPr>
      <w:spacing w:after="240" w:line="240" w:lineRule="auto"/>
      <w:ind w:left="482"/>
      <w:jc w:val="both"/>
    </w:pPr>
    <w:rPr>
      <w:rFonts w:ascii="Times New Roman" w:eastAsia="Times New Roman" w:hAnsi="Times New Roman"/>
      <w:sz w:val="24"/>
      <w:szCs w:val="20"/>
    </w:rPr>
  </w:style>
  <w:style w:type="paragraph" w:customStyle="1" w:styleId="Text2">
    <w:name w:val="Text 2"/>
    <w:basedOn w:val="Normal"/>
    <w:pPr>
      <w:tabs>
        <w:tab w:val="left" w:pos="2160"/>
      </w:tabs>
      <w:spacing w:after="240" w:line="240" w:lineRule="auto"/>
      <w:ind w:left="1077"/>
      <w:jc w:val="both"/>
    </w:pPr>
    <w:rPr>
      <w:rFonts w:ascii="Times New Roman" w:eastAsia="Times New Roman" w:hAnsi="Times New Roman"/>
      <w:sz w:val="24"/>
      <w:szCs w:val="20"/>
    </w:rPr>
  </w:style>
  <w:style w:type="paragraph" w:customStyle="1" w:styleId="Text3">
    <w:name w:val="Text 3"/>
    <w:basedOn w:val="Normal"/>
    <w:pPr>
      <w:tabs>
        <w:tab w:val="left" w:pos="2302"/>
      </w:tabs>
      <w:spacing w:after="240" w:line="240" w:lineRule="auto"/>
      <w:ind w:left="1916"/>
      <w:jc w:val="both"/>
    </w:pPr>
    <w:rPr>
      <w:rFonts w:ascii="Times New Roman" w:eastAsia="Times New Roman" w:hAnsi="Times New Roman"/>
      <w:sz w:val="24"/>
      <w:szCs w:val="20"/>
    </w:rPr>
  </w:style>
  <w:style w:type="paragraph" w:customStyle="1" w:styleId="Text4">
    <w:name w:val="Text 4"/>
    <w:basedOn w:val="Normal"/>
    <w:pPr>
      <w:spacing w:after="240" w:line="240" w:lineRule="auto"/>
      <w:ind w:left="2880"/>
      <w:jc w:val="both"/>
    </w:pPr>
    <w:rPr>
      <w:rFonts w:ascii="Times New Roman" w:eastAsia="Times New Roman" w:hAnsi="Times New Roman"/>
      <w:sz w:val="24"/>
      <w:szCs w:val="20"/>
    </w:rPr>
  </w:style>
  <w:style w:type="paragraph" w:customStyle="1" w:styleId="Address">
    <w:name w:val="Address"/>
    <w:basedOn w:val="Normal"/>
    <w:pPr>
      <w:spacing w:after="0" w:line="240" w:lineRule="auto"/>
    </w:pPr>
    <w:rPr>
      <w:rFonts w:ascii="Times New Roman" w:eastAsia="Times New Roman" w:hAnsi="Times New Roman"/>
      <w:sz w:val="24"/>
      <w:szCs w:val="20"/>
    </w:rPr>
  </w:style>
  <w:style w:type="paragraph" w:customStyle="1" w:styleId="AddressTL">
    <w:name w:val="AddressTL"/>
    <w:basedOn w:val="Normal"/>
    <w:next w:val="Normal"/>
    <w:pPr>
      <w:spacing w:after="720" w:line="240" w:lineRule="auto"/>
    </w:pPr>
    <w:rPr>
      <w:rFonts w:ascii="Times New Roman" w:eastAsia="Times New Roman" w:hAnsi="Times New Roman"/>
      <w:sz w:val="24"/>
      <w:szCs w:val="20"/>
    </w:rPr>
  </w:style>
  <w:style w:type="paragraph" w:customStyle="1" w:styleId="AddressTR">
    <w:name w:val="AddressTR"/>
    <w:basedOn w:val="Normal"/>
    <w:next w:val="Normal"/>
    <w:pPr>
      <w:spacing w:after="720" w:line="240" w:lineRule="auto"/>
      <w:ind w:left="5103"/>
    </w:pPr>
    <w:rPr>
      <w:rFonts w:ascii="Times New Roman" w:eastAsia="Times New Roman" w:hAnsi="Times New Roman"/>
      <w:sz w:val="24"/>
      <w:szCs w:val="20"/>
    </w:rPr>
  </w:style>
  <w:style w:type="paragraph" w:styleId="BlockText">
    <w:name w:val="Block Text"/>
    <w:basedOn w:val="Normal"/>
    <w:pPr>
      <w:spacing w:after="120" w:line="240" w:lineRule="auto"/>
      <w:ind w:left="1440" w:right="1440"/>
      <w:jc w:val="both"/>
    </w:pPr>
    <w:rPr>
      <w:rFonts w:ascii="Times New Roman" w:eastAsia="Times New Roman" w:hAnsi="Times New Roman"/>
      <w:sz w:val="24"/>
      <w:szCs w:val="20"/>
    </w:rPr>
  </w:style>
  <w:style w:type="paragraph" w:styleId="BodyText">
    <w:name w:val="Body Text"/>
    <w:basedOn w:val="Normal"/>
    <w:link w:val="BodyTextChar"/>
    <w:pPr>
      <w:spacing w:after="120" w:line="240" w:lineRule="auto"/>
      <w:jc w:val="both"/>
    </w:pPr>
    <w:rPr>
      <w:rFonts w:ascii="Times New Roman" w:eastAsia="Times New Roman" w:hAnsi="Times New Roman"/>
      <w:sz w:val="24"/>
      <w:szCs w:val="20"/>
      <w:lang w:val="x-none"/>
    </w:rPr>
  </w:style>
  <w:style w:type="character" w:customStyle="1" w:styleId="BodyTextChar">
    <w:name w:val="Body Text Char"/>
    <w:link w:val="BodyText"/>
    <w:rPr>
      <w:rFonts w:ascii="Times New Roman" w:eastAsia="Times New Roman" w:hAnsi="Times New Roman"/>
      <w:sz w:val="24"/>
      <w:lang w:eastAsia="en-US"/>
    </w:rPr>
  </w:style>
  <w:style w:type="paragraph" w:styleId="BodyText2">
    <w:name w:val="Body Text 2"/>
    <w:basedOn w:val="Normal"/>
    <w:link w:val="BodyText2Char"/>
    <w:pPr>
      <w:spacing w:after="120" w:line="480" w:lineRule="auto"/>
      <w:jc w:val="both"/>
    </w:pPr>
    <w:rPr>
      <w:rFonts w:ascii="Times New Roman" w:eastAsia="Times New Roman" w:hAnsi="Times New Roman"/>
      <w:sz w:val="24"/>
      <w:szCs w:val="20"/>
      <w:lang w:val="x-none"/>
    </w:rPr>
  </w:style>
  <w:style w:type="character" w:customStyle="1" w:styleId="BodyText2Char">
    <w:name w:val="Body Text 2 Char"/>
    <w:link w:val="BodyText2"/>
    <w:rPr>
      <w:rFonts w:ascii="Times New Roman" w:eastAsia="Times New Roman" w:hAnsi="Times New Roman"/>
      <w:sz w:val="24"/>
      <w:lang w:eastAsia="en-US"/>
    </w:rPr>
  </w:style>
  <w:style w:type="paragraph" w:styleId="BodyText3">
    <w:name w:val="Body Text 3"/>
    <w:basedOn w:val="Normal"/>
    <w:link w:val="BodyText3Char"/>
    <w:pPr>
      <w:spacing w:after="120" w:line="240" w:lineRule="auto"/>
      <w:jc w:val="both"/>
    </w:pPr>
    <w:rPr>
      <w:rFonts w:ascii="Times New Roman" w:eastAsia="Times New Roman" w:hAnsi="Times New Roman"/>
      <w:sz w:val="16"/>
      <w:szCs w:val="20"/>
      <w:lang w:val="x-none"/>
    </w:rPr>
  </w:style>
  <w:style w:type="character" w:customStyle="1" w:styleId="BodyText3Char">
    <w:name w:val="Body Text 3 Char"/>
    <w:link w:val="BodyText3"/>
    <w:rPr>
      <w:rFonts w:ascii="Times New Roman" w:eastAsia="Times New Roman" w:hAnsi="Times New Roman"/>
      <w:sz w:val="16"/>
      <w:lang w:eastAsia="en-US"/>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sz w:val="24"/>
      <w:lang w:eastAsia="en-US"/>
    </w:rPr>
  </w:style>
  <w:style w:type="paragraph" w:styleId="BodyTextIndent">
    <w:name w:val="Body Text Indent"/>
    <w:basedOn w:val="Normal"/>
    <w:link w:val="BodyTextIndentChar"/>
    <w:pPr>
      <w:spacing w:after="120" w:line="240" w:lineRule="auto"/>
      <w:ind w:left="283"/>
      <w:jc w:val="both"/>
    </w:pPr>
    <w:rPr>
      <w:rFonts w:ascii="Times New Roman" w:eastAsia="Times New Roman" w:hAnsi="Times New Roman"/>
      <w:sz w:val="24"/>
      <w:szCs w:val="20"/>
      <w:lang w:val="x-none"/>
    </w:rPr>
  </w:style>
  <w:style w:type="character" w:customStyle="1" w:styleId="BodyTextIndentChar">
    <w:name w:val="Body Text Indent Char"/>
    <w:link w:val="BodyTextIndent"/>
    <w:rPr>
      <w:rFonts w:ascii="Times New Roman" w:eastAsia="Times New Roman" w:hAnsi="Times New Roman"/>
      <w:sz w:val="24"/>
      <w:lang w:eastAsia="en-US"/>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sz w:val="24"/>
      <w:lang w:eastAsia="en-US"/>
    </w:rPr>
  </w:style>
  <w:style w:type="paragraph" w:styleId="BodyTextIndent2">
    <w:name w:val="Body Text Indent 2"/>
    <w:basedOn w:val="Normal"/>
    <w:link w:val="BodyTextIndent2Char"/>
    <w:pPr>
      <w:spacing w:after="120" w:line="480" w:lineRule="auto"/>
      <w:ind w:left="283"/>
      <w:jc w:val="both"/>
    </w:pPr>
    <w:rPr>
      <w:rFonts w:ascii="Times New Roman" w:eastAsia="Times New Roman" w:hAnsi="Times New Roman"/>
      <w:sz w:val="24"/>
      <w:szCs w:val="20"/>
      <w:lang w:val="x-none"/>
    </w:rPr>
  </w:style>
  <w:style w:type="character" w:customStyle="1" w:styleId="BodyTextIndent2Char">
    <w:name w:val="Body Text Indent 2 Char"/>
    <w:link w:val="BodyTextIndent2"/>
    <w:rPr>
      <w:rFonts w:ascii="Times New Roman" w:eastAsia="Times New Roman" w:hAnsi="Times New Roman"/>
      <w:sz w:val="24"/>
      <w:lang w:eastAsia="en-US"/>
    </w:rPr>
  </w:style>
  <w:style w:type="paragraph" w:styleId="BodyTextIndent3">
    <w:name w:val="Body Text Indent 3"/>
    <w:basedOn w:val="Normal"/>
    <w:link w:val="BodyTextIndent3Char"/>
    <w:pPr>
      <w:spacing w:after="120" w:line="240" w:lineRule="auto"/>
      <w:ind w:left="283"/>
      <w:jc w:val="both"/>
    </w:pPr>
    <w:rPr>
      <w:rFonts w:ascii="Times New Roman" w:eastAsia="Times New Roman" w:hAnsi="Times New Roman"/>
      <w:sz w:val="16"/>
      <w:szCs w:val="20"/>
      <w:lang w:val="x-none"/>
    </w:rPr>
  </w:style>
  <w:style w:type="character" w:customStyle="1" w:styleId="BodyTextIndent3Char">
    <w:name w:val="Body Text Indent 3 Char"/>
    <w:link w:val="BodyTextIndent3"/>
    <w:rPr>
      <w:rFonts w:ascii="Times New Roman" w:eastAsia="Times New Roman" w:hAnsi="Times New Roman"/>
      <w:sz w:val="16"/>
      <w:lang w:eastAsia="en-US"/>
    </w:rPr>
  </w:style>
  <w:style w:type="paragraph" w:styleId="Caption">
    <w:name w:val="caption"/>
    <w:basedOn w:val="Normal"/>
    <w:next w:val="Normal"/>
    <w:qFormat/>
    <w:pPr>
      <w:spacing w:before="120" w:after="120" w:line="240" w:lineRule="auto"/>
      <w:jc w:val="both"/>
    </w:pPr>
    <w:rPr>
      <w:rFonts w:ascii="Times New Roman" w:eastAsia="Times New Roman" w:hAnsi="Times New Roman"/>
      <w:b/>
      <w:sz w:val="24"/>
      <w:szCs w:val="20"/>
    </w:rPr>
  </w:style>
  <w:style w:type="paragraph" w:styleId="Closing">
    <w:name w:val="Closing"/>
    <w:basedOn w:val="Normal"/>
    <w:next w:val="Signature"/>
    <w:link w:val="ClosingChar"/>
    <w:pPr>
      <w:tabs>
        <w:tab w:val="left" w:pos="5103"/>
      </w:tabs>
      <w:spacing w:before="240" w:after="240" w:line="240" w:lineRule="auto"/>
      <w:ind w:left="5103"/>
    </w:pPr>
    <w:rPr>
      <w:rFonts w:ascii="Times New Roman" w:eastAsia="Times New Roman" w:hAnsi="Times New Roman"/>
      <w:sz w:val="24"/>
      <w:szCs w:val="20"/>
      <w:lang w:val="x-none"/>
    </w:rPr>
  </w:style>
  <w:style w:type="character" w:customStyle="1" w:styleId="ClosingChar">
    <w:name w:val="Closing Char"/>
    <w:link w:val="Closing"/>
    <w:rPr>
      <w:rFonts w:ascii="Times New Roman" w:eastAsia="Times New Roman" w:hAnsi="Times New Roman"/>
      <w:sz w:val="24"/>
      <w:lang w:eastAsia="en-US"/>
    </w:rPr>
  </w:style>
  <w:style w:type="paragraph" w:styleId="Signature">
    <w:name w:val="Signature"/>
    <w:basedOn w:val="Normal"/>
    <w:next w:val="Contact"/>
    <w:link w:val="SignatureChar"/>
    <w:uiPriority w:val="99"/>
    <w:pPr>
      <w:tabs>
        <w:tab w:val="left" w:pos="5103"/>
      </w:tabs>
      <w:spacing w:before="1200" w:after="0" w:line="240" w:lineRule="auto"/>
      <w:ind w:left="5103"/>
      <w:jc w:val="center"/>
    </w:pPr>
    <w:rPr>
      <w:rFonts w:ascii="Times New Roman" w:eastAsia="Times New Roman" w:hAnsi="Times New Roman"/>
      <w:sz w:val="24"/>
      <w:szCs w:val="20"/>
      <w:lang w:val="x-none"/>
    </w:rPr>
  </w:style>
  <w:style w:type="character" w:customStyle="1" w:styleId="SignatureChar">
    <w:name w:val="Signature Char"/>
    <w:link w:val="Signature"/>
    <w:uiPriority w:val="99"/>
    <w:rPr>
      <w:rFonts w:ascii="Times New Roman" w:eastAsia="Times New Roman" w:hAnsi="Times New Roman"/>
      <w:sz w:val="24"/>
      <w:lang w:eastAsia="en-US"/>
    </w:rPr>
  </w:style>
  <w:style w:type="paragraph" w:customStyle="1" w:styleId="Enclosures">
    <w:name w:val="Enclosures"/>
    <w:basedOn w:val="Normal"/>
    <w:next w:val="Participants"/>
    <w:pPr>
      <w:keepNext/>
      <w:keepLines/>
      <w:tabs>
        <w:tab w:val="left" w:pos="5670"/>
      </w:tabs>
      <w:spacing w:before="480" w:after="0" w:line="240" w:lineRule="auto"/>
      <w:ind w:left="1985" w:hanging="1985"/>
    </w:pPr>
    <w:rPr>
      <w:rFonts w:ascii="Times New Roman" w:eastAsia="Times New Roman" w:hAnsi="Times New Roman"/>
      <w:sz w:val="24"/>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line="240" w:lineRule="auto"/>
      <w:ind w:left="1985" w:hanging="1985"/>
    </w:pPr>
    <w:rPr>
      <w:rFonts w:ascii="Times New Roman" w:eastAsia="Times New Roman" w:hAnsi="Times New Roman"/>
      <w:sz w:val="24"/>
      <w:szCs w:val="20"/>
    </w:rPr>
  </w:style>
  <w:style w:type="paragraph" w:styleId="CommentText">
    <w:name w:val="annotation text"/>
    <w:basedOn w:val="Normal"/>
    <w:link w:val="CommentTextChar"/>
    <w:semiHidden/>
    <w:pPr>
      <w:spacing w:after="240" w:line="240" w:lineRule="auto"/>
      <w:jc w:val="both"/>
    </w:pPr>
    <w:rPr>
      <w:rFonts w:ascii="Times New Roman" w:eastAsia="Times New Roman" w:hAnsi="Times New Roman"/>
      <w:sz w:val="20"/>
      <w:szCs w:val="20"/>
      <w:lang w:val="x-none"/>
    </w:rPr>
  </w:style>
  <w:style w:type="character" w:customStyle="1" w:styleId="CommentTextChar">
    <w:name w:val="Comment Text Char"/>
    <w:link w:val="CommentText"/>
    <w:semiHidden/>
    <w:rPr>
      <w:rFonts w:ascii="Times New Roman" w:eastAsia="Times New Roman" w:hAnsi="Times New Roman"/>
      <w:lang w:eastAsia="en-US"/>
    </w:rPr>
  </w:style>
  <w:style w:type="paragraph" w:styleId="Date">
    <w:name w:val="Date"/>
    <w:basedOn w:val="Normal"/>
    <w:next w:val="References"/>
    <w:link w:val="DateChar"/>
    <w:pPr>
      <w:spacing w:after="0" w:line="240" w:lineRule="auto"/>
      <w:ind w:left="5103" w:right="-567"/>
    </w:pPr>
    <w:rPr>
      <w:rFonts w:ascii="Times New Roman" w:eastAsia="Times New Roman" w:hAnsi="Times New Roman"/>
      <w:sz w:val="24"/>
      <w:szCs w:val="20"/>
      <w:lang w:val="x-none"/>
    </w:rPr>
  </w:style>
  <w:style w:type="character" w:customStyle="1" w:styleId="DateChar">
    <w:name w:val="Date Char"/>
    <w:link w:val="Date"/>
    <w:rPr>
      <w:rFonts w:ascii="Times New Roman" w:eastAsia="Times New Roman" w:hAnsi="Times New Roman"/>
      <w:sz w:val="24"/>
      <w:lang w:eastAsia="en-US"/>
    </w:rPr>
  </w:style>
  <w:style w:type="paragraph" w:customStyle="1" w:styleId="References">
    <w:name w:val="References"/>
    <w:basedOn w:val="Normal"/>
    <w:next w:val="AddressTR"/>
    <w:uiPriority w:val="99"/>
    <w:pPr>
      <w:spacing w:after="240" w:line="240" w:lineRule="auto"/>
      <w:ind w:left="5103"/>
    </w:pPr>
    <w:rPr>
      <w:rFonts w:ascii="Times New Roman" w:eastAsia="Times New Roman" w:hAnsi="Times New Roman"/>
      <w:sz w:val="20"/>
      <w:szCs w:val="20"/>
    </w:rPr>
  </w:style>
  <w:style w:type="paragraph" w:styleId="DocumentMap">
    <w:name w:val="Document Map"/>
    <w:basedOn w:val="Normal"/>
    <w:link w:val="DocumentMapChar"/>
    <w:semiHidden/>
    <w:pPr>
      <w:shd w:val="clear" w:color="auto" w:fill="000080"/>
      <w:spacing w:after="240" w:line="240" w:lineRule="auto"/>
      <w:jc w:val="both"/>
    </w:pPr>
    <w:rPr>
      <w:rFonts w:ascii="Tahoma" w:eastAsia="Times New Roman" w:hAnsi="Tahoma"/>
      <w:sz w:val="24"/>
      <w:szCs w:val="20"/>
      <w:lang w:val="x-none"/>
    </w:rPr>
  </w:style>
  <w:style w:type="character" w:customStyle="1" w:styleId="DocumentMapChar">
    <w:name w:val="Document Map Char"/>
    <w:link w:val="DocumentMap"/>
    <w:semiHidden/>
    <w:rPr>
      <w:rFonts w:ascii="Tahoma" w:eastAsia="Times New Roman" w:hAnsi="Tahoma"/>
      <w:sz w:val="24"/>
      <w:shd w:val="clear" w:color="auto" w:fill="000080"/>
      <w:lang w:eastAsia="en-US"/>
    </w:rPr>
  </w:style>
  <w:style w:type="paragraph" w:customStyle="1" w:styleId="DoubSign">
    <w:name w:val="DoubSign"/>
    <w:basedOn w:val="Normal"/>
    <w:next w:val="Contact"/>
    <w:pPr>
      <w:tabs>
        <w:tab w:val="left" w:pos="5103"/>
      </w:tabs>
      <w:spacing w:before="1200" w:after="0" w:line="240" w:lineRule="auto"/>
    </w:pPr>
    <w:rPr>
      <w:rFonts w:ascii="Times New Roman" w:eastAsia="Times New Roman" w:hAnsi="Times New Roman"/>
      <w:sz w:val="24"/>
      <w:szCs w:val="20"/>
    </w:rPr>
  </w:style>
  <w:style w:type="paragraph" w:styleId="EndnoteText">
    <w:name w:val="endnote text"/>
    <w:basedOn w:val="Normal"/>
    <w:link w:val="EndnoteTextChar"/>
    <w:semiHidden/>
    <w:pPr>
      <w:spacing w:after="240" w:line="240" w:lineRule="auto"/>
      <w:jc w:val="both"/>
    </w:pPr>
    <w:rPr>
      <w:rFonts w:ascii="Times New Roman" w:eastAsia="Times New Roman" w:hAnsi="Times New Roman"/>
      <w:sz w:val="20"/>
      <w:szCs w:val="20"/>
      <w:lang w:val="x-none"/>
    </w:rPr>
  </w:style>
  <w:style w:type="character" w:customStyle="1" w:styleId="EndnoteTextChar">
    <w:name w:val="Endnote Text Char"/>
    <w:link w:val="EndnoteText"/>
    <w:semiHidden/>
    <w:rPr>
      <w:rFonts w:ascii="Times New Roman" w:eastAsia="Times New Roman" w:hAnsi="Times New Roman"/>
      <w:lang w:eastAsia="en-US"/>
    </w:rPr>
  </w:style>
  <w:style w:type="paragraph" w:styleId="EnvelopeAddress">
    <w:name w:val="envelope address"/>
    <w:basedOn w:val="Normal"/>
    <w:pPr>
      <w:framePr w:w="7920" w:h="1980" w:hRule="exact" w:hSpace="180" w:wrap="auto" w:hAnchor="page" w:xAlign="center" w:yAlign="bottom"/>
      <w:spacing w:after="0" w:line="240" w:lineRule="auto"/>
      <w:jc w:val="both"/>
    </w:pPr>
    <w:rPr>
      <w:rFonts w:ascii="Times New Roman" w:eastAsia="Times New Roman" w:hAnsi="Times New Roman"/>
      <w:sz w:val="24"/>
      <w:szCs w:val="20"/>
    </w:rPr>
  </w:style>
  <w:style w:type="paragraph" w:styleId="EnvelopeReturn">
    <w:name w:val="envelope return"/>
    <w:basedOn w:val="Normal"/>
    <w:pPr>
      <w:spacing w:after="0" w:line="240" w:lineRule="auto"/>
      <w:jc w:val="both"/>
    </w:pPr>
    <w:rPr>
      <w:rFonts w:ascii="Times New Roman" w:eastAsia="Times New Roman" w:hAnsi="Times New Roman"/>
      <w:sz w:val="20"/>
      <w:szCs w:val="20"/>
    </w:rPr>
  </w:style>
  <w:style w:type="paragraph" w:styleId="FootnoteText">
    <w:name w:val="footnote text"/>
    <w:basedOn w:val="Normal"/>
    <w:link w:val="FootnoteTextChar"/>
    <w:uiPriority w:val="99"/>
    <w:semiHidden/>
    <w:pPr>
      <w:spacing w:after="240" w:line="240" w:lineRule="auto"/>
      <w:ind w:left="357" w:hanging="357"/>
      <w:jc w:val="both"/>
    </w:pPr>
    <w:rPr>
      <w:rFonts w:ascii="Times New Roman" w:eastAsia="Times New Roman" w:hAnsi="Times New Roman"/>
      <w:sz w:val="20"/>
      <w:szCs w:val="20"/>
      <w:lang w:val="x-none"/>
    </w:rPr>
  </w:style>
  <w:style w:type="character" w:customStyle="1" w:styleId="FootnoteTextChar">
    <w:name w:val="Footnote Text Char"/>
    <w:link w:val="FootnoteText"/>
    <w:uiPriority w:val="99"/>
    <w:semiHidden/>
    <w:rPr>
      <w:rFonts w:ascii="Times New Roman" w:eastAsia="Times New Roman" w:hAnsi="Times New Roman"/>
      <w:lang w:eastAsia="en-US"/>
    </w:rPr>
  </w:style>
  <w:style w:type="paragraph" w:styleId="Index1">
    <w:name w:val="index 1"/>
    <w:basedOn w:val="Normal"/>
    <w:next w:val="Normal"/>
    <w:autoRedefine/>
    <w:semiHidden/>
    <w:pPr>
      <w:spacing w:after="240" w:line="240" w:lineRule="auto"/>
      <w:ind w:left="240" w:hanging="240"/>
      <w:jc w:val="both"/>
    </w:pPr>
    <w:rPr>
      <w:rFonts w:ascii="Times New Roman" w:eastAsia="Times New Roman" w:hAnsi="Times New Roman"/>
      <w:sz w:val="24"/>
      <w:szCs w:val="20"/>
    </w:rPr>
  </w:style>
  <w:style w:type="paragraph" w:styleId="Index2">
    <w:name w:val="index 2"/>
    <w:basedOn w:val="Normal"/>
    <w:next w:val="Normal"/>
    <w:autoRedefine/>
    <w:semiHidden/>
    <w:pPr>
      <w:spacing w:after="240" w:line="240" w:lineRule="auto"/>
      <w:ind w:left="480" w:hanging="240"/>
      <w:jc w:val="both"/>
    </w:pPr>
    <w:rPr>
      <w:rFonts w:ascii="Times New Roman" w:eastAsia="Times New Roman" w:hAnsi="Times New Roman"/>
      <w:sz w:val="24"/>
      <w:szCs w:val="20"/>
    </w:rPr>
  </w:style>
  <w:style w:type="paragraph" w:styleId="Index3">
    <w:name w:val="index 3"/>
    <w:basedOn w:val="Normal"/>
    <w:next w:val="Normal"/>
    <w:autoRedefine/>
    <w:semiHidden/>
    <w:pPr>
      <w:spacing w:after="240" w:line="240" w:lineRule="auto"/>
      <w:ind w:left="720" w:hanging="240"/>
      <w:jc w:val="both"/>
    </w:pPr>
    <w:rPr>
      <w:rFonts w:ascii="Times New Roman" w:eastAsia="Times New Roman" w:hAnsi="Times New Roman"/>
      <w:sz w:val="24"/>
      <w:szCs w:val="20"/>
    </w:rPr>
  </w:style>
  <w:style w:type="paragraph" w:styleId="Index4">
    <w:name w:val="index 4"/>
    <w:basedOn w:val="Normal"/>
    <w:next w:val="Normal"/>
    <w:autoRedefine/>
    <w:semiHidden/>
    <w:pPr>
      <w:spacing w:after="240" w:line="240" w:lineRule="auto"/>
      <w:ind w:left="960" w:hanging="240"/>
      <w:jc w:val="both"/>
    </w:pPr>
    <w:rPr>
      <w:rFonts w:ascii="Times New Roman" w:eastAsia="Times New Roman" w:hAnsi="Times New Roman"/>
      <w:sz w:val="24"/>
      <w:szCs w:val="20"/>
    </w:rPr>
  </w:style>
  <w:style w:type="paragraph" w:styleId="Index5">
    <w:name w:val="index 5"/>
    <w:basedOn w:val="Normal"/>
    <w:next w:val="Normal"/>
    <w:autoRedefine/>
    <w:semiHidden/>
    <w:pPr>
      <w:spacing w:after="240" w:line="240" w:lineRule="auto"/>
      <w:ind w:left="1200" w:hanging="240"/>
      <w:jc w:val="both"/>
    </w:pPr>
    <w:rPr>
      <w:rFonts w:ascii="Times New Roman" w:eastAsia="Times New Roman" w:hAnsi="Times New Roman"/>
      <w:sz w:val="24"/>
      <w:szCs w:val="20"/>
    </w:rPr>
  </w:style>
  <w:style w:type="paragraph" w:styleId="Index6">
    <w:name w:val="index 6"/>
    <w:basedOn w:val="Normal"/>
    <w:next w:val="Normal"/>
    <w:autoRedefine/>
    <w:semiHidden/>
    <w:pPr>
      <w:spacing w:after="240" w:line="240" w:lineRule="auto"/>
      <w:ind w:left="1440" w:hanging="240"/>
      <w:jc w:val="both"/>
    </w:pPr>
    <w:rPr>
      <w:rFonts w:ascii="Times New Roman" w:eastAsia="Times New Roman" w:hAnsi="Times New Roman"/>
      <w:sz w:val="24"/>
      <w:szCs w:val="20"/>
    </w:rPr>
  </w:style>
  <w:style w:type="paragraph" w:styleId="Index7">
    <w:name w:val="index 7"/>
    <w:basedOn w:val="Normal"/>
    <w:next w:val="Normal"/>
    <w:autoRedefine/>
    <w:semiHidden/>
    <w:pPr>
      <w:spacing w:after="240" w:line="240" w:lineRule="auto"/>
      <w:ind w:left="1680" w:hanging="240"/>
      <w:jc w:val="both"/>
    </w:pPr>
    <w:rPr>
      <w:rFonts w:ascii="Times New Roman" w:eastAsia="Times New Roman" w:hAnsi="Times New Roman"/>
      <w:sz w:val="24"/>
      <w:szCs w:val="20"/>
    </w:rPr>
  </w:style>
  <w:style w:type="paragraph" w:styleId="Index8">
    <w:name w:val="index 8"/>
    <w:basedOn w:val="Normal"/>
    <w:next w:val="Normal"/>
    <w:autoRedefine/>
    <w:semiHidden/>
    <w:pPr>
      <w:spacing w:after="240" w:line="240" w:lineRule="auto"/>
      <w:ind w:left="1920" w:hanging="240"/>
      <w:jc w:val="both"/>
    </w:pPr>
    <w:rPr>
      <w:rFonts w:ascii="Times New Roman" w:eastAsia="Times New Roman" w:hAnsi="Times New Roman"/>
      <w:sz w:val="24"/>
      <w:szCs w:val="20"/>
    </w:rPr>
  </w:style>
  <w:style w:type="paragraph" w:styleId="Index9">
    <w:name w:val="index 9"/>
    <w:basedOn w:val="Normal"/>
    <w:next w:val="Normal"/>
    <w:autoRedefine/>
    <w:semiHidden/>
    <w:pPr>
      <w:spacing w:after="240" w:line="240" w:lineRule="auto"/>
      <w:ind w:left="2160" w:hanging="240"/>
      <w:jc w:val="both"/>
    </w:pPr>
    <w:rPr>
      <w:rFonts w:ascii="Times New Roman" w:eastAsia="Times New Roman" w:hAnsi="Times New Roman"/>
      <w:sz w:val="24"/>
      <w:szCs w:val="20"/>
    </w:rPr>
  </w:style>
  <w:style w:type="paragraph" w:styleId="IndexHeading">
    <w:name w:val="index heading"/>
    <w:basedOn w:val="Normal"/>
    <w:next w:val="Index1"/>
    <w:semiHidden/>
    <w:pPr>
      <w:spacing w:after="240" w:line="240" w:lineRule="auto"/>
      <w:jc w:val="both"/>
    </w:pPr>
    <w:rPr>
      <w:rFonts w:ascii="Arial" w:eastAsia="Times New Roman" w:hAnsi="Arial"/>
      <w:b/>
      <w:sz w:val="24"/>
      <w:szCs w:val="20"/>
    </w:rPr>
  </w:style>
  <w:style w:type="paragraph" w:styleId="List">
    <w:name w:val="List"/>
    <w:basedOn w:val="Normal"/>
    <w:pPr>
      <w:spacing w:after="240" w:line="240" w:lineRule="auto"/>
      <w:ind w:left="283" w:hanging="283"/>
      <w:jc w:val="both"/>
    </w:pPr>
    <w:rPr>
      <w:rFonts w:ascii="Times New Roman" w:eastAsia="Times New Roman" w:hAnsi="Times New Roman"/>
      <w:sz w:val="24"/>
      <w:szCs w:val="20"/>
    </w:rPr>
  </w:style>
  <w:style w:type="paragraph" w:styleId="List2">
    <w:name w:val="List 2"/>
    <w:basedOn w:val="Normal"/>
    <w:pPr>
      <w:spacing w:after="240" w:line="240" w:lineRule="auto"/>
      <w:ind w:left="566" w:hanging="283"/>
      <w:jc w:val="both"/>
    </w:pPr>
    <w:rPr>
      <w:rFonts w:ascii="Times New Roman" w:eastAsia="Times New Roman" w:hAnsi="Times New Roman"/>
      <w:sz w:val="24"/>
      <w:szCs w:val="20"/>
    </w:rPr>
  </w:style>
  <w:style w:type="paragraph" w:styleId="List3">
    <w:name w:val="List 3"/>
    <w:basedOn w:val="Normal"/>
    <w:pPr>
      <w:spacing w:after="240" w:line="240" w:lineRule="auto"/>
      <w:ind w:left="849" w:hanging="283"/>
      <w:jc w:val="both"/>
    </w:pPr>
    <w:rPr>
      <w:rFonts w:ascii="Times New Roman" w:eastAsia="Times New Roman" w:hAnsi="Times New Roman"/>
      <w:sz w:val="24"/>
      <w:szCs w:val="20"/>
    </w:rPr>
  </w:style>
  <w:style w:type="paragraph" w:styleId="List4">
    <w:name w:val="List 4"/>
    <w:basedOn w:val="Normal"/>
    <w:pPr>
      <w:spacing w:after="240" w:line="240" w:lineRule="auto"/>
      <w:ind w:left="1132" w:hanging="283"/>
      <w:jc w:val="both"/>
    </w:pPr>
    <w:rPr>
      <w:rFonts w:ascii="Times New Roman" w:eastAsia="Times New Roman" w:hAnsi="Times New Roman"/>
      <w:sz w:val="24"/>
      <w:szCs w:val="20"/>
    </w:rPr>
  </w:style>
  <w:style w:type="paragraph" w:styleId="List5">
    <w:name w:val="List 5"/>
    <w:basedOn w:val="Normal"/>
    <w:pPr>
      <w:spacing w:after="240" w:line="240" w:lineRule="auto"/>
      <w:ind w:left="1415" w:hanging="283"/>
      <w:jc w:val="both"/>
    </w:pPr>
    <w:rPr>
      <w:rFonts w:ascii="Times New Roman" w:eastAsia="Times New Roman" w:hAnsi="Times New Roman"/>
      <w:sz w:val="24"/>
      <w:szCs w:val="20"/>
    </w:rPr>
  </w:style>
  <w:style w:type="paragraph" w:styleId="ListBullet">
    <w:name w:val="List Bullet"/>
    <w:basedOn w:val="Normal"/>
    <w:pPr>
      <w:numPr>
        <w:numId w:val="4"/>
      </w:numPr>
      <w:spacing w:after="240" w:line="240" w:lineRule="auto"/>
      <w:jc w:val="both"/>
    </w:pPr>
    <w:rPr>
      <w:rFonts w:ascii="Times New Roman" w:eastAsia="Times New Roman" w:hAnsi="Times New Roman"/>
      <w:sz w:val="24"/>
      <w:szCs w:val="20"/>
    </w:rPr>
  </w:style>
  <w:style w:type="paragraph" w:styleId="ListBullet2">
    <w:name w:val="List Bullet 2"/>
    <w:basedOn w:val="Text2"/>
    <w:pPr>
      <w:numPr>
        <w:numId w:val="6"/>
      </w:numPr>
      <w:tabs>
        <w:tab w:val="clear" w:pos="2160"/>
      </w:tabs>
    </w:pPr>
  </w:style>
  <w:style w:type="paragraph" w:styleId="ListBullet3">
    <w:name w:val="List Bullet 3"/>
    <w:basedOn w:val="Text3"/>
    <w:pPr>
      <w:numPr>
        <w:numId w:val="7"/>
      </w:numPr>
      <w:tabs>
        <w:tab w:val="clear" w:pos="2302"/>
      </w:tabs>
    </w:pPr>
  </w:style>
  <w:style w:type="paragraph" w:styleId="ListBullet4">
    <w:name w:val="List Bullet 4"/>
    <w:basedOn w:val="Text4"/>
    <w:pPr>
      <w:numPr>
        <w:numId w:val="8"/>
      </w:numPr>
    </w:pPr>
  </w:style>
  <w:style w:type="paragraph" w:styleId="ListBullet5">
    <w:name w:val="List Bullet 5"/>
    <w:basedOn w:val="Normal"/>
    <w:autoRedefine/>
    <w:pPr>
      <w:numPr>
        <w:numId w:val="1"/>
      </w:numPr>
      <w:spacing w:after="240" w:line="240" w:lineRule="auto"/>
      <w:jc w:val="both"/>
    </w:pPr>
    <w:rPr>
      <w:rFonts w:ascii="Times New Roman" w:eastAsia="Times New Roman" w:hAnsi="Times New Roman"/>
      <w:sz w:val="24"/>
      <w:szCs w:val="20"/>
    </w:rPr>
  </w:style>
  <w:style w:type="paragraph" w:styleId="ListContinue">
    <w:name w:val="List Continue"/>
    <w:basedOn w:val="Normal"/>
    <w:pPr>
      <w:spacing w:after="120" w:line="240" w:lineRule="auto"/>
      <w:ind w:left="283"/>
      <w:jc w:val="both"/>
    </w:pPr>
    <w:rPr>
      <w:rFonts w:ascii="Times New Roman" w:eastAsia="Times New Roman" w:hAnsi="Times New Roman"/>
      <w:sz w:val="24"/>
      <w:szCs w:val="20"/>
    </w:rPr>
  </w:style>
  <w:style w:type="paragraph" w:styleId="ListContinue2">
    <w:name w:val="List Continue 2"/>
    <w:basedOn w:val="Normal"/>
    <w:pPr>
      <w:spacing w:after="120" w:line="240" w:lineRule="auto"/>
      <w:ind w:left="566"/>
      <w:jc w:val="both"/>
    </w:pPr>
    <w:rPr>
      <w:rFonts w:ascii="Times New Roman" w:eastAsia="Times New Roman" w:hAnsi="Times New Roman"/>
      <w:sz w:val="24"/>
      <w:szCs w:val="20"/>
    </w:rPr>
  </w:style>
  <w:style w:type="paragraph" w:styleId="ListContinue3">
    <w:name w:val="List Continue 3"/>
    <w:basedOn w:val="Normal"/>
    <w:pPr>
      <w:spacing w:after="120" w:line="240" w:lineRule="auto"/>
      <w:ind w:left="849"/>
      <w:jc w:val="both"/>
    </w:pPr>
    <w:rPr>
      <w:rFonts w:ascii="Times New Roman" w:eastAsia="Times New Roman" w:hAnsi="Times New Roman"/>
      <w:sz w:val="24"/>
      <w:szCs w:val="20"/>
    </w:rPr>
  </w:style>
  <w:style w:type="paragraph" w:styleId="ListContinue4">
    <w:name w:val="List Continue 4"/>
    <w:basedOn w:val="Normal"/>
    <w:pPr>
      <w:spacing w:after="120" w:line="240" w:lineRule="auto"/>
      <w:ind w:left="1132"/>
      <w:jc w:val="both"/>
    </w:pPr>
    <w:rPr>
      <w:rFonts w:ascii="Times New Roman" w:eastAsia="Times New Roman" w:hAnsi="Times New Roman"/>
      <w:sz w:val="24"/>
      <w:szCs w:val="20"/>
    </w:rPr>
  </w:style>
  <w:style w:type="paragraph" w:styleId="ListContinue5">
    <w:name w:val="List Continue 5"/>
    <w:basedOn w:val="Normal"/>
    <w:pPr>
      <w:spacing w:after="120" w:line="240" w:lineRule="auto"/>
      <w:ind w:left="1415"/>
      <w:jc w:val="both"/>
    </w:pPr>
    <w:rPr>
      <w:rFonts w:ascii="Times New Roman" w:eastAsia="Times New Roman" w:hAnsi="Times New Roman"/>
      <w:sz w:val="24"/>
      <w:szCs w:val="20"/>
    </w:rPr>
  </w:style>
  <w:style w:type="paragraph" w:styleId="ListNumber">
    <w:name w:val="List Number"/>
    <w:basedOn w:val="Normal"/>
    <w:pPr>
      <w:numPr>
        <w:numId w:val="14"/>
      </w:numPr>
      <w:spacing w:after="240" w:line="240" w:lineRule="auto"/>
      <w:jc w:val="both"/>
    </w:pPr>
    <w:rPr>
      <w:rFonts w:ascii="Times New Roman" w:eastAsia="Times New Roman" w:hAnsi="Times New Roman"/>
      <w:sz w:val="24"/>
      <w:szCs w:val="20"/>
    </w:rPr>
  </w:style>
  <w:style w:type="paragraph" w:styleId="ListNumber2">
    <w:name w:val="List Number 2"/>
    <w:basedOn w:val="Text2"/>
    <w:pPr>
      <w:numPr>
        <w:numId w:val="16"/>
      </w:numPr>
      <w:tabs>
        <w:tab w:val="clear" w:pos="2160"/>
      </w:tabs>
    </w:pPr>
  </w:style>
  <w:style w:type="paragraph" w:styleId="ListNumber3">
    <w:name w:val="List Number 3"/>
    <w:basedOn w:val="Text3"/>
    <w:pPr>
      <w:numPr>
        <w:numId w:val="17"/>
      </w:numPr>
      <w:tabs>
        <w:tab w:val="clear" w:pos="2302"/>
      </w:tabs>
    </w:pPr>
  </w:style>
  <w:style w:type="paragraph" w:styleId="ListNumber4">
    <w:name w:val="List Number 4"/>
    <w:basedOn w:val="Text4"/>
    <w:pPr>
      <w:numPr>
        <w:numId w:val="18"/>
      </w:numPr>
    </w:pPr>
  </w:style>
  <w:style w:type="paragraph" w:styleId="ListNumber5">
    <w:name w:val="List Number 5"/>
    <w:basedOn w:val="Normal"/>
    <w:pPr>
      <w:numPr>
        <w:numId w:val="2"/>
      </w:numPr>
      <w:spacing w:after="240" w:line="240" w:lineRule="auto"/>
      <w:jc w:val="both"/>
    </w:pPr>
    <w:rPr>
      <w:rFonts w:ascii="Times New Roman" w:eastAsia="Times New Roman" w:hAnsi="Times New Roman"/>
      <w:sz w:val="24"/>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jc w:val="both"/>
    </w:pPr>
    <w:rPr>
      <w:rFonts w:ascii="Courier New" w:eastAsia="Times New Roman" w:hAnsi="Courier New"/>
      <w:lang w:eastAsia="en-US"/>
    </w:rPr>
  </w:style>
  <w:style w:type="character" w:customStyle="1" w:styleId="MacroTextChar">
    <w:name w:val="Macro Text Char"/>
    <w:link w:val="MacroText"/>
    <w:semiHidden/>
    <w:rPr>
      <w:rFonts w:ascii="Courier New" w:eastAsia="Times New Roman" w:hAnsi="Courier New"/>
      <w:lang w:eastAsia="en-US" w:bidi="ar-SA"/>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after="240" w:line="240" w:lineRule="auto"/>
      <w:ind w:left="1134" w:hanging="1134"/>
      <w:jc w:val="both"/>
    </w:pPr>
    <w:rPr>
      <w:rFonts w:ascii="Arial" w:eastAsia="Times New Roman" w:hAnsi="Arial"/>
      <w:sz w:val="24"/>
      <w:szCs w:val="20"/>
      <w:lang w:val="x-none"/>
    </w:rPr>
  </w:style>
  <w:style w:type="character" w:customStyle="1" w:styleId="MessageHeaderChar">
    <w:name w:val="Message Header Char"/>
    <w:link w:val="MessageHeader"/>
    <w:rPr>
      <w:rFonts w:ascii="Arial" w:eastAsia="Times New Roman" w:hAnsi="Arial"/>
      <w:sz w:val="24"/>
      <w:shd w:val="pct20" w:color="auto" w:fill="auto"/>
      <w:lang w:eastAsia="en-US"/>
    </w:rPr>
  </w:style>
  <w:style w:type="paragraph" w:styleId="NormalIndent">
    <w:name w:val="Normal Indent"/>
    <w:basedOn w:val="Normal"/>
    <w:pPr>
      <w:spacing w:after="240" w:line="240" w:lineRule="auto"/>
      <w:ind w:left="720"/>
      <w:jc w:val="both"/>
    </w:pPr>
    <w:rPr>
      <w:rFonts w:ascii="Times New Roman" w:eastAsia="Times New Roman" w:hAnsi="Times New Roman"/>
      <w:sz w:val="24"/>
      <w:szCs w:val="20"/>
    </w:rPr>
  </w:style>
  <w:style w:type="paragraph" w:styleId="NoteHeading">
    <w:name w:val="Note Heading"/>
    <w:basedOn w:val="Normal"/>
    <w:next w:val="Normal"/>
    <w:link w:val="NoteHeadingChar"/>
    <w:pPr>
      <w:spacing w:after="240" w:line="240" w:lineRule="auto"/>
      <w:jc w:val="both"/>
    </w:pPr>
    <w:rPr>
      <w:rFonts w:ascii="Times New Roman" w:eastAsia="Times New Roman" w:hAnsi="Times New Roman"/>
      <w:sz w:val="24"/>
      <w:szCs w:val="20"/>
      <w:lang w:val="x-none"/>
    </w:rPr>
  </w:style>
  <w:style w:type="character" w:customStyle="1" w:styleId="NoteHeadingChar">
    <w:name w:val="Note Heading Char"/>
    <w:link w:val="NoteHeading"/>
    <w:rPr>
      <w:rFonts w:ascii="Times New Roman" w:eastAsia="Times New Roman" w:hAnsi="Times New Roman"/>
      <w:sz w:val="24"/>
      <w:lang w:eastAsia="en-US"/>
    </w:rPr>
  </w:style>
  <w:style w:type="paragraph" w:customStyle="1" w:styleId="NoteHead">
    <w:name w:val="NoteHead"/>
    <w:basedOn w:val="Normal"/>
    <w:next w:val="Subject"/>
    <w:pPr>
      <w:spacing w:before="720" w:after="720" w:line="240" w:lineRule="auto"/>
      <w:jc w:val="center"/>
    </w:pPr>
    <w:rPr>
      <w:rFonts w:ascii="Times New Roman" w:eastAsia="Times New Roman" w:hAnsi="Times New Roman"/>
      <w:b/>
      <w:smallCaps/>
      <w:sz w:val="24"/>
      <w:szCs w:val="20"/>
    </w:rPr>
  </w:style>
  <w:style w:type="paragraph" w:customStyle="1" w:styleId="Subject">
    <w:name w:val="Subject"/>
    <w:basedOn w:val="Normal"/>
    <w:next w:val="Normal"/>
    <w:pPr>
      <w:spacing w:after="480" w:line="240" w:lineRule="auto"/>
      <w:ind w:left="1531" w:hanging="1531"/>
    </w:pPr>
    <w:rPr>
      <w:rFonts w:ascii="Times New Roman" w:eastAsia="Times New Roman" w:hAnsi="Times New Roman"/>
      <w:b/>
      <w:sz w:val="24"/>
      <w:szCs w:val="20"/>
    </w:rPr>
  </w:style>
  <w:style w:type="paragraph" w:customStyle="1" w:styleId="NoteList">
    <w:name w:val="NoteList"/>
    <w:basedOn w:val="Normal"/>
    <w:next w:val="Subject"/>
    <w:pPr>
      <w:tabs>
        <w:tab w:val="left" w:pos="5823"/>
      </w:tabs>
      <w:spacing w:before="720" w:after="720" w:line="240" w:lineRule="auto"/>
      <w:ind w:left="5104" w:hanging="3119"/>
    </w:pPr>
    <w:rPr>
      <w:rFonts w:ascii="Times New Roman" w:eastAsia="Times New Roman" w:hAnsi="Times New Roman"/>
      <w:b/>
      <w:smallCaps/>
      <w:sz w:val="24"/>
      <w:szCs w:val="20"/>
    </w:rPr>
  </w:style>
  <w:style w:type="paragraph" w:customStyle="1" w:styleId="NumPar1">
    <w:name w:val="NumPar 1"/>
    <w:basedOn w:val="Heading1"/>
    <w:next w:val="Text1"/>
    <w:pPr>
      <w:keepNext w:val="0"/>
      <w:spacing w:before="0"/>
      <w:outlineLvl w:val="9"/>
    </w:pPr>
    <w:rPr>
      <w:rFonts w:ascii="Times New Roman" w:hAnsi="Times New Roman"/>
      <w:b w:val="0"/>
      <w:bCs/>
      <w:kern w:val="0"/>
      <w:sz w:val="24"/>
      <w:szCs w:val="20"/>
    </w:rPr>
  </w:style>
  <w:style w:type="paragraph" w:customStyle="1" w:styleId="NumPar2">
    <w:name w:val="NumPar 2"/>
    <w:basedOn w:val="Heading2"/>
    <w:next w:val="Text2"/>
    <w:pPr>
      <w:keepNext w:val="0"/>
      <w:numPr>
        <w:numId w:val="0"/>
      </w:numPr>
      <w:tabs>
        <w:tab w:val="num" w:pos="1080"/>
      </w:tabs>
      <w:spacing w:before="0" w:after="240" w:line="240" w:lineRule="auto"/>
      <w:ind w:left="1080" w:hanging="600"/>
      <w:jc w:val="both"/>
      <w:outlineLvl w:val="9"/>
    </w:pPr>
    <w:rPr>
      <w:rFonts w:ascii="Times New Roman" w:hAnsi="Times New Roman"/>
      <w:b w:val="0"/>
      <w:bCs w:val="0"/>
      <w:i w:val="0"/>
      <w:iCs w:val="0"/>
      <w:sz w:val="24"/>
      <w:szCs w:val="20"/>
    </w:rPr>
  </w:style>
  <w:style w:type="paragraph" w:customStyle="1" w:styleId="NumPar3">
    <w:name w:val="NumPar 3"/>
    <w:basedOn w:val="Heading3"/>
    <w:next w:val="Text3"/>
    <w:pPr>
      <w:keepNext w:val="0"/>
      <w:numPr>
        <w:numId w:val="0"/>
      </w:numPr>
      <w:tabs>
        <w:tab w:val="num" w:pos="1920"/>
      </w:tabs>
      <w:ind w:left="1920" w:hanging="840"/>
      <w:outlineLvl w:val="9"/>
    </w:pPr>
    <w:rPr>
      <w:i w:val="0"/>
    </w:rPr>
  </w:style>
  <w:style w:type="paragraph" w:customStyle="1" w:styleId="NumPar4">
    <w:name w:val="NumPar 4"/>
    <w:basedOn w:val="Heading4"/>
    <w:next w:val="Text4"/>
    <w:pPr>
      <w:keepNext w:val="0"/>
      <w:numPr>
        <w:numId w:val="0"/>
      </w:numPr>
      <w:tabs>
        <w:tab w:val="num" w:pos="2880"/>
      </w:tabs>
      <w:ind w:left="2880" w:hanging="960"/>
      <w:outlineLvl w:val="9"/>
    </w:pPr>
  </w:style>
  <w:style w:type="paragraph" w:styleId="PlainText">
    <w:name w:val="Plain Text"/>
    <w:basedOn w:val="Normal"/>
    <w:link w:val="PlainTextChar"/>
    <w:uiPriority w:val="99"/>
    <w:pPr>
      <w:spacing w:after="240" w:line="240" w:lineRule="auto"/>
      <w:jc w:val="both"/>
    </w:pPr>
    <w:rPr>
      <w:rFonts w:ascii="Courier New" w:eastAsia="Times New Roman" w:hAnsi="Courier New"/>
      <w:sz w:val="20"/>
      <w:szCs w:val="20"/>
      <w:lang w:val="x-none"/>
    </w:rPr>
  </w:style>
  <w:style w:type="character" w:customStyle="1" w:styleId="PlainTextChar">
    <w:name w:val="Plain Text Char"/>
    <w:link w:val="PlainText"/>
    <w:uiPriority w:val="99"/>
    <w:rPr>
      <w:rFonts w:ascii="Courier New" w:eastAsia="Times New Roman" w:hAnsi="Courier New"/>
      <w:lang w:eastAsia="en-US"/>
    </w:rPr>
  </w:style>
  <w:style w:type="paragraph" w:styleId="Salutation">
    <w:name w:val="Salutation"/>
    <w:basedOn w:val="Normal"/>
    <w:next w:val="Normal"/>
    <w:link w:val="SalutationChar"/>
    <w:pPr>
      <w:spacing w:after="240" w:line="240" w:lineRule="auto"/>
      <w:jc w:val="both"/>
    </w:pPr>
    <w:rPr>
      <w:rFonts w:ascii="Times New Roman" w:eastAsia="Times New Roman" w:hAnsi="Times New Roman"/>
      <w:sz w:val="24"/>
      <w:szCs w:val="20"/>
      <w:lang w:val="x-none"/>
    </w:rPr>
  </w:style>
  <w:style w:type="character" w:customStyle="1" w:styleId="SalutationChar">
    <w:name w:val="Salutation Char"/>
    <w:link w:val="Salutation"/>
    <w:rPr>
      <w:rFonts w:ascii="Times New Roman" w:eastAsia="Times New Roman" w:hAnsi="Times New Roman"/>
      <w:sz w:val="24"/>
      <w:lang w:eastAsia="en-US"/>
    </w:rPr>
  </w:style>
  <w:style w:type="paragraph" w:styleId="Subtitle">
    <w:name w:val="Subtitle"/>
    <w:basedOn w:val="Normal"/>
    <w:link w:val="SubtitleChar"/>
    <w:qFormat/>
    <w:pPr>
      <w:spacing w:after="60" w:line="240" w:lineRule="auto"/>
      <w:jc w:val="center"/>
      <w:outlineLvl w:val="1"/>
    </w:pPr>
    <w:rPr>
      <w:rFonts w:ascii="Arial" w:eastAsia="Times New Roman" w:hAnsi="Arial"/>
      <w:sz w:val="24"/>
      <w:szCs w:val="20"/>
      <w:lang w:val="x-none"/>
    </w:rPr>
  </w:style>
  <w:style w:type="character" w:customStyle="1" w:styleId="SubtitleChar">
    <w:name w:val="Subtitle Char"/>
    <w:link w:val="Subtitle"/>
    <w:rPr>
      <w:rFonts w:ascii="Arial" w:eastAsia="Times New Roman" w:hAnsi="Arial"/>
      <w:sz w:val="24"/>
      <w:lang w:eastAsia="en-US"/>
    </w:rPr>
  </w:style>
  <w:style w:type="paragraph" w:styleId="TableofAuthorities">
    <w:name w:val="table of authorities"/>
    <w:basedOn w:val="Normal"/>
    <w:next w:val="Normal"/>
    <w:semiHidden/>
    <w:pPr>
      <w:spacing w:after="240" w:line="240" w:lineRule="auto"/>
      <w:ind w:left="240" w:hanging="240"/>
      <w:jc w:val="both"/>
    </w:pPr>
    <w:rPr>
      <w:rFonts w:ascii="Times New Roman" w:eastAsia="Times New Roman" w:hAnsi="Times New Roman"/>
      <w:sz w:val="24"/>
      <w:szCs w:val="20"/>
    </w:rPr>
  </w:style>
  <w:style w:type="paragraph" w:styleId="TableofFigures">
    <w:name w:val="table of figures"/>
    <w:basedOn w:val="Normal"/>
    <w:next w:val="Normal"/>
    <w:semiHidden/>
    <w:pPr>
      <w:spacing w:after="240" w:line="240" w:lineRule="auto"/>
      <w:ind w:left="480" w:hanging="480"/>
      <w:jc w:val="both"/>
    </w:pPr>
    <w:rPr>
      <w:rFonts w:ascii="Times New Roman" w:eastAsia="Times New Roman" w:hAnsi="Times New Roman"/>
      <w:sz w:val="24"/>
      <w:szCs w:val="20"/>
    </w:rPr>
  </w:style>
  <w:style w:type="paragraph" w:styleId="Title">
    <w:name w:val="Title"/>
    <w:basedOn w:val="Normal"/>
    <w:link w:val="TitleChar"/>
    <w:qFormat/>
    <w:pPr>
      <w:spacing w:before="240" w:after="60" w:line="240" w:lineRule="auto"/>
      <w:jc w:val="center"/>
      <w:outlineLvl w:val="0"/>
    </w:pPr>
    <w:rPr>
      <w:rFonts w:ascii="Arial" w:eastAsia="Times New Roman" w:hAnsi="Arial"/>
      <w:b/>
      <w:kern w:val="28"/>
      <w:sz w:val="32"/>
      <w:szCs w:val="20"/>
      <w:lang w:val="x-none"/>
    </w:rPr>
  </w:style>
  <w:style w:type="character" w:customStyle="1" w:styleId="TitleChar">
    <w:name w:val="Title Char"/>
    <w:link w:val="Title"/>
    <w:rPr>
      <w:rFonts w:ascii="Arial" w:eastAsia="Times New Roman" w:hAnsi="Arial"/>
      <w:b/>
      <w:kern w:val="28"/>
      <w:sz w:val="32"/>
      <w:lang w:eastAsia="en-US"/>
    </w:rPr>
  </w:style>
  <w:style w:type="paragraph" w:styleId="TOAHeading">
    <w:name w:val="toa heading"/>
    <w:basedOn w:val="Normal"/>
    <w:next w:val="Normal"/>
    <w:semiHidden/>
    <w:pPr>
      <w:spacing w:before="120" w:after="240" w:line="240" w:lineRule="auto"/>
      <w:jc w:val="both"/>
    </w:pPr>
    <w:rPr>
      <w:rFonts w:ascii="Arial" w:eastAsia="Times New Roman" w:hAnsi="Arial"/>
      <w:b/>
      <w:sz w:val="24"/>
      <w:szCs w:val="20"/>
    </w:rPr>
  </w:style>
  <w:style w:type="paragraph" w:styleId="TOC3">
    <w:name w:val="toc 3"/>
    <w:basedOn w:val="Normal"/>
    <w:next w:val="Normal"/>
    <w:uiPriority w:val="39"/>
    <w:pPr>
      <w:tabs>
        <w:tab w:val="right" w:leader="dot" w:pos="8640"/>
      </w:tabs>
      <w:spacing w:before="60" w:after="60" w:line="240" w:lineRule="auto"/>
      <w:ind w:left="1916" w:right="720" w:hanging="839"/>
      <w:jc w:val="both"/>
    </w:pPr>
    <w:rPr>
      <w:rFonts w:ascii="Times New Roman" w:eastAsia="Times New Roman" w:hAnsi="Times New Roman"/>
      <w:sz w:val="24"/>
      <w:szCs w:val="20"/>
    </w:rPr>
  </w:style>
  <w:style w:type="paragraph" w:styleId="TOC4">
    <w:name w:val="toc 4"/>
    <w:basedOn w:val="Normal"/>
    <w:next w:val="Normal"/>
    <w:semiHidden/>
    <w:pPr>
      <w:tabs>
        <w:tab w:val="right" w:leader="dot" w:pos="8641"/>
      </w:tabs>
      <w:spacing w:before="60" w:after="60" w:line="240" w:lineRule="auto"/>
      <w:ind w:left="2880" w:right="720" w:hanging="964"/>
      <w:jc w:val="both"/>
    </w:pPr>
    <w:rPr>
      <w:rFonts w:ascii="Times New Roman" w:eastAsia="Times New Roman" w:hAnsi="Times New Roman"/>
      <w:sz w:val="24"/>
      <w:szCs w:val="20"/>
    </w:rPr>
  </w:style>
  <w:style w:type="paragraph" w:styleId="TOC5">
    <w:name w:val="toc 5"/>
    <w:basedOn w:val="Normal"/>
    <w:next w:val="Normal"/>
    <w:semiHidden/>
    <w:pPr>
      <w:tabs>
        <w:tab w:val="right" w:leader="dot" w:pos="8641"/>
      </w:tabs>
      <w:spacing w:before="240" w:after="120" w:line="240" w:lineRule="auto"/>
      <w:ind w:right="720"/>
      <w:jc w:val="both"/>
    </w:pPr>
    <w:rPr>
      <w:rFonts w:ascii="Times New Roman" w:eastAsia="Times New Roman" w:hAnsi="Times New Roman"/>
      <w:caps/>
      <w:sz w:val="24"/>
      <w:szCs w:val="20"/>
    </w:rPr>
  </w:style>
  <w:style w:type="paragraph" w:styleId="TOC6">
    <w:name w:val="toc 6"/>
    <w:basedOn w:val="Normal"/>
    <w:next w:val="Normal"/>
    <w:autoRedefine/>
    <w:semiHidden/>
    <w:pPr>
      <w:spacing w:after="240" w:line="240" w:lineRule="auto"/>
      <w:ind w:left="1200"/>
      <w:jc w:val="both"/>
    </w:pPr>
    <w:rPr>
      <w:rFonts w:ascii="Times New Roman" w:eastAsia="Times New Roman" w:hAnsi="Times New Roman"/>
      <w:sz w:val="24"/>
      <w:szCs w:val="20"/>
    </w:rPr>
  </w:style>
  <w:style w:type="paragraph" w:styleId="TOC7">
    <w:name w:val="toc 7"/>
    <w:basedOn w:val="Normal"/>
    <w:next w:val="Normal"/>
    <w:autoRedefine/>
    <w:semiHidden/>
    <w:pPr>
      <w:spacing w:after="240" w:line="240" w:lineRule="auto"/>
      <w:ind w:left="1440"/>
      <w:jc w:val="both"/>
    </w:pPr>
    <w:rPr>
      <w:rFonts w:ascii="Times New Roman" w:eastAsia="Times New Roman" w:hAnsi="Times New Roman"/>
      <w:sz w:val="24"/>
      <w:szCs w:val="20"/>
    </w:rPr>
  </w:style>
  <w:style w:type="paragraph" w:styleId="TOC8">
    <w:name w:val="toc 8"/>
    <w:basedOn w:val="Normal"/>
    <w:next w:val="Normal"/>
    <w:autoRedefine/>
    <w:semiHidden/>
    <w:pPr>
      <w:spacing w:after="240" w:line="240" w:lineRule="auto"/>
      <w:ind w:left="1680"/>
      <w:jc w:val="both"/>
    </w:pPr>
    <w:rPr>
      <w:rFonts w:ascii="Times New Roman" w:eastAsia="Times New Roman" w:hAnsi="Times New Roman"/>
      <w:sz w:val="24"/>
      <w:szCs w:val="20"/>
    </w:rPr>
  </w:style>
  <w:style w:type="paragraph" w:styleId="TOC9">
    <w:name w:val="toc 9"/>
    <w:basedOn w:val="Normal"/>
    <w:next w:val="Normal"/>
    <w:autoRedefine/>
    <w:semiHidden/>
    <w:pPr>
      <w:spacing w:after="240" w:line="240" w:lineRule="auto"/>
      <w:ind w:left="1920"/>
      <w:jc w:val="both"/>
    </w:pPr>
    <w:rPr>
      <w:rFonts w:ascii="Times New Roman" w:eastAsia="Times New Roman" w:hAnsi="Times New Roman"/>
      <w:sz w:val="24"/>
      <w:szCs w:val="20"/>
    </w:rPr>
  </w:style>
  <w:style w:type="paragraph" w:customStyle="1" w:styleId="YReferences">
    <w:name w:val="YReferences"/>
    <w:basedOn w:val="Normal"/>
    <w:next w:val="Normal"/>
    <w:pPr>
      <w:spacing w:after="480" w:line="240" w:lineRule="auto"/>
      <w:ind w:left="1531" w:hanging="1531"/>
      <w:jc w:val="both"/>
    </w:pPr>
    <w:rPr>
      <w:rFonts w:ascii="Times New Roman" w:eastAsia="Times New Roman" w:hAnsi="Times New Roman"/>
      <w:sz w:val="24"/>
      <w:szCs w:val="20"/>
    </w:rPr>
  </w:style>
  <w:style w:type="paragraph" w:customStyle="1" w:styleId="ListBullet1">
    <w:name w:val="List Bullet 1"/>
    <w:basedOn w:val="Text1"/>
    <w:pPr>
      <w:numPr>
        <w:numId w:val="5"/>
      </w:numPr>
    </w:pPr>
  </w:style>
  <w:style w:type="paragraph" w:customStyle="1" w:styleId="ListDash">
    <w:name w:val="List Dash"/>
    <w:basedOn w:val="Normal"/>
    <w:pPr>
      <w:numPr>
        <w:numId w:val="9"/>
      </w:numPr>
      <w:spacing w:after="240" w:line="240" w:lineRule="auto"/>
      <w:jc w:val="both"/>
    </w:pPr>
    <w:rPr>
      <w:rFonts w:ascii="Times New Roman" w:eastAsia="Times New Roman" w:hAnsi="Times New Roman"/>
      <w:sz w:val="24"/>
      <w:szCs w:val="20"/>
    </w:rPr>
  </w:style>
  <w:style w:type="paragraph" w:customStyle="1" w:styleId="ListDash1">
    <w:name w:val="List Dash 1"/>
    <w:basedOn w:val="Text1"/>
    <w:pPr>
      <w:numPr>
        <w:numId w:val="10"/>
      </w:numPr>
    </w:pPr>
  </w:style>
  <w:style w:type="paragraph" w:customStyle="1" w:styleId="ListDash2">
    <w:name w:val="List Dash 2"/>
    <w:basedOn w:val="Text2"/>
    <w:pPr>
      <w:numPr>
        <w:numId w:val="11"/>
      </w:numPr>
      <w:tabs>
        <w:tab w:val="clear" w:pos="2160"/>
      </w:tabs>
    </w:pPr>
  </w:style>
  <w:style w:type="paragraph" w:customStyle="1" w:styleId="ListDash3">
    <w:name w:val="List Dash 3"/>
    <w:basedOn w:val="Text3"/>
    <w:pPr>
      <w:numPr>
        <w:numId w:val="12"/>
      </w:numPr>
      <w:tabs>
        <w:tab w:val="clear" w:pos="2302"/>
      </w:tabs>
    </w:pPr>
  </w:style>
  <w:style w:type="paragraph" w:customStyle="1" w:styleId="ListDash4">
    <w:name w:val="List Dash 4"/>
    <w:basedOn w:val="Text4"/>
    <w:pPr>
      <w:numPr>
        <w:numId w:val="13"/>
      </w:numPr>
    </w:pPr>
  </w:style>
  <w:style w:type="paragraph" w:customStyle="1" w:styleId="ListNumberLevel2">
    <w:name w:val="List Number (Level 2)"/>
    <w:basedOn w:val="Normal"/>
    <w:pPr>
      <w:numPr>
        <w:ilvl w:val="1"/>
        <w:numId w:val="14"/>
      </w:numPr>
      <w:spacing w:after="240" w:line="240" w:lineRule="auto"/>
      <w:jc w:val="both"/>
    </w:pPr>
    <w:rPr>
      <w:rFonts w:ascii="Times New Roman" w:eastAsia="Times New Roman" w:hAnsi="Times New Roman"/>
      <w:sz w:val="24"/>
      <w:szCs w:val="20"/>
    </w:rPr>
  </w:style>
  <w:style w:type="paragraph" w:customStyle="1" w:styleId="ListNumberLevel3">
    <w:name w:val="List Number (Level 3)"/>
    <w:basedOn w:val="Normal"/>
    <w:pPr>
      <w:numPr>
        <w:ilvl w:val="2"/>
        <w:numId w:val="14"/>
      </w:numPr>
      <w:spacing w:after="240" w:line="240" w:lineRule="auto"/>
      <w:jc w:val="both"/>
    </w:pPr>
    <w:rPr>
      <w:rFonts w:ascii="Times New Roman" w:eastAsia="Times New Roman" w:hAnsi="Times New Roman"/>
      <w:sz w:val="24"/>
      <w:szCs w:val="20"/>
    </w:rPr>
  </w:style>
  <w:style w:type="paragraph" w:customStyle="1" w:styleId="ListNumberLevel4">
    <w:name w:val="List Number (Level 4)"/>
    <w:basedOn w:val="Normal"/>
    <w:pPr>
      <w:numPr>
        <w:ilvl w:val="3"/>
        <w:numId w:val="14"/>
      </w:numPr>
      <w:spacing w:after="240" w:line="240" w:lineRule="auto"/>
      <w:jc w:val="both"/>
    </w:pPr>
    <w:rPr>
      <w:rFonts w:ascii="Times New Roman" w:eastAsia="Times New Roman" w:hAnsi="Times New Roman"/>
      <w:sz w:val="24"/>
      <w:szCs w:val="20"/>
    </w:r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tabs>
        <w:tab w:val="clear" w:pos="2160"/>
      </w:tabs>
    </w:pPr>
  </w:style>
  <w:style w:type="paragraph" w:customStyle="1" w:styleId="ListNumber2Level3">
    <w:name w:val="List Number 2 (Level 3)"/>
    <w:basedOn w:val="Text2"/>
    <w:pPr>
      <w:numPr>
        <w:ilvl w:val="2"/>
        <w:numId w:val="16"/>
      </w:numPr>
      <w:tabs>
        <w:tab w:val="clear" w:pos="2160"/>
      </w:tabs>
    </w:pPr>
  </w:style>
  <w:style w:type="paragraph" w:customStyle="1" w:styleId="ListNumber2Level4">
    <w:name w:val="List Number 2 (Level 4)"/>
    <w:basedOn w:val="Text2"/>
    <w:pPr>
      <w:numPr>
        <w:ilvl w:val="3"/>
        <w:numId w:val="16"/>
      </w:numPr>
      <w:tabs>
        <w:tab w:val="clear" w:pos="2160"/>
      </w:tabs>
      <w:ind w:left="3901" w:hanging="703"/>
    </w:pPr>
  </w:style>
  <w:style w:type="paragraph" w:customStyle="1" w:styleId="ListNumber3Level2">
    <w:name w:val="List Number 3 (Level 2)"/>
    <w:basedOn w:val="Text3"/>
    <w:pPr>
      <w:numPr>
        <w:ilvl w:val="1"/>
        <w:numId w:val="17"/>
      </w:numPr>
      <w:tabs>
        <w:tab w:val="clear" w:pos="2302"/>
      </w:tabs>
    </w:pPr>
  </w:style>
  <w:style w:type="paragraph" w:customStyle="1" w:styleId="ListNumber3Level3">
    <w:name w:val="List Number 3 (Level 3)"/>
    <w:basedOn w:val="Text3"/>
    <w:pPr>
      <w:numPr>
        <w:ilvl w:val="2"/>
        <w:numId w:val="17"/>
      </w:numPr>
      <w:tabs>
        <w:tab w:val="clear" w:pos="2302"/>
      </w:tabs>
    </w:pPr>
  </w:style>
  <w:style w:type="paragraph" w:customStyle="1" w:styleId="ListNumber3Level4">
    <w:name w:val="List Number 3 (Level 4)"/>
    <w:basedOn w:val="Text3"/>
    <w:pPr>
      <w:numPr>
        <w:ilvl w:val="3"/>
        <w:numId w:val="17"/>
      </w:numPr>
      <w:tabs>
        <w:tab w:val="clear" w:pos="2302"/>
      </w:tabs>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Contact">
    <w:name w:val="Contact"/>
    <w:basedOn w:val="Normal"/>
    <w:next w:val="Enclosures"/>
    <w:uiPriority w:val="99"/>
    <w:pPr>
      <w:spacing w:before="480" w:after="0" w:line="240" w:lineRule="auto"/>
      <w:ind w:left="567" w:hanging="567"/>
    </w:pPr>
    <w:rPr>
      <w:rFonts w:ascii="Times New Roman" w:eastAsia="Times New Roman" w:hAnsi="Times New Roman"/>
      <w:sz w:val="24"/>
      <w:szCs w:val="20"/>
    </w:rPr>
  </w:style>
  <w:style w:type="paragraph" w:customStyle="1" w:styleId="DisclaimerNotice">
    <w:name w:val="Disclaimer Notice"/>
    <w:basedOn w:val="Normal"/>
    <w:next w:val="AddressTR"/>
    <w:pPr>
      <w:spacing w:after="240" w:line="240" w:lineRule="auto"/>
      <w:ind w:left="5103"/>
    </w:pPr>
    <w:rPr>
      <w:rFonts w:ascii="Times New Roman" w:eastAsia="Times New Roman" w:hAnsi="Times New Roman"/>
      <w:i/>
      <w:sz w:val="20"/>
      <w:szCs w:val="20"/>
    </w:rPr>
  </w:style>
  <w:style w:type="paragraph" w:customStyle="1" w:styleId="Disclaimer">
    <w:name w:val="Disclaimer"/>
    <w:basedOn w:val="Normal"/>
    <w:pPr>
      <w:keepLines/>
      <w:pBdr>
        <w:top w:val="single" w:sz="4" w:space="1" w:color="auto"/>
      </w:pBdr>
      <w:spacing w:before="480" w:after="0" w:line="240" w:lineRule="auto"/>
      <w:jc w:val="both"/>
    </w:pPr>
    <w:rPr>
      <w:rFonts w:ascii="Times New Roman" w:eastAsia="Times New Roman" w:hAnsi="Times New Roman"/>
      <w:i/>
      <w:sz w:val="24"/>
      <w:szCs w:val="20"/>
    </w:rPr>
  </w:style>
  <w:style w:type="character" w:styleId="FollowedHyperlink">
    <w:name w:val="FollowedHyperlink"/>
    <w:rPr>
      <w:color w:val="800080"/>
      <w:u w:val="single"/>
    </w:rPr>
  </w:style>
  <w:style w:type="paragraph" w:customStyle="1" w:styleId="DisclaimerSJ">
    <w:name w:val="Disclaimer_SJ"/>
    <w:basedOn w:val="Normal"/>
    <w:next w:val="Normal"/>
    <w:pPr>
      <w:spacing w:after="0" w:line="240" w:lineRule="auto"/>
      <w:jc w:val="both"/>
    </w:pPr>
    <w:rPr>
      <w:rFonts w:ascii="Arial" w:eastAsia="Times New Roman" w:hAnsi="Arial"/>
      <w:b/>
      <w:sz w:val="16"/>
      <w:szCs w:val="20"/>
    </w:rPr>
  </w:style>
  <w:style w:type="paragraph" w:customStyle="1" w:styleId="Designator">
    <w:name w:val="Designator"/>
    <w:basedOn w:val="Normal"/>
    <w:pPr>
      <w:spacing w:after="0" w:line="240" w:lineRule="auto"/>
      <w:jc w:val="center"/>
    </w:pPr>
    <w:rPr>
      <w:rFonts w:ascii="Times New Roman" w:eastAsia="Times New Roman" w:hAnsi="Times New Roman"/>
      <w:b/>
      <w:caps/>
      <w:sz w:val="32"/>
      <w:szCs w:val="20"/>
    </w:rPr>
  </w:style>
  <w:style w:type="paragraph" w:customStyle="1" w:styleId="Releasable">
    <w:name w:val="Releasable"/>
    <w:basedOn w:val="Normal"/>
    <w:qFormat/>
    <w:pPr>
      <w:spacing w:after="0" w:line="240" w:lineRule="auto"/>
      <w:jc w:val="center"/>
    </w:pPr>
    <w:rPr>
      <w:rFonts w:ascii="Times New Roman" w:eastAsia="Times New Roman" w:hAnsi="Times New Roman"/>
      <w:b/>
      <w:caps/>
      <w:sz w:val="32"/>
      <w:szCs w:val="20"/>
      <w:lang w:val="de-DE"/>
    </w:rPr>
  </w:style>
  <w:style w:type="paragraph" w:customStyle="1" w:styleId="RUE">
    <w:name w:val="RUE"/>
    <w:basedOn w:val="Normal"/>
    <w:pPr>
      <w:spacing w:after="0" w:line="240" w:lineRule="auto"/>
      <w:jc w:val="center"/>
    </w:pPr>
    <w:rPr>
      <w:rFonts w:ascii="Times New Roman" w:eastAsia="Times New Roman" w:hAnsi="Times New Roman"/>
      <w:b/>
      <w:caps/>
      <w:sz w:val="32"/>
      <w:szCs w:val="20"/>
      <w:bdr w:val="single" w:sz="18" w:space="0" w:color="auto"/>
      <w:lang w:val="de-DE"/>
    </w:rPr>
  </w:style>
  <w:style w:type="paragraph" w:customStyle="1" w:styleId="ConfidentialUE">
    <w:name w:val="Confidential UE"/>
    <w:basedOn w:val="Normal"/>
    <w:pPr>
      <w:spacing w:after="0" w:line="240" w:lineRule="auto"/>
      <w:jc w:val="center"/>
    </w:pPr>
    <w:rPr>
      <w:rFonts w:ascii="Times New Roman" w:eastAsia="Times New Roman" w:hAnsi="Times New Roman"/>
      <w:b/>
      <w:caps/>
      <w:sz w:val="32"/>
      <w:szCs w:val="20"/>
      <w:bdr w:val="single" w:sz="18" w:space="0" w:color="auto"/>
    </w:rPr>
  </w:style>
  <w:style w:type="paragraph" w:customStyle="1" w:styleId="TrsSecretUE">
    <w:name w:val="Très Secret UE"/>
    <w:basedOn w:val="Normal"/>
    <w:pPr>
      <w:spacing w:after="0" w:line="240" w:lineRule="auto"/>
      <w:jc w:val="center"/>
    </w:pPr>
    <w:rPr>
      <w:rFonts w:ascii="Times New Roman" w:eastAsia="Times New Roman" w:hAnsi="Times New Roman"/>
      <w:b/>
      <w:caps/>
      <w:color w:val="FF0000"/>
      <w:sz w:val="32"/>
      <w:szCs w:val="20"/>
      <w:bdr w:val="single" w:sz="18" w:space="0" w:color="FF0000"/>
    </w:rPr>
  </w:style>
  <w:style w:type="paragraph" w:customStyle="1" w:styleId="SecretUE">
    <w:name w:val="Secret UE"/>
    <w:basedOn w:val="Normal"/>
    <w:pPr>
      <w:spacing w:after="0" w:line="240" w:lineRule="auto"/>
      <w:jc w:val="center"/>
    </w:pPr>
    <w:rPr>
      <w:rFonts w:ascii="Times New Roman" w:eastAsia="Times New Roman" w:hAnsi="Times New Roman"/>
      <w:b/>
      <w:caps/>
      <w:color w:val="FF0000"/>
      <w:sz w:val="32"/>
      <w:szCs w:val="20"/>
      <w:bdr w:val="single" w:sz="18" w:space="0" w:color="FF0000"/>
    </w:rPr>
  </w:style>
  <w:style w:type="paragraph" w:customStyle="1" w:styleId="ZCom">
    <w:name w:val="Z_Com"/>
    <w:basedOn w:val="Normal"/>
    <w:next w:val="ZDGName"/>
    <w:pPr>
      <w:widowControl w:val="0"/>
      <w:autoSpaceDE w:val="0"/>
      <w:autoSpaceDN w:val="0"/>
      <w:spacing w:after="0" w:line="240" w:lineRule="auto"/>
      <w:ind w:right="85"/>
      <w:jc w:val="both"/>
    </w:pPr>
    <w:rPr>
      <w:rFonts w:ascii="Arial" w:eastAsia="Times New Roman" w:hAnsi="Arial" w:cs="Arial"/>
      <w:sz w:val="24"/>
      <w:szCs w:val="24"/>
      <w:lang w:eastAsia="en-GB"/>
    </w:rPr>
  </w:style>
  <w:style w:type="paragraph" w:customStyle="1" w:styleId="ZDGName">
    <w:name w:val="Z_DGName"/>
    <w:basedOn w:val="Normal"/>
    <w:pPr>
      <w:widowControl w:val="0"/>
      <w:autoSpaceDE w:val="0"/>
      <w:autoSpaceDN w:val="0"/>
      <w:spacing w:after="0" w:line="240" w:lineRule="auto"/>
      <w:ind w:right="85"/>
    </w:pPr>
    <w:rPr>
      <w:rFonts w:ascii="Arial" w:eastAsia="Times New Roman" w:hAnsi="Arial" w:cs="Arial"/>
      <w:sz w:val="16"/>
      <w:szCs w:val="16"/>
      <w:lang w:eastAsia="en-GB"/>
    </w:rPr>
  </w:style>
  <w:style w:type="character" w:styleId="FootnoteReference">
    <w:name w:val="footnote reference"/>
    <w:aliases w:val="EN Footnote Reference,-E Fußnotenzeichen,BVI fnr,Footnote,Footnote symbol,Footnote number,Footnote Reference Number,Footnote reference number,Times 10 Point,Exposant 3 Point,Footnote Reference Superscript,note TESI, BVI fnr,Appel note"/>
    <w:link w:val="FootnotesymbolCharChar"/>
    <w:uiPriority w:val="99"/>
    <w:qFormat/>
    <w:rPr>
      <w:vertAlign w:val="superscript"/>
    </w:rPr>
  </w:style>
  <w:style w:type="character" w:styleId="PageNumber">
    <w:name w:val="page number"/>
  </w:style>
  <w:style w:type="paragraph" w:customStyle="1" w:styleId="Style10">
    <w:name w:val="Style 1"/>
    <w:basedOn w:val="Normal"/>
    <w:pPr>
      <w:widowControl w:val="0"/>
      <w:autoSpaceDE w:val="0"/>
      <w:autoSpaceDN w:val="0"/>
      <w:adjustRightInd w:val="0"/>
      <w:spacing w:after="0" w:line="240" w:lineRule="auto"/>
    </w:pPr>
    <w:rPr>
      <w:rFonts w:ascii="Times New Roman" w:eastAsia="Times New Roman" w:hAnsi="Times New Roman"/>
      <w:sz w:val="20"/>
      <w:szCs w:val="24"/>
      <w:lang w:val="en-US"/>
    </w:rPr>
  </w:style>
  <w:style w:type="paragraph" w:customStyle="1" w:styleId="ADPPuce1">
    <w:name w:val="ADP Puce 1"/>
    <w:basedOn w:val="Normal"/>
    <w:pPr>
      <w:numPr>
        <w:numId w:val="19"/>
      </w:numPr>
      <w:spacing w:after="0" w:line="240" w:lineRule="auto"/>
      <w:ind w:left="1080" w:hanging="360"/>
      <w:jc w:val="both"/>
    </w:pPr>
    <w:rPr>
      <w:rFonts w:ascii="Arial" w:eastAsia="Times New Roman" w:hAnsi="Arial"/>
      <w:sz w:val="20"/>
      <w:szCs w:val="24"/>
    </w:rPr>
  </w:style>
  <w:style w:type="character" w:styleId="Emphasis">
    <w:name w:val="Emphasis"/>
    <w:qFormat/>
    <w:rPr>
      <w:i/>
      <w:iCs/>
    </w:rPr>
  </w:style>
  <w:style w:type="character" w:styleId="Strong">
    <w:name w:val="Strong"/>
    <w:uiPriority w:val="22"/>
    <w:qFormat/>
    <w:rPr>
      <w:b/>
      <w:bCs/>
    </w:rPr>
  </w:style>
  <w:style w:type="table" w:styleId="TableGrid">
    <w:name w:val="Table Grid"/>
    <w:basedOn w:val="TableNormal"/>
    <w:uiPriority w:val="59"/>
    <w:pPr>
      <w:spacing w:after="120" w:line="240" w:lineRule="atLeast"/>
    </w:pPr>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Elegant">
    <w:name w:val="Table Elegant"/>
    <w:basedOn w:val="TableNormal"/>
    <w:pPr>
      <w:jc w:val="both"/>
    </w:pPr>
    <w:rPr>
      <w:rFonts w:ascii="Times New Roman" w:eastAsia="Times New Roman" w:hAnsi="Times New Roman"/>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styleId="NormalWeb">
    <w:name w:val="Normal (Web)"/>
    <w:basedOn w:val="Normal"/>
    <w:uiPriority w:val="99"/>
    <w:pPr>
      <w:spacing w:before="100" w:beforeAutospacing="1" w:after="100" w:afterAutospacing="1" w:line="220" w:lineRule="atLeast"/>
    </w:pPr>
    <w:rPr>
      <w:rFonts w:ascii="Verdana" w:eastAsia="Times New Roman" w:hAnsi="Verdana"/>
      <w:color w:val="000000"/>
      <w:sz w:val="16"/>
      <w:szCs w:val="16"/>
      <w:lang w:val="en-US"/>
    </w:rPr>
  </w:style>
  <w:style w:type="character" w:styleId="CommentReference">
    <w:name w:val="annotation reference"/>
    <w:semiHidden/>
    <w:rPr>
      <w:rFonts w:cs="Times New Roman"/>
      <w:sz w:val="16"/>
      <w:szCs w:val="16"/>
      <w:shd w:val="clear" w:color="auto" w:fill="auto"/>
    </w:rPr>
  </w:style>
  <w:style w:type="paragraph" w:customStyle="1" w:styleId="HeaderLandscape">
    <w:name w:val="HeaderLandscape"/>
    <w:basedOn w:val="Normal"/>
    <w:pPr>
      <w:tabs>
        <w:tab w:val="center" w:pos="7285"/>
        <w:tab w:val="right" w:pos="14003"/>
      </w:tabs>
      <w:spacing w:before="120" w:after="120" w:line="240" w:lineRule="auto"/>
      <w:jc w:val="both"/>
    </w:pPr>
    <w:rPr>
      <w:rFonts w:ascii="Times New Roman" w:eastAsia="Times New Roman" w:hAnsi="Times New Roman"/>
      <w:sz w:val="24"/>
      <w:szCs w:val="24"/>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eastAsia="Times New Roman" w:hAnsi="Times New Roman"/>
      <w:sz w:val="24"/>
      <w:szCs w:val="24"/>
    </w:rPr>
  </w:style>
  <w:style w:type="paragraph" w:customStyle="1" w:styleId="NormalCentered">
    <w:name w:val="Normal Centered"/>
    <w:basedOn w:val="Normal"/>
    <w:pPr>
      <w:spacing w:before="120" w:after="120" w:line="240" w:lineRule="auto"/>
      <w:jc w:val="center"/>
    </w:pPr>
    <w:rPr>
      <w:rFonts w:ascii="Times New Roman" w:eastAsia="Times New Roman" w:hAnsi="Times New Roman"/>
      <w:sz w:val="24"/>
      <w:szCs w:val="24"/>
    </w:rPr>
  </w:style>
  <w:style w:type="paragraph" w:customStyle="1" w:styleId="NormalLeft">
    <w:name w:val="Normal Left"/>
    <w:basedOn w:val="Normal"/>
    <w:pPr>
      <w:spacing w:before="120" w:after="120" w:line="240" w:lineRule="auto"/>
    </w:pPr>
    <w:rPr>
      <w:rFonts w:ascii="Times New Roman" w:eastAsia="Times New Roman" w:hAnsi="Times New Roman"/>
      <w:sz w:val="24"/>
      <w:szCs w:val="24"/>
    </w:rPr>
  </w:style>
  <w:style w:type="paragraph" w:customStyle="1" w:styleId="NormalRight">
    <w:name w:val="Normal Right"/>
    <w:basedOn w:val="Normal"/>
    <w:pPr>
      <w:spacing w:before="120" w:after="120" w:line="240" w:lineRule="auto"/>
      <w:jc w:val="right"/>
    </w:pPr>
    <w:rPr>
      <w:rFonts w:ascii="Times New Roman" w:eastAsia="Times New Roman" w:hAnsi="Times New Roman"/>
      <w:sz w:val="24"/>
      <w:szCs w:val="24"/>
    </w:rPr>
  </w:style>
  <w:style w:type="paragraph" w:customStyle="1" w:styleId="QuotedText">
    <w:name w:val="Quoted Text"/>
    <w:basedOn w:val="Normal"/>
    <w:pPr>
      <w:spacing w:before="120" w:after="120" w:line="240" w:lineRule="auto"/>
      <w:ind w:left="1417"/>
      <w:jc w:val="both"/>
    </w:pPr>
    <w:rPr>
      <w:rFonts w:ascii="Times New Roman" w:eastAsia="Times New Roman" w:hAnsi="Times New Roman"/>
      <w:sz w:val="24"/>
      <w:szCs w:val="24"/>
    </w:rPr>
  </w:style>
  <w:style w:type="paragraph" w:customStyle="1" w:styleId="Point0">
    <w:name w:val="Point 0"/>
    <w:basedOn w:val="Normal"/>
    <w:pPr>
      <w:spacing w:before="120" w:after="120" w:line="240" w:lineRule="auto"/>
      <w:ind w:left="850" w:hanging="850"/>
      <w:jc w:val="both"/>
    </w:pPr>
    <w:rPr>
      <w:rFonts w:ascii="Times New Roman" w:eastAsia="Times New Roman" w:hAnsi="Times New Roman"/>
      <w:sz w:val="24"/>
      <w:szCs w:val="24"/>
    </w:rPr>
  </w:style>
  <w:style w:type="paragraph" w:customStyle="1" w:styleId="Point1">
    <w:name w:val="Point 1"/>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Point2">
    <w:name w:val="Point 2"/>
    <w:basedOn w:val="Normal"/>
    <w:pPr>
      <w:spacing w:before="120" w:after="120" w:line="240" w:lineRule="auto"/>
      <w:ind w:left="1984" w:hanging="567"/>
      <w:jc w:val="both"/>
    </w:pPr>
    <w:rPr>
      <w:rFonts w:ascii="Times New Roman" w:eastAsia="Times New Roman" w:hAnsi="Times New Roman"/>
      <w:sz w:val="24"/>
      <w:szCs w:val="24"/>
    </w:rPr>
  </w:style>
  <w:style w:type="paragraph" w:customStyle="1" w:styleId="Point3">
    <w:name w:val="Point 3"/>
    <w:basedOn w:val="Normal"/>
    <w:pPr>
      <w:spacing w:before="120" w:after="120" w:line="240" w:lineRule="auto"/>
      <w:ind w:left="2551" w:hanging="567"/>
      <w:jc w:val="both"/>
    </w:pPr>
    <w:rPr>
      <w:rFonts w:ascii="Times New Roman" w:eastAsia="Times New Roman" w:hAnsi="Times New Roman"/>
      <w:sz w:val="24"/>
      <w:szCs w:val="24"/>
    </w:rPr>
  </w:style>
  <w:style w:type="paragraph" w:customStyle="1" w:styleId="Point4">
    <w:name w:val="Point 4"/>
    <w:basedOn w:val="Normal"/>
    <w:pPr>
      <w:spacing w:before="120" w:after="120" w:line="240" w:lineRule="auto"/>
      <w:ind w:left="3118" w:hanging="567"/>
      <w:jc w:val="both"/>
    </w:pPr>
    <w:rPr>
      <w:rFonts w:ascii="Times New Roman" w:eastAsia="Times New Roman" w:hAnsi="Times New Roman"/>
      <w:sz w:val="24"/>
      <w:szCs w:val="24"/>
    </w:rPr>
  </w:style>
  <w:style w:type="paragraph" w:customStyle="1" w:styleId="Tiret0">
    <w:name w:val="Tiret 0"/>
    <w:basedOn w:val="Point0"/>
    <w:pPr>
      <w:numPr>
        <w:numId w:val="20"/>
      </w:numPr>
    </w:pPr>
  </w:style>
  <w:style w:type="paragraph" w:customStyle="1" w:styleId="Tiret1">
    <w:name w:val="Tiret 1"/>
    <w:basedOn w:val="Point1"/>
    <w:pPr>
      <w:numPr>
        <w:numId w:val="21"/>
      </w:numPr>
    </w:pPr>
  </w:style>
  <w:style w:type="paragraph" w:customStyle="1" w:styleId="Tiret2">
    <w:name w:val="Tiret 2"/>
    <w:basedOn w:val="Point2"/>
    <w:pPr>
      <w:numPr>
        <w:numId w:val="22"/>
      </w:numPr>
    </w:pPr>
  </w:style>
  <w:style w:type="paragraph" w:customStyle="1" w:styleId="Tiret3">
    <w:name w:val="Tiret 3"/>
    <w:basedOn w:val="Point3"/>
    <w:pPr>
      <w:numPr>
        <w:numId w:val="23"/>
      </w:numPr>
    </w:pPr>
  </w:style>
  <w:style w:type="paragraph" w:customStyle="1" w:styleId="Tiret4">
    <w:name w:val="Tiret 4"/>
    <w:basedOn w:val="Point4"/>
    <w:pPr>
      <w:numPr>
        <w:numId w:val="24"/>
      </w:numPr>
    </w:pPr>
  </w:style>
  <w:style w:type="paragraph" w:customStyle="1" w:styleId="PointDouble0">
    <w:name w:val="PointDouble 0"/>
    <w:basedOn w:val="Normal"/>
    <w:pPr>
      <w:tabs>
        <w:tab w:val="left" w:pos="850"/>
      </w:tabs>
      <w:spacing w:before="120" w:after="120" w:line="240" w:lineRule="auto"/>
      <w:ind w:left="1417" w:hanging="1417"/>
      <w:jc w:val="both"/>
    </w:pPr>
    <w:rPr>
      <w:rFonts w:ascii="Times New Roman" w:eastAsia="Times New Roman" w:hAnsi="Times New Roman"/>
      <w:sz w:val="24"/>
      <w:szCs w:val="24"/>
    </w:rPr>
  </w:style>
  <w:style w:type="paragraph" w:customStyle="1" w:styleId="PointDouble1">
    <w:name w:val="PointDouble 1"/>
    <w:basedOn w:val="Normal"/>
    <w:pPr>
      <w:tabs>
        <w:tab w:val="left" w:pos="1417"/>
      </w:tabs>
      <w:spacing w:before="120" w:after="120" w:line="240" w:lineRule="auto"/>
      <w:ind w:left="1984" w:hanging="1134"/>
      <w:jc w:val="both"/>
    </w:pPr>
    <w:rPr>
      <w:rFonts w:ascii="Times New Roman" w:eastAsia="Times New Roman" w:hAnsi="Times New Roman"/>
      <w:sz w:val="24"/>
      <w:szCs w:val="24"/>
    </w:rPr>
  </w:style>
  <w:style w:type="paragraph" w:customStyle="1" w:styleId="PointDouble2">
    <w:name w:val="PointDouble 2"/>
    <w:basedOn w:val="Normal"/>
    <w:pPr>
      <w:tabs>
        <w:tab w:val="left" w:pos="1984"/>
      </w:tabs>
      <w:spacing w:before="120" w:after="120" w:line="240" w:lineRule="auto"/>
      <w:ind w:left="2551" w:hanging="1134"/>
      <w:jc w:val="both"/>
    </w:pPr>
    <w:rPr>
      <w:rFonts w:ascii="Times New Roman" w:eastAsia="Times New Roman" w:hAnsi="Times New Roman"/>
      <w:sz w:val="24"/>
      <w:szCs w:val="24"/>
    </w:rPr>
  </w:style>
  <w:style w:type="paragraph" w:customStyle="1" w:styleId="PointDouble3">
    <w:name w:val="PointDouble 3"/>
    <w:basedOn w:val="Normal"/>
    <w:pPr>
      <w:tabs>
        <w:tab w:val="left" w:pos="2551"/>
      </w:tabs>
      <w:spacing w:before="120" w:after="120" w:line="240" w:lineRule="auto"/>
      <w:ind w:left="3118" w:hanging="1134"/>
      <w:jc w:val="both"/>
    </w:pPr>
    <w:rPr>
      <w:rFonts w:ascii="Times New Roman" w:eastAsia="Times New Roman" w:hAnsi="Times New Roman"/>
      <w:sz w:val="24"/>
      <w:szCs w:val="24"/>
    </w:rPr>
  </w:style>
  <w:style w:type="paragraph" w:customStyle="1" w:styleId="PointDouble4">
    <w:name w:val="PointDouble 4"/>
    <w:basedOn w:val="Normal"/>
    <w:pPr>
      <w:tabs>
        <w:tab w:val="left" w:pos="3118"/>
      </w:tabs>
      <w:spacing w:before="120" w:after="120" w:line="240" w:lineRule="auto"/>
      <w:ind w:left="3685" w:hanging="1134"/>
      <w:jc w:val="both"/>
    </w:pPr>
    <w:rPr>
      <w:rFonts w:ascii="Times New Roman" w:eastAsia="Times New Roman" w:hAnsi="Times New Roman"/>
      <w:sz w:val="24"/>
      <w:szCs w:val="24"/>
    </w:rPr>
  </w:style>
  <w:style w:type="paragraph" w:customStyle="1" w:styleId="PointTriple0">
    <w:name w:val="PointTriple 0"/>
    <w:basedOn w:val="Normal"/>
    <w:pPr>
      <w:tabs>
        <w:tab w:val="left" w:pos="850"/>
        <w:tab w:val="left" w:pos="1417"/>
      </w:tabs>
      <w:spacing w:before="120" w:after="120" w:line="240" w:lineRule="auto"/>
      <w:ind w:left="1984" w:hanging="1984"/>
      <w:jc w:val="both"/>
    </w:pPr>
    <w:rPr>
      <w:rFonts w:ascii="Times New Roman" w:eastAsia="Times New Roman" w:hAnsi="Times New Roman"/>
      <w:sz w:val="24"/>
      <w:szCs w:val="24"/>
    </w:rPr>
  </w:style>
  <w:style w:type="paragraph" w:customStyle="1" w:styleId="PointTriple1">
    <w:name w:val="PointTriple 1"/>
    <w:basedOn w:val="Normal"/>
    <w:pPr>
      <w:tabs>
        <w:tab w:val="left" w:pos="1417"/>
        <w:tab w:val="left" w:pos="1984"/>
      </w:tabs>
      <w:spacing w:before="120" w:after="120" w:line="240" w:lineRule="auto"/>
      <w:ind w:left="2551" w:hanging="1701"/>
      <w:jc w:val="both"/>
    </w:pPr>
    <w:rPr>
      <w:rFonts w:ascii="Times New Roman" w:eastAsia="Times New Roman" w:hAnsi="Times New Roman"/>
      <w:sz w:val="24"/>
      <w:szCs w:val="24"/>
    </w:rPr>
  </w:style>
  <w:style w:type="paragraph" w:customStyle="1" w:styleId="PointTriple2">
    <w:name w:val="PointTriple 2"/>
    <w:basedOn w:val="Normal"/>
    <w:pPr>
      <w:tabs>
        <w:tab w:val="left" w:pos="1984"/>
        <w:tab w:val="left" w:pos="2551"/>
      </w:tabs>
      <w:spacing w:before="120" w:after="120" w:line="240" w:lineRule="auto"/>
      <w:ind w:left="3118" w:hanging="1701"/>
      <w:jc w:val="both"/>
    </w:pPr>
    <w:rPr>
      <w:rFonts w:ascii="Times New Roman" w:eastAsia="Times New Roman" w:hAnsi="Times New Roman"/>
      <w:sz w:val="24"/>
      <w:szCs w:val="24"/>
    </w:rPr>
  </w:style>
  <w:style w:type="paragraph" w:customStyle="1" w:styleId="PointTriple3">
    <w:name w:val="PointTriple 3"/>
    <w:basedOn w:val="Normal"/>
    <w:pPr>
      <w:tabs>
        <w:tab w:val="left" w:pos="2551"/>
        <w:tab w:val="left" w:pos="3118"/>
      </w:tabs>
      <w:spacing w:before="120" w:after="120" w:line="240" w:lineRule="auto"/>
      <w:ind w:left="3685" w:hanging="1701"/>
      <w:jc w:val="both"/>
    </w:pPr>
    <w:rPr>
      <w:rFonts w:ascii="Times New Roman" w:eastAsia="Times New Roman" w:hAnsi="Times New Roman"/>
      <w:sz w:val="24"/>
      <w:szCs w:val="24"/>
    </w:rPr>
  </w:style>
  <w:style w:type="paragraph" w:customStyle="1" w:styleId="PointTriple4">
    <w:name w:val="PointTriple 4"/>
    <w:basedOn w:val="Normal"/>
    <w:pPr>
      <w:tabs>
        <w:tab w:val="left" w:pos="3118"/>
        <w:tab w:val="left" w:pos="3685"/>
      </w:tabs>
      <w:spacing w:before="120" w:after="120" w:line="240" w:lineRule="auto"/>
      <w:ind w:left="4252" w:hanging="1701"/>
      <w:jc w:val="both"/>
    </w:pPr>
    <w:rPr>
      <w:rFonts w:ascii="Times New Roman" w:eastAsia="Times New Roman" w:hAnsi="Times New Roman"/>
      <w:sz w:val="24"/>
      <w:szCs w:val="24"/>
    </w:rPr>
  </w:style>
  <w:style w:type="paragraph" w:customStyle="1" w:styleId="ManualNumPar1">
    <w:name w:val="Manual NumPar 1"/>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2">
    <w:name w:val="Manual NumPar 2"/>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3">
    <w:name w:val="Manual NumPar 3"/>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ManualNumPar4">
    <w:name w:val="Manual NumPar 4"/>
    <w:basedOn w:val="Normal"/>
    <w:next w:val="Text1"/>
    <w:pPr>
      <w:spacing w:before="120" w:after="120" w:line="240" w:lineRule="auto"/>
      <w:ind w:left="850" w:hanging="850"/>
      <w:jc w:val="both"/>
    </w:pPr>
    <w:rPr>
      <w:rFonts w:ascii="Times New Roman" w:eastAsia="Times New Roman" w:hAnsi="Times New Roman"/>
      <w:sz w:val="24"/>
      <w:szCs w:val="24"/>
    </w:rPr>
  </w:style>
  <w:style w:type="paragraph" w:customStyle="1" w:styleId="QuotedNumPar">
    <w:name w:val="Quoted NumPar"/>
    <w:basedOn w:val="Normal"/>
    <w:pPr>
      <w:spacing w:before="120" w:after="120" w:line="240" w:lineRule="auto"/>
      <w:ind w:left="1417" w:hanging="567"/>
      <w:jc w:val="both"/>
    </w:pPr>
    <w:rPr>
      <w:rFonts w:ascii="Times New Roman" w:eastAsia="Times New Roman" w:hAnsi="Times New Roman"/>
      <w:sz w:val="24"/>
      <w:szCs w:val="24"/>
    </w:rPr>
  </w:style>
  <w:style w:type="paragraph" w:customStyle="1" w:styleId="ManualHeading1">
    <w:name w:val="Manual Heading 1"/>
    <w:basedOn w:val="Normal"/>
    <w:next w:val="Text1"/>
    <w:pPr>
      <w:keepNext/>
      <w:tabs>
        <w:tab w:val="left" w:pos="850"/>
      </w:tabs>
      <w:spacing w:before="360" w:after="120" w:line="240" w:lineRule="auto"/>
      <w:ind w:left="850" w:hanging="850"/>
      <w:jc w:val="both"/>
      <w:outlineLvl w:val="0"/>
    </w:pPr>
    <w:rPr>
      <w:rFonts w:ascii="Times New Roman" w:eastAsia="Times New Roman" w:hAnsi="Times New Roman"/>
      <w:b/>
      <w:smallCaps/>
      <w:sz w:val="24"/>
      <w:szCs w:val="24"/>
    </w:rPr>
  </w:style>
  <w:style w:type="paragraph" w:customStyle="1" w:styleId="ManualHeading2">
    <w:name w:val="Manual Heading 2"/>
    <w:basedOn w:val="Normal"/>
    <w:next w:val="Text1"/>
    <w:pPr>
      <w:keepNext/>
      <w:tabs>
        <w:tab w:val="left" w:pos="850"/>
      </w:tabs>
      <w:spacing w:before="120" w:after="120" w:line="240" w:lineRule="auto"/>
      <w:ind w:left="850" w:hanging="850"/>
      <w:jc w:val="both"/>
      <w:outlineLvl w:val="1"/>
    </w:pPr>
    <w:rPr>
      <w:rFonts w:ascii="Times New Roman" w:eastAsia="Times New Roman" w:hAnsi="Times New Roman"/>
      <w:b/>
      <w:sz w:val="24"/>
      <w:szCs w:val="24"/>
    </w:rPr>
  </w:style>
  <w:style w:type="paragraph" w:customStyle="1" w:styleId="ManualHeading3">
    <w:name w:val="Manual Heading 3"/>
    <w:basedOn w:val="Normal"/>
    <w:next w:val="Text1"/>
    <w:pPr>
      <w:keepNext/>
      <w:tabs>
        <w:tab w:val="left" w:pos="850"/>
      </w:tabs>
      <w:spacing w:before="120" w:after="120" w:line="240" w:lineRule="auto"/>
      <w:ind w:left="850" w:hanging="850"/>
      <w:jc w:val="both"/>
      <w:outlineLvl w:val="2"/>
    </w:pPr>
    <w:rPr>
      <w:rFonts w:ascii="Times New Roman" w:eastAsia="Times New Roman" w:hAnsi="Times New Roman"/>
      <w:i/>
      <w:sz w:val="24"/>
      <w:szCs w:val="24"/>
    </w:rPr>
  </w:style>
  <w:style w:type="paragraph" w:customStyle="1" w:styleId="ManualHeading4">
    <w:name w:val="Manual Heading 4"/>
    <w:basedOn w:val="Normal"/>
    <w:next w:val="Text1"/>
    <w:pPr>
      <w:keepNext/>
      <w:tabs>
        <w:tab w:val="left" w:pos="850"/>
      </w:tabs>
      <w:spacing w:before="120" w:after="120" w:line="240" w:lineRule="auto"/>
      <w:ind w:left="850" w:hanging="850"/>
      <w:jc w:val="both"/>
      <w:outlineLvl w:val="3"/>
    </w:pPr>
    <w:rPr>
      <w:rFonts w:ascii="Times New Roman" w:eastAsia="Times New Roman" w:hAnsi="Times New Roman"/>
      <w:sz w:val="24"/>
      <w:szCs w:val="24"/>
    </w:rPr>
  </w:style>
  <w:style w:type="paragraph" w:customStyle="1" w:styleId="ChapterTitle">
    <w:name w:val="ChapterTitle"/>
    <w:basedOn w:val="Normal"/>
    <w:next w:val="Normal"/>
    <w:pPr>
      <w:keepNext/>
      <w:spacing w:before="120" w:after="360" w:line="240" w:lineRule="auto"/>
      <w:jc w:val="center"/>
    </w:pPr>
    <w:rPr>
      <w:rFonts w:ascii="Times New Roman" w:eastAsia="Times New Roman" w:hAnsi="Times New Roman"/>
      <w:b/>
      <w:sz w:val="32"/>
      <w:szCs w:val="24"/>
    </w:rPr>
  </w:style>
  <w:style w:type="paragraph" w:customStyle="1" w:styleId="PartTitle">
    <w:name w:val="PartTitle"/>
    <w:basedOn w:val="Normal"/>
    <w:next w:val="ChapterTitle"/>
    <w:pPr>
      <w:keepNext/>
      <w:pageBreakBefore/>
      <w:spacing w:before="120" w:after="360" w:line="240" w:lineRule="auto"/>
      <w:jc w:val="center"/>
    </w:pPr>
    <w:rPr>
      <w:rFonts w:ascii="Times New Roman" w:eastAsia="Times New Roman" w:hAnsi="Times New Roman"/>
      <w:b/>
      <w:sz w:val="36"/>
      <w:szCs w:val="24"/>
    </w:rPr>
  </w:style>
  <w:style w:type="paragraph" w:customStyle="1" w:styleId="SectionTitle">
    <w:name w:val="SectionTitle"/>
    <w:basedOn w:val="Normal"/>
    <w:next w:val="Heading1"/>
    <w:pPr>
      <w:keepNext/>
      <w:spacing w:before="120" w:after="360" w:line="240" w:lineRule="auto"/>
      <w:jc w:val="center"/>
    </w:pPr>
    <w:rPr>
      <w:rFonts w:ascii="Times New Roman" w:eastAsia="Times New Roman" w:hAnsi="Times New Roman"/>
      <w:b/>
      <w:smallCaps/>
      <w:sz w:val="28"/>
      <w:szCs w:val="24"/>
    </w:rPr>
  </w:style>
  <w:style w:type="paragraph" w:customStyle="1" w:styleId="TableTitle">
    <w:name w:val="Table Title"/>
    <w:basedOn w:val="Normal"/>
    <w:next w:val="Normal"/>
    <w:pPr>
      <w:spacing w:before="120" w:after="120" w:line="240" w:lineRule="auto"/>
      <w:jc w:val="center"/>
    </w:pPr>
    <w:rPr>
      <w:rFonts w:ascii="Times New Roman" w:eastAsia="Times New Roman" w:hAnsi="Times New Roman"/>
      <w:b/>
      <w:sz w:val="24"/>
      <w:szCs w:val="24"/>
    </w:rPr>
  </w:style>
  <w:style w:type="character" w:customStyle="1" w:styleId="Marker1">
    <w:name w:val="Marker1"/>
    <w:rPr>
      <w:color w:val="008000"/>
      <w:shd w:val="clear" w:color="auto" w:fill="auto"/>
    </w:rPr>
  </w:style>
  <w:style w:type="character" w:customStyle="1" w:styleId="Marker2">
    <w:name w:val="Marker2"/>
    <w:rPr>
      <w:color w:val="FF0000"/>
      <w:shd w:val="clear" w:color="auto" w:fill="auto"/>
    </w:rPr>
  </w:style>
  <w:style w:type="paragraph" w:customStyle="1" w:styleId="Point0number">
    <w:name w:val="Point 0 (number)"/>
    <w:basedOn w:val="Normal"/>
    <w:pPr>
      <w:numPr>
        <w:numId w:val="25"/>
      </w:numPr>
      <w:spacing w:before="120" w:after="120" w:line="240" w:lineRule="auto"/>
      <w:jc w:val="both"/>
    </w:pPr>
    <w:rPr>
      <w:rFonts w:ascii="Times New Roman" w:eastAsia="Times New Roman" w:hAnsi="Times New Roman"/>
      <w:sz w:val="24"/>
      <w:szCs w:val="24"/>
    </w:rPr>
  </w:style>
  <w:style w:type="paragraph" w:customStyle="1" w:styleId="Point1number">
    <w:name w:val="Point 1 (number)"/>
    <w:basedOn w:val="Normal"/>
    <w:pPr>
      <w:numPr>
        <w:ilvl w:val="2"/>
        <w:numId w:val="25"/>
      </w:numPr>
      <w:spacing w:before="120" w:after="120" w:line="240" w:lineRule="auto"/>
      <w:jc w:val="both"/>
    </w:pPr>
    <w:rPr>
      <w:rFonts w:ascii="Times New Roman" w:eastAsia="Times New Roman" w:hAnsi="Times New Roman"/>
      <w:sz w:val="24"/>
      <w:szCs w:val="24"/>
    </w:rPr>
  </w:style>
  <w:style w:type="paragraph" w:customStyle="1" w:styleId="Point2number">
    <w:name w:val="Point 2 (number)"/>
    <w:basedOn w:val="Normal"/>
    <w:pPr>
      <w:numPr>
        <w:ilvl w:val="4"/>
        <w:numId w:val="25"/>
      </w:numPr>
      <w:spacing w:before="120" w:after="120" w:line="240" w:lineRule="auto"/>
      <w:jc w:val="both"/>
    </w:pPr>
    <w:rPr>
      <w:rFonts w:ascii="Times New Roman" w:eastAsia="Times New Roman" w:hAnsi="Times New Roman"/>
      <w:sz w:val="24"/>
      <w:szCs w:val="24"/>
    </w:rPr>
  </w:style>
  <w:style w:type="paragraph" w:customStyle="1" w:styleId="Point3number">
    <w:name w:val="Point 3 (number)"/>
    <w:basedOn w:val="Normal"/>
    <w:pPr>
      <w:numPr>
        <w:ilvl w:val="6"/>
        <w:numId w:val="25"/>
      </w:numPr>
      <w:spacing w:before="120" w:after="120" w:line="240" w:lineRule="auto"/>
      <w:jc w:val="both"/>
    </w:pPr>
    <w:rPr>
      <w:rFonts w:ascii="Times New Roman" w:eastAsia="Times New Roman" w:hAnsi="Times New Roman"/>
      <w:sz w:val="24"/>
      <w:szCs w:val="24"/>
    </w:rPr>
  </w:style>
  <w:style w:type="paragraph" w:customStyle="1" w:styleId="Point0letter">
    <w:name w:val="Point 0 (letter)"/>
    <w:basedOn w:val="Normal"/>
    <w:pPr>
      <w:numPr>
        <w:ilvl w:val="1"/>
        <w:numId w:val="25"/>
      </w:numPr>
      <w:spacing w:before="120" w:after="120" w:line="240" w:lineRule="auto"/>
      <w:jc w:val="both"/>
    </w:pPr>
    <w:rPr>
      <w:rFonts w:ascii="Times New Roman" w:eastAsia="Times New Roman" w:hAnsi="Times New Roman"/>
      <w:sz w:val="24"/>
      <w:szCs w:val="24"/>
    </w:rPr>
  </w:style>
  <w:style w:type="paragraph" w:customStyle="1" w:styleId="Point1letter">
    <w:name w:val="Point 1 (letter)"/>
    <w:basedOn w:val="Normal"/>
    <w:pPr>
      <w:numPr>
        <w:ilvl w:val="3"/>
        <w:numId w:val="25"/>
      </w:numPr>
      <w:spacing w:before="120" w:after="120" w:line="240" w:lineRule="auto"/>
      <w:jc w:val="both"/>
    </w:pPr>
    <w:rPr>
      <w:rFonts w:ascii="Times New Roman" w:eastAsia="Times New Roman" w:hAnsi="Times New Roman"/>
      <w:sz w:val="24"/>
      <w:szCs w:val="24"/>
    </w:rPr>
  </w:style>
  <w:style w:type="paragraph" w:customStyle="1" w:styleId="Point2letter">
    <w:name w:val="Point 2 (letter)"/>
    <w:basedOn w:val="Normal"/>
    <w:pPr>
      <w:numPr>
        <w:ilvl w:val="5"/>
        <w:numId w:val="25"/>
      </w:numPr>
      <w:spacing w:before="120" w:after="120" w:line="240" w:lineRule="auto"/>
      <w:jc w:val="both"/>
    </w:pPr>
    <w:rPr>
      <w:rFonts w:ascii="Times New Roman" w:eastAsia="Times New Roman" w:hAnsi="Times New Roman"/>
      <w:sz w:val="24"/>
      <w:szCs w:val="24"/>
    </w:rPr>
  </w:style>
  <w:style w:type="paragraph" w:customStyle="1" w:styleId="Point3letter">
    <w:name w:val="Point 3 (letter)"/>
    <w:basedOn w:val="Normal"/>
    <w:pPr>
      <w:numPr>
        <w:ilvl w:val="7"/>
        <w:numId w:val="25"/>
      </w:numPr>
      <w:spacing w:before="120" w:after="120" w:line="240" w:lineRule="auto"/>
      <w:jc w:val="both"/>
    </w:pPr>
    <w:rPr>
      <w:rFonts w:ascii="Times New Roman" w:eastAsia="Times New Roman" w:hAnsi="Times New Roman"/>
      <w:sz w:val="24"/>
      <w:szCs w:val="24"/>
    </w:rPr>
  </w:style>
  <w:style w:type="paragraph" w:customStyle="1" w:styleId="Point4letter">
    <w:name w:val="Point 4 (letter)"/>
    <w:basedOn w:val="Normal"/>
    <w:pPr>
      <w:numPr>
        <w:ilvl w:val="8"/>
        <w:numId w:val="25"/>
      </w:numPr>
      <w:spacing w:before="120" w:after="120" w:line="240" w:lineRule="auto"/>
      <w:jc w:val="both"/>
    </w:pPr>
    <w:rPr>
      <w:rFonts w:ascii="Times New Roman" w:eastAsia="Times New Roman" w:hAnsi="Times New Roman"/>
      <w:sz w:val="24"/>
      <w:szCs w:val="24"/>
    </w:rPr>
  </w:style>
  <w:style w:type="paragraph" w:customStyle="1" w:styleId="Bullet0">
    <w:name w:val="Bullet 0"/>
    <w:basedOn w:val="Normal"/>
    <w:pPr>
      <w:numPr>
        <w:numId w:val="26"/>
      </w:numPr>
      <w:spacing w:before="120" w:after="120" w:line="240" w:lineRule="auto"/>
      <w:jc w:val="both"/>
    </w:pPr>
    <w:rPr>
      <w:rFonts w:ascii="Times New Roman" w:eastAsia="Times New Roman" w:hAnsi="Times New Roman"/>
      <w:sz w:val="24"/>
      <w:szCs w:val="24"/>
    </w:rPr>
  </w:style>
  <w:style w:type="paragraph" w:customStyle="1" w:styleId="Bullet1">
    <w:name w:val="Bullet 1"/>
    <w:basedOn w:val="Normal"/>
    <w:pPr>
      <w:numPr>
        <w:numId w:val="27"/>
      </w:numPr>
      <w:spacing w:before="120" w:after="120" w:line="240" w:lineRule="auto"/>
      <w:jc w:val="both"/>
    </w:pPr>
    <w:rPr>
      <w:rFonts w:ascii="Times New Roman" w:eastAsia="Times New Roman" w:hAnsi="Times New Roman"/>
      <w:sz w:val="24"/>
      <w:szCs w:val="24"/>
    </w:rPr>
  </w:style>
  <w:style w:type="paragraph" w:customStyle="1" w:styleId="Bullet2">
    <w:name w:val="Bullet 2"/>
    <w:basedOn w:val="Normal"/>
    <w:pPr>
      <w:numPr>
        <w:numId w:val="28"/>
      </w:numPr>
      <w:spacing w:before="120" w:after="120" w:line="240" w:lineRule="auto"/>
      <w:jc w:val="both"/>
    </w:pPr>
    <w:rPr>
      <w:rFonts w:ascii="Times New Roman" w:eastAsia="Times New Roman" w:hAnsi="Times New Roman"/>
      <w:sz w:val="24"/>
      <w:szCs w:val="24"/>
    </w:rPr>
  </w:style>
  <w:style w:type="paragraph" w:customStyle="1" w:styleId="Bullet3">
    <w:name w:val="Bullet 3"/>
    <w:basedOn w:val="Normal"/>
    <w:pPr>
      <w:numPr>
        <w:numId w:val="29"/>
      </w:numPr>
      <w:spacing w:before="120" w:after="120" w:line="240" w:lineRule="auto"/>
      <w:jc w:val="both"/>
    </w:pPr>
    <w:rPr>
      <w:rFonts w:ascii="Times New Roman" w:eastAsia="Times New Roman" w:hAnsi="Times New Roman"/>
      <w:sz w:val="24"/>
      <w:szCs w:val="24"/>
    </w:rPr>
  </w:style>
  <w:style w:type="paragraph" w:customStyle="1" w:styleId="Bullet4">
    <w:name w:val="Bullet 4"/>
    <w:basedOn w:val="Normal"/>
    <w:pPr>
      <w:numPr>
        <w:numId w:val="30"/>
      </w:numPr>
      <w:spacing w:before="120" w:after="120" w:line="240" w:lineRule="auto"/>
      <w:jc w:val="both"/>
    </w:pPr>
    <w:rPr>
      <w:rFonts w:ascii="Times New Roman" w:eastAsia="Times New Roman" w:hAnsi="Times New Roman"/>
      <w:sz w:val="24"/>
      <w:szCs w:val="24"/>
    </w:rPr>
  </w:style>
  <w:style w:type="paragraph" w:customStyle="1" w:styleId="Annexetitreexpos">
    <w:name w:val="Annexe titre (exposé)"/>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
    <w:name w:val="Annex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nnexetitrefichefinancire">
    <w:name w:val="Annexe titre (fiche financiè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Applicationdirecte">
    <w:name w:val="Application directe"/>
    <w:basedOn w:val="Normal"/>
    <w:next w:val="Fait"/>
    <w:pPr>
      <w:spacing w:before="480" w:after="120" w:line="240" w:lineRule="auto"/>
      <w:jc w:val="both"/>
    </w:pPr>
    <w:rPr>
      <w:rFonts w:ascii="Times New Roman" w:eastAsia="Times New Roman" w:hAnsi="Times New Roman"/>
      <w:sz w:val="24"/>
      <w:szCs w:val="24"/>
    </w:rPr>
  </w:style>
  <w:style w:type="paragraph" w:customStyle="1" w:styleId="Avertissementtitre">
    <w:name w:val="Avertissement titre"/>
    <w:basedOn w:val="Normal"/>
    <w:next w:val="Normal"/>
    <w:pPr>
      <w:keepNext/>
      <w:spacing w:before="480" w:after="120" w:line="240" w:lineRule="auto"/>
      <w:jc w:val="both"/>
    </w:pPr>
    <w:rPr>
      <w:rFonts w:ascii="Times New Roman" w:eastAsia="Times New Roman" w:hAnsi="Times New Roman"/>
      <w:sz w:val="24"/>
      <w:szCs w:val="24"/>
      <w:u w:val="single"/>
    </w:rPr>
  </w:style>
  <w:style w:type="paragraph" w:customStyle="1" w:styleId="Confidence">
    <w:name w:val="Confidence"/>
    <w:basedOn w:val="Normal"/>
    <w:next w:val="Normal"/>
    <w:pPr>
      <w:spacing w:before="360" w:after="120" w:line="240" w:lineRule="auto"/>
      <w:jc w:val="center"/>
    </w:pPr>
    <w:rPr>
      <w:rFonts w:ascii="Times New Roman" w:eastAsia="Times New Roman" w:hAnsi="Times New Roman"/>
      <w:sz w:val="24"/>
      <w:szCs w:val="24"/>
    </w:rPr>
  </w:style>
  <w:style w:type="paragraph" w:customStyle="1" w:styleId="Confidentialit">
    <w:name w:val="Confidentialité"/>
    <w:basedOn w:val="Normal"/>
    <w:next w:val="TypedudocumentPagedecouverture"/>
    <w:pPr>
      <w:spacing w:before="240" w:after="240" w:line="240" w:lineRule="auto"/>
      <w:ind w:left="5103"/>
      <w:jc w:val="both"/>
    </w:pPr>
    <w:rPr>
      <w:rFonts w:ascii="Times New Roman" w:eastAsia="Times New Roman" w:hAnsi="Times New Roman"/>
      <w:sz w:val="24"/>
      <w:szCs w:val="24"/>
      <w:u w:val="single"/>
    </w:rPr>
  </w:style>
  <w:style w:type="paragraph" w:customStyle="1" w:styleId="Considrant">
    <w:name w:val="Considérant"/>
    <w:basedOn w:val="Normal"/>
    <w:pPr>
      <w:numPr>
        <w:numId w:val="31"/>
      </w:numPr>
      <w:spacing w:before="120" w:after="120" w:line="240" w:lineRule="auto"/>
      <w:jc w:val="both"/>
    </w:pPr>
    <w:rPr>
      <w:rFonts w:ascii="Times New Roman" w:eastAsia="Times New Roman" w:hAnsi="Times New Roman"/>
      <w:sz w:val="24"/>
      <w:szCs w:val="24"/>
    </w:rPr>
  </w:style>
  <w:style w:type="paragraph" w:customStyle="1" w:styleId="Corrigendum">
    <w:name w:val="Corrigendum"/>
    <w:basedOn w:val="Normal"/>
    <w:next w:val="Normal"/>
    <w:pPr>
      <w:spacing w:after="240" w:line="240" w:lineRule="auto"/>
    </w:pPr>
    <w:rPr>
      <w:rFonts w:ascii="Times New Roman" w:eastAsia="Times New Roman" w:hAnsi="Times New Roman"/>
      <w:sz w:val="24"/>
      <w:szCs w:val="24"/>
    </w:rPr>
  </w:style>
  <w:style w:type="paragraph" w:customStyle="1" w:styleId="Datedadoption">
    <w:name w:val="Date d'adoption"/>
    <w:basedOn w:val="Normal"/>
    <w:next w:val="Titreobjet"/>
    <w:pPr>
      <w:spacing w:before="360" w:after="0" w:line="240" w:lineRule="auto"/>
      <w:jc w:val="center"/>
    </w:pPr>
    <w:rPr>
      <w:rFonts w:ascii="Times New Roman" w:eastAsia="Times New Roman" w:hAnsi="Times New Roman"/>
      <w:b/>
      <w:sz w:val="24"/>
      <w:szCs w:val="24"/>
    </w:rPr>
  </w:style>
  <w:style w:type="paragraph" w:customStyle="1" w:styleId="Emission">
    <w:name w:val="Emission"/>
    <w:basedOn w:val="Normal"/>
    <w:next w:val="Rfrenceinstitutionnelle"/>
    <w:pPr>
      <w:spacing w:after="0" w:line="240" w:lineRule="auto"/>
      <w:ind w:left="5103"/>
    </w:pPr>
    <w:rPr>
      <w:rFonts w:ascii="Times New Roman" w:eastAsia="Times New Roman" w:hAnsi="Times New Roman"/>
      <w:sz w:val="24"/>
      <w:szCs w:val="24"/>
    </w:rPr>
  </w:style>
  <w:style w:type="paragraph" w:customStyle="1" w:styleId="Exposdesmotifstitre">
    <w:name w:val="Exposé des motifs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Fait">
    <w:name w:val="Fait à"/>
    <w:basedOn w:val="Normal"/>
    <w:next w:val="Institutionquisigne"/>
    <w:pPr>
      <w:keepNext/>
      <w:spacing w:before="120" w:after="0" w:line="240" w:lineRule="auto"/>
      <w:jc w:val="both"/>
    </w:pPr>
    <w:rPr>
      <w:rFonts w:ascii="Times New Roman" w:eastAsia="Times New Roman" w:hAnsi="Times New Roman"/>
      <w:sz w:val="24"/>
      <w:szCs w:val="24"/>
    </w:rPr>
  </w:style>
  <w:style w:type="paragraph" w:customStyle="1" w:styleId="Formuledadoption">
    <w:name w:val="Formule d'adoption"/>
    <w:basedOn w:val="Normal"/>
    <w:next w:val="Titrearticle"/>
    <w:pPr>
      <w:keepNext/>
      <w:spacing w:before="120" w:after="120" w:line="240" w:lineRule="auto"/>
      <w:jc w:val="both"/>
    </w:pPr>
    <w:rPr>
      <w:rFonts w:ascii="Times New Roman" w:eastAsia="Times New Roman" w:hAnsi="Times New Roman"/>
      <w:sz w:val="24"/>
      <w:szCs w:val="24"/>
    </w:rPr>
  </w:style>
  <w:style w:type="paragraph" w:customStyle="1" w:styleId="Institutionquiagit">
    <w:name w:val="Institution qui agit"/>
    <w:basedOn w:val="Normal"/>
    <w:next w:val="Normal"/>
    <w:pPr>
      <w:keepNext/>
      <w:spacing w:before="600" w:after="120" w:line="240" w:lineRule="auto"/>
      <w:jc w:val="both"/>
    </w:pPr>
    <w:rPr>
      <w:rFonts w:ascii="Times New Roman" w:eastAsia="Times New Roman" w:hAnsi="Times New Roman"/>
      <w:sz w:val="24"/>
      <w:szCs w:val="24"/>
    </w:rPr>
  </w:style>
  <w:style w:type="paragraph" w:customStyle="1" w:styleId="Institutionquisigne">
    <w:name w:val="Institution qui signe"/>
    <w:basedOn w:val="Normal"/>
    <w:next w:val="Personnequisigne"/>
    <w:pPr>
      <w:keepNext/>
      <w:tabs>
        <w:tab w:val="left" w:pos="4252"/>
      </w:tabs>
      <w:spacing w:before="720" w:after="0" w:line="240" w:lineRule="auto"/>
      <w:jc w:val="both"/>
    </w:pPr>
    <w:rPr>
      <w:rFonts w:ascii="Times New Roman" w:eastAsia="Times New Roman" w:hAnsi="Times New Roman"/>
      <w:i/>
      <w:sz w:val="24"/>
      <w:szCs w:val="24"/>
    </w:rPr>
  </w:style>
  <w:style w:type="paragraph" w:customStyle="1" w:styleId="Langue">
    <w:name w:val="Langue"/>
    <w:basedOn w:val="Normal"/>
    <w:next w:val="Rfrenceinterne"/>
    <w:pPr>
      <w:framePr w:wrap="around" w:vAnchor="page" w:hAnchor="text" w:xAlign="center" w:y="14741"/>
      <w:spacing w:after="600" w:line="240" w:lineRule="auto"/>
      <w:jc w:val="center"/>
    </w:pPr>
    <w:rPr>
      <w:rFonts w:ascii="Times New Roman" w:eastAsia="Times New Roman" w:hAnsi="Times New Roman"/>
      <w:b/>
      <w:caps/>
      <w:sz w:val="24"/>
      <w:szCs w:val="24"/>
    </w:rPr>
  </w:style>
  <w:style w:type="paragraph" w:customStyle="1" w:styleId="ManualConsidrant">
    <w:name w:val="Manual Considérant"/>
    <w:basedOn w:val="Normal"/>
    <w:pPr>
      <w:spacing w:before="120" w:after="120" w:line="240" w:lineRule="auto"/>
      <w:ind w:left="709" w:hanging="709"/>
      <w:jc w:val="both"/>
    </w:pPr>
    <w:rPr>
      <w:rFonts w:ascii="Times New Roman" w:eastAsia="Times New Roman" w:hAnsi="Times New Roman"/>
      <w:sz w:val="24"/>
      <w:szCs w:val="24"/>
    </w:rPr>
  </w:style>
  <w:style w:type="paragraph" w:customStyle="1" w:styleId="Nomdelinstitution">
    <w:name w:val="Nom de l'institution"/>
    <w:basedOn w:val="Normal"/>
    <w:next w:val="Emission"/>
    <w:pPr>
      <w:spacing w:after="0" w:line="240" w:lineRule="auto"/>
    </w:pPr>
    <w:rPr>
      <w:rFonts w:ascii="Arial" w:eastAsia="Times New Roman" w:hAnsi="Arial" w:cs="Arial"/>
      <w:sz w:val="24"/>
      <w:szCs w:val="24"/>
    </w:rPr>
  </w:style>
  <w:style w:type="paragraph" w:customStyle="1" w:styleId="Personnequisigne">
    <w:name w:val="Personne qui signe"/>
    <w:basedOn w:val="Normal"/>
    <w:next w:val="Institutionquisigne"/>
    <w:pPr>
      <w:tabs>
        <w:tab w:val="left" w:pos="4252"/>
      </w:tabs>
      <w:spacing w:after="0" w:line="240" w:lineRule="auto"/>
    </w:pPr>
    <w:rPr>
      <w:rFonts w:ascii="Times New Roman" w:eastAsia="Times New Roman" w:hAnsi="Times New Roman"/>
      <w:i/>
      <w:sz w:val="24"/>
      <w:szCs w:val="24"/>
    </w:rPr>
  </w:style>
  <w:style w:type="paragraph" w:customStyle="1" w:styleId="Rfrenceinstitutionnelle">
    <w:name w:val="Référence institutionnelle"/>
    <w:basedOn w:val="Normal"/>
    <w:next w:val="Confidentialit"/>
    <w:pPr>
      <w:spacing w:after="240" w:line="240" w:lineRule="auto"/>
      <w:ind w:left="5103"/>
    </w:pPr>
    <w:rPr>
      <w:rFonts w:ascii="Times New Roman" w:eastAsia="Times New Roman" w:hAnsi="Times New Roman"/>
      <w:sz w:val="24"/>
      <w:szCs w:val="24"/>
    </w:rPr>
  </w:style>
  <w:style w:type="paragraph" w:customStyle="1" w:styleId="Rfrenceinterinstitutionnelle">
    <w:name w:val="Référence interinstitutionnelle"/>
    <w:basedOn w:val="Normal"/>
    <w:next w:val="Statut"/>
    <w:pPr>
      <w:spacing w:after="0" w:line="240" w:lineRule="auto"/>
      <w:ind w:left="5103"/>
    </w:pPr>
    <w:rPr>
      <w:rFonts w:ascii="Times New Roman" w:eastAsia="Times New Roman" w:hAnsi="Times New Roman"/>
      <w:sz w:val="24"/>
      <w:szCs w:val="24"/>
    </w:rPr>
  </w:style>
  <w:style w:type="paragraph" w:customStyle="1" w:styleId="Rfrenceinterne">
    <w:name w:val="Référence interne"/>
    <w:basedOn w:val="Normal"/>
    <w:next w:val="Rfrenceinterinstitutionnelle"/>
    <w:pPr>
      <w:spacing w:after="0" w:line="240" w:lineRule="auto"/>
      <w:ind w:left="5103"/>
    </w:pPr>
    <w:rPr>
      <w:rFonts w:ascii="Times New Roman" w:eastAsia="Times New Roman" w:hAnsi="Times New Roman"/>
      <w:sz w:val="24"/>
      <w:szCs w:val="24"/>
    </w:rPr>
  </w:style>
  <w:style w:type="paragraph" w:customStyle="1" w:styleId="Sous-titreobjet">
    <w:name w:val="Sous-titre objet"/>
    <w:basedOn w:val="Normal"/>
    <w:pPr>
      <w:spacing w:after="0" w:line="240" w:lineRule="auto"/>
      <w:jc w:val="center"/>
    </w:pPr>
    <w:rPr>
      <w:rFonts w:ascii="Times New Roman" w:eastAsia="Times New Roman" w:hAnsi="Times New Roman"/>
      <w:b/>
      <w:sz w:val="24"/>
      <w:szCs w:val="24"/>
    </w:rPr>
  </w:style>
  <w:style w:type="paragraph" w:customStyle="1" w:styleId="Statut">
    <w:name w:val="Statut"/>
    <w:basedOn w:val="Normal"/>
    <w:next w:val="Typedudocument"/>
    <w:pPr>
      <w:spacing w:before="360" w:after="0" w:line="240" w:lineRule="auto"/>
      <w:jc w:val="center"/>
    </w:pPr>
    <w:rPr>
      <w:rFonts w:ascii="Times New Roman" w:eastAsia="Times New Roman" w:hAnsi="Times New Roman"/>
      <w:sz w:val="24"/>
      <w:szCs w:val="24"/>
    </w:rPr>
  </w:style>
  <w:style w:type="paragraph" w:customStyle="1" w:styleId="Titrearticle">
    <w:name w:val="Titre article"/>
    <w:basedOn w:val="Normal"/>
    <w:next w:val="Normal"/>
    <w:pPr>
      <w:keepNext/>
      <w:spacing w:before="360" w:after="120" w:line="240" w:lineRule="auto"/>
      <w:jc w:val="center"/>
    </w:pPr>
    <w:rPr>
      <w:rFonts w:ascii="Times New Roman" w:eastAsia="Times New Roman" w:hAnsi="Times New Roman"/>
      <w:i/>
      <w:sz w:val="24"/>
      <w:szCs w:val="24"/>
    </w:rPr>
  </w:style>
  <w:style w:type="paragraph" w:customStyle="1" w:styleId="Titreobjet">
    <w:name w:val="Titre objet"/>
    <w:basedOn w:val="Normal"/>
    <w:next w:val="Sous-titreobjet"/>
    <w:pPr>
      <w:spacing w:before="360" w:after="360" w:line="240" w:lineRule="auto"/>
      <w:jc w:val="center"/>
    </w:pPr>
    <w:rPr>
      <w:rFonts w:ascii="Times New Roman" w:eastAsia="Times New Roman" w:hAnsi="Times New Roman"/>
      <w:b/>
      <w:sz w:val="24"/>
      <w:szCs w:val="24"/>
    </w:rPr>
  </w:style>
  <w:style w:type="paragraph" w:customStyle="1" w:styleId="Typedudocument">
    <w:name w:val="Type du document"/>
    <w:basedOn w:val="Normal"/>
    <w:next w:val="Titreobjet"/>
    <w:pPr>
      <w:spacing w:before="360" w:after="0" w:line="240" w:lineRule="auto"/>
      <w:jc w:val="center"/>
    </w:pPr>
    <w:rPr>
      <w:rFonts w:ascii="Times New Roman" w:eastAsia="Times New Roman" w:hAnsi="Times New Roman"/>
      <w:b/>
      <w:sz w:val="24"/>
      <w:szCs w:val="24"/>
    </w:rPr>
  </w:style>
  <w:style w:type="character" w:customStyle="1" w:styleId="Added">
    <w:name w:val="Added"/>
    <w:rPr>
      <w:b/>
      <w:u w:val="single"/>
      <w:shd w:val="clear" w:color="auto" w:fill="auto"/>
    </w:rPr>
  </w:style>
  <w:style w:type="character" w:customStyle="1" w:styleId="Deleted">
    <w:name w:val="Deleted"/>
    <w:rPr>
      <w:strike/>
      <w:shd w:val="clear" w:color="auto" w:fill="auto"/>
    </w:rPr>
  </w:style>
  <w:style w:type="paragraph" w:customStyle="1" w:styleId="Objetexterne">
    <w:name w:val="Objet externe"/>
    <w:basedOn w:val="Normal"/>
    <w:next w:val="Normal"/>
    <w:pPr>
      <w:spacing w:before="120" w:after="120" w:line="240" w:lineRule="auto"/>
      <w:jc w:val="both"/>
    </w:pPr>
    <w:rPr>
      <w:rFonts w:ascii="Times New Roman" w:eastAsia="Times New Roman" w:hAnsi="Times New Roman"/>
      <w:i/>
      <w:caps/>
      <w:sz w:val="24"/>
      <w:szCs w:val="24"/>
    </w:rPr>
  </w:style>
  <w:style w:type="paragraph" w:customStyle="1" w:styleId="Supertitre">
    <w:name w:val="Supertitre"/>
    <w:basedOn w:val="Normal"/>
    <w:next w:val="Normal"/>
    <w:pPr>
      <w:spacing w:after="600" w:line="240" w:lineRule="auto"/>
      <w:jc w:val="center"/>
    </w:pPr>
    <w:rPr>
      <w:rFonts w:ascii="Times New Roman" w:eastAsia="Times New Roman" w:hAnsi="Times New Roman"/>
      <w:b/>
      <w:sz w:val="24"/>
      <w:szCs w:val="24"/>
    </w:rPr>
  </w:style>
  <w:style w:type="paragraph" w:customStyle="1" w:styleId="Languesfaisantfoi">
    <w:name w:val="Langues faisant foi"/>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croise">
    <w:name w:val="Référence croisée"/>
    <w:basedOn w:val="Normal"/>
    <w:pPr>
      <w:spacing w:after="0" w:line="240" w:lineRule="auto"/>
      <w:jc w:val="center"/>
    </w:pPr>
    <w:rPr>
      <w:rFonts w:ascii="Times New Roman" w:eastAsia="Times New Roman" w:hAnsi="Times New Roman"/>
      <w:sz w:val="24"/>
      <w:szCs w:val="24"/>
    </w:rPr>
  </w:style>
  <w:style w:type="paragraph" w:customStyle="1" w:styleId="Fichefinanciretitre">
    <w:name w:val="Fiche financière titre"/>
    <w:basedOn w:val="Normal"/>
    <w:next w:val="Normal"/>
    <w:pPr>
      <w:spacing w:before="120" w:after="120" w:line="240" w:lineRule="auto"/>
      <w:jc w:val="center"/>
    </w:pPr>
    <w:rPr>
      <w:rFonts w:ascii="Times New Roman" w:eastAsia="Times New Roman" w:hAnsi="Times New Roman"/>
      <w:b/>
      <w:sz w:val="24"/>
      <w:szCs w:val="24"/>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after="240" w:line="240" w:lineRule="auto"/>
      <w:ind w:left="5103"/>
    </w:pPr>
    <w:rPr>
      <w:rFonts w:ascii="Times New Roman" w:eastAsia="Times New Roman" w:hAnsi="Times New Roman"/>
      <w:sz w:val="24"/>
      <w:szCs w:val="24"/>
    </w:r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after="240" w:line="240" w:lineRule="auto"/>
      <w:jc w:val="center"/>
    </w:pPr>
    <w:rPr>
      <w:rFonts w:ascii="Times New Roman" w:eastAsia="Times New Roman" w:hAnsi="Times New Roman"/>
      <w:b/>
      <w:i/>
      <w:sz w:val="24"/>
      <w:szCs w:val="24"/>
    </w:rPr>
  </w:style>
  <w:style w:type="paragraph" w:customStyle="1" w:styleId="Typeacteprincipal">
    <w:name w:val="Type acte principal"/>
    <w:basedOn w:val="Normal"/>
    <w:next w:val="Objetacteprincipal"/>
    <w:pPr>
      <w:spacing w:after="240" w:line="240" w:lineRule="auto"/>
      <w:jc w:val="center"/>
    </w:pPr>
    <w:rPr>
      <w:rFonts w:ascii="Times New Roman" w:eastAsia="Times New Roman" w:hAnsi="Times New Roman"/>
      <w:b/>
      <w:sz w:val="24"/>
      <w:szCs w:val="24"/>
    </w:rPr>
  </w:style>
  <w:style w:type="paragraph" w:customStyle="1" w:styleId="Objetacteprincipal">
    <w:name w:val="Objet acte principal"/>
    <w:basedOn w:val="Normal"/>
    <w:next w:val="Titrearticle"/>
    <w:pPr>
      <w:spacing w:after="360" w:line="240" w:lineRule="auto"/>
      <w:jc w:val="center"/>
    </w:pPr>
    <w:rPr>
      <w:rFonts w:ascii="Times New Roman" w:eastAsia="Times New Roman" w:hAnsi="Times New Roman"/>
      <w:b/>
      <w:sz w:val="24"/>
      <w:szCs w:val="24"/>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line="240" w:lineRule="auto"/>
      <w:jc w:val="center"/>
    </w:pPr>
    <w:rPr>
      <w:rFonts w:ascii="Times New Roman" w:eastAsia="Times New Roman" w:hAnsi="Times New Roman"/>
      <w:sz w:val="24"/>
      <w:szCs w:val="24"/>
    </w:rPr>
  </w:style>
  <w:style w:type="paragraph" w:customStyle="1" w:styleId="Rfrenceinterinstitutionelleprliminaire">
    <w:name w:val="Référence interinstitutionelle (préliminaire)"/>
    <w:basedOn w:val="Normal"/>
    <w:next w:val="Normal"/>
    <w:pPr>
      <w:spacing w:after="0" w:line="240" w:lineRule="auto"/>
      <w:ind w:left="5103"/>
    </w:pPr>
    <w:rPr>
      <w:rFonts w:ascii="Times New Roman" w:eastAsia="Times New Roman" w:hAnsi="Times New Roman"/>
      <w:sz w:val="24"/>
      <w:szCs w:val="24"/>
      <w:lang w:eastAsia="de-DE"/>
    </w:rPr>
  </w:style>
  <w:style w:type="paragraph" w:customStyle="1" w:styleId="Sous-titreobjetprliminaire">
    <w:name w:val="Sous-titre objet (préliminaire)"/>
    <w:basedOn w:val="Normal"/>
    <w:pPr>
      <w:spacing w:after="0" w:line="240" w:lineRule="auto"/>
      <w:jc w:val="center"/>
    </w:pPr>
    <w:rPr>
      <w:rFonts w:ascii="Times New Roman" w:eastAsia="Times New Roman" w:hAnsi="Times New Roman"/>
      <w:b/>
      <w:sz w:val="24"/>
      <w:szCs w:val="24"/>
      <w:lang w:eastAsia="de-DE"/>
    </w:rPr>
  </w:style>
  <w:style w:type="paragraph" w:customStyle="1" w:styleId="Statutprliminaire">
    <w:name w:val="Statut (préliminair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Titreobjetprliminaire">
    <w:name w:val="Titre objet (préliminai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Typedudocumentprliminaire">
    <w:name w:val="Type du document (préliminaire)"/>
    <w:basedOn w:val="Normal"/>
    <w:next w:val="Normal"/>
    <w:pPr>
      <w:spacing w:before="360" w:after="0" w:line="240" w:lineRule="auto"/>
      <w:jc w:val="center"/>
    </w:pPr>
    <w:rPr>
      <w:rFonts w:ascii="Times New Roman" w:eastAsia="Times New Roman" w:hAnsi="Times New Roman"/>
      <w:b/>
      <w:sz w:val="24"/>
      <w:szCs w:val="24"/>
      <w:lang w:eastAsia="de-DE"/>
    </w:rPr>
  </w:style>
  <w:style w:type="paragraph" w:styleId="CommentSubject">
    <w:name w:val="annotation subject"/>
    <w:basedOn w:val="CommentText"/>
    <w:next w:val="CommentText"/>
    <w:link w:val="CommentSubjectChar"/>
    <w:semiHidden/>
    <w:pPr>
      <w:spacing w:before="120" w:after="120"/>
    </w:pPr>
    <w:rPr>
      <w:b/>
      <w:bCs/>
      <w:lang w:eastAsia="de-DE"/>
    </w:rPr>
  </w:style>
  <w:style w:type="character" w:customStyle="1" w:styleId="CommentSubjectChar">
    <w:name w:val="Comment Subject Char"/>
    <w:link w:val="CommentSubject"/>
    <w:semiHidden/>
    <w:rPr>
      <w:rFonts w:ascii="Times New Roman" w:eastAsia="Times New Roman" w:hAnsi="Times New Roman"/>
      <w:b/>
      <w:bCs/>
      <w:lang w:eastAsia="de-DE"/>
    </w:rPr>
  </w:style>
  <w:style w:type="paragraph" w:styleId="BalloonText">
    <w:name w:val="Balloon Text"/>
    <w:basedOn w:val="Normal"/>
    <w:link w:val="BalloonTextChar"/>
    <w:semiHidden/>
    <w:pPr>
      <w:spacing w:before="120" w:after="120" w:line="240" w:lineRule="auto"/>
      <w:jc w:val="both"/>
    </w:pPr>
    <w:rPr>
      <w:rFonts w:ascii="Tahoma" w:eastAsia="Times New Roman" w:hAnsi="Tahoma"/>
      <w:sz w:val="16"/>
      <w:szCs w:val="16"/>
      <w:lang w:val="x-none" w:eastAsia="de-DE"/>
    </w:rPr>
  </w:style>
  <w:style w:type="character" w:customStyle="1" w:styleId="BalloonTextChar">
    <w:name w:val="Balloon Text Char"/>
    <w:link w:val="BalloonText"/>
    <w:semiHidden/>
    <w:rPr>
      <w:rFonts w:ascii="Tahoma" w:eastAsia="Times New Roman" w:hAnsi="Tahoma" w:cs="Tahoma"/>
      <w:sz w:val="16"/>
      <w:szCs w:val="16"/>
      <w:lang w:eastAsia="de-DE"/>
    </w:rPr>
  </w:style>
  <w:style w:type="table" w:customStyle="1" w:styleId="TableGrid1">
    <w:name w:val="Table Grid1"/>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2">
    <w:name w:val="Table Grid2"/>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
    <w:name w:val="Table Grid3"/>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4">
    <w:name w:val="Table Grid4"/>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tyle1">
    <w:name w:val="Style1"/>
    <w:pPr>
      <w:numPr>
        <w:numId w:val="32"/>
      </w:numPr>
    </w:pPr>
  </w:style>
  <w:style w:type="character" w:styleId="EndnoteReference">
    <w:name w:val="endnote reference"/>
    <w:semiHidden/>
    <w:rPr>
      <w:shd w:val="clear" w:color="auto" w:fill="auto"/>
      <w:vertAlign w:val="superscript"/>
    </w:rPr>
  </w:style>
  <w:style w:type="paragraph" w:customStyle="1" w:styleId="Annexetitreacte">
    <w:name w:val="Annexe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exposglobal">
    <w:name w:val="Annexe titre (exposé global)"/>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fichefinacte">
    <w:name w:val="Annexe titre (fiche fin.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fichefinglobale">
    <w:name w:val="Annexe titre (fiche fin. global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Annexetitreglobale">
    <w:name w:val="Annexe titre (global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Exposdesmotifstitreglobal">
    <w:name w:val="Exposé des motifs titre (global)"/>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Langueoriginale">
    <w:name w:val="Langue originale"/>
    <w:basedOn w:val="Normal"/>
    <w:next w:val="Phrasefinale"/>
    <w:pPr>
      <w:spacing w:before="360" w:after="120" w:line="240" w:lineRule="auto"/>
      <w:jc w:val="center"/>
    </w:pPr>
    <w:rPr>
      <w:rFonts w:ascii="Times New Roman" w:eastAsia="Times New Roman" w:hAnsi="Times New Roman"/>
      <w:caps/>
      <w:sz w:val="24"/>
      <w:szCs w:val="24"/>
      <w:lang w:eastAsia="de-DE"/>
    </w:rPr>
  </w:style>
  <w:style w:type="paragraph" w:customStyle="1" w:styleId="Phrasefinale">
    <w:name w:val="Phrase finale"/>
    <w:basedOn w:val="Normal"/>
    <w:next w:val="Normal"/>
    <w:pPr>
      <w:spacing w:before="360" w:after="0" w:line="240" w:lineRule="auto"/>
      <w:jc w:val="center"/>
    </w:pPr>
    <w:rPr>
      <w:rFonts w:ascii="Times New Roman" w:eastAsia="Times New Roman" w:hAnsi="Times New Roman"/>
      <w:sz w:val="24"/>
      <w:szCs w:val="24"/>
      <w:lang w:eastAsia="de-DE"/>
    </w:rPr>
  </w:style>
  <w:style w:type="paragraph" w:customStyle="1" w:styleId="Prliminairetitre">
    <w:name w:val="Préliminaire titre"/>
    <w:basedOn w:val="Normal"/>
    <w:next w:val="Normal"/>
    <w:pPr>
      <w:spacing w:before="360" w:after="360" w:line="240" w:lineRule="auto"/>
      <w:jc w:val="center"/>
    </w:pPr>
    <w:rPr>
      <w:rFonts w:ascii="Times New Roman" w:eastAsia="Times New Roman" w:hAnsi="Times New Roman"/>
      <w:b/>
      <w:sz w:val="24"/>
      <w:szCs w:val="24"/>
      <w:lang w:eastAsia="de-DE"/>
    </w:rPr>
  </w:style>
  <w:style w:type="paragraph" w:customStyle="1" w:styleId="Prliminairetype">
    <w:name w:val="Préliminaire type"/>
    <w:basedOn w:val="Normal"/>
    <w:next w:val="Normal"/>
    <w:pPr>
      <w:spacing w:before="360" w:after="0" w:line="240" w:lineRule="auto"/>
      <w:jc w:val="center"/>
    </w:pPr>
    <w:rPr>
      <w:rFonts w:ascii="Times New Roman" w:eastAsia="Times New Roman" w:hAnsi="Times New Roman"/>
      <w:b/>
      <w:sz w:val="24"/>
      <w:szCs w:val="24"/>
      <w:lang w:eastAsia="de-DE"/>
    </w:rPr>
  </w:style>
  <w:style w:type="paragraph" w:customStyle="1" w:styleId="Rfrenceinstitutionelle">
    <w:name w:val="Référence institutionelle"/>
    <w:basedOn w:val="Normal"/>
    <w:next w:val="Statut"/>
    <w:pPr>
      <w:spacing w:after="240" w:line="240" w:lineRule="auto"/>
      <w:ind w:left="5103"/>
    </w:pPr>
    <w:rPr>
      <w:rFonts w:ascii="Times New Roman" w:eastAsia="Times New Roman" w:hAnsi="Times New Roman"/>
      <w:sz w:val="24"/>
      <w:szCs w:val="24"/>
      <w:lang w:eastAsia="de-DE"/>
    </w:rPr>
  </w:style>
  <w:style w:type="paragraph" w:customStyle="1" w:styleId="Rfrenceinterinstitutionelle">
    <w:name w:val="Référence interinstitutionelle"/>
    <w:basedOn w:val="Normal"/>
    <w:next w:val="Statut"/>
    <w:pPr>
      <w:spacing w:after="0" w:line="240" w:lineRule="auto"/>
      <w:ind w:left="5103"/>
    </w:pPr>
    <w:rPr>
      <w:rFonts w:ascii="Times New Roman" w:eastAsia="Times New Roman" w:hAnsi="Times New Roman"/>
      <w:sz w:val="24"/>
      <w:szCs w:val="24"/>
      <w:lang w:eastAsia="de-DE"/>
    </w:rPr>
  </w:style>
  <w:style w:type="paragraph" w:customStyle="1" w:styleId="Fichefinancirestandardtitre">
    <w:name w:val="Fiche financière (standard)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standardtitreacte">
    <w:name w:val="Fiche financière (standard)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travailtitre">
    <w:name w:val="Fiche financière (travail)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travailtitreacte">
    <w:name w:val="Fiche financière (travail)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
    <w:name w:val="Fiche financière (attribution) titr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paragraph" w:customStyle="1" w:styleId="Fichefinancireattributiontitreacte">
    <w:name w:val="Fiche financière (attribution) titre (acte)"/>
    <w:basedOn w:val="Normal"/>
    <w:next w:val="Normal"/>
    <w:pPr>
      <w:spacing w:before="120" w:after="120" w:line="240" w:lineRule="auto"/>
      <w:jc w:val="center"/>
    </w:pPr>
    <w:rPr>
      <w:rFonts w:ascii="Times New Roman" w:eastAsia="Times New Roman" w:hAnsi="Times New Roman"/>
      <w:b/>
      <w:sz w:val="24"/>
      <w:szCs w:val="24"/>
      <w:u w:val="single"/>
      <w:lang w:eastAsia="de-DE"/>
    </w:rPr>
  </w:style>
  <w:style w:type="character" w:customStyle="1" w:styleId="titlebold1">
    <w:name w:val="titlebold1"/>
    <w:rPr>
      <w:rFonts w:ascii="Tahoma" w:hAnsi="Tahoma" w:cs="Tahoma" w:hint="default"/>
      <w:b/>
      <w:bCs/>
      <w:color w:val="006699"/>
      <w:sz w:val="24"/>
      <w:szCs w:val="24"/>
    </w:rPr>
  </w:style>
  <w:style w:type="character" w:customStyle="1" w:styleId="numerique2">
    <w:name w:val="numerique2"/>
  </w:style>
  <w:style w:type="character" w:customStyle="1" w:styleId="alpha2">
    <w:name w:val="alpha2"/>
  </w:style>
  <w:style w:type="paragraph" w:customStyle="1" w:styleId="Default">
    <w:name w:val="Default"/>
    <w:pPr>
      <w:autoSpaceDE w:val="0"/>
      <w:autoSpaceDN w:val="0"/>
      <w:adjustRightInd w:val="0"/>
    </w:pPr>
    <w:rPr>
      <w:rFonts w:ascii="EUAlbertina" w:hAnsi="EUAlbertina" w:cs="EUAlbertina"/>
      <w:color w:val="000000"/>
      <w:sz w:val="24"/>
      <w:szCs w:val="24"/>
    </w:rPr>
  </w:style>
  <w:style w:type="paragraph" w:styleId="ListParagraph">
    <w:name w:val="List Paragraph"/>
    <w:aliases w:val="List Paragraph compact,Normal bullet 2"/>
    <w:basedOn w:val="Normal"/>
    <w:link w:val="ListParagraphChar"/>
    <w:uiPriority w:val="34"/>
    <w:qFormat/>
    <w:pPr>
      <w:spacing w:after="240" w:line="240" w:lineRule="auto"/>
      <w:ind w:left="720"/>
      <w:contextualSpacing/>
      <w:jc w:val="both"/>
    </w:pPr>
    <w:rPr>
      <w:rFonts w:ascii="Times New Roman" w:eastAsia="Times New Roman" w:hAnsi="Times New Roman"/>
      <w:sz w:val="24"/>
      <w:szCs w:val="20"/>
    </w:rPr>
  </w:style>
  <w:style w:type="paragraph" w:customStyle="1" w:styleId="CM4">
    <w:name w:val="CM4"/>
    <w:basedOn w:val="Default"/>
    <w:next w:val="Default"/>
    <w:uiPriority w:val="99"/>
    <w:rPr>
      <w:rFonts w:ascii="Times New Roman" w:eastAsia="Times New Roman" w:hAnsi="Times New Roman" w:cs="Times New Roman"/>
      <w:color w:val="auto"/>
    </w:rPr>
  </w:style>
  <w:style w:type="paragraph" w:customStyle="1" w:styleId="Para2">
    <w:name w:val="Para_2"/>
    <w:basedOn w:val="Normal"/>
    <w:link w:val="Para2Char1"/>
    <w:pPr>
      <w:numPr>
        <w:ilvl w:val="1"/>
        <w:numId w:val="33"/>
      </w:numPr>
      <w:spacing w:after="240" w:line="360" w:lineRule="auto"/>
    </w:pPr>
    <w:rPr>
      <w:rFonts w:ascii="Arial" w:eastAsia="Times New Roman" w:hAnsi="Arial"/>
      <w:noProof/>
      <w:sz w:val="24"/>
      <w:szCs w:val="20"/>
      <w:lang w:val="x-none"/>
    </w:rPr>
  </w:style>
  <w:style w:type="paragraph" w:customStyle="1" w:styleId="Para3">
    <w:name w:val="Para_3"/>
    <w:basedOn w:val="Normal"/>
    <w:pPr>
      <w:numPr>
        <w:ilvl w:val="2"/>
        <w:numId w:val="33"/>
      </w:numPr>
      <w:tabs>
        <w:tab w:val="left" w:pos="992"/>
      </w:tabs>
      <w:spacing w:after="240" w:line="360" w:lineRule="auto"/>
    </w:pPr>
    <w:rPr>
      <w:rFonts w:ascii="Arial" w:eastAsia="Times New Roman" w:hAnsi="Arial"/>
      <w:noProof/>
      <w:sz w:val="24"/>
      <w:szCs w:val="20"/>
    </w:rPr>
  </w:style>
  <w:style w:type="paragraph" w:customStyle="1" w:styleId="Para4">
    <w:name w:val="Para_4"/>
    <w:basedOn w:val="Normal"/>
    <w:pPr>
      <w:numPr>
        <w:ilvl w:val="3"/>
        <w:numId w:val="33"/>
      </w:numPr>
      <w:spacing w:after="240" w:line="360" w:lineRule="auto"/>
    </w:pPr>
    <w:rPr>
      <w:rFonts w:ascii="Arial" w:eastAsia="Times New Roman" w:hAnsi="Arial"/>
      <w:sz w:val="24"/>
      <w:szCs w:val="20"/>
    </w:rPr>
  </w:style>
  <w:style w:type="paragraph" w:customStyle="1" w:styleId="Para5">
    <w:name w:val="Para_5"/>
    <w:basedOn w:val="Normal"/>
    <w:pPr>
      <w:numPr>
        <w:ilvl w:val="4"/>
        <w:numId w:val="33"/>
      </w:numPr>
      <w:tabs>
        <w:tab w:val="left" w:pos="567"/>
      </w:tabs>
      <w:spacing w:after="240" w:line="360" w:lineRule="auto"/>
    </w:pPr>
    <w:rPr>
      <w:rFonts w:ascii="Arial" w:eastAsia="Times New Roman" w:hAnsi="Arial"/>
      <w:sz w:val="24"/>
      <w:szCs w:val="20"/>
    </w:rPr>
  </w:style>
  <w:style w:type="character" w:customStyle="1" w:styleId="Para2Char1">
    <w:name w:val="Para_2 Char1"/>
    <w:link w:val="Para2"/>
    <w:rPr>
      <w:rFonts w:ascii="Arial" w:eastAsia="Times New Roman" w:hAnsi="Arial"/>
      <w:noProof/>
      <w:sz w:val="24"/>
      <w:lang w:val="x-none" w:eastAsia="en-US"/>
    </w:rPr>
  </w:style>
  <w:style w:type="paragraph" w:styleId="Revision">
    <w:name w:val="Revision"/>
    <w:hidden/>
    <w:uiPriority w:val="99"/>
    <w:semiHidden/>
    <w:rPr>
      <w:sz w:val="22"/>
      <w:szCs w:val="22"/>
      <w:lang w:eastAsia="en-US"/>
    </w:rPr>
  </w:style>
  <w:style w:type="paragraph" w:customStyle="1" w:styleId="FootnotesymbolCharChar">
    <w:name w:val="Footnote symbol Char Char"/>
    <w:aliases w:val="Footnote reference number Char Char,Times 10 Point Char Char,Exposant 3 Point Char Char,Ref Char Char,de nota al pie Char Char,note TESI Char Char,SUPERS Char Char,EN Footnote Reference Char Char"/>
    <w:basedOn w:val="Normal"/>
    <w:link w:val="FootnoteReference"/>
    <w:uiPriority w:val="99"/>
    <w:pPr>
      <w:spacing w:before="120" w:after="160" w:line="240" w:lineRule="exact"/>
    </w:pPr>
    <w:rPr>
      <w:sz w:val="20"/>
      <w:szCs w:val="20"/>
      <w:vertAlign w:val="superscript"/>
      <w:lang w:eastAsia="en-GB"/>
    </w:rPr>
  </w:style>
  <w:style w:type="paragraph" w:customStyle="1" w:styleId="Textstand-alone">
    <w:name w:val="Text_stand-alone"/>
    <w:basedOn w:val="Normal"/>
    <w:qFormat/>
    <w:pPr>
      <w:spacing w:before="240" w:after="240" w:line="240" w:lineRule="auto"/>
      <w:jc w:val="both"/>
    </w:pPr>
    <w:rPr>
      <w:rFonts w:ascii="Verdana" w:eastAsia="Times New Roman" w:hAnsi="Verdana"/>
      <w:noProof/>
      <w:sz w:val="18"/>
      <w:szCs w:val="18"/>
    </w:rPr>
  </w:style>
  <w:style w:type="character" w:customStyle="1" w:styleId="ListParagraphChar">
    <w:name w:val="List Paragraph Char"/>
    <w:aliases w:val="List Paragraph compact Char,Normal bullet 2 Char"/>
    <w:link w:val="ListParagraph"/>
    <w:uiPriority w:val="34"/>
    <w:rPr>
      <w:rFonts w:ascii="Times New Roman" w:eastAsia="Times New Roman" w:hAnsi="Times New Roman"/>
      <w:sz w:val="24"/>
      <w:lang w:eastAsia="en-US"/>
    </w:rPr>
  </w:style>
  <w:style w:type="paragraph" w:customStyle="1" w:styleId="PSParagraphText">
    <w:name w:val="PS_Paragraph_Text"/>
    <w:basedOn w:val="Normal"/>
    <w:link w:val="PSParagraphTextChar"/>
    <w:qFormat/>
    <w:pPr>
      <w:spacing w:after="120" w:line="240" w:lineRule="auto"/>
      <w:jc w:val="both"/>
    </w:pPr>
    <w:rPr>
      <w:rFonts w:ascii="EC Square Sans Pro" w:eastAsia="Times New Roman" w:hAnsi="EC Square Sans Pro"/>
      <w:sz w:val="20"/>
      <w:szCs w:val="20"/>
      <w:lang w:eastAsia="en-GB"/>
    </w:rPr>
  </w:style>
  <w:style w:type="character" w:customStyle="1" w:styleId="PSParagraphTextChar">
    <w:name w:val="PS_Paragraph_Text Char"/>
    <w:link w:val="PSParagraphText"/>
    <w:rPr>
      <w:rFonts w:ascii="EC Square Sans Pro" w:eastAsia="Times New Roman" w:hAnsi="EC Square Sans P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589866">
      <w:bodyDiv w:val="1"/>
      <w:marLeft w:val="0"/>
      <w:marRight w:val="0"/>
      <w:marTop w:val="0"/>
      <w:marBottom w:val="0"/>
      <w:divBdr>
        <w:top w:val="none" w:sz="0" w:space="0" w:color="auto"/>
        <w:left w:val="none" w:sz="0" w:space="0" w:color="auto"/>
        <w:bottom w:val="none" w:sz="0" w:space="0" w:color="auto"/>
        <w:right w:val="none" w:sz="0" w:space="0" w:color="auto"/>
      </w:divBdr>
    </w:div>
    <w:div w:id="42558003">
      <w:bodyDiv w:val="1"/>
      <w:marLeft w:val="0"/>
      <w:marRight w:val="0"/>
      <w:marTop w:val="0"/>
      <w:marBottom w:val="0"/>
      <w:divBdr>
        <w:top w:val="none" w:sz="0" w:space="0" w:color="auto"/>
        <w:left w:val="none" w:sz="0" w:space="0" w:color="auto"/>
        <w:bottom w:val="none" w:sz="0" w:space="0" w:color="auto"/>
        <w:right w:val="none" w:sz="0" w:space="0" w:color="auto"/>
      </w:divBdr>
    </w:div>
    <w:div w:id="58990061">
      <w:bodyDiv w:val="1"/>
      <w:marLeft w:val="0"/>
      <w:marRight w:val="0"/>
      <w:marTop w:val="0"/>
      <w:marBottom w:val="0"/>
      <w:divBdr>
        <w:top w:val="none" w:sz="0" w:space="0" w:color="auto"/>
        <w:left w:val="none" w:sz="0" w:space="0" w:color="auto"/>
        <w:bottom w:val="none" w:sz="0" w:space="0" w:color="auto"/>
        <w:right w:val="none" w:sz="0" w:space="0" w:color="auto"/>
      </w:divBdr>
    </w:div>
    <w:div w:id="80105082">
      <w:bodyDiv w:val="1"/>
      <w:marLeft w:val="0"/>
      <w:marRight w:val="0"/>
      <w:marTop w:val="0"/>
      <w:marBottom w:val="0"/>
      <w:divBdr>
        <w:top w:val="none" w:sz="0" w:space="0" w:color="auto"/>
        <w:left w:val="none" w:sz="0" w:space="0" w:color="auto"/>
        <w:bottom w:val="none" w:sz="0" w:space="0" w:color="auto"/>
        <w:right w:val="none" w:sz="0" w:space="0" w:color="auto"/>
      </w:divBdr>
    </w:div>
    <w:div w:id="92553075">
      <w:bodyDiv w:val="1"/>
      <w:marLeft w:val="0"/>
      <w:marRight w:val="0"/>
      <w:marTop w:val="0"/>
      <w:marBottom w:val="0"/>
      <w:divBdr>
        <w:top w:val="none" w:sz="0" w:space="0" w:color="auto"/>
        <w:left w:val="none" w:sz="0" w:space="0" w:color="auto"/>
        <w:bottom w:val="none" w:sz="0" w:space="0" w:color="auto"/>
        <w:right w:val="none" w:sz="0" w:space="0" w:color="auto"/>
      </w:divBdr>
    </w:div>
    <w:div w:id="122774436">
      <w:bodyDiv w:val="1"/>
      <w:marLeft w:val="0"/>
      <w:marRight w:val="0"/>
      <w:marTop w:val="0"/>
      <w:marBottom w:val="0"/>
      <w:divBdr>
        <w:top w:val="none" w:sz="0" w:space="0" w:color="auto"/>
        <w:left w:val="none" w:sz="0" w:space="0" w:color="auto"/>
        <w:bottom w:val="none" w:sz="0" w:space="0" w:color="auto"/>
        <w:right w:val="none" w:sz="0" w:space="0" w:color="auto"/>
      </w:divBdr>
    </w:div>
    <w:div w:id="123812302">
      <w:bodyDiv w:val="1"/>
      <w:marLeft w:val="0"/>
      <w:marRight w:val="0"/>
      <w:marTop w:val="0"/>
      <w:marBottom w:val="0"/>
      <w:divBdr>
        <w:top w:val="none" w:sz="0" w:space="0" w:color="auto"/>
        <w:left w:val="none" w:sz="0" w:space="0" w:color="auto"/>
        <w:bottom w:val="none" w:sz="0" w:space="0" w:color="auto"/>
        <w:right w:val="none" w:sz="0" w:space="0" w:color="auto"/>
      </w:divBdr>
    </w:div>
    <w:div w:id="154420651">
      <w:bodyDiv w:val="1"/>
      <w:marLeft w:val="0"/>
      <w:marRight w:val="0"/>
      <w:marTop w:val="0"/>
      <w:marBottom w:val="0"/>
      <w:divBdr>
        <w:top w:val="none" w:sz="0" w:space="0" w:color="auto"/>
        <w:left w:val="none" w:sz="0" w:space="0" w:color="auto"/>
        <w:bottom w:val="none" w:sz="0" w:space="0" w:color="auto"/>
        <w:right w:val="none" w:sz="0" w:space="0" w:color="auto"/>
      </w:divBdr>
    </w:div>
    <w:div w:id="160194043">
      <w:bodyDiv w:val="1"/>
      <w:marLeft w:val="0"/>
      <w:marRight w:val="0"/>
      <w:marTop w:val="0"/>
      <w:marBottom w:val="0"/>
      <w:divBdr>
        <w:top w:val="none" w:sz="0" w:space="0" w:color="auto"/>
        <w:left w:val="none" w:sz="0" w:space="0" w:color="auto"/>
        <w:bottom w:val="none" w:sz="0" w:space="0" w:color="auto"/>
        <w:right w:val="none" w:sz="0" w:space="0" w:color="auto"/>
      </w:divBdr>
    </w:div>
    <w:div w:id="206575120">
      <w:bodyDiv w:val="1"/>
      <w:marLeft w:val="0"/>
      <w:marRight w:val="0"/>
      <w:marTop w:val="0"/>
      <w:marBottom w:val="0"/>
      <w:divBdr>
        <w:top w:val="none" w:sz="0" w:space="0" w:color="auto"/>
        <w:left w:val="none" w:sz="0" w:space="0" w:color="auto"/>
        <w:bottom w:val="none" w:sz="0" w:space="0" w:color="auto"/>
        <w:right w:val="none" w:sz="0" w:space="0" w:color="auto"/>
      </w:divBdr>
    </w:div>
    <w:div w:id="248544164">
      <w:bodyDiv w:val="1"/>
      <w:marLeft w:val="0"/>
      <w:marRight w:val="0"/>
      <w:marTop w:val="0"/>
      <w:marBottom w:val="0"/>
      <w:divBdr>
        <w:top w:val="none" w:sz="0" w:space="0" w:color="auto"/>
        <w:left w:val="none" w:sz="0" w:space="0" w:color="auto"/>
        <w:bottom w:val="none" w:sz="0" w:space="0" w:color="auto"/>
        <w:right w:val="none" w:sz="0" w:space="0" w:color="auto"/>
      </w:divBdr>
    </w:div>
    <w:div w:id="255138519">
      <w:bodyDiv w:val="1"/>
      <w:marLeft w:val="0"/>
      <w:marRight w:val="0"/>
      <w:marTop w:val="0"/>
      <w:marBottom w:val="0"/>
      <w:divBdr>
        <w:top w:val="none" w:sz="0" w:space="0" w:color="auto"/>
        <w:left w:val="none" w:sz="0" w:space="0" w:color="auto"/>
        <w:bottom w:val="none" w:sz="0" w:space="0" w:color="auto"/>
        <w:right w:val="none" w:sz="0" w:space="0" w:color="auto"/>
      </w:divBdr>
    </w:div>
    <w:div w:id="301154802">
      <w:bodyDiv w:val="1"/>
      <w:marLeft w:val="0"/>
      <w:marRight w:val="0"/>
      <w:marTop w:val="0"/>
      <w:marBottom w:val="0"/>
      <w:divBdr>
        <w:top w:val="none" w:sz="0" w:space="0" w:color="auto"/>
        <w:left w:val="none" w:sz="0" w:space="0" w:color="auto"/>
        <w:bottom w:val="none" w:sz="0" w:space="0" w:color="auto"/>
        <w:right w:val="none" w:sz="0" w:space="0" w:color="auto"/>
      </w:divBdr>
    </w:div>
    <w:div w:id="319314287">
      <w:bodyDiv w:val="1"/>
      <w:marLeft w:val="0"/>
      <w:marRight w:val="0"/>
      <w:marTop w:val="0"/>
      <w:marBottom w:val="0"/>
      <w:divBdr>
        <w:top w:val="none" w:sz="0" w:space="0" w:color="auto"/>
        <w:left w:val="none" w:sz="0" w:space="0" w:color="auto"/>
        <w:bottom w:val="none" w:sz="0" w:space="0" w:color="auto"/>
        <w:right w:val="none" w:sz="0" w:space="0" w:color="auto"/>
      </w:divBdr>
    </w:div>
    <w:div w:id="348221590">
      <w:bodyDiv w:val="1"/>
      <w:marLeft w:val="0"/>
      <w:marRight w:val="0"/>
      <w:marTop w:val="0"/>
      <w:marBottom w:val="0"/>
      <w:divBdr>
        <w:top w:val="none" w:sz="0" w:space="0" w:color="auto"/>
        <w:left w:val="none" w:sz="0" w:space="0" w:color="auto"/>
        <w:bottom w:val="none" w:sz="0" w:space="0" w:color="auto"/>
        <w:right w:val="none" w:sz="0" w:space="0" w:color="auto"/>
      </w:divBdr>
    </w:div>
    <w:div w:id="353269433">
      <w:bodyDiv w:val="1"/>
      <w:marLeft w:val="0"/>
      <w:marRight w:val="0"/>
      <w:marTop w:val="0"/>
      <w:marBottom w:val="0"/>
      <w:divBdr>
        <w:top w:val="none" w:sz="0" w:space="0" w:color="auto"/>
        <w:left w:val="none" w:sz="0" w:space="0" w:color="auto"/>
        <w:bottom w:val="none" w:sz="0" w:space="0" w:color="auto"/>
        <w:right w:val="none" w:sz="0" w:space="0" w:color="auto"/>
      </w:divBdr>
    </w:div>
    <w:div w:id="376930177">
      <w:bodyDiv w:val="1"/>
      <w:marLeft w:val="0"/>
      <w:marRight w:val="0"/>
      <w:marTop w:val="0"/>
      <w:marBottom w:val="0"/>
      <w:divBdr>
        <w:top w:val="none" w:sz="0" w:space="0" w:color="auto"/>
        <w:left w:val="none" w:sz="0" w:space="0" w:color="auto"/>
        <w:bottom w:val="none" w:sz="0" w:space="0" w:color="auto"/>
        <w:right w:val="none" w:sz="0" w:space="0" w:color="auto"/>
      </w:divBdr>
    </w:div>
    <w:div w:id="397286940">
      <w:bodyDiv w:val="1"/>
      <w:marLeft w:val="0"/>
      <w:marRight w:val="0"/>
      <w:marTop w:val="0"/>
      <w:marBottom w:val="0"/>
      <w:divBdr>
        <w:top w:val="none" w:sz="0" w:space="0" w:color="auto"/>
        <w:left w:val="none" w:sz="0" w:space="0" w:color="auto"/>
        <w:bottom w:val="none" w:sz="0" w:space="0" w:color="auto"/>
        <w:right w:val="none" w:sz="0" w:space="0" w:color="auto"/>
      </w:divBdr>
    </w:div>
    <w:div w:id="437410556">
      <w:bodyDiv w:val="1"/>
      <w:marLeft w:val="0"/>
      <w:marRight w:val="0"/>
      <w:marTop w:val="0"/>
      <w:marBottom w:val="0"/>
      <w:divBdr>
        <w:top w:val="none" w:sz="0" w:space="0" w:color="auto"/>
        <w:left w:val="none" w:sz="0" w:space="0" w:color="auto"/>
        <w:bottom w:val="none" w:sz="0" w:space="0" w:color="auto"/>
        <w:right w:val="none" w:sz="0" w:space="0" w:color="auto"/>
      </w:divBdr>
    </w:div>
    <w:div w:id="442775420">
      <w:bodyDiv w:val="1"/>
      <w:marLeft w:val="0"/>
      <w:marRight w:val="0"/>
      <w:marTop w:val="0"/>
      <w:marBottom w:val="0"/>
      <w:divBdr>
        <w:top w:val="none" w:sz="0" w:space="0" w:color="auto"/>
        <w:left w:val="none" w:sz="0" w:space="0" w:color="auto"/>
        <w:bottom w:val="none" w:sz="0" w:space="0" w:color="auto"/>
        <w:right w:val="none" w:sz="0" w:space="0" w:color="auto"/>
      </w:divBdr>
    </w:div>
    <w:div w:id="442966218">
      <w:bodyDiv w:val="1"/>
      <w:marLeft w:val="0"/>
      <w:marRight w:val="0"/>
      <w:marTop w:val="0"/>
      <w:marBottom w:val="0"/>
      <w:divBdr>
        <w:top w:val="none" w:sz="0" w:space="0" w:color="auto"/>
        <w:left w:val="none" w:sz="0" w:space="0" w:color="auto"/>
        <w:bottom w:val="none" w:sz="0" w:space="0" w:color="auto"/>
        <w:right w:val="none" w:sz="0" w:space="0" w:color="auto"/>
      </w:divBdr>
    </w:div>
    <w:div w:id="443886253">
      <w:bodyDiv w:val="1"/>
      <w:marLeft w:val="0"/>
      <w:marRight w:val="0"/>
      <w:marTop w:val="0"/>
      <w:marBottom w:val="0"/>
      <w:divBdr>
        <w:top w:val="none" w:sz="0" w:space="0" w:color="auto"/>
        <w:left w:val="none" w:sz="0" w:space="0" w:color="auto"/>
        <w:bottom w:val="none" w:sz="0" w:space="0" w:color="auto"/>
        <w:right w:val="none" w:sz="0" w:space="0" w:color="auto"/>
      </w:divBdr>
    </w:div>
    <w:div w:id="495461248">
      <w:bodyDiv w:val="1"/>
      <w:marLeft w:val="0"/>
      <w:marRight w:val="0"/>
      <w:marTop w:val="0"/>
      <w:marBottom w:val="0"/>
      <w:divBdr>
        <w:top w:val="none" w:sz="0" w:space="0" w:color="auto"/>
        <w:left w:val="none" w:sz="0" w:space="0" w:color="auto"/>
        <w:bottom w:val="none" w:sz="0" w:space="0" w:color="auto"/>
        <w:right w:val="none" w:sz="0" w:space="0" w:color="auto"/>
      </w:divBdr>
    </w:div>
    <w:div w:id="544029127">
      <w:bodyDiv w:val="1"/>
      <w:marLeft w:val="0"/>
      <w:marRight w:val="0"/>
      <w:marTop w:val="0"/>
      <w:marBottom w:val="0"/>
      <w:divBdr>
        <w:top w:val="none" w:sz="0" w:space="0" w:color="auto"/>
        <w:left w:val="none" w:sz="0" w:space="0" w:color="auto"/>
        <w:bottom w:val="none" w:sz="0" w:space="0" w:color="auto"/>
        <w:right w:val="none" w:sz="0" w:space="0" w:color="auto"/>
      </w:divBdr>
    </w:div>
    <w:div w:id="548611356">
      <w:bodyDiv w:val="1"/>
      <w:marLeft w:val="0"/>
      <w:marRight w:val="0"/>
      <w:marTop w:val="0"/>
      <w:marBottom w:val="0"/>
      <w:divBdr>
        <w:top w:val="none" w:sz="0" w:space="0" w:color="auto"/>
        <w:left w:val="none" w:sz="0" w:space="0" w:color="auto"/>
        <w:bottom w:val="none" w:sz="0" w:space="0" w:color="auto"/>
        <w:right w:val="none" w:sz="0" w:space="0" w:color="auto"/>
      </w:divBdr>
    </w:div>
    <w:div w:id="553391046">
      <w:bodyDiv w:val="1"/>
      <w:marLeft w:val="0"/>
      <w:marRight w:val="0"/>
      <w:marTop w:val="0"/>
      <w:marBottom w:val="0"/>
      <w:divBdr>
        <w:top w:val="none" w:sz="0" w:space="0" w:color="auto"/>
        <w:left w:val="none" w:sz="0" w:space="0" w:color="auto"/>
        <w:bottom w:val="none" w:sz="0" w:space="0" w:color="auto"/>
        <w:right w:val="none" w:sz="0" w:space="0" w:color="auto"/>
      </w:divBdr>
    </w:div>
    <w:div w:id="553931627">
      <w:bodyDiv w:val="1"/>
      <w:marLeft w:val="0"/>
      <w:marRight w:val="0"/>
      <w:marTop w:val="0"/>
      <w:marBottom w:val="0"/>
      <w:divBdr>
        <w:top w:val="none" w:sz="0" w:space="0" w:color="auto"/>
        <w:left w:val="none" w:sz="0" w:space="0" w:color="auto"/>
        <w:bottom w:val="none" w:sz="0" w:space="0" w:color="auto"/>
        <w:right w:val="none" w:sz="0" w:space="0" w:color="auto"/>
      </w:divBdr>
    </w:div>
    <w:div w:id="554238905">
      <w:bodyDiv w:val="1"/>
      <w:marLeft w:val="0"/>
      <w:marRight w:val="0"/>
      <w:marTop w:val="0"/>
      <w:marBottom w:val="0"/>
      <w:divBdr>
        <w:top w:val="none" w:sz="0" w:space="0" w:color="auto"/>
        <w:left w:val="none" w:sz="0" w:space="0" w:color="auto"/>
        <w:bottom w:val="none" w:sz="0" w:space="0" w:color="auto"/>
        <w:right w:val="none" w:sz="0" w:space="0" w:color="auto"/>
      </w:divBdr>
    </w:div>
    <w:div w:id="567031840">
      <w:bodyDiv w:val="1"/>
      <w:marLeft w:val="0"/>
      <w:marRight w:val="0"/>
      <w:marTop w:val="0"/>
      <w:marBottom w:val="0"/>
      <w:divBdr>
        <w:top w:val="none" w:sz="0" w:space="0" w:color="auto"/>
        <w:left w:val="none" w:sz="0" w:space="0" w:color="auto"/>
        <w:bottom w:val="none" w:sz="0" w:space="0" w:color="auto"/>
        <w:right w:val="none" w:sz="0" w:space="0" w:color="auto"/>
      </w:divBdr>
    </w:div>
    <w:div w:id="584921178">
      <w:bodyDiv w:val="1"/>
      <w:marLeft w:val="0"/>
      <w:marRight w:val="0"/>
      <w:marTop w:val="0"/>
      <w:marBottom w:val="0"/>
      <w:divBdr>
        <w:top w:val="none" w:sz="0" w:space="0" w:color="auto"/>
        <w:left w:val="none" w:sz="0" w:space="0" w:color="auto"/>
        <w:bottom w:val="none" w:sz="0" w:space="0" w:color="auto"/>
        <w:right w:val="none" w:sz="0" w:space="0" w:color="auto"/>
      </w:divBdr>
    </w:div>
    <w:div w:id="590086947">
      <w:bodyDiv w:val="1"/>
      <w:marLeft w:val="0"/>
      <w:marRight w:val="0"/>
      <w:marTop w:val="0"/>
      <w:marBottom w:val="0"/>
      <w:divBdr>
        <w:top w:val="none" w:sz="0" w:space="0" w:color="auto"/>
        <w:left w:val="none" w:sz="0" w:space="0" w:color="auto"/>
        <w:bottom w:val="none" w:sz="0" w:space="0" w:color="auto"/>
        <w:right w:val="none" w:sz="0" w:space="0" w:color="auto"/>
      </w:divBdr>
    </w:div>
    <w:div w:id="599096490">
      <w:bodyDiv w:val="1"/>
      <w:marLeft w:val="0"/>
      <w:marRight w:val="0"/>
      <w:marTop w:val="0"/>
      <w:marBottom w:val="0"/>
      <w:divBdr>
        <w:top w:val="none" w:sz="0" w:space="0" w:color="auto"/>
        <w:left w:val="none" w:sz="0" w:space="0" w:color="auto"/>
        <w:bottom w:val="none" w:sz="0" w:space="0" w:color="auto"/>
        <w:right w:val="none" w:sz="0" w:space="0" w:color="auto"/>
      </w:divBdr>
    </w:div>
    <w:div w:id="600723199">
      <w:bodyDiv w:val="1"/>
      <w:marLeft w:val="0"/>
      <w:marRight w:val="0"/>
      <w:marTop w:val="0"/>
      <w:marBottom w:val="0"/>
      <w:divBdr>
        <w:top w:val="none" w:sz="0" w:space="0" w:color="auto"/>
        <w:left w:val="none" w:sz="0" w:space="0" w:color="auto"/>
        <w:bottom w:val="none" w:sz="0" w:space="0" w:color="auto"/>
        <w:right w:val="none" w:sz="0" w:space="0" w:color="auto"/>
      </w:divBdr>
    </w:div>
    <w:div w:id="615067891">
      <w:bodyDiv w:val="1"/>
      <w:marLeft w:val="0"/>
      <w:marRight w:val="0"/>
      <w:marTop w:val="0"/>
      <w:marBottom w:val="0"/>
      <w:divBdr>
        <w:top w:val="none" w:sz="0" w:space="0" w:color="auto"/>
        <w:left w:val="none" w:sz="0" w:space="0" w:color="auto"/>
        <w:bottom w:val="none" w:sz="0" w:space="0" w:color="auto"/>
        <w:right w:val="none" w:sz="0" w:space="0" w:color="auto"/>
      </w:divBdr>
    </w:div>
    <w:div w:id="676157042">
      <w:bodyDiv w:val="1"/>
      <w:marLeft w:val="0"/>
      <w:marRight w:val="0"/>
      <w:marTop w:val="0"/>
      <w:marBottom w:val="0"/>
      <w:divBdr>
        <w:top w:val="none" w:sz="0" w:space="0" w:color="auto"/>
        <w:left w:val="none" w:sz="0" w:space="0" w:color="auto"/>
        <w:bottom w:val="none" w:sz="0" w:space="0" w:color="auto"/>
        <w:right w:val="none" w:sz="0" w:space="0" w:color="auto"/>
      </w:divBdr>
    </w:div>
    <w:div w:id="679087209">
      <w:bodyDiv w:val="1"/>
      <w:marLeft w:val="0"/>
      <w:marRight w:val="0"/>
      <w:marTop w:val="0"/>
      <w:marBottom w:val="0"/>
      <w:divBdr>
        <w:top w:val="none" w:sz="0" w:space="0" w:color="auto"/>
        <w:left w:val="none" w:sz="0" w:space="0" w:color="auto"/>
        <w:bottom w:val="none" w:sz="0" w:space="0" w:color="auto"/>
        <w:right w:val="none" w:sz="0" w:space="0" w:color="auto"/>
      </w:divBdr>
    </w:div>
    <w:div w:id="709837255">
      <w:bodyDiv w:val="1"/>
      <w:marLeft w:val="0"/>
      <w:marRight w:val="0"/>
      <w:marTop w:val="0"/>
      <w:marBottom w:val="0"/>
      <w:divBdr>
        <w:top w:val="none" w:sz="0" w:space="0" w:color="auto"/>
        <w:left w:val="none" w:sz="0" w:space="0" w:color="auto"/>
        <w:bottom w:val="none" w:sz="0" w:space="0" w:color="auto"/>
        <w:right w:val="none" w:sz="0" w:space="0" w:color="auto"/>
      </w:divBdr>
    </w:div>
    <w:div w:id="759448198">
      <w:bodyDiv w:val="1"/>
      <w:marLeft w:val="0"/>
      <w:marRight w:val="0"/>
      <w:marTop w:val="0"/>
      <w:marBottom w:val="0"/>
      <w:divBdr>
        <w:top w:val="none" w:sz="0" w:space="0" w:color="auto"/>
        <w:left w:val="none" w:sz="0" w:space="0" w:color="auto"/>
        <w:bottom w:val="none" w:sz="0" w:space="0" w:color="auto"/>
        <w:right w:val="none" w:sz="0" w:space="0" w:color="auto"/>
      </w:divBdr>
    </w:div>
    <w:div w:id="852457130">
      <w:bodyDiv w:val="1"/>
      <w:marLeft w:val="0"/>
      <w:marRight w:val="0"/>
      <w:marTop w:val="0"/>
      <w:marBottom w:val="0"/>
      <w:divBdr>
        <w:top w:val="none" w:sz="0" w:space="0" w:color="auto"/>
        <w:left w:val="none" w:sz="0" w:space="0" w:color="auto"/>
        <w:bottom w:val="none" w:sz="0" w:space="0" w:color="auto"/>
        <w:right w:val="none" w:sz="0" w:space="0" w:color="auto"/>
      </w:divBdr>
    </w:div>
    <w:div w:id="856306717">
      <w:bodyDiv w:val="1"/>
      <w:marLeft w:val="0"/>
      <w:marRight w:val="0"/>
      <w:marTop w:val="0"/>
      <w:marBottom w:val="0"/>
      <w:divBdr>
        <w:top w:val="none" w:sz="0" w:space="0" w:color="auto"/>
        <w:left w:val="none" w:sz="0" w:space="0" w:color="auto"/>
        <w:bottom w:val="none" w:sz="0" w:space="0" w:color="auto"/>
        <w:right w:val="none" w:sz="0" w:space="0" w:color="auto"/>
      </w:divBdr>
    </w:div>
    <w:div w:id="867765973">
      <w:bodyDiv w:val="1"/>
      <w:marLeft w:val="0"/>
      <w:marRight w:val="0"/>
      <w:marTop w:val="0"/>
      <w:marBottom w:val="0"/>
      <w:divBdr>
        <w:top w:val="none" w:sz="0" w:space="0" w:color="auto"/>
        <w:left w:val="none" w:sz="0" w:space="0" w:color="auto"/>
        <w:bottom w:val="none" w:sz="0" w:space="0" w:color="auto"/>
        <w:right w:val="none" w:sz="0" w:space="0" w:color="auto"/>
      </w:divBdr>
    </w:div>
    <w:div w:id="877662379">
      <w:bodyDiv w:val="1"/>
      <w:marLeft w:val="0"/>
      <w:marRight w:val="0"/>
      <w:marTop w:val="0"/>
      <w:marBottom w:val="0"/>
      <w:divBdr>
        <w:top w:val="none" w:sz="0" w:space="0" w:color="auto"/>
        <w:left w:val="none" w:sz="0" w:space="0" w:color="auto"/>
        <w:bottom w:val="none" w:sz="0" w:space="0" w:color="auto"/>
        <w:right w:val="none" w:sz="0" w:space="0" w:color="auto"/>
      </w:divBdr>
    </w:div>
    <w:div w:id="890459221">
      <w:bodyDiv w:val="1"/>
      <w:marLeft w:val="0"/>
      <w:marRight w:val="0"/>
      <w:marTop w:val="0"/>
      <w:marBottom w:val="0"/>
      <w:divBdr>
        <w:top w:val="none" w:sz="0" w:space="0" w:color="auto"/>
        <w:left w:val="none" w:sz="0" w:space="0" w:color="auto"/>
        <w:bottom w:val="none" w:sz="0" w:space="0" w:color="auto"/>
        <w:right w:val="none" w:sz="0" w:space="0" w:color="auto"/>
      </w:divBdr>
    </w:div>
    <w:div w:id="898902683">
      <w:bodyDiv w:val="1"/>
      <w:marLeft w:val="0"/>
      <w:marRight w:val="0"/>
      <w:marTop w:val="0"/>
      <w:marBottom w:val="0"/>
      <w:divBdr>
        <w:top w:val="none" w:sz="0" w:space="0" w:color="auto"/>
        <w:left w:val="none" w:sz="0" w:space="0" w:color="auto"/>
        <w:bottom w:val="none" w:sz="0" w:space="0" w:color="auto"/>
        <w:right w:val="none" w:sz="0" w:space="0" w:color="auto"/>
      </w:divBdr>
    </w:div>
    <w:div w:id="917250338">
      <w:bodyDiv w:val="1"/>
      <w:marLeft w:val="0"/>
      <w:marRight w:val="0"/>
      <w:marTop w:val="0"/>
      <w:marBottom w:val="0"/>
      <w:divBdr>
        <w:top w:val="none" w:sz="0" w:space="0" w:color="auto"/>
        <w:left w:val="none" w:sz="0" w:space="0" w:color="auto"/>
        <w:bottom w:val="none" w:sz="0" w:space="0" w:color="auto"/>
        <w:right w:val="none" w:sz="0" w:space="0" w:color="auto"/>
      </w:divBdr>
    </w:div>
    <w:div w:id="939333162">
      <w:bodyDiv w:val="1"/>
      <w:marLeft w:val="0"/>
      <w:marRight w:val="0"/>
      <w:marTop w:val="0"/>
      <w:marBottom w:val="0"/>
      <w:divBdr>
        <w:top w:val="none" w:sz="0" w:space="0" w:color="auto"/>
        <w:left w:val="none" w:sz="0" w:space="0" w:color="auto"/>
        <w:bottom w:val="none" w:sz="0" w:space="0" w:color="auto"/>
        <w:right w:val="none" w:sz="0" w:space="0" w:color="auto"/>
      </w:divBdr>
    </w:div>
    <w:div w:id="1025835676">
      <w:bodyDiv w:val="1"/>
      <w:marLeft w:val="0"/>
      <w:marRight w:val="0"/>
      <w:marTop w:val="0"/>
      <w:marBottom w:val="0"/>
      <w:divBdr>
        <w:top w:val="none" w:sz="0" w:space="0" w:color="auto"/>
        <w:left w:val="none" w:sz="0" w:space="0" w:color="auto"/>
        <w:bottom w:val="none" w:sz="0" w:space="0" w:color="auto"/>
        <w:right w:val="none" w:sz="0" w:space="0" w:color="auto"/>
      </w:divBdr>
    </w:div>
    <w:div w:id="1040785239">
      <w:bodyDiv w:val="1"/>
      <w:marLeft w:val="0"/>
      <w:marRight w:val="0"/>
      <w:marTop w:val="0"/>
      <w:marBottom w:val="0"/>
      <w:divBdr>
        <w:top w:val="none" w:sz="0" w:space="0" w:color="auto"/>
        <w:left w:val="none" w:sz="0" w:space="0" w:color="auto"/>
        <w:bottom w:val="none" w:sz="0" w:space="0" w:color="auto"/>
        <w:right w:val="none" w:sz="0" w:space="0" w:color="auto"/>
      </w:divBdr>
    </w:div>
    <w:div w:id="1046949532">
      <w:bodyDiv w:val="1"/>
      <w:marLeft w:val="0"/>
      <w:marRight w:val="0"/>
      <w:marTop w:val="0"/>
      <w:marBottom w:val="0"/>
      <w:divBdr>
        <w:top w:val="none" w:sz="0" w:space="0" w:color="auto"/>
        <w:left w:val="none" w:sz="0" w:space="0" w:color="auto"/>
        <w:bottom w:val="none" w:sz="0" w:space="0" w:color="auto"/>
        <w:right w:val="none" w:sz="0" w:space="0" w:color="auto"/>
      </w:divBdr>
    </w:div>
    <w:div w:id="1049959525">
      <w:bodyDiv w:val="1"/>
      <w:marLeft w:val="0"/>
      <w:marRight w:val="0"/>
      <w:marTop w:val="0"/>
      <w:marBottom w:val="0"/>
      <w:divBdr>
        <w:top w:val="none" w:sz="0" w:space="0" w:color="auto"/>
        <w:left w:val="none" w:sz="0" w:space="0" w:color="auto"/>
        <w:bottom w:val="none" w:sz="0" w:space="0" w:color="auto"/>
        <w:right w:val="none" w:sz="0" w:space="0" w:color="auto"/>
      </w:divBdr>
    </w:div>
    <w:div w:id="1063719022">
      <w:bodyDiv w:val="1"/>
      <w:marLeft w:val="0"/>
      <w:marRight w:val="0"/>
      <w:marTop w:val="0"/>
      <w:marBottom w:val="0"/>
      <w:divBdr>
        <w:top w:val="none" w:sz="0" w:space="0" w:color="auto"/>
        <w:left w:val="none" w:sz="0" w:space="0" w:color="auto"/>
        <w:bottom w:val="none" w:sz="0" w:space="0" w:color="auto"/>
        <w:right w:val="none" w:sz="0" w:space="0" w:color="auto"/>
      </w:divBdr>
    </w:div>
    <w:div w:id="1071654882">
      <w:bodyDiv w:val="1"/>
      <w:marLeft w:val="0"/>
      <w:marRight w:val="0"/>
      <w:marTop w:val="0"/>
      <w:marBottom w:val="0"/>
      <w:divBdr>
        <w:top w:val="none" w:sz="0" w:space="0" w:color="auto"/>
        <w:left w:val="none" w:sz="0" w:space="0" w:color="auto"/>
        <w:bottom w:val="none" w:sz="0" w:space="0" w:color="auto"/>
        <w:right w:val="none" w:sz="0" w:space="0" w:color="auto"/>
      </w:divBdr>
    </w:div>
    <w:div w:id="1089498489">
      <w:bodyDiv w:val="1"/>
      <w:marLeft w:val="0"/>
      <w:marRight w:val="0"/>
      <w:marTop w:val="0"/>
      <w:marBottom w:val="0"/>
      <w:divBdr>
        <w:top w:val="none" w:sz="0" w:space="0" w:color="auto"/>
        <w:left w:val="none" w:sz="0" w:space="0" w:color="auto"/>
        <w:bottom w:val="none" w:sz="0" w:space="0" w:color="auto"/>
        <w:right w:val="none" w:sz="0" w:space="0" w:color="auto"/>
      </w:divBdr>
    </w:div>
    <w:div w:id="1092117712">
      <w:bodyDiv w:val="1"/>
      <w:marLeft w:val="0"/>
      <w:marRight w:val="0"/>
      <w:marTop w:val="0"/>
      <w:marBottom w:val="0"/>
      <w:divBdr>
        <w:top w:val="none" w:sz="0" w:space="0" w:color="auto"/>
        <w:left w:val="none" w:sz="0" w:space="0" w:color="auto"/>
        <w:bottom w:val="none" w:sz="0" w:space="0" w:color="auto"/>
        <w:right w:val="none" w:sz="0" w:space="0" w:color="auto"/>
      </w:divBdr>
    </w:div>
    <w:div w:id="1094863324">
      <w:bodyDiv w:val="1"/>
      <w:marLeft w:val="0"/>
      <w:marRight w:val="0"/>
      <w:marTop w:val="0"/>
      <w:marBottom w:val="0"/>
      <w:divBdr>
        <w:top w:val="none" w:sz="0" w:space="0" w:color="auto"/>
        <w:left w:val="none" w:sz="0" w:space="0" w:color="auto"/>
        <w:bottom w:val="none" w:sz="0" w:space="0" w:color="auto"/>
        <w:right w:val="none" w:sz="0" w:space="0" w:color="auto"/>
      </w:divBdr>
    </w:div>
    <w:div w:id="1119254656">
      <w:bodyDiv w:val="1"/>
      <w:marLeft w:val="0"/>
      <w:marRight w:val="0"/>
      <w:marTop w:val="0"/>
      <w:marBottom w:val="0"/>
      <w:divBdr>
        <w:top w:val="none" w:sz="0" w:space="0" w:color="auto"/>
        <w:left w:val="none" w:sz="0" w:space="0" w:color="auto"/>
        <w:bottom w:val="none" w:sz="0" w:space="0" w:color="auto"/>
        <w:right w:val="none" w:sz="0" w:space="0" w:color="auto"/>
      </w:divBdr>
    </w:div>
    <w:div w:id="1126509377">
      <w:bodyDiv w:val="1"/>
      <w:marLeft w:val="0"/>
      <w:marRight w:val="0"/>
      <w:marTop w:val="0"/>
      <w:marBottom w:val="0"/>
      <w:divBdr>
        <w:top w:val="none" w:sz="0" w:space="0" w:color="auto"/>
        <w:left w:val="none" w:sz="0" w:space="0" w:color="auto"/>
        <w:bottom w:val="none" w:sz="0" w:space="0" w:color="auto"/>
        <w:right w:val="none" w:sz="0" w:space="0" w:color="auto"/>
      </w:divBdr>
    </w:div>
    <w:div w:id="1140460505">
      <w:bodyDiv w:val="1"/>
      <w:marLeft w:val="0"/>
      <w:marRight w:val="0"/>
      <w:marTop w:val="0"/>
      <w:marBottom w:val="0"/>
      <w:divBdr>
        <w:top w:val="none" w:sz="0" w:space="0" w:color="auto"/>
        <w:left w:val="none" w:sz="0" w:space="0" w:color="auto"/>
        <w:bottom w:val="none" w:sz="0" w:space="0" w:color="auto"/>
        <w:right w:val="none" w:sz="0" w:space="0" w:color="auto"/>
      </w:divBdr>
    </w:div>
    <w:div w:id="1151870218">
      <w:bodyDiv w:val="1"/>
      <w:marLeft w:val="0"/>
      <w:marRight w:val="0"/>
      <w:marTop w:val="0"/>
      <w:marBottom w:val="0"/>
      <w:divBdr>
        <w:top w:val="none" w:sz="0" w:space="0" w:color="auto"/>
        <w:left w:val="none" w:sz="0" w:space="0" w:color="auto"/>
        <w:bottom w:val="none" w:sz="0" w:space="0" w:color="auto"/>
        <w:right w:val="none" w:sz="0" w:space="0" w:color="auto"/>
      </w:divBdr>
    </w:div>
    <w:div w:id="1162696076">
      <w:bodyDiv w:val="1"/>
      <w:marLeft w:val="0"/>
      <w:marRight w:val="0"/>
      <w:marTop w:val="0"/>
      <w:marBottom w:val="0"/>
      <w:divBdr>
        <w:top w:val="none" w:sz="0" w:space="0" w:color="auto"/>
        <w:left w:val="none" w:sz="0" w:space="0" w:color="auto"/>
        <w:bottom w:val="none" w:sz="0" w:space="0" w:color="auto"/>
        <w:right w:val="none" w:sz="0" w:space="0" w:color="auto"/>
      </w:divBdr>
    </w:div>
    <w:div w:id="1186404545">
      <w:bodyDiv w:val="1"/>
      <w:marLeft w:val="0"/>
      <w:marRight w:val="0"/>
      <w:marTop w:val="0"/>
      <w:marBottom w:val="0"/>
      <w:divBdr>
        <w:top w:val="none" w:sz="0" w:space="0" w:color="auto"/>
        <w:left w:val="none" w:sz="0" w:space="0" w:color="auto"/>
        <w:bottom w:val="none" w:sz="0" w:space="0" w:color="auto"/>
        <w:right w:val="none" w:sz="0" w:space="0" w:color="auto"/>
      </w:divBdr>
    </w:div>
    <w:div w:id="1209800347">
      <w:bodyDiv w:val="1"/>
      <w:marLeft w:val="0"/>
      <w:marRight w:val="0"/>
      <w:marTop w:val="0"/>
      <w:marBottom w:val="0"/>
      <w:divBdr>
        <w:top w:val="none" w:sz="0" w:space="0" w:color="auto"/>
        <w:left w:val="none" w:sz="0" w:space="0" w:color="auto"/>
        <w:bottom w:val="none" w:sz="0" w:space="0" w:color="auto"/>
        <w:right w:val="none" w:sz="0" w:space="0" w:color="auto"/>
      </w:divBdr>
    </w:div>
    <w:div w:id="1225725416">
      <w:bodyDiv w:val="1"/>
      <w:marLeft w:val="0"/>
      <w:marRight w:val="0"/>
      <w:marTop w:val="0"/>
      <w:marBottom w:val="0"/>
      <w:divBdr>
        <w:top w:val="none" w:sz="0" w:space="0" w:color="auto"/>
        <w:left w:val="none" w:sz="0" w:space="0" w:color="auto"/>
        <w:bottom w:val="none" w:sz="0" w:space="0" w:color="auto"/>
        <w:right w:val="none" w:sz="0" w:space="0" w:color="auto"/>
      </w:divBdr>
    </w:div>
    <w:div w:id="1255360116">
      <w:bodyDiv w:val="1"/>
      <w:marLeft w:val="0"/>
      <w:marRight w:val="0"/>
      <w:marTop w:val="0"/>
      <w:marBottom w:val="0"/>
      <w:divBdr>
        <w:top w:val="none" w:sz="0" w:space="0" w:color="auto"/>
        <w:left w:val="none" w:sz="0" w:space="0" w:color="auto"/>
        <w:bottom w:val="none" w:sz="0" w:space="0" w:color="auto"/>
        <w:right w:val="none" w:sz="0" w:space="0" w:color="auto"/>
      </w:divBdr>
    </w:div>
    <w:div w:id="1259101436">
      <w:bodyDiv w:val="1"/>
      <w:marLeft w:val="0"/>
      <w:marRight w:val="0"/>
      <w:marTop w:val="0"/>
      <w:marBottom w:val="0"/>
      <w:divBdr>
        <w:top w:val="none" w:sz="0" w:space="0" w:color="auto"/>
        <w:left w:val="none" w:sz="0" w:space="0" w:color="auto"/>
        <w:bottom w:val="none" w:sz="0" w:space="0" w:color="auto"/>
        <w:right w:val="none" w:sz="0" w:space="0" w:color="auto"/>
      </w:divBdr>
    </w:div>
    <w:div w:id="1289892513">
      <w:bodyDiv w:val="1"/>
      <w:marLeft w:val="0"/>
      <w:marRight w:val="0"/>
      <w:marTop w:val="0"/>
      <w:marBottom w:val="0"/>
      <w:divBdr>
        <w:top w:val="none" w:sz="0" w:space="0" w:color="auto"/>
        <w:left w:val="none" w:sz="0" w:space="0" w:color="auto"/>
        <w:bottom w:val="none" w:sz="0" w:space="0" w:color="auto"/>
        <w:right w:val="none" w:sz="0" w:space="0" w:color="auto"/>
      </w:divBdr>
    </w:div>
    <w:div w:id="1294017662">
      <w:bodyDiv w:val="1"/>
      <w:marLeft w:val="0"/>
      <w:marRight w:val="0"/>
      <w:marTop w:val="0"/>
      <w:marBottom w:val="0"/>
      <w:divBdr>
        <w:top w:val="none" w:sz="0" w:space="0" w:color="auto"/>
        <w:left w:val="none" w:sz="0" w:space="0" w:color="auto"/>
        <w:bottom w:val="none" w:sz="0" w:space="0" w:color="auto"/>
        <w:right w:val="none" w:sz="0" w:space="0" w:color="auto"/>
      </w:divBdr>
    </w:div>
    <w:div w:id="1294024547">
      <w:bodyDiv w:val="1"/>
      <w:marLeft w:val="0"/>
      <w:marRight w:val="0"/>
      <w:marTop w:val="0"/>
      <w:marBottom w:val="0"/>
      <w:divBdr>
        <w:top w:val="none" w:sz="0" w:space="0" w:color="auto"/>
        <w:left w:val="none" w:sz="0" w:space="0" w:color="auto"/>
        <w:bottom w:val="none" w:sz="0" w:space="0" w:color="auto"/>
        <w:right w:val="none" w:sz="0" w:space="0" w:color="auto"/>
      </w:divBdr>
    </w:div>
    <w:div w:id="1304653653">
      <w:bodyDiv w:val="1"/>
      <w:marLeft w:val="0"/>
      <w:marRight w:val="0"/>
      <w:marTop w:val="0"/>
      <w:marBottom w:val="0"/>
      <w:divBdr>
        <w:top w:val="none" w:sz="0" w:space="0" w:color="auto"/>
        <w:left w:val="none" w:sz="0" w:space="0" w:color="auto"/>
        <w:bottom w:val="none" w:sz="0" w:space="0" w:color="auto"/>
        <w:right w:val="none" w:sz="0" w:space="0" w:color="auto"/>
      </w:divBdr>
    </w:div>
    <w:div w:id="1307468557">
      <w:bodyDiv w:val="1"/>
      <w:marLeft w:val="0"/>
      <w:marRight w:val="0"/>
      <w:marTop w:val="0"/>
      <w:marBottom w:val="0"/>
      <w:divBdr>
        <w:top w:val="none" w:sz="0" w:space="0" w:color="auto"/>
        <w:left w:val="none" w:sz="0" w:space="0" w:color="auto"/>
        <w:bottom w:val="none" w:sz="0" w:space="0" w:color="auto"/>
        <w:right w:val="none" w:sz="0" w:space="0" w:color="auto"/>
      </w:divBdr>
    </w:div>
    <w:div w:id="1319267241">
      <w:bodyDiv w:val="1"/>
      <w:marLeft w:val="0"/>
      <w:marRight w:val="0"/>
      <w:marTop w:val="0"/>
      <w:marBottom w:val="0"/>
      <w:divBdr>
        <w:top w:val="none" w:sz="0" w:space="0" w:color="auto"/>
        <w:left w:val="none" w:sz="0" w:space="0" w:color="auto"/>
        <w:bottom w:val="none" w:sz="0" w:space="0" w:color="auto"/>
        <w:right w:val="none" w:sz="0" w:space="0" w:color="auto"/>
      </w:divBdr>
    </w:div>
    <w:div w:id="1322079898">
      <w:bodyDiv w:val="1"/>
      <w:marLeft w:val="0"/>
      <w:marRight w:val="0"/>
      <w:marTop w:val="0"/>
      <w:marBottom w:val="0"/>
      <w:divBdr>
        <w:top w:val="none" w:sz="0" w:space="0" w:color="auto"/>
        <w:left w:val="none" w:sz="0" w:space="0" w:color="auto"/>
        <w:bottom w:val="none" w:sz="0" w:space="0" w:color="auto"/>
        <w:right w:val="none" w:sz="0" w:space="0" w:color="auto"/>
      </w:divBdr>
    </w:div>
    <w:div w:id="1324042040">
      <w:bodyDiv w:val="1"/>
      <w:marLeft w:val="0"/>
      <w:marRight w:val="0"/>
      <w:marTop w:val="0"/>
      <w:marBottom w:val="0"/>
      <w:divBdr>
        <w:top w:val="none" w:sz="0" w:space="0" w:color="auto"/>
        <w:left w:val="none" w:sz="0" w:space="0" w:color="auto"/>
        <w:bottom w:val="none" w:sz="0" w:space="0" w:color="auto"/>
        <w:right w:val="none" w:sz="0" w:space="0" w:color="auto"/>
      </w:divBdr>
    </w:div>
    <w:div w:id="1328435583">
      <w:bodyDiv w:val="1"/>
      <w:marLeft w:val="0"/>
      <w:marRight w:val="0"/>
      <w:marTop w:val="0"/>
      <w:marBottom w:val="0"/>
      <w:divBdr>
        <w:top w:val="none" w:sz="0" w:space="0" w:color="auto"/>
        <w:left w:val="none" w:sz="0" w:space="0" w:color="auto"/>
        <w:bottom w:val="none" w:sz="0" w:space="0" w:color="auto"/>
        <w:right w:val="none" w:sz="0" w:space="0" w:color="auto"/>
      </w:divBdr>
    </w:div>
    <w:div w:id="1368334038">
      <w:bodyDiv w:val="1"/>
      <w:marLeft w:val="0"/>
      <w:marRight w:val="0"/>
      <w:marTop w:val="0"/>
      <w:marBottom w:val="0"/>
      <w:divBdr>
        <w:top w:val="none" w:sz="0" w:space="0" w:color="auto"/>
        <w:left w:val="none" w:sz="0" w:space="0" w:color="auto"/>
        <w:bottom w:val="none" w:sz="0" w:space="0" w:color="auto"/>
        <w:right w:val="none" w:sz="0" w:space="0" w:color="auto"/>
      </w:divBdr>
    </w:div>
    <w:div w:id="1377972451">
      <w:bodyDiv w:val="1"/>
      <w:marLeft w:val="0"/>
      <w:marRight w:val="0"/>
      <w:marTop w:val="0"/>
      <w:marBottom w:val="0"/>
      <w:divBdr>
        <w:top w:val="none" w:sz="0" w:space="0" w:color="auto"/>
        <w:left w:val="none" w:sz="0" w:space="0" w:color="auto"/>
        <w:bottom w:val="none" w:sz="0" w:space="0" w:color="auto"/>
        <w:right w:val="none" w:sz="0" w:space="0" w:color="auto"/>
      </w:divBdr>
    </w:div>
    <w:div w:id="1438480233">
      <w:bodyDiv w:val="1"/>
      <w:marLeft w:val="0"/>
      <w:marRight w:val="0"/>
      <w:marTop w:val="0"/>
      <w:marBottom w:val="0"/>
      <w:divBdr>
        <w:top w:val="none" w:sz="0" w:space="0" w:color="auto"/>
        <w:left w:val="none" w:sz="0" w:space="0" w:color="auto"/>
        <w:bottom w:val="none" w:sz="0" w:space="0" w:color="auto"/>
        <w:right w:val="none" w:sz="0" w:space="0" w:color="auto"/>
      </w:divBdr>
    </w:div>
    <w:div w:id="1441990809">
      <w:bodyDiv w:val="1"/>
      <w:marLeft w:val="0"/>
      <w:marRight w:val="0"/>
      <w:marTop w:val="0"/>
      <w:marBottom w:val="0"/>
      <w:divBdr>
        <w:top w:val="none" w:sz="0" w:space="0" w:color="auto"/>
        <w:left w:val="none" w:sz="0" w:space="0" w:color="auto"/>
        <w:bottom w:val="none" w:sz="0" w:space="0" w:color="auto"/>
        <w:right w:val="none" w:sz="0" w:space="0" w:color="auto"/>
      </w:divBdr>
    </w:div>
    <w:div w:id="1448506792">
      <w:bodyDiv w:val="1"/>
      <w:marLeft w:val="0"/>
      <w:marRight w:val="0"/>
      <w:marTop w:val="0"/>
      <w:marBottom w:val="0"/>
      <w:divBdr>
        <w:top w:val="none" w:sz="0" w:space="0" w:color="auto"/>
        <w:left w:val="none" w:sz="0" w:space="0" w:color="auto"/>
        <w:bottom w:val="none" w:sz="0" w:space="0" w:color="auto"/>
        <w:right w:val="none" w:sz="0" w:space="0" w:color="auto"/>
      </w:divBdr>
    </w:div>
    <w:div w:id="1455294279">
      <w:bodyDiv w:val="1"/>
      <w:marLeft w:val="0"/>
      <w:marRight w:val="0"/>
      <w:marTop w:val="0"/>
      <w:marBottom w:val="0"/>
      <w:divBdr>
        <w:top w:val="none" w:sz="0" w:space="0" w:color="auto"/>
        <w:left w:val="none" w:sz="0" w:space="0" w:color="auto"/>
        <w:bottom w:val="none" w:sz="0" w:space="0" w:color="auto"/>
        <w:right w:val="none" w:sz="0" w:space="0" w:color="auto"/>
      </w:divBdr>
    </w:div>
    <w:div w:id="1504197803">
      <w:bodyDiv w:val="1"/>
      <w:marLeft w:val="0"/>
      <w:marRight w:val="0"/>
      <w:marTop w:val="0"/>
      <w:marBottom w:val="0"/>
      <w:divBdr>
        <w:top w:val="none" w:sz="0" w:space="0" w:color="auto"/>
        <w:left w:val="none" w:sz="0" w:space="0" w:color="auto"/>
        <w:bottom w:val="none" w:sz="0" w:space="0" w:color="auto"/>
        <w:right w:val="none" w:sz="0" w:space="0" w:color="auto"/>
      </w:divBdr>
    </w:div>
    <w:div w:id="1521627118">
      <w:bodyDiv w:val="1"/>
      <w:marLeft w:val="0"/>
      <w:marRight w:val="0"/>
      <w:marTop w:val="0"/>
      <w:marBottom w:val="0"/>
      <w:divBdr>
        <w:top w:val="none" w:sz="0" w:space="0" w:color="auto"/>
        <w:left w:val="none" w:sz="0" w:space="0" w:color="auto"/>
        <w:bottom w:val="none" w:sz="0" w:space="0" w:color="auto"/>
        <w:right w:val="none" w:sz="0" w:space="0" w:color="auto"/>
      </w:divBdr>
    </w:div>
    <w:div w:id="1565024341">
      <w:bodyDiv w:val="1"/>
      <w:marLeft w:val="0"/>
      <w:marRight w:val="0"/>
      <w:marTop w:val="0"/>
      <w:marBottom w:val="0"/>
      <w:divBdr>
        <w:top w:val="none" w:sz="0" w:space="0" w:color="auto"/>
        <w:left w:val="none" w:sz="0" w:space="0" w:color="auto"/>
        <w:bottom w:val="none" w:sz="0" w:space="0" w:color="auto"/>
        <w:right w:val="none" w:sz="0" w:space="0" w:color="auto"/>
      </w:divBdr>
    </w:div>
    <w:div w:id="1594052398">
      <w:bodyDiv w:val="1"/>
      <w:marLeft w:val="0"/>
      <w:marRight w:val="0"/>
      <w:marTop w:val="0"/>
      <w:marBottom w:val="0"/>
      <w:divBdr>
        <w:top w:val="none" w:sz="0" w:space="0" w:color="auto"/>
        <w:left w:val="none" w:sz="0" w:space="0" w:color="auto"/>
        <w:bottom w:val="none" w:sz="0" w:space="0" w:color="auto"/>
        <w:right w:val="none" w:sz="0" w:space="0" w:color="auto"/>
      </w:divBdr>
    </w:div>
    <w:div w:id="1597596933">
      <w:bodyDiv w:val="1"/>
      <w:marLeft w:val="0"/>
      <w:marRight w:val="0"/>
      <w:marTop w:val="0"/>
      <w:marBottom w:val="0"/>
      <w:divBdr>
        <w:top w:val="none" w:sz="0" w:space="0" w:color="auto"/>
        <w:left w:val="none" w:sz="0" w:space="0" w:color="auto"/>
        <w:bottom w:val="none" w:sz="0" w:space="0" w:color="auto"/>
        <w:right w:val="none" w:sz="0" w:space="0" w:color="auto"/>
      </w:divBdr>
    </w:div>
    <w:div w:id="1610312743">
      <w:bodyDiv w:val="1"/>
      <w:marLeft w:val="0"/>
      <w:marRight w:val="0"/>
      <w:marTop w:val="0"/>
      <w:marBottom w:val="0"/>
      <w:divBdr>
        <w:top w:val="none" w:sz="0" w:space="0" w:color="auto"/>
        <w:left w:val="none" w:sz="0" w:space="0" w:color="auto"/>
        <w:bottom w:val="none" w:sz="0" w:space="0" w:color="auto"/>
        <w:right w:val="none" w:sz="0" w:space="0" w:color="auto"/>
      </w:divBdr>
    </w:div>
    <w:div w:id="1616214817">
      <w:bodyDiv w:val="1"/>
      <w:marLeft w:val="0"/>
      <w:marRight w:val="0"/>
      <w:marTop w:val="0"/>
      <w:marBottom w:val="0"/>
      <w:divBdr>
        <w:top w:val="none" w:sz="0" w:space="0" w:color="auto"/>
        <w:left w:val="none" w:sz="0" w:space="0" w:color="auto"/>
        <w:bottom w:val="none" w:sz="0" w:space="0" w:color="auto"/>
        <w:right w:val="none" w:sz="0" w:space="0" w:color="auto"/>
      </w:divBdr>
    </w:div>
    <w:div w:id="1639333518">
      <w:bodyDiv w:val="1"/>
      <w:marLeft w:val="0"/>
      <w:marRight w:val="0"/>
      <w:marTop w:val="0"/>
      <w:marBottom w:val="0"/>
      <w:divBdr>
        <w:top w:val="none" w:sz="0" w:space="0" w:color="auto"/>
        <w:left w:val="none" w:sz="0" w:space="0" w:color="auto"/>
        <w:bottom w:val="none" w:sz="0" w:space="0" w:color="auto"/>
        <w:right w:val="none" w:sz="0" w:space="0" w:color="auto"/>
      </w:divBdr>
    </w:div>
    <w:div w:id="1657949747">
      <w:bodyDiv w:val="1"/>
      <w:marLeft w:val="0"/>
      <w:marRight w:val="0"/>
      <w:marTop w:val="0"/>
      <w:marBottom w:val="0"/>
      <w:divBdr>
        <w:top w:val="none" w:sz="0" w:space="0" w:color="auto"/>
        <w:left w:val="none" w:sz="0" w:space="0" w:color="auto"/>
        <w:bottom w:val="none" w:sz="0" w:space="0" w:color="auto"/>
        <w:right w:val="none" w:sz="0" w:space="0" w:color="auto"/>
      </w:divBdr>
    </w:div>
    <w:div w:id="1660378819">
      <w:bodyDiv w:val="1"/>
      <w:marLeft w:val="0"/>
      <w:marRight w:val="0"/>
      <w:marTop w:val="0"/>
      <w:marBottom w:val="0"/>
      <w:divBdr>
        <w:top w:val="none" w:sz="0" w:space="0" w:color="auto"/>
        <w:left w:val="none" w:sz="0" w:space="0" w:color="auto"/>
        <w:bottom w:val="none" w:sz="0" w:space="0" w:color="auto"/>
        <w:right w:val="none" w:sz="0" w:space="0" w:color="auto"/>
      </w:divBdr>
    </w:div>
    <w:div w:id="1669093435">
      <w:bodyDiv w:val="1"/>
      <w:marLeft w:val="0"/>
      <w:marRight w:val="0"/>
      <w:marTop w:val="0"/>
      <w:marBottom w:val="0"/>
      <w:divBdr>
        <w:top w:val="none" w:sz="0" w:space="0" w:color="auto"/>
        <w:left w:val="none" w:sz="0" w:space="0" w:color="auto"/>
        <w:bottom w:val="none" w:sz="0" w:space="0" w:color="auto"/>
        <w:right w:val="none" w:sz="0" w:space="0" w:color="auto"/>
      </w:divBdr>
    </w:div>
    <w:div w:id="1674607879">
      <w:bodyDiv w:val="1"/>
      <w:marLeft w:val="0"/>
      <w:marRight w:val="0"/>
      <w:marTop w:val="0"/>
      <w:marBottom w:val="0"/>
      <w:divBdr>
        <w:top w:val="none" w:sz="0" w:space="0" w:color="auto"/>
        <w:left w:val="none" w:sz="0" w:space="0" w:color="auto"/>
        <w:bottom w:val="none" w:sz="0" w:space="0" w:color="auto"/>
        <w:right w:val="none" w:sz="0" w:space="0" w:color="auto"/>
      </w:divBdr>
    </w:div>
    <w:div w:id="1695880242">
      <w:bodyDiv w:val="1"/>
      <w:marLeft w:val="0"/>
      <w:marRight w:val="0"/>
      <w:marTop w:val="0"/>
      <w:marBottom w:val="0"/>
      <w:divBdr>
        <w:top w:val="none" w:sz="0" w:space="0" w:color="auto"/>
        <w:left w:val="none" w:sz="0" w:space="0" w:color="auto"/>
        <w:bottom w:val="none" w:sz="0" w:space="0" w:color="auto"/>
        <w:right w:val="none" w:sz="0" w:space="0" w:color="auto"/>
      </w:divBdr>
    </w:div>
    <w:div w:id="1726827571">
      <w:bodyDiv w:val="1"/>
      <w:marLeft w:val="0"/>
      <w:marRight w:val="0"/>
      <w:marTop w:val="0"/>
      <w:marBottom w:val="0"/>
      <w:divBdr>
        <w:top w:val="none" w:sz="0" w:space="0" w:color="auto"/>
        <w:left w:val="none" w:sz="0" w:space="0" w:color="auto"/>
        <w:bottom w:val="none" w:sz="0" w:space="0" w:color="auto"/>
        <w:right w:val="none" w:sz="0" w:space="0" w:color="auto"/>
      </w:divBdr>
    </w:div>
    <w:div w:id="1740905308">
      <w:bodyDiv w:val="1"/>
      <w:marLeft w:val="0"/>
      <w:marRight w:val="0"/>
      <w:marTop w:val="0"/>
      <w:marBottom w:val="0"/>
      <w:divBdr>
        <w:top w:val="none" w:sz="0" w:space="0" w:color="auto"/>
        <w:left w:val="none" w:sz="0" w:space="0" w:color="auto"/>
        <w:bottom w:val="none" w:sz="0" w:space="0" w:color="auto"/>
        <w:right w:val="none" w:sz="0" w:space="0" w:color="auto"/>
      </w:divBdr>
    </w:div>
    <w:div w:id="1749305706">
      <w:bodyDiv w:val="1"/>
      <w:marLeft w:val="0"/>
      <w:marRight w:val="0"/>
      <w:marTop w:val="0"/>
      <w:marBottom w:val="0"/>
      <w:divBdr>
        <w:top w:val="none" w:sz="0" w:space="0" w:color="auto"/>
        <w:left w:val="none" w:sz="0" w:space="0" w:color="auto"/>
        <w:bottom w:val="none" w:sz="0" w:space="0" w:color="auto"/>
        <w:right w:val="none" w:sz="0" w:space="0" w:color="auto"/>
      </w:divBdr>
    </w:div>
    <w:div w:id="1761413937">
      <w:bodyDiv w:val="1"/>
      <w:marLeft w:val="0"/>
      <w:marRight w:val="0"/>
      <w:marTop w:val="0"/>
      <w:marBottom w:val="0"/>
      <w:divBdr>
        <w:top w:val="none" w:sz="0" w:space="0" w:color="auto"/>
        <w:left w:val="none" w:sz="0" w:space="0" w:color="auto"/>
        <w:bottom w:val="none" w:sz="0" w:space="0" w:color="auto"/>
        <w:right w:val="none" w:sz="0" w:space="0" w:color="auto"/>
      </w:divBdr>
    </w:div>
    <w:div w:id="1791899022">
      <w:bodyDiv w:val="1"/>
      <w:marLeft w:val="0"/>
      <w:marRight w:val="0"/>
      <w:marTop w:val="0"/>
      <w:marBottom w:val="0"/>
      <w:divBdr>
        <w:top w:val="none" w:sz="0" w:space="0" w:color="auto"/>
        <w:left w:val="none" w:sz="0" w:space="0" w:color="auto"/>
        <w:bottom w:val="none" w:sz="0" w:space="0" w:color="auto"/>
        <w:right w:val="none" w:sz="0" w:space="0" w:color="auto"/>
      </w:divBdr>
    </w:div>
    <w:div w:id="1796407988">
      <w:bodyDiv w:val="1"/>
      <w:marLeft w:val="0"/>
      <w:marRight w:val="0"/>
      <w:marTop w:val="0"/>
      <w:marBottom w:val="0"/>
      <w:divBdr>
        <w:top w:val="none" w:sz="0" w:space="0" w:color="auto"/>
        <w:left w:val="none" w:sz="0" w:space="0" w:color="auto"/>
        <w:bottom w:val="none" w:sz="0" w:space="0" w:color="auto"/>
        <w:right w:val="none" w:sz="0" w:space="0" w:color="auto"/>
      </w:divBdr>
    </w:div>
    <w:div w:id="1815944940">
      <w:bodyDiv w:val="1"/>
      <w:marLeft w:val="0"/>
      <w:marRight w:val="0"/>
      <w:marTop w:val="0"/>
      <w:marBottom w:val="0"/>
      <w:divBdr>
        <w:top w:val="none" w:sz="0" w:space="0" w:color="auto"/>
        <w:left w:val="none" w:sz="0" w:space="0" w:color="auto"/>
        <w:bottom w:val="none" w:sz="0" w:space="0" w:color="auto"/>
        <w:right w:val="none" w:sz="0" w:space="0" w:color="auto"/>
      </w:divBdr>
    </w:div>
    <w:div w:id="1819764478">
      <w:bodyDiv w:val="1"/>
      <w:marLeft w:val="0"/>
      <w:marRight w:val="0"/>
      <w:marTop w:val="0"/>
      <w:marBottom w:val="0"/>
      <w:divBdr>
        <w:top w:val="none" w:sz="0" w:space="0" w:color="auto"/>
        <w:left w:val="none" w:sz="0" w:space="0" w:color="auto"/>
        <w:bottom w:val="none" w:sz="0" w:space="0" w:color="auto"/>
        <w:right w:val="none" w:sz="0" w:space="0" w:color="auto"/>
      </w:divBdr>
    </w:div>
    <w:div w:id="1835366946">
      <w:bodyDiv w:val="1"/>
      <w:marLeft w:val="0"/>
      <w:marRight w:val="0"/>
      <w:marTop w:val="0"/>
      <w:marBottom w:val="0"/>
      <w:divBdr>
        <w:top w:val="none" w:sz="0" w:space="0" w:color="auto"/>
        <w:left w:val="none" w:sz="0" w:space="0" w:color="auto"/>
        <w:bottom w:val="none" w:sz="0" w:space="0" w:color="auto"/>
        <w:right w:val="none" w:sz="0" w:space="0" w:color="auto"/>
      </w:divBdr>
    </w:div>
    <w:div w:id="1857305929">
      <w:bodyDiv w:val="1"/>
      <w:marLeft w:val="0"/>
      <w:marRight w:val="0"/>
      <w:marTop w:val="0"/>
      <w:marBottom w:val="0"/>
      <w:divBdr>
        <w:top w:val="none" w:sz="0" w:space="0" w:color="auto"/>
        <w:left w:val="none" w:sz="0" w:space="0" w:color="auto"/>
        <w:bottom w:val="none" w:sz="0" w:space="0" w:color="auto"/>
        <w:right w:val="none" w:sz="0" w:space="0" w:color="auto"/>
      </w:divBdr>
    </w:div>
    <w:div w:id="1894074535">
      <w:bodyDiv w:val="1"/>
      <w:marLeft w:val="0"/>
      <w:marRight w:val="0"/>
      <w:marTop w:val="0"/>
      <w:marBottom w:val="0"/>
      <w:divBdr>
        <w:top w:val="none" w:sz="0" w:space="0" w:color="auto"/>
        <w:left w:val="none" w:sz="0" w:space="0" w:color="auto"/>
        <w:bottom w:val="none" w:sz="0" w:space="0" w:color="auto"/>
        <w:right w:val="none" w:sz="0" w:space="0" w:color="auto"/>
      </w:divBdr>
    </w:div>
    <w:div w:id="1931350000">
      <w:bodyDiv w:val="1"/>
      <w:marLeft w:val="0"/>
      <w:marRight w:val="0"/>
      <w:marTop w:val="0"/>
      <w:marBottom w:val="0"/>
      <w:divBdr>
        <w:top w:val="none" w:sz="0" w:space="0" w:color="auto"/>
        <w:left w:val="none" w:sz="0" w:space="0" w:color="auto"/>
        <w:bottom w:val="none" w:sz="0" w:space="0" w:color="auto"/>
        <w:right w:val="none" w:sz="0" w:space="0" w:color="auto"/>
      </w:divBdr>
    </w:div>
    <w:div w:id="1938443975">
      <w:bodyDiv w:val="1"/>
      <w:marLeft w:val="0"/>
      <w:marRight w:val="0"/>
      <w:marTop w:val="0"/>
      <w:marBottom w:val="0"/>
      <w:divBdr>
        <w:top w:val="none" w:sz="0" w:space="0" w:color="auto"/>
        <w:left w:val="none" w:sz="0" w:space="0" w:color="auto"/>
        <w:bottom w:val="none" w:sz="0" w:space="0" w:color="auto"/>
        <w:right w:val="none" w:sz="0" w:space="0" w:color="auto"/>
      </w:divBdr>
    </w:div>
    <w:div w:id="2048720917">
      <w:bodyDiv w:val="1"/>
      <w:marLeft w:val="0"/>
      <w:marRight w:val="0"/>
      <w:marTop w:val="0"/>
      <w:marBottom w:val="0"/>
      <w:divBdr>
        <w:top w:val="none" w:sz="0" w:space="0" w:color="auto"/>
        <w:left w:val="none" w:sz="0" w:space="0" w:color="auto"/>
        <w:bottom w:val="none" w:sz="0" w:space="0" w:color="auto"/>
        <w:right w:val="none" w:sz="0" w:space="0" w:color="auto"/>
      </w:divBdr>
    </w:div>
    <w:div w:id="2073045409">
      <w:bodyDiv w:val="1"/>
      <w:marLeft w:val="0"/>
      <w:marRight w:val="0"/>
      <w:marTop w:val="0"/>
      <w:marBottom w:val="0"/>
      <w:divBdr>
        <w:top w:val="none" w:sz="0" w:space="0" w:color="auto"/>
        <w:left w:val="none" w:sz="0" w:space="0" w:color="auto"/>
        <w:bottom w:val="none" w:sz="0" w:space="0" w:color="auto"/>
        <w:right w:val="none" w:sz="0" w:space="0" w:color="auto"/>
      </w:divBdr>
    </w:div>
    <w:div w:id="2097285896">
      <w:bodyDiv w:val="1"/>
      <w:marLeft w:val="0"/>
      <w:marRight w:val="0"/>
      <w:marTop w:val="0"/>
      <w:marBottom w:val="0"/>
      <w:divBdr>
        <w:top w:val="none" w:sz="0" w:space="0" w:color="auto"/>
        <w:left w:val="none" w:sz="0" w:space="0" w:color="auto"/>
        <w:bottom w:val="none" w:sz="0" w:space="0" w:color="auto"/>
        <w:right w:val="none" w:sz="0" w:space="0" w:color="auto"/>
      </w:divBdr>
    </w:div>
    <w:div w:id="2108189743">
      <w:bodyDiv w:val="1"/>
      <w:marLeft w:val="0"/>
      <w:marRight w:val="0"/>
      <w:marTop w:val="0"/>
      <w:marBottom w:val="0"/>
      <w:divBdr>
        <w:top w:val="none" w:sz="0" w:space="0" w:color="auto"/>
        <w:left w:val="none" w:sz="0" w:space="0" w:color="auto"/>
        <w:bottom w:val="none" w:sz="0" w:space="0" w:color="auto"/>
        <w:right w:val="none" w:sz="0" w:space="0" w:color="auto"/>
      </w:divBdr>
    </w:div>
    <w:div w:id="2132363147">
      <w:bodyDiv w:val="1"/>
      <w:marLeft w:val="0"/>
      <w:marRight w:val="0"/>
      <w:marTop w:val="0"/>
      <w:marBottom w:val="0"/>
      <w:divBdr>
        <w:top w:val="none" w:sz="0" w:space="0" w:color="auto"/>
        <w:left w:val="none" w:sz="0" w:space="0" w:color="auto"/>
        <w:bottom w:val="none" w:sz="0" w:space="0" w:color="auto"/>
        <w:right w:val="none" w:sz="0" w:space="0" w:color="auto"/>
      </w:divBdr>
    </w:div>
    <w:div w:id="2138716272">
      <w:bodyDiv w:val="1"/>
      <w:marLeft w:val="0"/>
      <w:marRight w:val="0"/>
      <w:marTop w:val="0"/>
      <w:marBottom w:val="0"/>
      <w:divBdr>
        <w:top w:val="none" w:sz="0" w:space="0" w:color="auto"/>
        <w:left w:val="none" w:sz="0" w:space="0" w:color="auto"/>
        <w:bottom w:val="none" w:sz="0" w:space="0" w:color="auto"/>
        <w:right w:val="none" w:sz="0" w:space="0" w:color="auto"/>
      </w:divBdr>
    </w:div>
    <w:div w:id="21387897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chart" Target="charts/chart2.xml"/><Relationship Id="rId26" Type="http://schemas.openxmlformats.org/officeDocument/2006/relationships/chart" Target="charts/chart4.xml"/><Relationship Id="rId3" Type="http://schemas.openxmlformats.org/officeDocument/2006/relationships/numbering" Target="numbering.xml"/><Relationship Id="rId21" Type="http://schemas.openxmlformats.org/officeDocument/2006/relationships/diagramQuickStyle" Target="diagrams/quickStyle1.xml"/><Relationship Id="rId34" Type="http://schemas.openxmlformats.org/officeDocument/2006/relationships/footer" Target="footer5.xml"/><Relationship Id="rId7" Type="http://schemas.openxmlformats.org/officeDocument/2006/relationships/webSettings" Target="webSettings.xml"/><Relationship Id="rId12" Type="http://schemas.openxmlformats.org/officeDocument/2006/relationships/header" Target="header2.xml"/><Relationship Id="rId17" Type="http://schemas.openxmlformats.org/officeDocument/2006/relationships/chart" Target="charts/chart1.xml"/><Relationship Id="rId25" Type="http://schemas.openxmlformats.org/officeDocument/2006/relationships/chart" Target="charts/chart3.xml"/><Relationship Id="rId33" Type="http://schemas.openxmlformats.org/officeDocument/2006/relationships/footer" Target="footer4.xml"/><Relationship Id="rId38" Type="http://schemas.openxmlformats.org/officeDocument/2006/relationships/theme" Target="theme/theme1.xml"/><Relationship Id="rId2" Type="http://schemas.openxmlformats.org/officeDocument/2006/relationships/customXml" Target="../customXml/item1.xml"/><Relationship Id="rId16" Type="http://schemas.openxmlformats.org/officeDocument/2006/relationships/footer" Target="footer3.xml"/><Relationship Id="rId20" Type="http://schemas.openxmlformats.org/officeDocument/2006/relationships/diagramLayout" Target="diagrams/layout1.xml"/><Relationship Id="rId29" Type="http://schemas.openxmlformats.org/officeDocument/2006/relationships/chart" Target="charts/chart7.xml"/><Relationship Id="rId1" Type="http://schemas.microsoft.com/office/2006/relationships/keyMapCustomizations" Target="customizations.xml"/><Relationship Id="rId6" Type="http://schemas.openxmlformats.org/officeDocument/2006/relationships/settings" Target="settings.xml"/><Relationship Id="rId11" Type="http://schemas.openxmlformats.org/officeDocument/2006/relationships/header" Target="header1.xml"/><Relationship Id="rId24" Type="http://schemas.openxmlformats.org/officeDocument/2006/relationships/image" Target="media/image2.png"/><Relationship Id="rId32" Type="http://schemas.openxmlformats.org/officeDocument/2006/relationships/header" Target="header5.xml"/><Relationship Id="rId37" Type="http://schemas.openxmlformats.org/officeDocument/2006/relationships/fontTable" Target="fontTable.xml"/><Relationship Id="rId5" Type="http://schemas.microsoft.com/office/2007/relationships/stylesWithEffects" Target="stylesWithEffects.xml"/><Relationship Id="rId15" Type="http://schemas.openxmlformats.org/officeDocument/2006/relationships/header" Target="header3.xml"/><Relationship Id="rId23" Type="http://schemas.microsoft.com/office/2007/relationships/diagramDrawing" Target="diagrams/drawing1.xml"/><Relationship Id="rId28" Type="http://schemas.openxmlformats.org/officeDocument/2006/relationships/chart" Target="charts/chart6.xml"/><Relationship Id="rId36" Type="http://schemas.openxmlformats.org/officeDocument/2006/relationships/footer" Target="footer6.xml"/><Relationship Id="rId10" Type="http://schemas.openxmlformats.org/officeDocument/2006/relationships/image" Target="media/image1.emf"/><Relationship Id="rId19" Type="http://schemas.openxmlformats.org/officeDocument/2006/relationships/diagramData" Target="diagrams/data1.xml"/><Relationship Id="rId31" Type="http://schemas.openxmlformats.org/officeDocument/2006/relationships/header" Target="header4.xml"/><Relationship Id="rId4" Type="http://schemas.openxmlformats.org/officeDocument/2006/relationships/styles" Target="styles.xml"/><Relationship Id="rId9" Type="http://schemas.openxmlformats.org/officeDocument/2006/relationships/endnotes" Target="endnotes.xml"/><Relationship Id="rId14" Type="http://schemas.openxmlformats.org/officeDocument/2006/relationships/footer" Target="footer2.xml"/><Relationship Id="rId22" Type="http://schemas.openxmlformats.org/officeDocument/2006/relationships/diagramColors" Target="diagrams/colors1.xml"/><Relationship Id="rId27" Type="http://schemas.openxmlformats.org/officeDocument/2006/relationships/chart" Target="charts/chart5.xml"/><Relationship Id="rId30" Type="http://schemas.openxmlformats.org/officeDocument/2006/relationships/chart" Target="charts/chart8.xml"/><Relationship Id="rId35" Type="http://schemas.openxmlformats.org/officeDocument/2006/relationships/header" Target="header6.xml"/></Relationships>
</file>

<file path=word/charts/_rels/chart1.xml.rels><?xml version="1.0" encoding="UTF-8" standalone="yes"?>
<Relationships xmlns="http://schemas.openxmlformats.org/package/2006/relationships"><Relationship Id="rId1" Type="http://schemas.openxmlformats.org/officeDocument/2006/relationships/oleObject" Target="file:///\\net1.cec.eu.int\BUDG\C\C02\Financial%20corrections%20and%20recoveries\Communication%20on%20Recoveries\2015\02-Working%20files\charts\COMMUNICATION%20charts%20and%20graphs.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net1.cec.eu.int\BUDG\C\C02\Financial%20corrections%20and%20recoveries\Communication%20on%20Recoveries\2015\02-Working%20files\charts\2015%20charts.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oleObject" Target="file:///\\net1.cec.eu.int\BUDG\C\C02\Financial%20corrections%20and%20recoveries\Communication%20on%20Recoveries\2015\02-Working%20files\charts\COMMUNICATION%20charts%20and%20graphs.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net1.cec.eu.int\BUDG\C\C02\Financial%20corrections%20and%20recoveries\Communication%20on%20Recoveries\2015\02-Working%20files\charts\COMMUNICATION%20charts%20and%20graphs.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net1.cec.eu.int\BUDG\C\C02\Financial%20corrections%20and%20recoveries\Communication%20on%20Recoveries\2015\02-Working%20files\charts\COMMUNICATION%20charts%20and%20graphs.xlsx" TargetMode="External"/></Relationships>
</file>

<file path=word/charts/_rels/chart6.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net1.cec.eu.int\BUDG\C\C02\Financial%20corrections%20and%20recoveries\Communication%20on%20Recoveries\2015\02-Working%20files\Cumulative\Table%204.4_EAGF_cummulative_per_MS.xlsx" TargetMode="External"/></Relationships>
</file>

<file path=word/charts/_rels/chart7.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net1.cec.eu.int\BUDG\C\C02\Financial%20corrections%20and%20recoveries\Communication%20on%20Recoveries\2015\02-Working%20files\Cumulative\Table%205.4.1_2000-2006_ERDF_CF_ESF_cumm_per_MS_decided_in_progress.xlsx" TargetMode="External"/></Relationships>
</file>

<file path=word/charts/_rels/chart8.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net1.cec.eu.int\BUDG\C\C02\Financial%20corrections%20and%20recoveries\Communication%20on%20Recoveries\2015\02-Working%20files\Cumulative\Table%205.4.2_2007-2013_ERDF_CF_ESF_cumm_per_MS_decided_in_progress.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'General overview_updated_11-07'!$E$31</c:f>
              <c:strCache>
                <c:ptCount val="1"/>
                <c:pt idx="0">
                  <c:v>At source corrections 
EUR 1 176 million</c:v>
                </c:pt>
              </c:strCache>
            </c:strRef>
          </c:tx>
          <c:spPr>
            <a:solidFill>
              <a:schemeClr val="accent2">
                <a:lumMod val="75000"/>
              </a:schemeClr>
            </a:solidFill>
          </c:spPr>
          <c:invertIfNegative val="0"/>
          <c:cat>
            <c:strRef>
              <c:f>'General overview_updated_11-07'!$F$30:$I$30</c:f>
              <c:strCache>
                <c:ptCount val="4"/>
                <c:pt idx="0">
                  <c:v>Cohesion Policy </c:v>
                </c:pt>
                <c:pt idx="1">
                  <c:v>Agriculture Policy</c:v>
                </c:pt>
                <c:pt idx="2">
                  <c:v>Internal Policies</c:v>
                </c:pt>
                <c:pt idx="3">
                  <c:v>External Policies</c:v>
                </c:pt>
              </c:strCache>
            </c:strRef>
          </c:cat>
          <c:val>
            <c:numRef>
              <c:f>'General overview_updated_11-07'!$F$31:$I$31</c:f>
              <c:numCache>
                <c:formatCode>#,##0</c:formatCode>
                <c:ptCount val="4"/>
                <c:pt idx="0">
                  <c:v>752.36114878253397</c:v>
                </c:pt>
                <c:pt idx="1">
                  <c:v>19.557106910000002</c:v>
                </c:pt>
                <c:pt idx="2">
                  <c:v>284.36511524818337</c:v>
                </c:pt>
                <c:pt idx="3">
                  <c:v>115.1773831029418</c:v>
                </c:pt>
              </c:numCache>
            </c:numRef>
          </c:val>
        </c:ser>
        <c:ser>
          <c:idx val="1"/>
          <c:order val="1"/>
          <c:tx>
            <c:strRef>
              <c:f>'General overview_updated_11-07'!$E$32</c:f>
              <c:strCache>
                <c:ptCount val="1"/>
                <c:pt idx="0">
                  <c:v>Replacement of expenditure 
EUR 1 134 million</c:v>
                </c:pt>
              </c:strCache>
            </c:strRef>
          </c:tx>
          <c:spPr>
            <a:solidFill>
              <a:schemeClr val="tx2">
                <a:lumMod val="40000"/>
                <a:lumOff val="60000"/>
              </a:schemeClr>
            </a:solidFill>
          </c:spPr>
          <c:invertIfNegative val="0"/>
          <c:cat>
            <c:strRef>
              <c:f>'General overview_updated_11-07'!$F$30:$I$30</c:f>
              <c:strCache>
                <c:ptCount val="4"/>
                <c:pt idx="0">
                  <c:v>Cohesion Policy </c:v>
                </c:pt>
                <c:pt idx="1">
                  <c:v>Agriculture Policy</c:v>
                </c:pt>
                <c:pt idx="2">
                  <c:v>Internal Policies</c:v>
                </c:pt>
                <c:pt idx="3">
                  <c:v>External Policies</c:v>
                </c:pt>
              </c:strCache>
            </c:strRef>
          </c:cat>
          <c:val>
            <c:numRef>
              <c:f>'General overview_updated_11-07'!$F$32:$I$32</c:f>
              <c:numCache>
                <c:formatCode>#,##0</c:formatCode>
                <c:ptCount val="4"/>
                <c:pt idx="0">
                  <c:v>1138.8400514821521</c:v>
                </c:pt>
                <c:pt idx="1">
                  <c:v>0</c:v>
                </c:pt>
                <c:pt idx="2">
                  <c:v>0</c:v>
                </c:pt>
                <c:pt idx="3">
                  <c:v>0</c:v>
                </c:pt>
              </c:numCache>
            </c:numRef>
          </c:val>
        </c:ser>
        <c:ser>
          <c:idx val="2"/>
          <c:order val="2"/>
          <c:tx>
            <c:strRef>
              <c:f>'General overview_updated_11-07'!$E$33</c:f>
              <c:strCache>
                <c:ptCount val="1"/>
                <c:pt idx="0">
                  <c:v>Net corrections 
EUR 1 543 million</c:v>
                </c:pt>
              </c:strCache>
            </c:strRef>
          </c:tx>
          <c:spPr>
            <a:solidFill>
              <a:schemeClr val="accent3">
                <a:lumMod val="60000"/>
                <a:lumOff val="40000"/>
              </a:schemeClr>
            </a:solidFill>
          </c:spPr>
          <c:invertIfNegative val="0"/>
          <c:cat>
            <c:strRef>
              <c:f>'General overview_updated_11-07'!$F$30:$I$30</c:f>
              <c:strCache>
                <c:ptCount val="4"/>
                <c:pt idx="0">
                  <c:v>Cohesion Policy </c:v>
                </c:pt>
                <c:pt idx="1">
                  <c:v>Agriculture Policy</c:v>
                </c:pt>
                <c:pt idx="2">
                  <c:v>Internal Policies</c:v>
                </c:pt>
                <c:pt idx="3">
                  <c:v>External Policies</c:v>
                </c:pt>
              </c:strCache>
            </c:strRef>
          </c:cat>
          <c:val>
            <c:numRef>
              <c:f>'General overview_updated_11-07'!$F$33:$I$33</c:f>
              <c:numCache>
                <c:formatCode>#,##0</c:formatCode>
                <c:ptCount val="4"/>
                <c:pt idx="0">
                  <c:v>-83.315805464619416</c:v>
                </c:pt>
                <c:pt idx="1">
                  <c:v>1567.4703137699998</c:v>
                </c:pt>
                <c:pt idx="2">
                  <c:v>38.200456241816347</c:v>
                </c:pt>
                <c:pt idx="3">
                  <c:v>20.411886797877354</c:v>
                </c:pt>
              </c:numCache>
            </c:numRef>
          </c:val>
        </c:ser>
        <c:dLbls>
          <c:showLegendKey val="0"/>
          <c:showVal val="0"/>
          <c:showCatName val="0"/>
          <c:showSerName val="0"/>
          <c:showPercent val="0"/>
          <c:showBubbleSize val="0"/>
        </c:dLbls>
        <c:gapWidth val="150"/>
        <c:overlap val="100"/>
        <c:axId val="73225344"/>
        <c:axId val="73226880"/>
      </c:barChart>
      <c:catAx>
        <c:axId val="73225344"/>
        <c:scaling>
          <c:orientation val="minMax"/>
        </c:scaling>
        <c:delete val="0"/>
        <c:axPos val="b"/>
        <c:majorTickMark val="out"/>
        <c:minorTickMark val="none"/>
        <c:tickLblPos val="nextTo"/>
        <c:txPr>
          <a:bodyPr/>
          <a:lstStyle/>
          <a:p>
            <a:pPr>
              <a:defRPr sz="800"/>
            </a:pPr>
            <a:endParaRPr lang="en-US"/>
          </a:p>
        </c:txPr>
        <c:crossAx val="73226880"/>
        <c:crosses val="autoZero"/>
        <c:auto val="1"/>
        <c:lblAlgn val="ctr"/>
        <c:lblOffset val="100"/>
        <c:noMultiLvlLbl val="0"/>
      </c:catAx>
      <c:valAx>
        <c:axId val="73226880"/>
        <c:scaling>
          <c:orientation val="minMax"/>
        </c:scaling>
        <c:delete val="0"/>
        <c:axPos val="l"/>
        <c:majorGridlines/>
        <c:numFmt formatCode="#,##0" sourceLinked="1"/>
        <c:majorTickMark val="out"/>
        <c:minorTickMark val="none"/>
        <c:tickLblPos val="nextTo"/>
        <c:crossAx val="73225344"/>
        <c:crosses val="autoZero"/>
        <c:crossBetween val="between"/>
      </c:valAx>
    </c:plotArea>
    <c:legend>
      <c:legendPos val="r"/>
      <c:layout>
        <c:manualLayout>
          <c:xMode val="edge"/>
          <c:yMode val="edge"/>
          <c:x val="0.69512090226175993"/>
          <c:y val="0.2046712408537357"/>
          <c:w val="0.29218819300842697"/>
          <c:h val="0.42251358050735721"/>
        </c:manualLayout>
      </c:layout>
      <c:overlay val="0"/>
      <c:txPr>
        <a:bodyPr/>
        <a:lstStyle/>
        <a:p>
          <a:pPr>
            <a:defRPr sz="900"/>
          </a:pPr>
          <a:endParaRPr lang="en-US"/>
        </a:p>
      </c:txPr>
    </c:legend>
    <c:plotVisOnly val="1"/>
    <c:dispBlanksAs val="gap"/>
    <c:showDLblsOverMax val="0"/>
  </c:chart>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stacked"/>
        <c:varyColors val="0"/>
        <c:ser>
          <c:idx val="0"/>
          <c:order val="0"/>
          <c:tx>
            <c:strRef>
              <c:f>'Bar chart'!$A$2</c:f>
              <c:strCache>
                <c:ptCount val="1"/>
                <c:pt idx="0">
                  <c:v>Agriculture &amp; RD</c:v>
                </c:pt>
              </c:strCache>
            </c:strRef>
          </c:tx>
          <c:spPr>
            <a:solidFill>
              <a:schemeClr val="tx2">
                <a:lumMod val="40000"/>
                <a:lumOff val="60000"/>
              </a:schemeClr>
            </a:solidFill>
          </c:spPr>
          <c:invertIfNegative val="0"/>
          <c:cat>
            <c:numRef>
              <c:f>'Bar chart'!$B$1:$H$1</c:f>
              <c:numCache>
                <c:formatCode>General</c:formatCode>
                <c:ptCount val="7"/>
                <c:pt idx="0">
                  <c:v>2009</c:v>
                </c:pt>
                <c:pt idx="1">
                  <c:v>2010</c:v>
                </c:pt>
                <c:pt idx="2">
                  <c:v>2011</c:v>
                </c:pt>
                <c:pt idx="3">
                  <c:v>2012</c:v>
                </c:pt>
                <c:pt idx="4">
                  <c:v>2013</c:v>
                </c:pt>
                <c:pt idx="5">
                  <c:v>2014</c:v>
                </c:pt>
                <c:pt idx="6">
                  <c:v>2015</c:v>
                </c:pt>
              </c:numCache>
            </c:numRef>
          </c:cat>
          <c:val>
            <c:numRef>
              <c:f>'Bar chart'!$B$2:$H$2</c:f>
              <c:numCache>
                <c:formatCode>#\ ##0</c:formatCode>
                <c:ptCount val="7"/>
                <c:pt idx="0">
                  <c:v>697</c:v>
                </c:pt>
                <c:pt idx="1">
                  <c:v>1420</c:v>
                </c:pt>
                <c:pt idx="2">
                  <c:v>1067</c:v>
                </c:pt>
                <c:pt idx="3">
                  <c:v>859</c:v>
                </c:pt>
                <c:pt idx="4">
                  <c:v>1456</c:v>
                </c:pt>
                <c:pt idx="5">
                  <c:v>2247</c:v>
                </c:pt>
                <c:pt idx="6">
                  <c:v>1292</c:v>
                </c:pt>
              </c:numCache>
            </c:numRef>
          </c:val>
        </c:ser>
        <c:ser>
          <c:idx val="1"/>
          <c:order val="1"/>
          <c:tx>
            <c:strRef>
              <c:f>'Bar chart'!$A$3</c:f>
              <c:strCache>
                <c:ptCount val="1"/>
                <c:pt idx="0">
                  <c:v>EAGF</c:v>
                </c:pt>
              </c:strCache>
            </c:strRef>
          </c:tx>
          <c:invertIfNegative val="0"/>
          <c:cat>
            <c:numRef>
              <c:f>'Bar chart'!$B$1:$H$1</c:f>
              <c:numCache>
                <c:formatCode>General</c:formatCode>
                <c:ptCount val="7"/>
                <c:pt idx="0">
                  <c:v>2009</c:v>
                </c:pt>
                <c:pt idx="1">
                  <c:v>2010</c:v>
                </c:pt>
                <c:pt idx="2">
                  <c:v>2011</c:v>
                </c:pt>
                <c:pt idx="3">
                  <c:v>2012</c:v>
                </c:pt>
                <c:pt idx="4">
                  <c:v>2013</c:v>
                </c:pt>
                <c:pt idx="5">
                  <c:v>2014</c:v>
                </c:pt>
                <c:pt idx="6">
                  <c:v>2015</c:v>
                </c:pt>
              </c:numCache>
            </c:numRef>
          </c:cat>
          <c:val>
            <c:numRef>
              <c:f>'Bar chart'!$B$3:$H$3</c:f>
            </c:numRef>
          </c:val>
        </c:ser>
        <c:ser>
          <c:idx val="2"/>
          <c:order val="2"/>
          <c:tx>
            <c:strRef>
              <c:f>'Bar chart'!$A$4</c:f>
              <c:strCache>
                <c:ptCount val="1"/>
                <c:pt idx="0">
                  <c:v>Rural Development</c:v>
                </c:pt>
              </c:strCache>
            </c:strRef>
          </c:tx>
          <c:invertIfNegative val="0"/>
          <c:cat>
            <c:numRef>
              <c:f>'Bar chart'!$B$1:$H$1</c:f>
              <c:numCache>
                <c:formatCode>General</c:formatCode>
                <c:ptCount val="7"/>
                <c:pt idx="0">
                  <c:v>2009</c:v>
                </c:pt>
                <c:pt idx="1">
                  <c:v>2010</c:v>
                </c:pt>
                <c:pt idx="2">
                  <c:v>2011</c:v>
                </c:pt>
                <c:pt idx="3">
                  <c:v>2012</c:v>
                </c:pt>
                <c:pt idx="4">
                  <c:v>2013</c:v>
                </c:pt>
                <c:pt idx="5">
                  <c:v>2014</c:v>
                </c:pt>
                <c:pt idx="6">
                  <c:v>2015</c:v>
                </c:pt>
              </c:numCache>
            </c:numRef>
          </c:cat>
          <c:val>
            <c:numRef>
              <c:f>'Bar chart'!$B$4:$H$4</c:f>
            </c:numRef>
          </c:val>
        </c:ser>
        <c:ser>
          <c:idx val="3"/>
          <c:order val="3"/>
          <c:tx>
            <c:strRef>
              <c:f>'Bar chart'!$A$5</c:f>
              <c:strCache>
                <c:ptCount val="1"/>
                <c:pt idx="0">
                  <c:v>Cohesion Policy</c:v>
                </c:pt>
              </c:strCache>
            </c:strRef>
          </c:tx>
          <c:spPr>
            <a:solidFill>
              <a:schemeClr val="accent6">
                <a:lumMod val="60000"/>
                <a:lumOff val="40000"/>
              </a:schemeClr>
            </a:solidFill>
          </c:spPr>
          <c:invertIfNegative val="0"/>
          <c:cat>
            <c:numRef>
              <c:f>'Bar chart'!$B$1:$H$1</c:f>
              <c:numCache>
                <c:formatCode>General</c:formatCode>
                <c:ptCount val="7"/>
                <c:pt idx="0">
                  <c:v>2009</c:v>
                </c:pt>
                <c:pt idx="1">
                  <c:v>2010</c:v>
                </c:pt>
                <c:pt idx="2">
                  <c:v>2011</c:v>
                </c:pt>
                <c:pt idx="3">
                  <c:v>2012</c:v>
                </c:pt>
                <c:pt idx="4">
                  <c:v>2013</c:v>
                </c:pt>
                <c:pt idx="5">
                  <c:v>2014</c:v>
                </c:pt>
                <c:pt idx="6">
                  <c:v>2015</c:v>
                </c:pt>
              </c:numCache>
            </c:numRef>
          </c:cat>
          <c:val>
            <c:numRef>
              <c:f>'Bar chart'!$B$5:$H$5</c:f>
              <c:numCache>
                <c:formatCode>#\ ##0</c:formatCode>
                <c:ptCount val="7"/>
                <c:pt idx="0">
                  <c:v>2488</c:v>
                </c:pt>
                <c:pt idx="1">
                  <c:v>949</c:v>
                </c:pt>
                <c:pt idx="2">
                  <c:v>722</c:v>
                </c:pt>
                <c:pt idx="3">
                  <c:v>1641</c:v>
                </c:pt>
                <c:pt idx="4">
                  <c:v>1485</c:v>
                </c:pt>
                <c:pt idx="5">
                  <c:v>2050</c:v>
                </c:pt>
                <c:pt idx="6">
                  <c:v>1744</c:v>
                </c:pt>
              </c:numCache>
            </c:numRef>
          </c:val>
        </c:ser>
        <c:ser>
          <c:idx val="4"/>
          <c:order val="4"/>
          <c:tx>
            <c:strRef>
              <c:f>'Bar chart'!$A$6</c:f>
              <c:strCache>
                <c:ptCount val="1"/>
                <c:pt idx="0">
                  <c:v>ERDF</c:v>
                </c:pt>
              </c:strCache>
            </c:strRef>
          </c:tx>
          <c:invertIfNegative val="0"/>
          <c:cat>
            <c:numRef>
              <c:f>'Bar chart'!$B$1:$H$1</c:f>
              <c:numCache>
                <c:formatCode>General</c:formatCode>
                <c:ptCount val="7"/>
                <c:pt idx="0">
                  <c:v>2009</c:v>
                </c:pt>
                <c:pt idx="1">
                  <c:v>2010</c:v>
                </c:pt>
                <c:pt idx="2">
                  <c:v>2011</c:v>
                </c:pt>
                <c:pt idx="3">
                  <c:v>2012</c:v>
                </c:pt>
                <c:pt idx="4">
                  <c:v>2013</c:v>
                </c:pt>
                <c:pt idx="5">
                  <c:v>2014</c:v>
                </c:pt>
                <c:pt idx="6">
                  <c:v>2015</c:v>
                </c:pt>
              </c:numCache>
            </c:numRef>
          </c:cat>
          <c:val>
            <c:numRef>
              <c:f>'Bar chart'!$B$6:$H$6</c:f>
            </c:numRef>
          </c:val>
        </c:ser>
        <c:ser>
          <c:idx val="5"/>
          <c:order val="5"/>
          <c:tx>
            <c:strRef>
              <c:f>'Bar chart'!$A$7</c:f>
              <c:strCache>
                <c:ptCount val="1"/>
                <c:pt idx="0">
                  <c:v>Cohesion Fund</c:v>
                </c:pt>
              </c:strCache>
            </c:strRef>
          </c:tx>
          <c:invertIfNegative val="0"/>
          <c:cat>
            <c:numRef>
              <c:f>'Bar chart'!$B$1:$H$1</c:f>
              <c:numCache>
                <c:formatCode>General</c:formatCode>
                <c:ptCount val="7"/>
                <c:pt idx="0">
                  <c:v>2009</c:v>
                </c:pt>
                <c:pt idx="1">
                  <c:v>2010</c:v>
                </c:pt>
                <c:pt idx="2">
                  <c:v>2011</c:v>
                </c:pt>
                <c:pt idx="3">
                  <c:v>2012</c:v>
                </c:pt>
                <c:pt idx="4">
                  <c:v>2013</c:v>
                </c:pt>
                <c:pt idx="5">
                  <c:v>2014</c:v>
                </c:pt>
                <c:pt idx="6">
                  <c:v>2015</c:v>
                </c:pt>
              </c:numCache>
            </c:numRef>
          </c:cat>
          <c:val>
            <c:numRef>
              <c:f>'Bar chart'!$B$7:$H$7</c:f>
            </c:numRef>
          </c:val>
        </c:ser>
        <c:ser>
          <c:idx val="6"/>
          <c:order val="6"/>
          <c:tx>
            <c:strRef>
              <c:f>'Bar chart'!$A$8</c:f>
              <c:strCache>
                <c:ptCount val="1"/>
                <c:pt idx="0">
                  <c:v>ESF</c:v>
                </c:pt>
              </c:strCache>
            </c:strRef>
          </c:tx>
          <c:invertIfNegative val="0"/>
          <c:cat>
            <c:numRef>
              <c:f>'Bar chart'!$B$1:$H$1</c:f>
              <c:numCache>
                <c:formatCode>General</c:formatCode>
                <c:ptCount val="7"/>
                <c:pt idx="0">
                  <c:v>2009</c:v>
                </c:pt>
                <c:pt idx="1">
                  <c:v>2010</c:v>
                </c:pt>
                <c:pt idx="2">
                  <c:v>2011</c:v>
                </c:pt>
                <c:pt idx="3">
                  <c:v>2012</c:v>
                </c:pt>
                <c:pt idx="4">
                  <c:v>2013</c:v>
                </c:pt>
                <c:pt idx="5">
                  <c:v>2014</c:v>
                </c:pt>
                <c:pt idx="6">
                  <c:v>2015</c:v>
                </c:pt>
              </c:numCache>
            </c:numRef>
          </c:cat>
          <c:val>
            <c:numRef>
              <c:f>'Bar chart'!$B$8:$H$8</c:f>
            </c:numRef>
          </c:val>
        </c:ser>
        <c:ser>
          <c:idx val="7"/>
          <c:order val="7"/>
          <c:tx>
            <c:strRef>
              <c:f>'Bar chart'!$A$9</c:f>
              <c:strCache>
                <c:ptCount val="1"/>
                <c:pt idx="0">
                  <c:v>FIFG/EFF</c:v>
                </c:pt>
              </c:strCache>
            </c:strRef>
          </c:tx>
          <c:invertIfNegative val="0"/>
          <c:cat>
            <c:numRef>
              <c:f>'Bar chart'!$B$1:$H$1</c:f>
              <c:numCache>
                <c:formatCode>General</c:formatCode>
                <c:ptCount val="7"/>
                <c:pt idx="0">
                  <c:v>2009</c:v>
                </c:pt>
                <c:pt idx="1">
                  <c:v>2010</c:v>
                </c:pt>
                <c:pt idx="2">
                  <c:v>2011</c:v>
                </c:pt>
                <c:pt idx="3">
                  <c:v>2012</c:v>
                </c:pt>
                <c:pt idx="4">
                  <c:v>2013</c:v>
                </c:pt>
                <c:pt idx="5">
                  <c:v>2014</c:v>
                </c:pt>
                <c:pt idx="6">
                  <c:v>2015</c:v>
                </c:pt>
              </c:numCache>
            </c:numRef>
          </c:cat>
          <c:val>
            <c:numRef>
              <c:f>'Bar chart'!$B$9:$H$9</c:f>
            </c:numRef>
          </c:val>
        </c:ser>
        <c:ser>
          <c:idx val="8"/>
          <c:order val="8"/>
          <c:tx>
            <c:strRef>
              <c:f>'Bar chart'!$A$10</c:f>
              <c:strCache>
                <c:ptCount val="1"/>
                <c:pt idx="0">
                  <c:v>EAGGF Guidance</c:v>
                </c:pt>
              </c:strCache>
            </c:strRef>
          </c:tx>
          <c:invertIfNegative val="0"/>
          <c:cat>
            <c:numRef>
              <c:f>'Bar chart'!$B$1:$H$1</c:f>
              <c:numCache>
                <c:formatCode>General</c:formatCode>
                <c:ptCount val="7"/>
                <c:pt idx="0">
                  <c:v>2009</c:v>
                </c:pt>
                <c:pt idx="1">
                  <c:v>2010</c:v>
                </c:pt>
                <c:pt idx="2">
                  <c:v>2011</c:v>
                </c:pt>
                <c:pt idx="3">
                  <c:v>2012</c:v>
                </c:pt>
                <c:pt idx="4">
                  <c:v>2013</c:v>
                </c:pt>
                <c:pt idx="5">
                  <c:v>2014</c:v>
                </c:pt>
                <c:pt idx="6">
                  <c:v>2015</c:v>
                </c:pt>
              </c:numCache>
            </c:numRef>
          </c:cat>
          <c:val>
            <c:numRef>
              <c:f>'Bar chart'!$B$10:$H$10</c:f>
            </c:numRef>
          </c:val>
        </c:ser>
        <c:ser>
          <c:idx val="9"/>
          <c:order val="9"/>
          <c:tx>
            <c:strRef>
              <c:f>'Bar chart'!$A$11</c:f>
              <c:strCache>
                <c:ptCount val="1"/>
                <c:pt idx="0">
                  <c:v>Other</c:v>
                </c:pt>
              </c:strCache>
            </c:strRef>
          </c:tx>
          <c:invertIfNegative val="0"/>
          <c:cat>
            <c:numRef>
              <c:f>'Bar chart'!$B$1:$H$1</c:f>
              <c:numCache>
                <c:formatCode>General</c:formatCode>
                <c:ptCount val="7"/>
                <c:pt idx="0">
                  <c:v>2009</c:v>
                </c:pt>
                <c:pt idx="1">
                  <c:v>2010</c:v>
                </c:pt>
                <c:pt idx="2">
                  <c:v>2011</c:v>
                </c:pt>
                <c:pt idx="3">
                  <c:v>2012</c:v>
                </c:pt>
                <c:pt idx="4">
                  <c:v>2013</c:v>
                </c:pt>
                <c:pt idx="5">
                  <c:v>2014</c:v>
                </c:pt>
                <c:pt idx="6">
                  <c:v>2015</c:v>
                </c:pt>
              </c:numCache>
            </c:numRef>
          </c:cat>
          <c:val>
            <c:numRef>
              <c:f>'Bar chart'!$B$11:$H$11</c:f>
            </c:numRef>
          </c:val>
        </c:ser>
        <c:ser>
          <c:idx val="10"/>
          <c:order val="10"/>
          <c:tx>
            <c:strRef>
              <c:f>'Bar chart'!$A$12</c:f>
              <c:strCache>
                <c:ptCount val="1"/>
                <c:pt idx="0">
                  <c:v>Internal policy areas</c:v>
                </c:pt>
              </c:strCache>
            </c:strRef>
          </c:tx>
          <c:spPr>
            <a:solidFill>
              <a:schemeClr val="accent2"/>
            </a:solidFill>
          </c:spPr>
          <c:invertIfNegative val="0"/>
          <c:cat>
            <c:numRef>
              <c:f>'Bar chart'!$B$1:$H$1</c:f>
              <c:numCache>
                <c:formatCode>General</c:formatCode>
                <c:ptCount val="7"/>
                <c:pt idx="0">
                  <c:v>2009</c:v>
                </c:pt>
                <c:pt idx="1">
                  <c:v>2010</c:v>
                </c:pt>
                <c:pt idx="2">
                  <c:v>2011</c:v>
                </c:pt>
                <c:pt idx="3">
                  <c:v>2012</c:v>
                </c:pt>
                <c:pt idx="4">
                  <c:v>2013</c:v>
                </c:pt>
                <c:pt idx="5">
                  <c:v>2014</c:v>
                </c:pt>
                <c:pt idx="6">
                  <c:v>2015</c:v>
                </c:pt>
              </c:numCache>
            </c:numRef>
          </c:cat>
          <c:val>
            <c:numRef>
              <c:f>'Bar chart'!$B$12:$H$12</c:f>
              <c:numCache>
                <c:formatCode>#\ ##0</c:formatCode>
                <c:ptCount val="7"/>
                <c:pt idx="0">
                  <c:v>100</c:v>
                </c:pt>
                <c:pt idx="1">
                  <c:v>188</c:v>
                </c:pt>
                <c:pt idx="2">
                  <c:v>270</c:v>
                </c:pt>
                <c:pt idx="3">
                  <c:v>253</c:v>
                </c:pt>
                <c:pt idx="4">
                  <c:v>396</c:v>
                </c:pt>
                <c:pt idx="5">
                  <c:v>297</c:v>
                </c:pt>
                <c:pt idx="6">
                  <c:v>326</c:v>
                </c:pt>
              </c:numCache>
            </c:numRef>
          </c:val>
        </c:ser>
        <c:ser>
          <c:idx val="11"/>
          <c:order val="11"/>
          <c:tx>
            <c:strRef>
              <c:f>'Bar chart'!$A$13</c:f>
              <c:strCache>
                <c:ptCount val="1"/>
                <c:pt idx="0">
                  <c:v>External policy areas</c:v>
                </c:pt>
              </c:strCache>
            </c:strRef>
          </c:tx>
          <c:spPr>
            <a:solidFill>
              <a:schemeClr val="accent3"/>
            </a:solidFill>
          </c:spPr>
          <c:invertIfNegative val="0"/>
          <c:cat>
            <c:numRef>
              <c:f>'Bar chart'!$B$1:$H$1</c:f>
              <c:numCache>
                <c:formatCode>General</c:formatCode>
                <c:ptCount val="7"/>
                <c:pt idx="0">
                  <c:v>2009</c:v>
                </c:pt>
                <c:pt idx="1">
                  <c:v>2010</c:v>
                </c:pt>
                <c:pt idx="2">
                  <c:v>2011</c:v>
                </c:pt>
                <c:pt idx="3">
                  <c:v>2012</c:v>
                </c:pt>
                <c:pt idx="4">
                  <c:v>2013</c:v>
                </c:pt>
                <c:pt idx="5">
                  <c:v>2014</c:v>
                </c:pt>
                <c:pt idx="6">
                  <c:v>2015</c:v>
                </c:pt>
              </c:numCache>
            </c:numRef>
          </c:cat>
          <c:val>
            <c:numRef>
              <c:f>'Bar chart'!$B$13:$H$13</c:f>
              <c:numCache>
                <c:formatCode>#\ ##0</c:formatCode>
                <c:ptCount val="7"/>
                <c:pt idx="0">
                  <c:v>81</c:v>
                </c:pt>
                <c:pt idx="1">
                  <c:v>137</c:v>
                </c:pt>
                <c:pt idx="2">
                  <c:v>107</c:v>
                </c:pt>
                <c:pt idx="3">
                  <c:v>107</c:v>
                </c:pt>
                <c:pt idx="4">
                  <c:v>93</c:v>
                </c:pt>
                <c:pt idx="5">
                  <c:v>127</c:v>
                </c:pt>
                <c:pt idx="6">
                  <c:v>132</c:v>
                </c:pt>
              </c:numCache>
            </c:numRef>
          </c:val>
        </c:ser>
        <c:ser>
          <c:idx val="12"/>
          <c:order val="12"/>
          <c:tx>
            <c:strRef>
              <c:f>'Bar chart'!$A$14</c:f>
              <c:strCache>
                <c:ptCount val="1"/>
                <c:pt idx="0">
                  <c:v>Administration</c:v>
                </c:pt>
              </c:strCache>
            </c:strRef>
          </c:tx>
          <c:invertIfNegative val="0"/>
          <c:cat>
            <c:numRef>
              <c:f>'Bar chart'!$B$1:$H$1</c:f>
              <c:numCache>
                <c:formatCode>General</c:formatCode>
                <c:ptCount val="7"/>
                <c:pt idx="0">
                  <c:v>2009</c:v>
                </c:pt>
                <c:pt idx="1">
                  <c:v>2010</c:v>
                </c:pt>
                <c:pt idx="2">
                  <c:v>2011</c:v>
                </c:pt>
                <c:pt idx="3">
                  <c:v>2012</c:v>
                </c:pt>
                <c:pt idx="4">
                  <c:v>2013</c:v>
                </c:pt>
                <c:pt idx="5">
                  <c:v>2014</c:v>
                </c:pt>
                <c:pt idx="6">
                  <c:v>2015</c:v>
                </c:pt>
              </c:numCache>
            </c:numRef>
          </c:cat>
          <c:val>
            <c:numRef>
              <c:f>'Bar chart'!$B$14:$H$14</c:f>
              <c:numCache>
                <c:formatCode>#\ ##0</c:formatCode>
                <c:ptCount val="7"/>
                <c:pt idx="0">
                  <c:v>9</c:v>
                </c:pt>
                <c:pt idx="1">
                  <c:v>5</c:v>
                </c:pt>
                <c:pt idx="2">
                  <c:v>8</c:v>
                </c:pt>
                <c:pt idx="3">
                  <c:v>7</c:v>
                </c:pt>
                <c:pt idx="4">
                  <c:v>6</c:v>
                </c:pt>
                <c:pt idx="5">
                  <c:v>5</c:v>
                </c:pt>
                <c:pt idx="6">
                  <c:v>5</c:v>
                </c:pt>
              </c:numCache>
            </c:numRef>
          </c:val>
        </c:ser>
        <c:dLbls>
          <c:showLegendKey val="0"/>
          <c:showVal val="0"/>
          <c:showCatName val="0"/>
          <c:showSerName val="0"/>
          <c:showPercent val="0"/>
          <c:showBubbleSize val="0"/>
        </c:dLbls>
        <c:gapWidth val="150"/>
        <c:overlap val="100"/>
        <c:axId val="227420416"/>
        <c:axId val="227426304"/>
      </c:barChart>
      <c:catAx>
        <c:axId val="227420416"/>
        <c:scaling>
          <c:orientation val="minMax"/>
        </c:scaling>
        <c:delete val="0"/>
        <c:axPos val="b"/>
        <c:numFmt formatCode="General" sourceLinked="1"/>
        <c:majorTickMark val="out"/>
        <c:minorTickMark val="none"/>
        <c:tickLblPos val="nextTo"/>
        <c:crossAx val="227426304"/>
        <c:crosses val="autoZero"/>
        <c:auto val="1"/>
        <c:lblAlgn val="ctr"/>
        <c:lblOffset val="100"/>
        <c:tickLblSkip val="1"/>
        <c:noMultiLvlLbl val="0"/>
      </c:catAx>
      <c:valAx>
        <c:axId val="227426304"/>
        <c:scaling>
          <c:orientation val="minMax"/>
        </c:scaling>
        <c:delete val="0"/>
        <c:axPos val="l"/>
        <c:majorGridlines/>
        <c:numFmt formatCode="#\ ##0" sourceLinked="0"/>
        <c:majorTickMark val="out"/>
        <c:minorTickMark val="none"/>
        <c:tickLblPos val="nextTo"/>
        <c:crossAx val="227420416"/>
        <c:crosses val="autoZero"/>
        <c:crossBetween val="between"/>
      </c:valAx>
    </c:plotArea>
    <c:legend>
      <c:legendPos val="r"/>
      <c:layout/>
      <c:overlay val="0"/>
    </c:legend>
    <c:plotVisOnly val="1"/>
    <c:dispBlanksAs val="gap"/>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1201052420628349"/>
          <c:y val="9.2612947877192583E-2"/>
          <c:w val="0.62206851449416323"/>
          <c:h val="0.79289074978994523"/>
        </c:manualLayout>
      </c:layout>
      <c:lineChart>
        <c:grouping val="standard"/>
        <c:varyColors val="0"/>
        <c:ser>
          <c:idx val="1"/>
          <c:order val="0"/>
          <c:tx>
            <c:strRef>
              <c:f>'Graphs 4.1'!$B$28</c:f>
              <c:strCache>
                <c:ptCount val="1"/>
                <c:pt idx="0">
                  <c:v>Cohesion Policy</c:v>
                </c:pt>
              </c:strCache>
            </c:strRef>
          </c:tx>
          <c:cat>
            <c:numRef>
              <c:f>'Graphs 4.1'!$C$23:$I$23</c:f>
              <c:numCache>
                <c:formatCode>General</c:formatCode>
                <c:ptCount val="7"/>
                <c:pt idx="0">
                  <c:v>2009</c:v>
                </c:pt>
                <c:pt idx="1">
                  <c:v>2010</c:v>
                </c:pt>
                <c:pt idx="2">
                  <c:v>2011</c:v>
                </c:pt>
                <c:pt idx="3">
                  <c:v>2012</c:v>
                </c:pt>
                <c:pt idx="4">
                  <c:v>2013</c:v>
                </c:pt>
                <c:pt idx="5">
                  <c:v>2014</c:v>
                </c:pt>
                <c:pt idx="6">
                  <c:v>2015</c:v>
                </c:pt>
              </c:numCache>
            </c:numRef>
          </c:cat>
          <c:val>
            <c:numRef>
              <c:f>'Graphs 4.1'!$C$28:$I$28</c:f>
              <c:numCache>
                <c:formatCode>0.000</c:formatCode>
                <c:ptCount val="7"/>
                <c:pt idx="0">
                  <c:v>2.4879999999999995</c:v>
                </c:pt>
                <c:pt idx="1">
                  <c:v>0.94900000000000007</c:v>
                </c:pt>
                <c:pt idx="2">
                  <c:v>0.72200000000000009</c:v>
                </c:pt>
                <c:pt idx="3">
                  <c:v>1.641</c:v>
                </c:pt>
                <c:pt idx="4">
                  <c:v>1.4849999999999999</c:v>
                </c:pt>
                <c:pt idx="5">
                  <c:v>2.0499999999999998</c:v>
                </c:pt>
                <c:pt idx="6">
                  <c:v>1.744</c:v>
                </c:pt>
              </c:numCache>
            </c:numRef>
          </c:val>
          <c:smooth val="0"/>
        </c:ser>
        <c:ser>
          <c:idx val="2"/>
          <c:order val="1"/>
          <c:tx>
            <c:strRef>
              <c:f>'Graphs 4.1'!$B$35</c:f>
              <c:strCache>
                <c:ptCount val="1"/>
                <c:pt idx="0">
                  <c:v>Internal policy areas</c:v>
                </c:pt>
              </c:strCache>
            </c:strRef>
          </c:tx>
          <c:cat>
            <c:numRef>
              <c:f>'Graphs 4.1'!$C$23:$I$23</c:f>
              <c:numCache>
                <c:formatCode>General</c:formatCode>
                <c:ptCount val="7"/>
                <c:pt idx="0">
                  <c:v>2009</c:v>
                </c:pt>
                <c:pt idx="1">
                  <c:v>2010</c:v>
                </c:pt>
                <c:pt idx="2">
                  <c:v>2011</c:v>
                </c:pt>
                <c:pt idx="3">
                  <c:v>2012</c:v>
                </c:pt>
                <c:pt idx="4">
                  <c:v>2013</c:v>
                </c:pt>
                <c:pt idx="5">
                  <c:v>2014</c:v>
                </c:pt>
                <c:pt idx="6">
                  <c:v>2015</c:v>
                </c:pt>
              </c:numCache>
            </c:numRef>
          </c:cat>
          <c:val>
            <c:numRef>
              <c:f>'Graphs 4.1'!$C$35:$I$35</c:f>
              <c:numCache>
                <c:formatCode>0.000</c:formatCode>
                <c:ptCount val="7"/>
                <c:pt idx="0">
                  <c:v>0.1</c:v>
                </c:pt>
                <c:pt idx="1">
                  <c:v>0.188</c:v>
                </c:pt>
                <c:pt idx="2">
                  <c:v>0.27</c:v>
                </c:pt>
                <c:pt idx="3">
                  <c:v>0.253</c:v>
                </c:pt>
                <c:pt idx="4">
                  <c:v>0.39600000000000002</c:v>
                </c:pt>
                <c:pt idx="5">
                  <c:v>0.29799999999999999</c:v>
                </c:pt>
                <c:pt idx="6">
                  <c:v>0.32600000000000001</c:v>
                </c:pt>
              </c:numCache>
            </c:numRef>
          </c:val>
          <c:smooth val="0"/>
        </c:ser>
        <c:ser>
          <c:idx val="0"/>
          <c:order val="2"/>
          <c:tx>
            <c:strRef>
              <c:f>'Graphs 4.1'!$B$25</c:f>
              <c:strCache>
                <c:ptCount val="1"/>
                <c:pt idx="0">
                  <c:v>Agriculture</c:v>
                </c:pt>
              </c:strCache>
            </c:strRef>
          </c:tx>
          <c:cat>
            <c:numRef>
              <c:f>'Graphs 4.1'!$C$23:$I$23</c:f>
              <c:numCache>
                <c:formatCode>General</c:formatCode>
                <c:ptCount val="7"/>
                <c:pt idx="0">
                  <c:v>2009</c:v>
                </c:pt>
                <c:pt idx="1">
                  <c:v>2010</c:v>
                </c:pt>
                <c:pt idx="2">
                  <c:v>2011</c:v>
                </c:pt>
                <c:pt idx="3">
                  <c:v>2012</c:v>
                </c:pt>
                <c:pt idx="4">
                  <c:v>2013</c:v>
                </c:pt>
                <c:pt idx="5">
                  <c:v>2014</c:v>
                </c:pt>
                <c:pt idx="6">
                  <c:v>2015</c:v>
                </c:pt>
              </c:numCache>
            </c:numRef>
          </c:cat>
          <c:val>
            <c:numRef>
              <c:f>'Graphs 4.1'!$C$25:$I$25</c:f>
              <c:numCache>
                <c:formatCode>0.000</c:formatCode>
                <c:ptCount val="7"/>
                <c:pt idx="0">
                  <c:v>0.69699999999999995</c:v>
                </c:pt>
                <c:pt idx="1">
                  <c:v>1.4200000000000002</c:v>
                </c:pt>
                <c:pt idx="2">
                  <c:v>1.0669999999999999</c:v>
                </c:pt>
                <c:pt idx="3">
                  <c:v>0.85899999999999999</c:v>
                </c:pt>
                <c:pt idx="4">
                  <c:v>1.456</c:v>
                </c:pt>
                <c:pt idx="5">
                  <c:v>2.2469999999999999</c:v>
                </c:pt>
                <c:pt idx="6">
                  <c:v>1.2930000000000001</c:v>
                </c:pt>
              </c:numCache>
            </c:numRef>
          </c:val>
          <c:smooth val="0"/>
        </c:ser>
        <c:ser>
          <c:idx val="3"/>
          <c:order val="3"/>
          <c:tx>
            <c:strRef>
              <c:f>'Graphs 4.1'!$B$36</c:f>
              <c:strCache>
                <c:ptCount val="1"/>
                <c:pt idx="0">
                  <c:v>External policy areas</c:v>
                </c:pt>
              </c:strCache>
            </c:strRef>
          </c:tx>
          <c:cat>
            <c:numRef>
              <c:f>'Graphs 4.1'!$C$23:$I$23</c:f>
              <c:numCache>
                <c:formatCode>General</c:formatCode>
                <c:ptCount val="7"/>
                <c:pt idx="0">
                  <c:v>2009</c:v>
                </c:pt>
                <c:pt idx="1">
                  <c:v>2010</c:v>
                </c:pt>
                <c:pt idx="2">
                  <c:v>2011</c:v>
                </c:pt>
                <c:pt idx="3">
                  <c:v>2012</c:v>
                </c:pt>
                <c:pt idx="4">
                  <c:v>2013</c:v>
                </c:pt>
                <c:pt idx="5">
                  <c:v>2014</c:v>
                </c:pt>
                <c:pt idx="6">
                  <c:v>2015</c:v>
                </c:pt>
              </c:numCache>
            </c:numRef>
          </c:cat>
          <c:val>
            <c:numRef>
              <c:f>'Graphs 4.1'!$C$36:$I$36</c:f>
              <c:numCache>
                <c:formatCode>0.000</c:formatCode>
                <c:ptCount val="7"/>
                <c:pt idx="0">
                  <c:v>8.1000000000000003E-2</c:v>
                </c:pt>
                <c:pt idx="1">
                  <c:v>0.13700000000000001</c:v>
                </c:pt>
                <c:pt idx="2">
                  <c:v>0.107</c:v>
                </c:pt>
                <c:pt idx="3">
                  <c:v>0.107</c:v>
                </c:pt>
                <c:pt idx="4">
                  <c:v>9.2999999999999999E-2</c:v>
                </c:pt>
                <c:pt idx="5">
                  <c:v>0.127</c:v>
                </c:pt>
                <c:pt idx="6">
                  <c:v>0.13200000000000001</c:v>
                </c:pt>
              </c:numCache>
            </c:numRef>
          </c:val>
          <c:smooth val="0"/>
        </c:ser>
        <c:ser>
          <c:idx val="4"/>
          <c:order val="4"/>
          <c:tx>
            <c:strRef>
              <c:f>'Graphs 4.1'!$B$37</c:f>
              <c:strCache>
                <c:ptCount val="1"/>
                <c:pt idx="0">
                  <c:v>Administration</c:v>
                </c:pt>
              </c:strCache>
            </c:strRef>
          </c:tx>
          <c:cat>
            <c:numRef>
              <c:f>'Graphs 4.1'!$C$23:$I$23</c:f>
              <c:numCache>
                <c:formatCode>General</c:formatCode>
                <c:ptCount val="7"/>
                <c:pt idx="0">
                  <c:v>2009</c:v>
                </c:pt>
                <c:pt idx="1">
                  <c:v>2010</c:v>
                </c:pt>
                <c:pt idx="2">
                  <c:v>2011</c:v>
                </c:pt>
                <c:pt idx="3">
                  <c:v>2012</c:v>
                </c:pt>
                <c:pt idx="4">
                  <c:v>2013</c:v>
                </c:pt>
                <c:pt idx="5">
                  <c:v>2014</c:v>
                </c:pt>
                <c:pt idx="6">
                  <c:v>2015</c:v>
                </c:pt>
              </c:numCache>
            </c:numRef>
          </c:cat>
          <c:val>
            <c:numRef>
              <c:f>'Graphs 4.1'!$C$37:$I$37</c:f>
              <c:numCache>
                <c:formatCode>0.000</c:formatCode>
                <c:ptCount val="7"/>
                <c:pt idx="0">
                  <c:v>8.9999999999999993E-3</c:v>
                </c:pt>
                <c:pt idx="1">
                  <c:v>5.0000000000000001E-3</c:v>
                </c:pt>
                <c:pt idx="2">
                  <c:v>8.0000000000000002E-3</c:v>
                </c:pt>
                <c:pt idx="3">
                  <c:v>7.0000000000000001E-3</c:v>
                </c:pt>
                <c:pt idx="4">
                  <c:v>6.0000000000000001E-3</c:v>
                </c:pt>
                <c:pt idx="5">
                  <c:v>5.0000000000000001E-3</c:v>
                </c:pt>
                <c:pt idx="6">
                  <c:v>5.0000000000000001E-3</c:v>
                </c:pt>
              </c:numCache>
            </c:numRef>
          </c:val>
          <c:smooth val="0"/>
        </c:ser>
        <c:ser>
          <c:idx val="5"/>
          <c:order val="5"/>
          <c:tx>
            <c:strRef>
              <c:f>'Graphs 4.1'!$B$38</c:f>
              <c:strCache>
                <c:ptCount val="1"/>
                <c:pt idx="0">
                  <c:v>Total decided</c:v>
                </c:pt>
              </c:strCache>
            </c:strRef>
          </c:tx>
          <c:trendline>
            <c:spPr>
              <a:ln w="25400" cmpd="sng">
                <a:solidFill>
                  <a:schemeClr val="tx1"/>
                </a:solidFill>
              </a:ln>
            </c:spPr>
            <c:trendlineType val="linear"/>
            <c:dispRSqr val="0"/>
            <c:dispEq val="0"/>
          </c:trendline>
          <c:cat>
            <c:numRef>
              <c:f>'Graphs 4.1'!$C$23:$I$23</c:f>
              <c:numCache>
                <c:formatCode>General</c:formatCode>
                <c:ptCount val="7"/>
                <c:pt idx="0">
                  <c:v>2009</c:v>
                </c:pt>
                <c:pt idx="1">
                  <c:v>2010</c:v>
                </c:pt>
                <c:pt idx="2">
                  <c:v>2011</c:v>
                </c:pt>
                <c:pt idx="3">
                  <c:v>2012</c:v>
                </c:pt>
                <c:pt idx="4">
                  <c:v>2013</c:v>
                </c:pt>
                <c:pt idx="5">
                  <c:v>2014</c:v>
                </c:pt>
                <c:pt idx="6">
                  <c:v>2015</c:v>
                </c:pt>
              </c:numCache>
            </c:numRef>
          </c:cat>
          <c:val>
            <c:numRef>
              <c:f>'Graphs 4.1'!$C$38:$I$38</c:f>
              <c:numCache>
                <c:formatCode>0.000</c:formatCode>
                <c:ptCount val="7"/>
                <c:pt idx="0">
                  <c:v>3.3749999999999996</c:v>
                </c:pt>
                <c:pt idx="1">
                  <c:v>2.6990000000000003</c:v>
                </c:pt>
                <c:pt idx="2">
                  <c:v>2.1740000000000004</c:v>
                </c:pt>
                <c:pt idx="3">
                  <c:v>2.8670000000000004</c:v>
                </c:pt>
                <c:pt idx="4">
                  <c:v>3.4359999999999995</c:v>
                </c:pt>
                <c:pt idx="5">
                  <c:v>4.7269999999999994</c:v>
                </c:pt>
                <c:pt idx="6">
                  <c:v>3.5</c:v>
                </c:pt>
              </c:numCache>
            </c:numRef>
          </c:val>
          <c:smooth val="0"/>
        </c:ser>
        <c:dLbls>
          <c:showLegendKey val="0"/>
          <c:showVal val="0"/>
          <c:showCatName val="0"/>
          <c:showSerName val="0"/>
          <c:showPercent val="0"/>
          <c:showBubbleSize val="0"/>
        </c:dLbls>
        <c:marker val="1"/>
        <c:smooth val="0"/>
        <c:axId val="233527552"/>
        <c:axId val="233541632"/>
      </c:lineChart>
      <c:catAx>
        <c:axId val="233527552"/>
        <c:scaling>
          <c:orientation val="minMax"/>
        </c:scaling>
        <c:delete val="0"/>
        <c:axPos val="b"/>
        <c:numFmt formatCode="General" sourceLinked="1"/>
        <c:majorTickMark val="out"/>
        <c:minorTickMark val="none"/>
        <c:tickLblPos val="nextTo"/>
        <c:crossAx val="233541632"/>
        <c:crosses val="autoZero"/>
        <c:auto val="1"/>
        <c:lblAlgn val="ctr"/>
        <c:lblOffset val="100"/>
        <c:noMultiLvlLbl val="0"/>
      </c:catAx>
      <c:valAx>
        <c:axId val="233541632"/>
        <c:scaling>
          <c:orientation val="minMax"/>
          <c:max val="5"/>
          <c:min val="0"/>
        </c:scaling>
        <c:delete val="0"/>
        <c:axPos val="l"/>
        <c:majorGridlines/>
        <c:numFmt formatCode="0.0" sourceLinked="0"/>
        <c:majorTickMark val="out"/>
        <c:minorTickMark val="none"/>
        <c:tickLblPos val="nextTo"/>
        <c:crossAx val="233527552"/>
        <c:crosses val="autoZero"/>
        <c:crossBetween val="between"/>
      </c:valAx>
    </c:plotArea>
    <c:legend>
      <c:legendPos val="r"/>
      <c:layout>
        <c:manualLayout>
          <c:xMode val="edge"/>
          <c:yMode val="edge"/>
          <c:x val="0.77930819823992592"/>
          <c:y val="9.6461744458327309E-2"/>
          <c:w val="0.20415677817733141"/>
          <c:h val="0.79206690035923522"/>
        </c:manualLayout>
      </c:layout>
      <c:overlay val="0"/>
      <c:txPr>
        <a:bodyPr/>
        <a:lstStyle/>
        <a:p>
          <a:pPr>
            <a:defRPr sz="900"/>
          </a:pPr>
          <a:endParaRPr lang="en-US"/>
        </a:p>
      </c:txPr>
    </c:legend>
    <c:plotVisOnly val="1"/>
    <c:dispBlanksAs val="gap"/>
    <c:showDLblsOverMax val="0"/>
  </c:chart>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0481490427193535"/>
          <c:y val="9.2612897686854559E-2"/>
          <c:w val="0.61719031659839663"/>
          <c:h val="0.79524095747573542"/>
        </c:manualLayout>
      </c:layout>
      <c:lineChart>
        <c:grouping val="standard"/>
        <c:varyColors val="0"/>
        <c:ser>
          <c:idx val="1"/>
          <c:order val="0"/>
          <c:tx>
            <c:strRef>
              <c:f>'Graphs 4.1'!$B$78</c:f>
              <c:strCache>
                <c:ptCount val="1"/>
                <c:pt idx="0">
                  <c:v>Cohesion Policy</c:v>
                </c:pt>
              </c:strCache>
            </c:strRef>
          </c:tx>
          <c:cat>
            <c:numRef>
              <c:f>'Graphs 4.1'!$C$73:$I$73</c:f>
              <c:numCache>
                <c:formatCode>General</c:formatCode>
                <c:ptCount val="7"/>
                <c:pt idx="0">
                  <c:v>2009</c:v>
                </c:pt>
                <c:pt idx="1">
                  <c:v>2010</c:v>
                </c:pt>
                <c:pt idx="2">
                  <c:v>2011</c:v>
                </c:pt>
                <c:pt idx="3">
                  <c:v>2012</c:v>
                </c:pt>
                <c:pt idx="4">
                  <c:v>2013</c:v>
                </c:pt>
                <c:pt idx="5">
                  <c:v>2014</c:v>
                </c:pt>
                <c:pt idx="6">
                  <c:v>2015</c:v>
                </c:pt>
              </c:numCache>
            </c:numRef>
          </c:cat>
          <c:val>
            <c:numRef>
              <c:f>'Graphs 4.1'!$C$78:$I$78</c:f>
              <c:numCache>
                <c:formatCode>0.000</c:formatCode>
                <c:ptCount val="7"/>
                <c:pt idx="0">
                  <c:v>0.68400000000000005</c:v>
                </c:pt>
                <c:pt idx="1">
                  <c:v>0.76100000000000012</c:v>
                </c:pt>
                <c:pt idx="2">
                  <c:v>0.67100000000000004</c:v>
                </c:pt>
                <c:pt idx="3">
                  <c:v>3.085</c:v>
                </c:pt>
                <c:pt idx="4">
                  <c:v>1.8399224663625844</c:v>
                </c:pt>
                <c:pt idx="5">
                  <c:v>1.6942791882565313</c:v>
                </c:pt>
                <c:pt idx="6">
                  <c:v>1.8080000000000001</c:v>
                </c:pt>
              </c:numCache>
            </c:numRef>
          </c:val>
          <c:smooth val="0"/>
        </c:ser>
        <c:ser>
          <c:idx val="2"/>
          <c:order val="1"/>
          <c:tx>
            <c:strRef>
              <c:f>'Graphs 4.1'!$B$85</c:f>
              <c:strCache>
                <c:ptCount val="1"/>
                <c:pt idx="0">
                  <c:v>Internal policy areas</c:v>
                </c:pt>
              </c:strCache>
            </c:strRef>
          </c:tx>
          <c:cat>
            <c:numRef>
              <c:f>'Graphs 4.1'!$C$73:$I$73</c:f>
              <c:numCache>
                <c:formatCode>General</c:formatCode>
                <c:ptCount val="7"/>
                <c:pt idx="0">
                  <c:v>2009</c:v>
                </c:pt>
                <c:pt idx="1">
                  <c:v>2010</c:v>
                </c:pt>
                <c:pt idx="2">
                  <c:v>2011</c:v>
                </c:pt>
                <c:pt idx="3">
                  <c:v>2012</c:v>
                </c:pt>
                <c:pt idx="4">
                  <c:v>2013</c:v>
                </c:pt>
                <c:pt idx="5">
                  <c:v>2014</c:v>
                </c:pt>
                <c:pt idx="6">
                  <c:v>2015</c:v>
                </c:pt>
              </c:numCache>
            </c:numRef>
          </c:cat>
          <c:val>
            <c:numRef>
              <c:f>'Graphs 4.1'!$C$85:$I$85</c:f>
              <c:numCache>
                <c:formatCode>0.000</c:formatCode>
                <c:ptCount val="7"/>
                <c:pt idx="0">
                  <c:v>0.20200000000000001</c:v>
                </c:pt>
                <c:pt idx="1">
                  <c:v>0.13800000000000001</c:v>
                </c:pt>
                <c:pt idx="2">
                  <c:v>0.26800000000000002</c:v>
                </c:pt>
                <c:pt idx="3">
                  <c:v>0.23</c:v>
                </c:pt>
                <c:pt idx="4">
                  <c:v>0.40100000000000002</c:v>
                </c:pt>
                <c:pt idx="5">
                  <c:v>0.27910668693112678</c:v>
                </c:pt>
                <c:pt idx="6">
                  <c:v>0.317</c:v>
                </c:pt>
              </c:numCache>
            </c:numRef>
          </c:val>
          <c:smooth val="0"/>
        </c:ser>
        <c:ser>
          <c:idx val="0"/>
          <c:order val="2"/>
          <c:tx>
            <c:strRef>
              <c:f>'Graphs 4.1'!$B$75</c:f>
              <c:strCache>
                <c:ptCount val="1"/>
                <c:pt idx="0">
                  <c:v>Agriculture:</c:v>
                </c:pt>
              </c:strCache>
            </c:strRef>
          </c:tx>
          <c:cat>
            <c:numRef>
              <c:f>'Graphs 4.1'!$C$73:$I$73</c:f>
              <c:numCache>
                <c:formatCode>General</c:formatCode>
                <c:ptCount val="7"/>
                <c:pt idx="0">
                  <c:v>2009</c:v>
                </c:pt>
                <c:pt idx="1">
                  <c:v>2010</c:v>
                </c:pt>
                <c:pt idx="2">
                  <c:v>2011</c:v>
                </c:pt>
                <c:pt idx="3">
                  <c:v>2012</c:v>
                </c:pt>
                <c:pt idx="4">
                  <c:v>2013</c:v>
                </c:pt>
                <c:pt idx="5">
                  <c:v>2014</c:v>
                </c:pt>
                <c:pt idx="6">
                  <c:v>2015</c:v>
                </c:pt>
              </c:numCache>
            </c:numRef>
          </c:cat>
          <c:val>
            <c:numRef>
              <c:f>'Graphs 4.1'!$C$75:$I$75</c:f>
              <c:numCache>
                <c:formatCode>0.000</c:formatCode>
                <c:ptCount val="7"/>
                <c:pt idx="0">
                  <c:v>0.92299999999999993</c:v>
                </c:pt>
                <c:pt idx="1">
                  <c:v>1.0980000000000001</c:v>
                </c:pt>
                <c:pt idx="2">
                  <c:v>0.82200000000000006</c:v>
                </c:pt>
                <c:pt idx="3">
                  <c:v>0.996</c:v>
                </c:pt>
                <c:pt idx="4">
                  <c:v>0.99501625809000005</c:v>
                </c:pt>
                <c:pt idx="5">
                  <c:v>1.19855215522</c:v>
                </c:pt>
                <c:pt idx="6">
                  <c:v>1.587</c:v>
                </c:pt>
              </c:numCache>
            </c:numRef>
          </c:val>
          <c:smooth val="0"/>
        </c:ser>
        <c:ser>
          <c:idx val="3"/>
          <c:order val="3"/>
          <c:tx>
            <c:strRef>
              <c:f>'Graphs 4.1'!$B$86</c:f>
              <c:strCache>
                <c:ptCount val="1"/>
                <c:pt idx="0">
                  <c:v>External policy areas</c:v>
                </c:pt>
              </c:strCache>
            </c:strRef>
          </c:tx>
          <c:cat>
            <c:numRef>
              <c:f>'Graphs 4.1'!$C$73:$I$73</c:f>
              <c:numCache>
                <c:formatCode>General</c:formatCode>
                <c:ptCount val="7"/>
                <c:pt idx="0">
                  <c:v>2009</c:v>
                </c:pt>
                <c:pt idx="1">
                  <c:v>2010</c:v>
                </c:pt>
                <c:pt idx="2">
                  <c:v>2011</c:v>
                </c:pt>
                <c:pt idx="3">
                  <c:v>2012</c:v>
                </c:pt>
                <c:pt idx="4">
                  <c:v>2013</c:v>
                </c:pt>
                <c:pt idx="5">
                  <c:v>2014</c:v>
                </c:pt>
                <c:pt idx="6">
                  <c:v>2015</c:v>
                </c:pt>
              </c:numCache>
            </c:numRef>
          </c:cat>
          <c:val>
            <c:numRef>
              <c:f>'Graphs 4.1'!$C$86:$I$86</c:f>
              <c:numCache>
                <c:formatCode>0.000</c:formatCode>
                <c:ptCount val="7"/>
                <c:pt idx="0">
                  <c:v>8.1000000000000003E-2</c:v>
                </c:pt>
                <c:pt idx="1">
                  <c:v>0.13600000000000001</c:v>
                </c:pt>
                <c:pt idx="2">
                  <c:v>7.6999999999999999E-2</c:v>
                </c:pt>
                <c:pt idx="3">
                  <c:v>9.9000000000000005E-2</c:v>
                </c:pt>
                <c:pt idx="4">
                  <c:v>9.2999999999999999E-2</c:v>
                </c:pt>
                <c:pt idx="5">
                  <c:v>0.10812785099806048</c:v>
                </c:pt>
                <c:pt idx="6">
                  <c:v>0.13600000000000001</c:v>
                </c:pt>
              </c:numCache>
            </c:numRef>
          </c:val>
          <c:smooth val="0"/>
        </c:ser>
        <c:ser>
          <c:idx val="4"/>
          <c:order val="4"/>
          <c:tx>
            <c:strRef>
              <c:f>'Graphs 4.1'!$B$87</c:f>
              <c:strCache>
                <c:ptCount val="1"/>
                <c:pt idx="0">
                  <c:v>Administration</c:v>
                </c:pt>
              </c:strCache>
            </c:strRef>
          </c:tx>
          <c:cat>
            <c:numRef>
              <c:f>'Graphs 4.1'!$C$73:$I$73</c:f>
              <c:numCache>
                <c:formatCode>General</c:formatCode>
                <c:ptCount val="7"/>
                <c:pt idx="0">
                  <c:v>2009</c:v>
                </c:pt>
                <c:pt idx="1">
                  <c:v>2010</c:v>
                </c:pt>
                <c:pt idx="2">
                  <c:v>2011</c:v>
                </c:pt>
                <c:pt idx="3">
                  <c:v>2012</c:v>
                </c:pt>
                <c:pt idx="4">
                  <c:v>2013</c:v>
                </c:pt>
                <c:pt idx="5">
                  <c:v>2014</c:v>
                </c:pt>
                <c:pt idx="6">
                  <c:v>2015</c:v>
                </c:pt>
              </c:numCache>
            </c:numRef>
          </c:cat>
          <c:val>
            <c:numRef>
              <c:f>'Graphs 4.1'!$C$87:$I$87</c:f>
              <c:numCache>
                <c:formatCode>0.000</c:formatCode>
                <c:ptCount val="7"/>
                <c:pt idx="0">
                  <c:v>0</c:v>
                </c:pt>
                <c:pt idx="1">
                  <c:v>2E-3</c:v>
                </c:pt>
                <c:pt idx="2">
                  <c:v>2E-3</c:v>
                </c:pt>
                <c:pt idx="3">
                  <c:v>8.9999999999999993E-3</c:v>
                </c:pt>
                <c:pt idx="4">
                  <c:v>6.0000000000000001E-3</c:v>
                </c:pt>
                <c:pt idx="5">
                  <c:v>5.1061282000000041E-3</c:v>
                </c:pt>
                <c:pt idx="6">
                  <c:v>5.0000000000000001E-3</c:v>
                </c:pt>
              </c:numCache>
            </c:numRef>
          </c:val>
          <c:smooth val="0"/>
        </c:ser>
        <c:ser>
          <c:idx val="5"/>
          <c:order val="5"/>
          <c:tx>
            <c:strRef>
              <c:f>'Graphs 4.1'!$B$88</c:f>
              <c:strCache>
                <c:ptCount val="1"/>
                <c:pt idx="0">
                  <c:v>Total implemented</c:v>
                </c:pt>
              </c:strCache>
            </c:strRef>
          </c:tx>
          <c:trendline>
            <c:spPr>
              <a:ln w="25400"/>
            </c:spPr>
            <c:trendlineType val="linear"/>
            <c:dispRSqr val="0"/>
            <c:dispEq val="0"/>
          </c:trendline>
          <c:cat>
            <c:numRef>
              <c:f>'Graphs 4.1'!$C$73:$I$73</c:f>
              <c:numCache>
                <c:formatCode>General</c:formatCode>
                <c:ptCount val="7"/>
                <c:pt idx="0">
                  <c:v>2009</c:v>
                </c:pt>
                <c:pt idx="1">
                  <c:v>2010</c:v>
                </c:pt>
                <c:pt idx="2">
                  <c:v>2011</c:v>
                </c:pt>
                <c:pt idx="3">
                  <c:v>2012</c:v>
                </c:pt>
                <c:pt idx="4">
                  <c:v>2013</c:v>
                </c:pt>
                <c:pt idx="5">
                  <c:v>2014</c:v>
                </c:pt>
                <c:pt idx="6">
                  <c:v>2015</c:v>
                </c:pt>
              </c:numCache>
            </c:numRef>
          </c:cat>
          <c:val>
            <c:numRef>
              <c:f>'Graphs 4.1'!$C$88:$I$88</c:f>
              <c:numCache>
                <c:formatCode>0.000</c:formatCode>
                <c:ptCount val="7"/>
                <c:pt idx="0">
                  <c:v>1.89</c:v>
                </c:pt>
                <c:pt idx="1">
                  <c:v>2.1350000000000002</c:v>
                </c:pt>
                <c:pt idx="2">
                  <c:v>1.84</c:v>
                </c:pt>
                <c:pt idx="3">
                  <c:v>4.4190000000000005</c:v>
                </c:pt>
                <c:pt idx="4">
                  <c:v>3.3349387244525839</c:v>
                </c:pt>
                <c:pt idx="5">
                  <c:v>3.2851720096057186</c:v>
                </c:pt>
                <c:pt idx="6">
                  <c:v>3.8530000000000002</c:v>
                </c:pt>
              </c:numCache>
            </c:numRef>
          </c:val>
          <c:smooth val="0"/>
        </c:ser>
        <c:dLbls>
          <c:showLegendKey val="0"/>
          <c:showVal val="0"/>
          <c:showCatName val="0"/>
          <c:showSerName val="0"/>
          <c:showPercent val="0"/>
          <c:showBubbleSize val="0"/>
        </c:dLbls>
        <c:marker val="1"/>
        <c:smooth val="0"/>
        <c:axId val="157037696"/>
        <c:axId val="157039232"/>
      </c:lineChart>
      <c:catAx>
        <c:axId val="157037696"/>
        <c:scaling>
          <c:orientation val="minMax"/>
        </c:scaling>
        <c:delete val="0"/>
        <c:axPos val="b"/>
        <c:numFmt formatCode="General" sourceLinked="1"/>
        <c:majorTickMark val="out"/>
        <c:minorTickMark val="none"/>
        <c:tickLblPos val="nextTo"/>
        <c:crossAx val="157039232"/>
        <c:crosses val="autoZero"/>
        <c:auto val="1"/>
        <c:lblAlgn val="ctr"/>
        <c:lblOffset val="100"/>
        <c:noMultiLvlLbl val="0"/>
      </c:catAx>
      <c:valAx>
        <c:axId val="157039232"/>
        <c:scaling>
          <c:orientation val="minMax"/>
        </c:scaling>
        <c:delete val="0"/>
        <c:axPos val="l"/>
        <c:majorGridlines/>
        <c:numFmt formatCode="0.0" sourceLinked="0"/>
        <c:majorTickMark val="out"/>
        <c:minorTickMark val="none"/>
        <c:tickLblPos val="nextTo"/>
        <c:crossAx val="157037696"/>
        <c:crosses val="autoZero"/>
        <c:crossBetween val="between"/>
        <c:majorUnit val="0.5"/>
      </c:valAx>
    </c:plotArea>
    <c:legend>
      <c:legendPos val="r"/>
      <c:layout>
        <c:manualLayout>
          <c:xMode val="edge"/>
          <c:yMode val="edge"/>
          <c:x val="0.7556957850856878"/>
          <c:y val="0.17079000621105567"/>
          <c:w val="0.19152155829623413"/>
          <c:h val="0.69446300128514471"/>
        </c:manualLayout>
      </c:layout>
      <c:overlay val="0"/>
      <c:txPr>
        <a:bodyPr/>
        <a:lstStyle/>
        <a:p>
          <a:pPr>
            <a:defRPr sz="900"/>
          </a:pPr>
          <a:endParaRPr lang="en-US"/>
        </a:p>
      </c:txPr>
    </c:legend>
    <c:plotVisOnly val="1"/>
    <c:dispBlanksAs val="gap"/>
    <c:showDLblsOverMax val="0"/>
  </c:chart>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a:pPr>
            <a:r>
              <a:rPr lang="en-US" sz="1200"/>
              <a:t>Total impact on the EU budget of EUR 1</a:t>
            </a:r>
            <a:r>
              <a:rPr lang="en-US" sz="1200" baseline="0"/>
              <a:t> 543 </a:t>
            </a:r>
            <a:r>
              <a:rPr lang="en-US" sz="1200"/>
              <a:t>million:</a:t>
            </a:r>
          </a:p>
        </c:rich>
      </c:tx>
      <c:overlay val="0"/>
    </c:title>
    <c:autoTitleDeleted val="0"/>
    <c:plotArea>
      <c:layout/>
      <c:doughnutChart>
        <c:varyColors val="1"/>
        <c:ser>
          <c:idx val="0"/>
          <c:order val="0"/>
          <c:tx>
            <c:strRef>
              <c:f>'Graph 3.3.1'!$D$3</c:f>
              <c:strCache>
                <c:ptCount val="1"/>
                <c:pt idx="0">
                  <c:v>Total impact on the EU budget of EUR 1 543 million</c:v>
                </c:pt>
              </c:strCache>
            </c:strRef>
          </c:tx>
          <c:dPt>
            <c:idx val="0"/>
            <c:bubble3D val="0"/>
            <c:spPr>
              <a:solidFill>
                <a:schemeClr val="tx2">
                  <a:lumMod val="40000"/>
                  <a:lumOff val="60000"/>
                </a:schemeClr>
              </a:solidFill>
            </c:spPr>
          </c:dPt>
          <c:dPt>
            <c:idx val="1"/>
            <c:bubble3D val="0"/>
            <c:spPr>
              <a:solidFill>
                <a:schemeClr val="accent6">
                  <a:lumMod val="60000"/>
                  <a:lumOff val="40000"/>
                </a:schemeClr>
              </a:solidFill>
            </c:spPr>
          </c:dPt>
          <c:dLbls>
            <c:showLegendKey val="0"/>
            <c:showVal val="0"/>
            <c:showCatName val="0"/>
            <c:showSerName val="0"/>
            <c:showPercent val="1"/>
            <c:showBubbleSize val="0"/>
            <c:showLeaderLines val="1"/>
          </c:dLbls>
          <c:cat>
            <c:strRef>
              <c:f>'Graph 3.3.1'!$C$4:$C$5</c:f>
              <c:strCache>
                <c:ptCount val="2"/>
                <c:pt idx="0">
                  <c:v>Net financial corrections implemented* EUR 1 181 million</c:v>
                </c:pt>
                <c:pt idx="1">
                  <c:v>Recoveries implemented** EUR 362 million</c:v>
                </c:pt>
              </c:strCache>
            </c:strRef>
          </c:cat>
          <c:val>
            <c:numRef>
              <c:f>'Graph 3.3.1'!$D$4:$D$5</c:f>
              <c:numCache>
                <c:formatCode>#\ ##0</c:formatCode>
                <c:ptCount val="2"/>
                <c:pt idx="0">
                  <c:v>1181</c:v>
                </c:pt>
                <c:pt idx="1">
                  <c:v>362</c:v>
                </c:pt>
              </c:numCache>
            </c:numRef>
          </c:val>
        </c:ser>
        <c:dLbls>
          <c:showLegendKey val="0"/>
          <c:showVal val="0"/>
          <c:showCatName val="0"/>
          <c:showSerName val="0"/>
          <c:showPercent val="1"/>
          <c:showBubbleSize val="0"/>
          <c:showLeaderLines val="1"/>
        </c:dLbls>
        <c:firstSliceAng val="0"/>
        <c:holeSize val="50"/>
      </c:doughnutChart>
    </c:plotArea>
    <c:legend>
      <c:legendPos val="b"/>
      <c:overlay val="0"/>
    </c:legend>
    <c:plotVisOnly val="1"/>
    <c:dispBlanksAs val="gap"/>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Cumulative EAGF clearance decisions 1999 - 2015</a:t>
            </a:r>
          </a:p>
        </c:rich>
      </c:tx>
      <c:overlay val="0"/>
    </c:title>
    <c:autoTitleDeleted val="0"/>
    <c:plotArea>
      <c:layout>
        <c:manualLayout>
          <c:layoutTarget val="inner"/>
          <c:xMode val="edge"/>
          <c:yMode val="edge"/>
          <c:x val="0.11607559753476419"/>
          <c:y val="0.1339419672893053"/>
          <c:w val="0.74344454498199952"/>
          <c:h val="0.57400289329901588"/>
        </c:manualLayout>
      </c:layout>
      <c:barChart>
        <c:barDir val="col"/>
        <c:grouping val="clustered"/>
        <c:varyColors val="0"/>
        <c:ser>
          <c:idx val="0"/>
          <c:order val="0"/>
          <c:tx>
            <c:strRef>
              <c:f>'Graph 4.4'!$A$1</c:f>
              <c:strCache>
                <c:ptCount val="1"/>
                <c:pt idx="0">
                  <c:v>Total amount of financial corrections</c:v>
                </c:pt>
              </c:strCache>
            </c:strRef>
          </c:tx>
          <c:spPr>
            <a:solidFill>
              <a:schemeClr val="accent2"/>
            </a:solidFill>
          </c:spPr>
          <c:invertIfNegative val="0"/>
          <c:cat>
            <c:strRef>
              <c:f>'Graph 4.4'!$C$2:$C$29</c:f>
              <c:strCache>
                <c:ptCount val="28"/>
                <c:pt idx="0">
                  <c:v>Greece</c:v>
                </c:pt>
                <c:pt idx="1">
                  <c:v>Portugal</c:v>
                </c:pt>
                <c:pt idx="2">
                  <c:v>Romania</c:v>
                </c:pt>
                <c:pt idx="3">
                  <c:v>Italy</c:v>
                </c:pt>
                <c:pt idx="4">
                  <c:v>Slovenia</c:v>
                </c:pt>
                <c:pt idx="5">
                  <c:v>Bulgaria</c:v>
                </c:pt>
                <c:pt idx="6">
                  <c:v>Cyprus</c:v>
                </c:pt>
                <c:pt idx="7">
                  <c:v>United Kingdom</c:v>
                </c:pt>
                <c:pt idx="8">
                  <c:v>France</c:v>
                </c:pt>
                <c:pt idx="9">
                  <c:v>Spain</c:v>
                </c:pt>
                <c:pt idx="10">
                  <c:v>Netherlands</c:v>
                </c:pt>
                <c:pt idx="11">
                  <c:v>Luxembourg</c:v>
                </c:pt>
                <c:pt idx="12">
                  <c:v>Denmark</c:v>
                </c:pt>
                <c:pt idx="13">
                  <c:v>Sweden</c:v>
                </c:pt>
                <c:pt idx="14">
                  <c:v>Lithuania</c:v>
                </c:pt>
                <c:pt idx="15">
                  <c:v>Malta</c:v>
                </c:pt>
                <c:pt idx="16">
                  <c:v>Poland</c:v>
                </c:pt>
                <c:pt idx="17">
                  <c:v>Hungary</c:v>
                </c:pt>
                <c:pt idx="18">
                  <c:v>Ireland</c:v>
                </c:pt>
                <c:pt idx="19">
                  <c:v>Finland</c:v>
                </c:pt>
                <c:pt idx="20">
                  <c:v>Belgium</c:v>
                </c:pt>
                <c:pt idx="21">
                  <c:v>Slovakia</c:v>
                </c:pt>
                <c:pt idx="22">
                  <c:v>Germany</c:v>
                </c:pt>
                <c:pt idx="23">
                  <c:v>Czech Republic</c:v>
                </c:pt>
                <c:pt idx="24">
                  <c:v>Austria</c:v>
                </c:pt>
                <c:pt idx="25">
                  <c:v>Estonia</c:v>
                </c:pt>
                <c:pt idx="26">
                  <c:v>Latvia</c:v>
                </c:pt>
                <c:pt idx="27">
                  <c:v>Croatia</c:v>
                </c:pt>
              </c:strCache>
            </c:strRef>
          </c:cat>
          <c:val>
            <c:numRef>
              <c:f>'Graph 4.4'!$A$2:$A$29</c:f>
              <c:numCache>
                <c:formatCode>#\ ##0</c:formatCode>
                <c:ptCount val="28"/>
                <c:pt idx="0">
                  <c:v>2723.0309449418605</c:v>
                </c:pt>
                <c:pt idx="1">
                  <c:v>342.35169654471105</c:v>
                </c:pt>
                <c:pt idx="2">
                  <c:v>207.32272206999988</c:v>
                </c:pt>
                <c:pt idx="3">
                  <c:v>1930.1670689496987</c:v>
                </c:pt>
                <c:pt idx="4">
                  <c:v>20.129253563735585</c:v>
                </c:pt>
                <c:pt idx="5">
                  <c:v>71.418269190000004</c:v>
                </c:pt>
                <c:pt idx="6">
                  <c:v>9.6518567841540879</c:v>
                </c:pt>
                <c:pt idx="7">
                  <c:v>1145.928905951057</c:v>
                </c:pt>
                <c:pt idx="8">
                  <c:v>2588.4401872014596</c:v>
                </c:pt>
                <c:pt idx="9">
                  <c:v>1509.5185743286017</c:v>
                </c:pt>
                <c:pt idx="10">
                  <c:v>239.5868369110114</c:v>
                </c:pt>
                <c:pt idx="11">
                  <c:v>5.5180244011130899</c:v>
                </c:pt>
                <c:pt idx="12">
                  <c:v>191.78349965709049</c:v>
                </c:pt>
                <c:pt idx="13">
                  <c:v>120.07520240917769</c:v>
                </c:pt>
                <c:pt idx="14">
                  <c:v>24.321202503924923</c:v>
                </c:pt>
                <c:pt idx="15">
                  <c:v>0.30057153612159337</c:v>
                </c:pt>
                <c:pt idx="16">
                  <c:v>154.63158776944741</c:v>
                </c:pt>
                <c:pt idx="17">
                  <c:v>63.032180655060067</c:v>
                </c:pt>
                <c:pt idx="18">
                  <c:v>108.38080121996863</c:v>
                </c:pt>
                <c:pt idx="19">
                  <c:v>34.382368363102046</c:v>
                </c:pt>
                <c:pt idx="20">
                  <c:v>45.072875364393639</c:v>
                </c:pt>
                <c:pt idx="21">
                  <c:v>6.4664622400000003</c:v>
                </c:pt>
                <c:pt idx="22">
                  <c:v>202.72981703367137</c:v>
                </c:pt>
                <c:pt idx="23">
                  <c:v>8.3780225665977763</c:v>
                </c:pt>
                <c:pt idx="24">
                  <c:v>12.334609643406747</c:v>
                </c:pt>
                <c:pt idx="25">
                  <c:v>0.55444445999999992</c:v>
                </c:pt>
                <c:pt idx="26">
                  <c:v>0.48546380294791053</c:v>
                </c:pt>
                <c:pt idx="27">
                  <c:v>0</c:v>
                </c:pt>
              </c:numCache>
            </c:numRef>
          </c:val>
        </c:ser>
        <c:dLbls>
          <c:showLegendKey val="0"/>
          <c:showVal val="0"/>
          <c:showCatName val="0"/>
          <c:showSerName val="0"/>
          <c:showPercent val="0"/>
          <c:showBubbleSize val="0"/>
        </c:dLbls>
        <c:gapWidth val="150"/>
        <c:axId val="112788608"/>
        <c:axId val="112790144"/>
      </c:barChart>
      <c:lineChart>
        <c:grouping val="standard"/>
        <c:varyColors val="0"/>
        <c:ser>
          <c:idx val="1"/>
          <c:order val="1"/>
          <c:tx>
            <c:strRef>
              <c:f>'Graph 4.4'!$B$1</c:f>
              <c:strCache>
                <c:ptCount val="1"/>
                <c:pt idx="0">
                  <c:v>% Financial corrections as compared to payments received from EU budget</c:v>
                </c:pt>
              </c:strCache>
            </c:strRef>
          </c:tx>
          <c:spPr>
            <a:ln w="22225">
              <a:solidFill>
                <a:schemeClr val="accent1"/>
              </a:solidFill>
            </a:ln>
          </c:spPr>
          <c:marker>
            <c:spPr>
              <a:solidFill>
                <a:schemeClr val="accent1"/>
              </a:solidFill>
              <a:ln>
                <a:solidFill>
                  <a:schemeClr val="accent1"/>
                </a:solidFill>
              </a:ln>
            </c:spPr>
          </c:marker>
          <c:dPt>
            <c:idx val="7"/>
            <c:bubble3D val="0"/>
            <c:spPr>
              <a:ln w="12700">
                <a:solidFill>
                  <a:schemeClr val="accent1"/>
                </a:solidFill>
              </a:ln>
            </c:spPr>
          </c:dPt>
          <c:val>
            <c:numRef>
              <c:f>'Graph 4.4'!$B$2:$B$29</c:f>
              <c:numCache>
                <c:formatCode>0.0%</c:formatCode>
                <c:ptCount val="28"/>
                <c:pt idx="0">
                  <c:v>6.3889712278903041E-2</c:v>
                </c:pt>
                <c:pt idx="1">
                  <c:v>2.9138020413596699E-2</c:v>
                </c:pt>
                <c:pt idx="2">
                  <c:v>2.7355293357382723E-2</c:v>
                </c:pt>
                <c:pt idx="3">
                  <c:v>2.4994807515735174E-2</c:v>
                </c:pt>
                <c:pt idx="4">
                  <c:v>2.2261279742405278E-2</c:v>
                </c:pt>
                <c:pt idx="5">
                  <c:v>2.1925169891025428E-2</c:v>
                </c:pt>
                <c:pt idx="6">
                  <c:v>2.1294453657654137E-2</c:v>
                </c:pt>
                <c:pt idx="7">
                  <c:v>1.867148366661087E-2</c:v>
                </c:pt>
                <c:pt idx="8">
                  <c:v>1.7368162484582256E-2</c:v>
                </c:pt>
                <c:pt idx="9">
                  <c:v>1.569778936287371E-2</c:v>
                </c:pt>
                <c:pt idx="10">
                  <c:v>1.3267533921661769E-2</c:v>
                </c:pt>
                <c:pt idx="11">
                  <c:v>1.0878202320688507E-2</c:v>
                </c:pt>
                <c:pt idx="12">
                  <c:v>1.0533206243750235E-2</c:v>
                </c:pt>
                <c:pt idx="13">
                  <c:v>1.0061179034281494E-2</c:v>
                </c:pt>
                <c:pt idx="14">
                  <c:v>8.420628647738175E-3</c:v>
                </c:pt>
                <c:pt idx="15">
                  <c:v>8.1049713817190356E-3</c:v>
                </c:pt>
                <c:pt idx="16">
                  <c:v>6.5752912792806937E-3</c:v>
                </c:pt>
                <c:pt idx="17">
                  <c:v>6.3368803041411216E-3</c:v>
                </c:pt>
                <c:pt idx="18">
                  <c:v>4.9421254130375984E-3</c:v>
                </c:pt>
                <c:pt idx="19">
                  <c:v>3.8325521375625602E-3</c:v>
                </c:pt>
                <c:pt idx="20">
                  <c:v>3.5337369049231312E-3</c:v>
                </c:pt>
                <c:pt idx="21">
                  <c:v>2.2314725399050768E-3</c:v>
                </c:pt>
                <c:pt idx="22">
                  <c:v>2.1852703083221447E-3</c:v>
                </c:pt>
                <c:pt idx="23">
                  <c:v>1.2824111144299523E-3</c:v>
                </c:pt>
                <c:pt idx="24">
                  <c:v>1.0379163313298397E-3</c:v>
                </c:pt>
                <c:pt idx="25">
                  <c:v>7.4584819807119846E-4</c:v>
                </c:pt>
                <c:pt idx="26">
                  <c:v>4.5578725328343186E-4</c:v>
                </c:pt>
                <c:pt idx="27">
                  <c:v>0</c:v>
                </c:pt>
              </c:numCache>
            </c:numRef>
          </c:val>
          <c:smooth val="0"/>
        </c:ser>
        <c:dLbls>
          <c:showLegendKey val="0"/>
          <c:showVal val="0"/>
          <c:showCatName val="0"/>
          <c:showSerName val="0"/>
          <c:showPercent val="0"/>
          <c:showBubbleSize val="0"/>
        </c:dLbls>
        <c:marker val="1"/>
        <c:smooth val="0"/>
        <c:axId val="112802432"/>
        <c:axId val="112800512"/>
      </c:lineChart>
      <c:catAx>
        <c:axId val="112788608"/>
        <c:scaling>
          <c:orientation val="minMax"/>
        </c:scaling>
        <c:delete val="0"/>
        <c:axPos val="b"/>
        <c:numFmt formatCode="mmm\-yy" sourceLinked="1"/>
        <c:majorTickMark val="none"/>
        <c:minorTickMark val="none"/>
        <c:tickLblPos val="nextTo"/>
        <c:txPr>
          <a:bodyPr/>
          <a:lstStyle/>
          <a:p>
            <a:pPr>
              <a:defRPr sz="700"/>
            </a:pPr>
            <a:endParaRPr lang="en-US"/>
          </a:p>
        </c:txPr>
        <c:crossAx val="112790144"/>
        <c:crosses val="autoZero"/>
        <c:auto val="1"/>
        <c:lblAlgn val="ctr"/>
        <c:lblOffset val="100"/>
        <c:noMultiLvlLbl val="0"/>
      </c:catAx>
      <c:valAx>
        <c:axId val="112790144"/>
        <c:scaling>
          <c:orientation val="minMax"/>
        </c:scaling>
        <c:delete val="0"/>
        <c:axPos val="l"/>
        <c:title>
          <c:tx>
            <c:rich>
              <a:bodyPr/>
              <a:lstStyle/>
              <a:p>
                <a:pPr>
                  <a:defRPr sz="800">
                    <a:solidFill>
                      <a:srgbClr val="CC3300"/>
                    </a:solidFill>
                  </a:defRPr>
                </a:pPr>
                <a:r>
                  <a:rPr lang="en-GB" sz="800">
                    <a:solidFill>
                      <a:srgbClr val="CC3300"/>
                    </a:solidFill>
                  </a:rPr>
                  <a:t>Financial corrections in EUR millions</a:t>
                </a:r>
              </a:p>
            </c:rich>
          </c:tx>
          <c:layout>
            <c:manualLayout>
              <c:xMode val="edge"/>
              <c:yMode val="edge"/>
              <c:x val="3.3893358750003579E-2"/>
              <c:y val="0.2150657521050551"/>
            </c:manualLayout>
          </c:layout>
          <c:overlay val="0"/>
          <c:spPr>
            <a:solidFill>
              <a:sysClr val="window" lastClr="FFFFFF"/>
            </a:solidFill>
          </c:spPr>
        </c:title>
        <c:numFmt formatCode="#\ ##0" sourceLinked="1"/>
        <c:majorTickMark val="out"/>
        <c:minorTickMark val="none"/>
        <c:tickLblPos val="nextTo"/>
        <c:txPr>
          <a:bodyPr/>
          <a:lstStyle/>
          <a:p>
            <a:pPr>
              <a:defRPr sz="700"/>
            </a:pPr>
            <a:endParaRPr lang="en-US"/>
          </a:p>
        </c:txPr>
        <c:crossAx val="112788608"/>
        <c:crosses val="autoZero"/>
        <c:crossBetween val="between"/>
      </c:valAx>
      <c:valAx>
        <c:axId val="112800512"/>
        <c:scaling>
          <c:orientation val="minMax"/>
        </c:scaling>
        <c:delete val="0"/>
        <c:axPos val="r"/>
        <c:title>
          <c:tx>
            <c:rich>
              <a:bodyPr rot="-5400000" vert="horz"/>
              <a:lstStyle/>
              <a:p>
                <a:pPr>
                  <a:defRPr sz="700">
                    <a:solidFill>
                      <a:schemeClr val="tx2">
                        <a:lumMod val="60000"/>
                        <a:lumOff val="40000"/>
                      </a:schemeClr>
                    </a:solidFill>
                  </a:defRPr>
                </a:pPr>
                <a:r>
                  <a:rPr lang="en-GB" sz="700">
                    <a:solidFill>
                      <a:schemeClr val="tx2">
                        <a:lumMod val="60000"/>
                        <a:lumOff val="40000"/>
                      </a:schemeClr>
                    </a:solidFill>
                  </a:rPr>
                  <a:t>% of financial corrections to payments received</a:t>
                </a:r>
              </a:p>
            </c:rich>
          </c:tx>
          <c:layout>
            <c:manualLayout>
              <c:xMode val="edge"/>
              <c:yMode val="edge"/>
              <c:x val="0.94067687692668445"/>
              <c:y val="0.21786002150188893"/>
            </c:manualLayout>
          </c:layout>
          <c:overlay val="0"/>
        </c:title>
        <c:numFmt formatCode="0.0%" sourceLinked="0"/>
        <c:majorTickMark val="out"/>
        <c:minorTickMark val="none"/>
        <c:tickLblPos val="nextTo"/>
        <c:txPr>
          <a:bodyPr/>
          <a:lstStyle/>
          <a:p>
            <a:pPr>
              <a:defRPr sz="700"/>
            </a:pPr>
            <a:endParaRPr lang="en-US"/>
          </a:p>
        </c:txPr>
        <c:crossAx val="112802432"/>
        <c:crosses val="max"/>
        <c:crossBetween val="between"/>
      </c:valAx>
      <c:catAx>
        <c:axId val="112802432"/>
        <c:scaling>
          <c:orientation val="minMax"/>
        </c:scaling>
        <c:delete val="1"/>
        <c:axPos val="b"/>
        <c:majorTickMark val="out"/>
        <c:minorTickMark val="none"/>
        <c:tickLblPos val="nextTo"/>
        <c:crossAx val="112800512"/>
        <c:crosses val="autoZero"/>
        <c:auto val="1"/>
        <c:lblAlgn val="ctr"/>
        <c:lblOffset val="100"/>
        <c:noMultiLvlLbl val="0"/>
      </c:catAx>
    </c:plotArea>
    <c:legend>
      <c:legendPos val="b"/>
      <c:layout>
        <c:manualLayout>
          <c:xMode val="edge"/>
          <c:yMode val="edge"/>
          <c:x val="7.509537039327753E-2"/>
          <c:y val="0.88373988720517482"/>
          <c:w val="0.8999996426503466"/>
          <c:h val="4.83661958720049E-2"/>
        </c:manualLayout>
      </c:layout>
      <c:overlay val="0"/>
      <c:txPr>
        <a:bodyPr/>
        <a:lstStyle/>
        <a:p>
          <a:pPr>
            <a:defRPr sz="700"/>
          </a:pPr>
          <a:endParaRPr lang="en-US"/>
        </a:p>
      </c:txPr>
    </c:legend>
    <c:plotVisOnly val="1"/>
    <c:dispBlanksAs val="gap"/>
    <c:showDLblsOverMax val="0"/>
  </c:chart>
  <c:txPr>
    <a:bodyPr/>
    <a:lstStyle/>
    <a:p>
      <a:pPr>
        <a:defRPr sz="900"/>
      </a:pPr>
      <a:endParaRPr lang="en-US"/>
    </a:p>
  </c:txPr>
  <c:externalData r:id="rId1">
    <c:autoUpdate val="0"/>
  </c:externalData>
  <c:userShapes r:id="rId2"/>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Programming period  2000-2006</a:t>
            </a:r>
          </a:p>
        </c:rich>
      </c:tx>
      <c:overlay val="1"/>
    </c:title>
    <c:autoTitleDeleted val="0"/>
    <c:plotArea>
      <c:layout>
        <c:manualLayout>
          <c:layoutTarget val="inner"/>
          <c:xMode val="edge"/>
          <c:yMode val="edge"/>
          <c:x val="0.12398674480758398"/>
          <c:y val="0.1287064994786494"/>
          <c:w val="0.75383834407062755"/>
          <c:h val="0.63697194734173612"/>
        </c:manualLayout>
      </c:layout>
      <c:barChart>
        <c:barDir val="col"/>
        <c:grouping val="stacked"/>
        <c:varyColors val="0"/>
        <c:ser>
          <c:idx val="0"/>
          <c:order val="0"/>
          <c:tx>
            <c:strRef>
              <c:f>'Graph 5.4.1'!$C$3</c:f>
              <c:strCache>
                <c:ptCount val="1"/>
                <c:pt idx="0">
                  <c:v>ERDF total FC</c:v>
                </c:pt>
              </c:strCache>
            </c:strRef>
          </c:tx>
          <c:invertIfNegative val="0"/>
          <c:cat>
            <c:strRef>
              <c:f>'Graph 5.4.1'!$B$4:$B$29</c:f>
              <c:strCache>
                <c:ptCount val="26"/>
                <c:pt idx="0">
                  <c:v>Spain</c:v>
                </c:pt>
                <c:pt idx="1">
                  <c:v>Italy</c:v>
                </c:pt>
                <c:pt idx="2">
                  <c:v>Greece</c:v>
                </c:pt>
                <c:pt idx="3">
                  <c:v>Slovakia</c:v>
                </c:pt>
                <c:pt idx="4">
                  <c:v>France</c:v>
                </c:pt>
                <c:pt idx="5">
                  <c:v>Luxembourg</c:v>
                </c:pt>
                <c:pt idx="6">
                  <c:v>Poland</c:v>
                </c:pt>
                <c:pt idx="7">
                  <c:v>United Kingdom</c:v>
                </c:pt>
                <c:pt idx="8">
                  <c:v>Netherlands</c:v>
                </c:pt>
                <c:pt idx="9">
                  <c:v>Interreg</c:v>
                </c:pt>
                <c:pt idx="10">
                  <c:v>Ireland</c:v>
                </c:pt>
                <c:pt idx="11">
                  <c:v>Portugal</c:v>
                </c:pt>
                <c:pt idx="12">
                  <c:v>Belgium</c:v>
                </c:pt>
                <c:pt idx="13">
                  <c:v>Slovenia</c:v>
                </c:pt>
                <c:pt idx="14">
                  <c:v>Latvia</c:v>
                </c:pt>
                <c:pt idx="15">
                  <c:v>Hungary</c:v>
                </c:pt>
                <c:pt idx="16">
                  <c:v>Sweden</c:v>
                </c:pt>
                <c:pt idx="17">
                  <c:v>Estonia</c:v>
                </c:pt>
                <c:pt idx="18">
                  <c:v>Czech Republic</c:v>
                </c:pt>
                <c:pt idx="19">
                  <c:v>Lithuania</c:v>
                </c:pt>
                <c:pt idx="20">
                  <c:v>Austria</c:v>
                </c:pt>
                <c:pt idx="21">
                  <c:v>Germany</c:v>
                </c:pt>
                <c:pt idx="22">
                  <c:v>Denmark</c:v>
                </c:pt>
                <c:pt idx="23">
                  <c:v>Finland</c:v>
                </c:pt>
                <c:pt idx="24">
                  <c:v>Cyprus</c:v>
                </c:pt>
                <c:pt idx="25">
                  <c:v>Malta</c:v>
                </c:pt>
              </c:strCache>
            </c:strRef>
          </c:cat>
          <c:val>
            <c:numRef>
              <c:f>'Graph 5.4.1'!$C$4:$C$29</c:f>
              <c:numCache>
                <c:formatCode>###\ ###\ ###\ ##0</c:formatCode>
                <c:ptCount val="26"/>
                <c:pt idx="0">
                  <c:v>2630.2920354539997</c:v>
                </c:pt>
                <c:pt idx="1">
                  <c:v>1191.15221565</c:v>
                </c:pt>
                <c:pt idx="2">
                  <c:v>1192.2407805099999</c:v>
                </c:pt>
                <c:pt idx="3">
                  <c:v>41.875960230000004</c:v>
                </c:pt>
                <c:pt idx="4">
                  <c:v>111.68808224398424</c:v>
                </c:pt>
                <c:pt idx="5">
                  <c:v>4.76298E-2</c:v>
                </c:pt>
                <c:pt idx="6">
                  <c:v>128.64288621750001</c:v>
                </c:pt>
                <c:pt idx="7">
                  <c:v>159.92416868999999</c:v>
                </c:pt>
                <c:pt idx="8">
                  <c:v>0.24595903999999999</c:v>
                </c:pt>
                <c:pt idx="9">
                  <c:v>69.113631460000008</c:v>
                </c:pt>
                <c:pt idx="10">
                  <c:v>32.87118383</c:v>
                </c:pt>
                <c:pt idx="11">
                  <c:v>184.09561971000005</c:v>
                </c:pt>
                <c:pt idx="12">
                  <c:v>8.1894274300000003</c:v>
                </c:pt>
                <c:pt idx="13">
                  <c:v>0</c:v>
                </c:pt>
                <c:pt idx="14">
                  <c:v>0.86608147000000013</c:v>
                </c:pt>
                <c:pt idx="15">
                  <c:v>4.6482608499999998</c:v>
                </c:pt>
                <c:pt idx="16">
                  <c:v>9.6997209999999986E-2</c:v>
                </c:pt>
                <c:pt idx="17">
                  <c:v>0.81404241999999993</c:v>
                </c:pt>
                <c:pt idx="18">
                  <c:v>6.2780500000000004</c:v>
                </c:pt>
                <c:pt idx="19">
                  <c:v>2.6608354199999997</c:v>
                </c:pt>
                <c:pt idx="20">
                  <c:v>0.70225448999999995</c:v>
                </c:pt>
                <c:pt idx="21">
                  <c:v>26.64012688</c:v>
                </c:pt>
                <c:pt idx="22">
                  <c:v>0.52480905</c:v>
                </c:pt>
                <c:pt idx="23">
                  <c:v>3.811821E-2</c:v>
                </c:pt>
                <c:pt idx="24">
                  <c:v>0</c:v>
                </c:pt>
                <c:pt idx="25">
                  <c:v>0</c:v>
                </c:pt>
              </c:numCache>
            </c:numRef>
          </c:val>
        </c:ser>
        <c:ser>
          <c:idx val="1"/>
          <c:order val="1"/>
          <c:tx>
            <c:strRef>
              <c:f>'Graph 5.4.1'!$D$3</c:f>
              <c:strCache>
                <c:ptCount val="1"/>
                <c:pt idx="0">
                  <c:v>ESF total FC</c:v>
                </c:pt>
              </c:strCache>
            </c:strRef>
          </c:tx>
          <c:invertIfNegative val="0"/>
          <c:cat>
            <c:strRef>
              <c:f>'Graph 5.4.1'!$B$4:$B$29</c:f>
              <c:strCache>
                <c:ptCount val="26"/>
                <c:pt idx="0">
                  <c:v>Spain</c:v>
                </c:pt>
                <c:pt idx="1">
                  <c:v>Italy</c:v>
                </c:pt>
                <c:pt idx="2">
                  <c:v>Greece</c:v>
                </c:pt>
                <c:pt idx="3">
                  <c:v>Slovakia</c:v>
                </c:pt>
                <c:pt idx="4">
                  <c:v>France</c:v>
                </c:pt>
                <c:pt idx="5">
                  <c:v>Luxembourg</c:v>
                </c:pt>
                <c:pt idx="6">
                  <c:v>Poland</c:v>
                </c:pt>
                <c:pt idx="7">
                  <c:v>United Kingdom</c:v>
                </c:pt>
                <c:pt idx="8">
                  <c:v>Netherlands</c:v>
                </c:pt>
                <c:pt idx="9">
                  <c:v>Interreg</c:v>
                </c:pt>
                <c:pt idx="10">
                  <c:v>Ireland</c:v>
                </c:pt>
                <c:pt idx="11">
                  <c:v>Portugal</c:v>
                </c:pt>
                <c:pt idx="12">
                  <c:v>Belgium</c:v>
                </c:pt>
                <c:pt idx="13">
                  <c:v>Slovenia</c:v>
                </c:pt>
                <c:pt idx="14">
                  <c:v>Latvia</c:v>
                </c:pt>
                <c:pt idx="15">
                  <c:v>Hungary</c:v>
                </c:pt>
                <c:pt idx="16">
                  <c:v>Sweden</c:v>
                </c:pt>
                <c:pt idx="17">
                  <c:v>Estonia</c:v>
                </c:pt>
                <c:pt idx="18">
                  <c:v>Czech Republic</c:v>
                </c:pt>
                <c:pt idx="19">
                  <c:v>Lithuania</c:v>
                </c:pt>
                <c:pt idx="20">
                  <c:v>Austria</c:v>
                </c:pt>
                <c:pt idx="21">
                  <c:v>Germany</c:v>
                </c:pt>
                <c:pt idx="22">
                  <c:v>Denmark</c:v>
                </c:pt>
                <c:pt idx="23">
                  <c:v>Finland</c:v>
                </c:pt>
                <c:pt idx="24">
                  <c:v>Cyprus</c:v>
                </c:pt>
                <c:pt idx="25">
                  <c:v>Malta</c:v>
                </c:pt>
              </c:strCache>
            </c:strRef>
          </c:cat>
          <c:val>
            <c:numRef>
              <c:f>'Graph 5.4.1'!$D$4:$D$29</c:f>
              <c:numCache>
                <c:formatCode>###\ ###\ ###\ ##0</c:formatCode>
                <c:ptCount val="26"/>
                <c:pt idx="0">
                  <c:v>891.86609208999994</c:v>
                </c:pt>
                <c:pt idx="1">
                  <c:v>769.81170500999997</c:v>
                </c:pt>
                <c:pt idx="2">
                  <c:v>20.251314810000004</c:v>
                </c:pt>
                <c:pt idx="3">
                  <c:v>2.9363807300000007</c:v>
                </c:pt>
                <c:pt idx="4">
                  <c:v>370.57645911000003</c:v>
                </c:pt>
                <c:pt idx="5">
                  <c:v>1.8059037</c:v>
                </c:pt>
                <c:pt idx="6">
                  <c:v>51.210577810000004</c:v>
                </c:pt>
                <c:pt idx="7">
                  <c:v>163.89934678000003</c:v>
                </c:pt>
                <c:pt idx="8">
                  <c:v>43.779565829999996</c:v>
                </c:pt>
                <c:pt idx="9">
                  <c:v>0</c:v>
                </c:pt>
                <c:pt idx="10">
                  <c:v>3.4308839999999998</c:v>
                </c:pt>
                <c:pt idx="11">
                  <c:v>6.2871587200000008</c:v>
                </c:pt>
                <c:pt idx="12">
                  <c:v>10.685499720000001</c:v>
                </c:pt>
                <c:pt idx="13">
                  <c:v>1.88987449</c:v>
                </c:pt>
                <c:pt idx="14">
                  <c:v>3.1571729999999998</c:v>
                </c:pt>
                <c:pt idx="15">
                  <c:v>8.2445798099999994</c:v>
                </c:pt>
                <c:pt idx="16">
                  <c:v>11.499054920000003</c:v>
                </c:pt>
                <c:pt idx="17">
                  <c:v>0.78003708000000005</c:v>
                </c:pt>
                <c:pt idx="18">
                  <c:v>0</c:v>
                </c:pt>
                <c:pt idx="19">
                  <c:v>3.6700000000000001E-3</c:v>
                </c:pt>
                <c:pt idx="20">
                  <c:v>3.4074670600000001</c:v>
                </c:pt>
                <c:pt idx="21">
                  <c:v>27.632054699999998</c:v>
                </c:pt>
                <c:pt idx="22">
                  <c:v>2.2547229999999998E-2</c:v>
                </c:pt>
                <c:pt idx="23">
                  <c:v>0</c:v>
                </c:pt>
                <c:pt idx="24">
                  <c:v>0</c:v>
                </c:pt>
                <c:pt idx="25">
                  <c:v>0</c:v>
                </c:pt>
              </c:numCache>
            </c:numRef>
          </c:val>
        </c:ser>
        <c:dLbls>
          <c:showLegendKey val="0"/>
          <c:showVal val="0"/>
          <c:showCatName val="0"/>
          <c:showSerName val="0"/>
          <c:showPercent val="0"/>
          <c:showBubbleSize val="0"/>
        </c:dLbls>
        <c:gapWidth val="150"/>
        <c:overlap val="100"/>
        <c:axId val="112851968"/>
        <c:axId val="112722688"/>
      </c:barChart>
      <c:lineChart>
        <c:grouping val="stacked"/>
        <c:varyColors val="0"/>
        <c:ser>
          <c:idx val="2"/>
          <c:order val="2"/>
          <c:tx>
            <c:strRef>
              <c:f>'Graph 5.4.1'!$F$3</c:f>
              <c:strCache>
                <c:ptCount val="1"/>
                <c:pt idx="0">
                  <c:v>Financial corrections to contributions %</c:v>
                </c:pt>
              </c:strCache>
            </c:strRef>
          </c:tx>
          <c:cat>
            <c:strRef>
              <c:f>'Graph 5.4.1'!$B$4:$B$29</c:f>
              <c:strCache>
                <c:ptCount val="26"/>
                <c:pt idx="0">
                  <c:v>Spain</c:v>
                </c:pt>
                <c:pt idx="1">
                  <c:v>Italy</c:v>
                </c:pt>
                <c:pt idx="2">
                  <c:v>Greece</c:v>
                </c:pt>
                <c:pt idx="3">
                  <c:v>Slovakia</c:v>
                </c:pt>
                <c:pt idx="4">
                  <c:v>France</c:v>
                </c:pt>
                <c:pt idx="5">
                  <c:v>Luxembourg</c:v>
                </c:pt>
                <c:pt idx="6">
                  <c:v>Poland</c:v>
                </c:pt>
                <c:pt idx="7">
                  <c:v>United Kingdom</c:v>
                </c:pt>
                <c:pt idx="8">
                  <c:v>Netherlands</c:v>
                </c:pt>
                <c:pt idx="9">
                  <c:v>Interreg</c:v>
                </c:pt>
                <c:pt idx="10">
                  <c:v>Ireland</c:v>
                </c:pt>
                <c:pt idx="11">
                  <c:v>Portugal</c:v>
                </c:pt>
                <c:pt idx="12">
                  <c:v>Belgium</c:v>
                </c:pt>
                <c:pt idx="13">
                  <c:v>Slovenia</c:v>
                </c:pt>
                <c:pt idx="14">
                  <c:v>Latvia</c:v>
                </c:pt>
                <c:pt idx="15">
                  <c:v>Hungary</c:v>
                </c:pt>
                <c:pt idx="16">
                  <c:v>Sweden</c:v>
                </c:pt>
                <c:pt idx="17">
                  <c:v>Estonia</c:v>
                </c:pt>
                <c:pt idx="18">
                  <c:v>Czech Republic</c:v>
                </c:pt>
                <c:pt idx="19">
                  <c:v>Lithuania</c:v>
                </c:pt>
                <c:pt idx="20">
                  <c:v>Austria</c:v>
                </c:pt>
                <c:pt idx="21">
                  <c:v>Germany</c:v>
                </c:pt>
                <c:pt idx="22">
                  <c:v>Denmark</c:v>
                </c:pt>
                <c:pt idx="23">
                  <c:v>Finland</c:v>
                </c:pt>
                <c:pt idx="24">
                  <c:v>Cyprus</c:v>
                </c:pt>
                <c:pt idx="25">
                  <c:v>Malta</c:v>
                </c:pt>
              </c:strCache>
            </c:strRef>
          </c:cat>
          <c:val>
            <c:numRef>
              <c:f>'Graph 5.4.1'!$F$4:$F$29</c:f>
              <c:numCache>
                <c:formatCode>0.0%</c:formatCode>
                <c:ptCount val="26"/>
                <c:pt idx="0">
                  <c:v>8.6568859169703805E-2</c:v>
                </c:pt>
                <c:pt idx="1">
                  <c:v>7.1303950451746728E-2</c:v>
                </c:pt>
                <c:pt idx="2">
                  <c:v>5.9991771180457711E-2</c:v>
                </c:pt>
                <c:pt idx="3">
                  <c:v>3.5980100394901127E-2</c:v>
                </c:pt>
                <c:pt idx="4">
                  <c:v>3.2530048892577358E-2</c:v>
                </c:pt>
                <c:pt idx="5">
                  <c:v>2.612691992422889E-2</c:v>
                </c:pt>
                <c:pt idx="6">
                  <c:v>2.5576151832690082E-2</c:v>
                </c:pt>
                <c:pt idx="7">
                  <c:v>2.0076622610560233E-2</c:v>
                </c:pt>
                <c:pt idx="8">
                  <c:v>1.6291756099678163E-2</c:v>
                </c:pt>
                <c:pt idx="9">
                  <c:v>1.2243013829295131E-2</c:v>
                </c:pt>
                <c:pt idx="10">
                  <c:v>1.1837183769234028E-2</c:v>
                </c:pt>
                <c:pt idx="11">
                  <c:v>1.0473423938282144E-2</c:v>
                </c:pt>
                <c:pt idx="12">
                  <c:v>9.7045503816352782E-3</c:v>
                </c:pt>
                <c:pt idx="13">
                  <c:v>8.7713390397562811E-3</c:v>
                </c:pt>
                <c:pt idx="14">
                  <c:v>7.7694298375207103E-3</c:v>
                </c:pt>
                <c:pt idx="15">
                  <c:v>7.6080305279219535E-3</c:v>
                </c:pt>
                <c:pt idx="16">
                  <c:v>7.0968977417706349E-3</c:v>
                </c:pt>
                <c:pt idx="17">
                  <c:v>5.2197705332409213E-3</c:v>
                </c:pt>
                <c:pt idx="18">
                  <c:v>4.3129097464012093E-3</c:v>
                </c:pt>
                <c:pt idx="19">
                  <c:v>3.4475844707451049E-3</c:v>
                </c:pt>
                <c:pt idx="20">
                  <c:v>2.495304457907771E-3</c:v>
                </c:pt>
                <c:pt idx="21">
                  <c:v>2.0130632977124717E-3</c:v>
                </c:pt>
                <c:pt idx="22">
                  <c:v>9.6068944511435404E-4</c:v>
                </c:pt>
                <c:pt idx="23">
                  <c:v>2.1301566711615083E-5</c:v>
                </c:pt>
                <c:pt idx="24">
                  <c:v>0</c:v>
                </c:pt>
                <c:pt idx="25">
                  <c:v>0</c:v>
                </c:pt>
              </c:numCache>
            </c:numRef>
          </c:val>
          <c:smooth val="0"/>
        </c:ser>
        <c:dLbls>
          <c:showLegendKey val="0"/>
          <c:showVal val="0"/>
          <c:showCatName val="0"/>
          <c:showSerName val="0"/>
          <c:showPercent val="0"/>
          <c:showBubbleSize val="0"/>
        </c:dLbls>
        <c:marker val="1"/>
        <c:smooth val="0"/>
        <c:axId val="112730880"/>
        <c:axId val="112724608"/>
      </c:lineChart>
      <c:catAx>
        <c:axId val="112851968"/>
        <c:scaling>
          <c:orientation val="minMax"/>
        </c:scaling>
        <c:delete val="0"/>
        <c:axPos val="b"/>
        <c:majorTickMark val="out"/>
        <c:minorTickMark val="none"/>
        <c:tickLblPos val="nextTo"/>
        <c:txPr>
          <a:bodyPr/>
          <a:lstStyle/>
          <a:p>
            <a:pPr>
              <a:defRPr sz="700"/>
            </a:pPr>
            <a:endParaRPr lang="en-US"/>
          </a:p>
        </c:txPr>
        <c:crossAx val="112722688"/>
        <c:crosses val="autoZero"/>
        <c:auto val="1"/>
        <c:lblAlgn val="ctr"/>
        <c:lblOffset val="100"/>
        <c:noMultiLvlLbl val="0"/>
      </c:catAx>
      <c:valAx>
        <c:axId val="112722688"/>
        <c:scaling>
          <c:orientation val="minMax"/>
        </c:scaling>
        <c:delete val="0"/>
        <c:axPos val="l"/>
        <c:majorGridlines/>
        <c:title>
          <c:tx>
            <c:rich>
              <a:bodyPr rot="-5400000" vert="horz"/>
              <a:lstStyle/>
              <a:p>
                <a:pPr>
                  <a:defRPr/>
                </a:pPr>
                <a:r>
                  <a:rPr lang="en-GB"/>
                  <a:t>ERDF + ESF total financial corrections in EUR millions</a:t>
                </a:r>
              </a:p>
            </c:rich>
          </c:tx>
          <c:layout>
            <c:manualLayout>
              <c:xMode val="edge"/>
              <c:yMode val="edge"/>
              <c:x val="3.0199634793572714E-2"/>
              <c:y val="0.1905335399297661"/>
            </c:manualLayout>
          </c:layout>
          <c:overlay val="0"/>
        </c:title>
        <c:numFmt formatCode="###\ ###\ ###\ ##0" sourceLinked="1"/>
        <c:majorTickMark val="out"/>
        <c:minorTickMark val="none"/>
        <c:tickLblPos val="nextTo"/>
        <c:crossAx val="112851968"/>
        <c:crosses val="autoZero"/>
        <c:crossBetween val="between"/>
      </c:valAx>
      <c:valAx>
        <c:axId val="112724608"/>
        <c:scaling>
          <c:orientation val="minMax"/>
        </c:scaling>
        <c:delete val="0"/>
        <c:axPos val="r"/>
        <c:title>
          <c:tx>
            <c:rich>
              <a:bodyPr rot="-5400000" vert="horz"/>
              <a:lstStyle/>
              <a:p>
                <a:pPr>
                  <a:defRPr sz="700"/>
                </a:pPr>
                <a:r>
                  <a:rPr lang="en-GB" sz="700"/>
                  <a:t>% of financial correctiosn to contributions received</a:t>
                </a:r>
              </a:p>
            </c:rich>
          </c:tx>
          <c:layout>
            <c:manualLayout>
              <c:xMode val="edge"/>
              <c:yMode val="edge"/>
              <c:x val="0.95757575757575752"/>
              <c:y val="0.18539044188039314"/>
            </c:manualLayout>
          </c:layout>
          <c:overlay val="0"/>
        </c:title>
        <c:numFmt formatCode="0.0%" sourceLinked="0"/>
        <c:majorTickMark val="out"/>
        <c:minorTickMark val="none"/>
        <c:tickLblPos val="nextTo"/>
        <c:crossAx val="112730880"/>
        <c:crosses val="max"/>
        <c:crossBetween val="between"/>
      </c:valAx>
      <c:catAx>
        <c:axId val="112730880"/>
        <c:scaling>
          <c:orientation val="minMax"/>
        </c:scaling>
        <c:delete val="1"/>
        <c:axPos val="b"/>
        <c:majorTickMark val="out"/>
        <c:minorTickMark val="none"/>
        <c:tickLblPos val="nextTo"/>
        <c:crossAx val="112724608"/>
        <c:crosses val="autoZero"/>
        <c:auto val="1"/>
        <c:lblAlgn val="ctr"/>
        <c:lblOffset val="100"/>
        <c:noMultiLvlLbl val="0"/>
      </c:catAx>
    </c:plotArea>
    <c:legend>
      <c:legendPos val="b"/>
      <c:layout>
        <c:manualLayout>
          <c:xMode val="edge"/>
          <c:yMode val="edge"/>
          <c:x val="0.12201717967072298"/>
          <c:y val="0.93035572837614344"/>
          <c:w val="0.76051097590073968"/>
          <c:h val="4.6500585577778177E-2"/>
        </c:manualLayout>
      </c:layout>
      <c:overlay val="0"/>
    </c:legend>
    <c:plotVisOnly val="1"/>
    <c:dispBlanksAs val="gap"/>
    <c:showDLblsOverMax val="0"/>
  </c:chart>
  <c:txPr>
    <a:bodyPr/>
    <a:lstStyle/>
    <a:p>
      <a:pPr>
        <a:defRPr sz="800"/>
      </a:pPr>
      <a:endParaRPr lang="en-US"/>
    </a:p>
  </c:txPr>
  <c:externalData r:id="rId1">
    <c:autoUpdate val="0"/>
  </c:externalData>
  <c:userShapes r:id="rId2"/>
</c:chartSpace>
</file>

<file path=word/charts/chart8.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GB" sz="1200"/>
              <a:t>Programming period  2007-2013</a:t>
            </a:r>
          </a:p>
        </c:rich>
      </c:tx>
      <c:overlay val="1"/>
    </c:title>
    <c:autoTitleDeleted val="0"/>
    <c:plotArea>
      <c:layout>
        <c:manualLayout>
          <c:layoutTarget val="inner"/>
          <c:xMode val="edge"/>
          <c:yMode val="edge"/>
          <c:x val="0.12398674480758398"/>
          <c:y val="0.1287064994786494"/>
          <c:w val="0.75383834407062755"/>
          <c:h val="0.63697194734173612"/>
        </c:manualLayout>
      </c:layout>
      <c:barChart>
        <c:barDir val="col"/>
        <c:grouping val="stacked"/>
        <c:varyColors val="0"/>
        <c:ser>
          <c:idx val="0"/>
          <c:order val="0"/>
          <c:tx>
            <c:strRef>
              <c:f>'Graph 5.4.2'!$C$4</c:f>
              <c:strCache>
                <c:ptCount val="1"/>
                <c:pt idx="0">
                  <c:v>ERDF total FC</c:v>
                </c:pt>
              </c:strCache>
            </c:strRef>
          </c:tx>
          <c:invertIfNegative val="0"/>
          <c:cat>
            <c:strRef>
              <c:f>'Graph 5.4.2'!$B$5:$B$33</c:f>
              <c:strCache>
                <c:ptCount val="29"/>
                <c:pt idx="0">
                  <c:v>Romania</c:v>
                </c:pt>
                <c:pt idx="1">
                  <c:v>Slovakia</c:v>
                </c:pt>
                <c:pt idx="2">
                  <c:v>Czech Republic</c:v>
                </c:pt>
                <c:pt idx="3">
                  <c:v>Ireland</c:v>
                </c:pt>
                <c:pt idx="4">
                  <c:v>Bulgaria</c:v>
                </c:pt>
                <c:pt idx="5">
                  <c:v>Hungary</c:v>
                </c:pt>
                <c:pt idx="6">
                  <c:v>Greece</c:v>
                </c:pt>
                <c:pt idx="7">
                  <c:v>Spain</c:v>
                </c:pt>
                <c:pt idx="8">
                  <c:v>Austria</c:v>
                </c:pt>
                <c:pt idx="9">
                  <c:v>Belgium</c:v>
                </c:pt>
                <c:pt idx="10">
                  <c:v>Italy</c:v>
                </c:pt>
                <c:pt idx="11">
                  <c:v>Latvia</c:v>
                </c:pt>
                <c:pt idx="12">
                  <c:v>Slovenia</c:v>
                </c:pt>
                <c:pt idx="13">
                  <c:v>United Kingdom</c:v>
                </c:pt>
                <c:pt idx="14">
                  <c:v>Germany</c:v>
                </c:pt>
                <c:pt idx="15">
                  <c:v>Poland</c:v>
                </c:pt>
                <c:pt idx="16">
                  <c:v>France</c:v>
                </c:pt>
                <c:pt idx="17">
                  <c:v>Estonia</c:v>
                </c:pt>
                <c:pt idx="18">
                  <c:v>Portugal</c:v>
                </c:pt>
                <c:pt idx="19">
                  <c:v>Sweden</c:v>
                </c:pt>
                <c:pt idx="20">
                  <c:v>Luxembourg</c:v>
                </c:pt>
                <c:pt idx="21">
                  <c:v>Malta</c:v>
                </c:pt>
                <c:pt idx="22">
                  <c:v>Cross-border</c:v>
                </c:pt>
                <c:pt idx="23">
                  <c:v>Denmark</c:v>
                </c:pt>
                <c:pt idx="24">
                  <c:v>Lithuania</c:v>
                </c:pt>
                <c:pt idx="25">
                  <c:v>Finland</c:v>
                </c:pt>
                <c:pt idx="26">
                  <c:v>Croatia</c:v>
                </c:pt>
                <c:pt idx="27">
                  <c:v>Cyprus</c:v>
                </c:pt>
                <c:pt idx="28">
                  <c:v>Netherlands</c:v>
                </c:pt>
              </c:strCache>
            </c:strRef>
          </c:cat>
          <c:val>
            <c:numRef>
              <c:f>'Graph 5.4.2'!$C$5:$C$33</c:f>
              <c:numCache>
                <c:formatCode>###\ ###\ ###\ ##0</c:formatCode>
                <c:ptCount val="29"/>
                <c:pt idx="0">
                  <c:v>506.22149525452437</c:v>
                </c:pt>
                <c:pt idx="1">
                  <c:v>388.32646756149995</c:v>
                </c:pt>
                <c:pt idx="2">
                  <c:v>747.7466092845001</c:v>
                </c:pt>
                <c:pt idx="3">
                  <c:v>0.572245</c:v>
                </c:pt>
                <c:pt idx="4">
                  <c:v>138.85466905999999</c:v>
                </c:pt>
                <c:pt idx="5">
                  <c:v>405.59402597264983</c:v>
                </c:pt>
                <c:pt idx="6">
                  <c:v>289.20364106299985</c:v>
                </c:pt>
                <c:pt idx="7">
                  <c:v>273.05161126699994</c:v>
                </c:pt>
                <c:pt idx="8">
                  <c:v>16.21188403</c:v>
                </c:pt>
                <c:pt idx="9">
                  <c:v>1.6245879999999999</c:v>
                </c:pt>
                <c:pt idx="10">
                  <c:v>266.23800683166394</c:v>
                </c:pt>
                <c:pt idx="11">
                  <c:v>42.994217890000002</c:v>
                </c:pt>
                <c:pt idx="12">
                  <c:v>32.91131</c:v>
                </c:pt>
                <c:pt idx="13">
                  <c:v>28.306128152530505</c:v>
                </c:pt>
                <c:pt idx="14">
                  <c:v>155.30410420311202</c:v>
                </c:pt>
                <c:pt idx="15">
                  <c:v>177.14317333638891</c:v>
                </c:pt>
                <c:pt idx="16">
                  <c:v>13.167144322774003</c:v>
                </c:pt>
                <c:pt idx="17">
                  <c:v>11.645563234935999</c:v>
                </c:pt>
                <c:pt idx="18">
                  <c:v>22.003115080000001</c:v>
                </c:pt>
                <c:pt idx="19">
                  <c:v>0.72573756956745028</c:v>
                </c:pt>
                <c:pt idx="20">
                  <c:v>1.1081675499999999E-2</c:v>
                </c:pt>
                <c:pt idx="21">
                  <c:v>0.41871091999999993</c:v>
                </c:pt>
                <c:pt idx="22">
                  <c:v>2.560111665</c:v>
                </c:pt>
                <c:pt idx="23">
                  <c:v>0</c:v>
                </c:pt>
                <c:pt idx="24">
                  <c:v>2.0422490000000005E-2</c:v>
                </c:pt>
                <c:pt idx="25">
                  <c:v>0</c:v>
                </c:pt>
                <c:pt idx="26">
                  <c:v>0</c:v>
                </c:pt>
                <c:pt idx="27">
                  <c:v>0</c:v>
                </c:pt>
                <c:pt idx="28">
                  <c:v>0</c:v>
                </c:pt>
              </c:numCache>
            </c:numRef>
          </c:val>
        </c:ser>
        <c:ser>
          <c:idx val="1"/>
          <c:order val="1"/>
          <c:tx>
            <c:strRef>
              <c:f>'Graph 5.4.2'!$D$4</c:f>
              <c:strCache>
                <c:ptCount val="1"/>
                <c:pt idx="0">
                  <c:v>ESF total FC</c:v>
                </c:pt>
              </c:strCache>
            </c:strRef>
          </c:tx>
          <c:invertIfNegative val="0"/>
          <c:cat>
            <c:strRef>
              <c:f>'Graph 5.4.2'!$B$5:$B$33</c:f>
              <c:strCache>
                <c:ptCount val="29"/>
                <c:pt idx="0">
                  <c:v>Romania</c:v>
                </c:pt>
                <c:pt idx="1">
                  <c:v>Slovakia</c:v>
                </c:pt>
                <c:pt idx="2">
                  <c:v>Czech Republic</c:v>
                </c:pt>
                <c:pt idx="3">
                  <c:v>Ireland</c:v>
                </c:pt>
                <c:pt idx="4">
                  <c:v>Bulgaria</c:v>
                </c:pt>
                <c:pt idx="5">
                  <c:v>Hungary</c:v>
                </c:pt>
                <c:pt idx="6">
                  <c:v>Greece</c:v>
                </c:pt>
                <c:pt idx="7">
                  <c:v>Spain</c:v>
                </c:pt>
                <c:pt idx="8">
                  <c:v>Austria</c:v>
                </c:pt>
                <c:pt idx="9">
                  <c:v>Belgium</c:v>
                </c:pt>
                <c:pt idx="10">
                  <c:v>Italy</c:v>
                </c:pt>
                <c:pt idx="11">
                  <c:v>Latvia</c:v>
                </c:pt>
                <c:pt idx="12">
                  <c:v>Slovenia</c:v>
                </c:pt>
                <c:pt idx="13">
                  <c:v>United Kingdom</c:v>
                </c:pt>
                <c:pt idx="14">
                  <c:v>Germany</c:v>
                </c:pt>
                <c:pt idx="15">
                  <c:v>Poland</c:v>
                </c:pt>
                <c:pt idx="16">
                  <c:v>France</c:v>
                </c:pt>
                <c:pt idx="17">
                  <c:v>Estonia</c:v>
                </c:pt>
                <c:pt idx="18">
                  <c:v>Portugal</c:v>
                </c:pt>
                <c:pt idx="19">
                  <c:v>Sweden</c:v>
                </c:pt>
                <c:pt idx="20">
                  <c:v>Luxembourg</c:v>
                </c:pt>
                <c:pt idx="21">
                  <c:v>Malta</c:v>
                </c:pt>
                <c:pt idx="22">
                  <c:v>Cross-border</c:v>
                </c:pt>
                <c:pt idx="23">
                  <c:v>Denmark</c:v>
                </c:pt>
                <c:pt idx="24">
                  <c:v>Lithuania</c:v>
                </c:pt>
                <c:pt idx="25">
                  <c:v>Finland</c:v>
                </c:pt>
                <c:pt idx="26">
                  <c:v>Croatia</c:v>
                </c:pt>
                <c:pt idx="27">
                  <c:v>Cyprus</c:v>
                </c:pt>
                <c:pt idx="28">
                  <c:v>Netherlands</c:v>
                </c:pt>
              </c:strCache>
            </c:strRef>
          </c:cat>
          <c:val>
            <c:numRef>
              <c:f>'Graph 5.4.2'!$D$5:$D$33</c:f>
              <c:numCache>
                <c:formatCode>###\ ###\ ###\ ##0</c:formatCode>
                <c:ptCount val="29"/>
                <c:pt idx="0">
                  <c:v>454.70098120000006</c:v>
                </c:pt>
                <c:pt idx="1">
                  <c:v>36.286009560000004</c:v>
                </c:pt>
                <c:pt idx="2">
                  <c:v>61.900036100000001</c:v>
                </c:pt>
                <c:pt idx="3">
                  <c:v>21.333537019999998</c:v>
                </c:pt>
                <c:pt idx="4">
                  <c:v>4.8245537699999996</c:v>
                </c:pt>
                <c:pt idx="5">
                  <c:v>26.081382040193997</c:v>
                </c:pt>
                <c:pt idx="6">
                  <c:v>49.201747870000005</c:v>
                </c:pt>
                <c:pt idx="7">
                  <c:v>215.432467030444</c:v>
                </c:pt>
                <c:pt idx="8">
                  <c:v>1.5787810000000003E-2</c:v>
                </c:pt>
                <c:pt idx="9">
                  <c:v>22.435693818411998</c:v>
                </c:pt>
                <c:pt idx="10">
                  <c:v>26.738454484282002</c:v>
                </c:pt>
                <c:pt idx="11">
                  <c:v>4.4569955800000001</c:v>
                </c:pt>
                <c:pt idx="12">
                  <c:v>9.6893401000000018E-2</c:v>
                </c:pt>
                <c:pt idx="13">
                  <c:v>42.921513939999997</c:v>
                </c:pt>
                <c:pt idx="14">
                  <c:v>23.197492354670004</c:v>
                </c:pt>
                <c:pt idx="15">
                  <c:v>156.96149797661943</c:v>
                </c:pt>
                <c:pt idx="16">
                  <c:v>50.80421033031142</c:v>
                </c:pt>
                <c:pt idx="17">
                  <c:v>3.9652200000000002E-3</c:v>
                </c:pt>
                <c:pt idx="18">
                  <c:v>0.19149663</c:v>
                </c:pt>
                <c:pt idx="19">
                  <c:v>0.41278300000000001</c:v>
                </c:pt>
                <c:pt idx="20">
                  <c:v>1.5224399999999999E-2</c:v>
                </c:pt>
                <c:pt idx="21">
                  <c:v>0</c:v>
                </c:pt>
                <c:pt idx="22">
                  <c:v>0</c:v>
                </c:pt>
                <c:pt idx="23">
                  <c:v>1.5504298907115938E-2</c:v>
                </c:pt>
                <c:pt idx="24">
                  <c:v>1.78725E-3</c:v>
                </c:pt>
                <c:pt idx="25">
                  <c:v>3.4208900000000002E-3</c:v>
                </c:pt>
                <c:pt idx="26">
                  <c:v>0</c:v>
                </c:pt>
                <c:pt idx="27">
                  <c:v>0</c:v>
                </c:pt>
                <c:pt idx="28">
                  <c:v>0</c:v>
                </c:pt>
              </c:numCache>
            </c:numRef>
          </c:val>
        </c:ser>
        <c:dLbls>
          <c:showLegendKey val="0"/>
          <c:showVal val="0"/>
          <c:showCatName val="0"/>
          <c:showSerName val="0"/>
          <c:showPercent val="0"/>
          <c:showBubbleSize val="0"/>
        </c:dLbls>
        <c:gapWidth val="150"/>
        <c:overlap val="100"/>
        <c:axId val="112776704"/>
        <c:axId val="112778240"/>
      </c:barChart>
      <c:lineChart>
        <c:grouping val="stacked"/>
        <c:varyColors val="0"/>
        <c:ser>
          <c:idx val="2"/>
          <c:order val="2"/>
          <c:tx>
            <c:strRef>
              <c:f>'Graph 5.4.2'!$F$4</c:f>
              <c:strCache>
                <c:ptCount val="1"/>
                <c:pt idx="0">
                  <c:v>Financial corrections to contributions %</c:v>
                </c:pt>
              </c:strCache>
            </c:strRef>
          </c:tx>
          <c:cat>
            <c:strRef>
              <c:f>'Graph 5.4.2'!$B$5:$B$33</c:f>
              <c:strCache>
                <c:ptCount val="29"/>
                <c:pt idx="0">
                  <c:v>Romania</c:v>
                </c:pt>
                <c:pt idx="1">
                  <c:v>Slovakia</c:v>
                </c:pt>
                <c:pt idx="2">
                  <c:v>Czech Republic</c:v>
                </c:pt>
                <c:pt idx="3">
                  <c:v>Ireland</c:v>
                </c:pt>
                <c:pt idx="4">
                  <c:v>Bulgaria</c:v>
                </c:pt>
                <c:pt idx="5">
                  <c:v>Hungary</c:v>
                </c:pt>
                <c:pt idx="6">
                  <c:v>Greece</c:v>
                </c:pt>
                <c:pt idx="7">
                  <c:v>Spain</c:v>
                </c:pt>
                <c:pt idx="8">
                  <c:v>Austria</c:v>
                </c:pt>
                <c:pt idx="9">
                  <c:v>Belgium</c:v>
                </c:pt>
                <c:pt idx="10">
                  <c:v>Italy</c:v>
                </c:pt>
                <c:pt idx="11">
                  <c:v>Latvia</c:v>
                </c:pt>
                <c:pt idx="12">
                  <c:v>Slovenia</c:v>
                </c:pt>
                <c:pt idx="13">
                  <c:v>United Kingdom</c:v>
                </c:pt>
                <c:pt idx="14">
                  <c:v>Germany</c:v>
                </c:pt>
                <c:pt idx="15">
                  <c:v>Poland</c:v>
                </c:pt>
                <c:pt idx="16">
                  <c:v>France</c:v>
                </c:pt>
                <c:pt idx="17">
                  <c:v>Estonia</c:v>
                </c:pt>
                <c:pt idx="18">
                  <c:v>Portugal</c:v>
                </c:pt>
                <c:pt idx="19">
                  <c:v>Sweden</c:v>
                </c:pt>
                <c:pt idx="20">
                  <c:v>Luxembourg</c:v>
                </c:pt>
                <c:pt idx="21">
                  <c:v>Malta</c:v>
                </c:pt>
                <c:pt idx="22">
                  <c:v>Cross-border</c:v>
                </c:pt>
                <c:pt idx="23">
                  <c:v>Denmark</c:v>
                </c:pt>
                <c:pt idx="24">
                  <c:v>Lithuania</c:v>
                </c:pt>
                <c:pt idx="25">
                  <c:v>Finland</c:v>
                </c:pt>
                <c:pt idx="26">
                  <c:v>Croatia</c:v>
                </c:pt>
                <c:pt idx="27">
                  <c:v>Cyprus</c:v>
                </c:pt>
                <c:pt idx="28">
                  <c:v>Netherlands</c:v>
                </c:pt>
              </c:strCache>
            </c:strRef>
          </c:cat>
          <c:val>
            <c:numRef>
              <c:f>'Graph 5.4.2'!$F$5:$F$33</c:f>
              <c:numCache>
                <c:formatCode>0.0%</c:formatCode>
                <c:ptCount val="29"/>
                <c:pt idx="0">
                  <c:v>5.0421855054017806E-2</c:v>
                </c:pt>
                <c:pt idx="1">
                  <c:v>3.6978263627429613E-2</c:v>
                </c:pt>
                <c:pt idx="2">
                  <c:v>3.0639783995283738E-2</c:v>
                </c:pt>
                <c:pt idx="3">
                  <c:v>2.9179512535634534E-2</c:v>
                </c:pt>
                <c:pt idx="4">
                  <c:v>2.1547876242450154E-2</c:v>
                </c:pt>
                <c:pt idx="5">
                  <c:v>1.7341271924354185E-2</c:v>
                </c:pt>
                <c:pt idx="6">
                  <c:v>1.6744236082938999E-2</c:v>
                </c:pt>
                <c:pt idx="7">
                  <c:v>1.4147991957630574E-2</c:v>
                </c:pt>
                <c:pt idx="8">
                  <c:v>1.3472777429157125E-2</c:v>
                </c:pt>
                <c:pt idx="9">
                  <c:v>1.1669319086576948E-2</c:v>
                </c:pt>
                <c:pt idx="10">
                  <c:v>1.0484711662095502E-2</c:v>
                </c:pt>
                <c:pt idx="11">
                  <c:v>1.04738465828165E-2</c:v>
                </c:pt>
                <c:pt idx="12">
                  <c:v>8.0487227367278657E-3</c:v>
                </c:pt>
                <c:pt idx="13">
                  <c:v>7.207198793202885E-3</c:v>
                </c:pt>
                <c:pt idx="14">
                  <c:v>7.0096953992254268E-3</c:v>
                </c:pt>
                <c:pt idx="15">
                  <c:v>4.9728650740002026E-3</c:v>
                </c:pt>
                <c:pt idx="16">
                  <c:v>4.7214046041682981E-3</c:v>
                </c:pt>
                <c:pt idx="17">
                  <c:v>3.422848766330441E-3</c:v>
                </c:pt>
                <c:pt idx="18">
                  <c:v>1.036571421198429E-3</c:v>
                </c:pt>
                <c:pt idx="19">
                  <c:v>7.0015758517051922E-4</c:v>
                </c:pt>
                <c:pt idx="20">
                  <c:v>5.2104309057171008E-4</c:v>
                </c:pt>
                <c:pt idx="21">
                  <c:v>4.9839237180982897E-4</c:v>
                </c:pt>
                <c:pt idx="22">
                  <c:v>3.2054424452579466E-4</c:v>
                </c:pt>
                <c:pt idx="23">
                  <c:v>3.0425807356587872E-5</c:v>
                </c:pt>
                <c:pt idx="24">
                  <c:v>3.2779519630818752E-6</c:v>
                </c:pt>
                <c:pt idx="25">
                  <c:v>2.1434603905645504E-6</c:v>
                </c:pt>
                <c:pt idx="26">
                  <c:v>0</c:v>
                </c:pt>
                <c:pt idx="27">
                  <c:v>0</c:v>
                </c:pt>
                <c:pt idx="28">
                  <c:v>0</c:v>
                </c:pt>
              </c:numCache>
            </c:numRef>
          </c:val>
          <c:smooth val="0"/>
        </c:ser>
        <c:dLbls>
          <c:showLegendKey val="0"/>
          <c:showVal val="0"/>
          <c:showCatName val="0"/>
          <c:showSerName val="0"/>
          <c:showPercent val="0"/>
          <c:showBubbleSize val="0"/>
        </c:dLbls>
        <c:marker val="1"/>
        <c:smooth val="0"/>
        <c:axId val="157228032"/>
        <c:axId val="157226112"/>
      </c:lineChart>
      <c:catAx>
        <c:axId val="112776704"/>
        <c:scaling>
          <c:orientation val="minMax"/>
        </c:scaling>
        <c:delete val="0"/>
        <c:axPos val="b"/>
        <c:majorTickMark val="out"/>
        <c:minorTickMark val="none"/>
        <c:tickLblPos val="nextTo"/>
        <c:txPr>
          <a:bodyPr/>
          <a:lstStyle/>
          <a:p>
            <a:pPr>
              <a:defRPr sz="700"/>
            </a:pPr>
            <a:endParaRPr lang="en-US"/>
          </a:p>
        </c:txPr>
        <c:crossAx val="112778240"/>
        <c:crosses val="autoZero"/>
        <c:auto val="1"/>
        <c:lblAlgn val="ctr"/>
        <c:lblOffset val="100"/>
        <c:noMultiLvlLbl val="0"/>
      </c:catAx>
      <c:valAx>
        <c:axId val="112778240"/>
        <c:scaling>
          <c:orientation val="minMax"/>
        </c:scaling>
        <c:delete val="0"/>
        <c:axPos val="l"/>
        <c:majorGridlines/>
        <c:title>
          <c:tx>
            <c:rich>
              <a:bodyPr rot="-5400000" vert="horz"/>
              <a:lstStyle/>
              <a:p>
                <a:pPr>
                  <a:defRPr/>
                </a:pPr>
                <a:r>
                  <a:rPr lang="en-GB"/>
                  <a:t>ERDF + ESF total financial corrections in EUR millions</a:t>
                </a:r>
              </a:p>
            </c:rich>
          </c:tx>
          <c:layout>
            <c:manualLayout>
              <c:xMode val="edge"/>
              <c:yMode val="edge"/>
              <c:x val="3.0199634793572714E-2"/>
              <c:y val="0.1905335399297661"/>
            </c:manualLayout>
          </c:layout>
          <c:overlay val="0"/>
        </c:title>
        <c:numFmt formatCode="###\ ###\ ###\ ##0" sourceLinked="1"/>
        <c:majorTickMark val="out"/>
        <c:minorTickMark val="none"/>
        <c:tickLblPos val="nextTo"/>
        <c:crossAx val="112776704"/>
        <c:crosses val="autoZero"/>
        <c:crossBetween val="between"/>
      </c:valAx>
      <c:valAx>
        <c:axId val="157226112"/>
        <c:scaling>
          <c:orientation val="minMax"/>
        </c:scaling>
        <c:delete val="0"/>
        <c:axPos val="r"/>
        <c:title>
          <c:tx>
            <c:rich>
              <a:bodyPr rot="-5400000" vert="horz"/>
              <a:lstStyle/>
              <a:p>
                <a:pPr>
                  <a:defRPr sz="700"/>
                </a:pPr>
                <a:r>
                  <a:rPr lang="en-GB" sz="700"/>
                  <a:t>% of financial correctiosn to contributions received</a:t>
                </a:r>
              </a:p>
            </c:rich>
          </c:tx>
          <c:layout>
            <c:manualLayout>
              <c:xMode val="edge"/>
              <c:yMode val="edge"/>
              <c:x val="0.95757575757575752"/>
              <c:y val="0.18539044188039314"/>
            </c:manualLayout>
          </c:layout>
          <c:overlay val="0"/>
        </c:title>
        <c:numFmt formatCode="0.0%" sourceLinked="0"/>
        <c:majorTickMark val="out"/>
        <c:minorTickMark val="none"/>
        <c:tickLblPos val="nextTo"/>
        <c:crossAx val="157228032"/>
        <c:crosses val="max"/>
        <c:crossBetween val="between"/>
      </c:valAx>
      <c:catAx>
        <c:axId val="157228032"/>
        <c:scaling>
          <c:orientation val="minMax"/>
        </c:scaling>
        <c:delete val="1"/>
        <c:axPos val="b"/>
        <c:majorTickMark val="out"/>
        <c:minorTickMark val="none"/>
        <c:tickLblPos val="nextTo"/>
        <c:crossAx val="157226112"/>
        <c:crosses val="autoZero"/>
        <c:auto val="1"/>
        <c:lblAlgn val="ctr"/>
        <c:lblOffset val="100"/>
        <c:noMultiLvlLbl val="0"/>
      </c:catAx>
    </c:plotArea>
    <c:legend>
      <c:legendPos val="b"/>
      <c:layout>
        <c:manualLayout>
          <c:xMode val="edge"/>
          <c:yMode val="edge"/>
          <c:x val="0.12201717967072298"/>
          <c:y val="0.93035572837614344"/>
          <c:w val="0.76051097590073968"/>
          <c:h val="4.6500585577778177E-2"/>
        </c:manualLayout>
      </c:layout>
      <c:overlay val="0"/>
    </c:legend>
    <c:plotVisOnly val="1"/>
    <c:dispBlanksAs val="gap"/>
    <c:showDLblsOverMax val="0"/>
  </c:chart>
  <c:txPr>
    <a:bodyPr/>
    <a:lstStyle/>
    <a:p>
      <a:pPr>
        <a:defRPr sz="800"/>
      </a:pPr>
      <a:endParaRPr lang="en-US"/>
    </a:p>
  </c:txPr>
  <c:externalData r:id="rId1">
    <c:autoUpdate val="0"/>
  </c:externalData>
  <c:userShapes r:id="rId2"/>
</c:chartSpace>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E1C25BA4-CD94-48AD-AE50-64AE48F13B24}" type="doc">
      <dgm:prSet loTypeId="urn:microsoft.com/office/officeart/2005/8/layout/chevron1" loCatId="process" qsTypeId="urn:microsoft.com/office/officeart/2005/8/quickstyle/simple1" qsCatId="simple" csTypeId="urn:microsoft.com/office/officeart/2005/8/colors/accent1_2" csCatId="accent1" phldr="1"/>
      <dgm:spPr/>
    </dgm:pt>
    <dgm:pt modelId="{CE7D345B-4382-40B7-8AE5-3C560131C26B}">
      <dgm:prSet phldrT="[Text]"/>
      <dgm:spPr>
        <a:solidFill>
          <a:srgbClr val="92D050"/>
        </a:solidFill>
      </dgm:spPr>
      <dgm:t>
        <a:bodyPr/>
        <a:lstStyle/>
        <a:p>
          <a:r>
            <a:rPr lang="en-GB"/>
            <a:t>Audit / Control</a:t>
          </a:r>
        </a:p>
      </dgm:t>
    </dgm:pt>
    <dgm:pt modelId="{D9262A82-C4DC-4FBF-8A9C-A5FD3941FB93}" type="parTrans" cxnId="{A3FACC07-0DD9-4677-BF79-9E74A6C8A150}">
      <dgm:prSet/>
      <dgm:spPr/>
      <dgm:t>
        <a:bodyPr/>
        <a:lstStyle/>
        <a:p>
          <a:endParaRPr lang="en-GB"/>
        </a:p>
      </dgm:t>
    </dgm:pt>
    <dgm:pt modelId="{9D510870-6695-4296-A195-8C06AFE2296A}" type="sibTrans" cxnId="{A3FACC07-0DD9-4677-BF79-9E74A6C8A150}">
      <dgm:prSet/>
      <dgm:spPr/>
      <dgm:t>
        <a:bodyPr/>
        <a:lstStyle/>
        <a:p>
          <a:endParaRPr lang="en-GB"/>
        </a:p>
      </dgm:t>
    </dgm:pt>
    <dgm:pt modelId="{20CC9278-1A5F-4B76-B2AA-59FA8426B074}">
      <dgm:prSet phldrT="[Text]"/>
      <dgm:spPr>
        <a:solidFill>
          <a:schemeClr val="accent3">
            <a:lumMod val="50000"/>
          </a:schemeClr>
        </a:solidFill>
      </dgm:spPr>
      <dgm:t>
        <a:bodyPr/>
        <a:lstStyle/>
        <a:p>
          <a:r>
            <a:rPr lang="en-GB"/>
            <a:t>In progress </a:t>
          </a:r>
        </a:p>
      </dgm:t>
    </dgm:pt>
    <dgm:pt modelId="{6126B8CC-65C1-444D-8DD7-9D09058B52F4}" type="parTrans" cxnId="{F0152D46-34E1-4E5C-81AC-9B9DA35494EA}">
      <dgm:prSet/>
      <dgm:spPr/>
      <dgm:t>
        <a:bodyPr/>
        <a:lstStyle/>
        <a:p>
          <a:endParaRPr lang="en-GB"/>
        </a:p>
      </dgm:t>
    </dgm:pt>
    <dgm:pt modelId="{3572702A-987D-4F37-91F9-280B3A848634}" type="sibTrans" cxnId="{F0152D46-34E1-4E5C-81AC-9B9DA35494EA}">
      <dgm:prSet/>
      <dgm:spPr/>
      <dgm:t>
        <a:bodyPr/>
        <a:lstStyle/>
        <a:p>
          <a:endParaRPr lang="en-GB"/>
        </a:p>
      </dgm:t>
    </dgm:pt>
    <dgm:pt modelId="{F6C9324B-55E1-4C53-A6B9-E90359BF7543}">
      <dgm:prSet phldrT="[Text]"/>
      <dgm:spPr>
        <a:solidFill>
          <a:schemeClr val="accent5"/>
        </a:solidFill>
      </dgm:spPr>
      <dgm:t>
        <a:bodyPr/>
        <a:lstStyle/>
        <a:p>
          <a:r>
            <a:rPr lang="en-GB"/>
            <a:t>Confirmed</a:t>
          </a:r>
        </a:p>
      </dgm:t>
    </dgm:pt>
    <dgm:pt modelId="{435B7F28-4787-4E4D-BD6E-8A8F0A6B53E7}" type="parTrans" cxnId="{4FE4E3D8-0B85-47C3-ACBB-955EAC60AA41}">
      <dgm:prSet/>
      <dgm:spPr/>
      <dgm:t>
        <a:bodyPr/>
        <a:lstStyle/>
        <a:p>
          <a:endParaRPr lang="en-GB"/>
        </a:p>
      </dgm:t>
    </dgm:pt>
    <dgm:pt modelId="{621C22E0-9DDF-40C5-8B18-F9D9ED68F28A}" type="sibTrans" cxnId="{4FE4E3D8-0B85-47C3-ACBB-955EAC60AA41}">
      <dgm:prSet/>
      <dgm:spPr/>
      <dgm:t>
        <a:bodyPr/>
        <a:lstStyle/>
        <a:p>
          <a:endParaRPr lang="en-GB"/>
        </a:p>
      </dgm:t>
    </dgm:pt>
    <dgm:pt modelId="{5E616404-2CD3-4779-9033-735D650D5CB5}">
      <dgm:prSet phldrT="[Text]"/>
      <dgm:spPr>
        <a:solidFill>
          <a:schemeClr val="tx2">
            <a:lumMod val="60000"/>
            <a:lumOff val="40000"/>
          </a:schemeClr>
        </a:solidFill>
      </dgm:spPr>
      <dgm:t>
        <a:bodyPr/>
        <a:lstStyle/>
        <a:p>
          <a:r>
            <a:rPr lang="en-GB" b="0" i="0"/>
            <a:t>Implemented</a:t>
          </a:r>
          <a:r>
            <a:rPr lang="en-GB" i="1"/>
            <a:t> </a:t>
          </a:r>
        </a:p>
      </dgm:t>
    </dgm:pt>
    <dgm:pt modelId="{25016313-0164-4BC5-B4CB-CD7A93B6078B}" type="parTrans" cxnId="{9AB5A116-4874-4154-8853-F8FC64D42651}">
      <dgm:prSet/>
      <dgm:spPr/>
      <dgm:t>
        <a:bodyPr/>
        <a:lstStyle/>
        <a:p>
          <a:endParaRPr lang="en-GB"/>
        </a:p>
      </dgm:t>
    </dgm:pt>
    <dgm:pt modelId="{31F391CF-FED6-442B-A09C-83B797FF43F5}" type="sibTrans" cxnId="{9AB5A116-4874-4154-8853-F8FC64D42651}">
      <dgm:prSet/>
      <dgm:spPr/>
      <dgm:t>
        <a:bodyPr/>
        <a:lstStyle/>
        <a:p>
          <a:endParaRPr lang="en-GB"/>
        </a:p>
      </dgm:t>
    </dgm:pt>
    <dgm:pt modelId="{5F919596-BE94-49A2-9090-52ED213B1AA2}">
      <dgm:prSet phldrT="[Text]"/>
      <dgm:spPr>
        <a:solidFill>
          <a:schemeClr val="accent4"/>
        </a:solidFill>
      </dgm:spPr>
      <dgm:t>
        <a:bodyPr/>
        <a:lstStyle/>
        <a:p>
          <a:r>
            <a:rPr lang="en-GB" i="0"/>
            <a:t>Reported</a:t>
          </a:r>
        </a:p>
      </dgm:t>
    </dgm:pt>
    <dgm:pt modelId="{CBAC4791-9D2B-4658-829B-BBAE4EA4BB58}" type="parTrans" cxnId="{E221F5C0-DA00-41BB-8BCD-DFFD93CC41AC}">
      <dgm:prSet/>
      <dgm:spPr/>
      <dgm:t>
        <a:bodyPr/>
        <a:lstStyle/>
        <a:p>
          <a:endParaRPr lang="en-GB"/>
        </a:p>
      </dgm:t>
    </dgm:pt>
    <dgm:pt modelId="{858D410B-32C6-43A1-9E67-F9C830D845EB}" type="sibTrans" cxnId="{E221F5C0-DA00-41BB-8BCD-DFFD93CC41AC}">
      <dgm:prSet/>
      <dgm:spPr/>
      <dgm:t>
        <a:bodyPr/>
        <a:lstStyle/>
        <a:p>
          <a:endParaRPr lang="en-GB"/>
        </a:p>
      </dgm:t>
    </dgm:pt>
    <dgm:pt modelId="{28EF3502-A5CE-4BF1-80B1-CA7E0202B890}" type="pres">
      <dgm:prSet presAssocID="{E1C25BA4-CD94-48AD-AE50-64AE48F13B24}" presName="Name0" presStyleCnt="0">
        <dgm:presLayoutVars>
          <dgm:dir/>
          <dgm:animLvl val="lvl"/>
          <dgm:resizeHandles val="exact"/>
        </dgm:presLayoutVars>
      </dgm:prSet>
      <dgm:spPr/>
    </dgm:pt>
    <dgm:pt modelId="{191FECF2-A521-4F46-A93A-2BBD80BE276F}" type="pres">
      <dgm:prSet presAssocID="{CE7D345B-4382-40B7-8AE5-3C560131C26B}" presName="parTxOnly" presStyleLbl="node1" presStyleIdx="0" presStyleCnt="5">
        <dgm:presLayoutVars>
          <dgm:chMax val="0"/>
          <dgm:chPref val="0"/>
          <dgm:bulletEnabled val="1"/>
        </dgm:presLayoutVars>
      </dgm:prSet>
      <dgm:spPr/>
      <dgm:t>
        <a:bodyPr/>
        <a:lstStyle/>
        <a:p>
          <a:endParaRPr lang="en-GB"/>
        </a:p>
      </dgm:t>
    </dgm:pt>
    <dgm:pt modelId="{02AD3CC4-9DFF-43CD-981A-7C4AB4B49B41}" type="pres">
      <dgm:prSet presAssocID="{9D510870-6695-4296-A195-8C06AFE2296A}" presName="parTxOnlySpace" presStyleCnt="0"/>
      <dgm:spPr/>
    </dgm:pt>
    <dgm:pt modelId="{6E872551-BC66-474E-9080-DF01D418D413}" type="pres">
      <dgm:prSet presAssocID="{20CC9278-1A5F-4B76-B2AA-59FA8426B074}" presName="parTxOnly" presStyleLbl="node1" presStyleIdx="1" presStyleCnt="5">
        <dgm:presLayoutVars>
          <dgm:chMax val="0"/>
          <dgm:chPref val="0"/>
          <dgm:bulletEnabled val="1"/>
        </dgm:presLayoutVars>
      </dgm:prSet>
      <dgm:spPr/>
      <dgm:t>
        <a:bodyPr/>
        <a:lstStyle/>
        <a:p>
          <a:endParaRPr lang="en-GB"/>
        </a:p>
      </dgm:t>
    </dgm:pt>
    <dgm:pt modelId="{12B97AD2-D582-40D7-B04F-958FF16B139F}" type="pres">
      <dgm:prSet presAssocID="{3572702A-987D-4F37-91F9-280B3A848634}" presName="parTxOnlySpace" presStyleCnt="0"/>
      <dgm:spPr/>
    </dgm:pt>
    <dgm:pt modelId="{2BA60F5D-2D40-4CE6-9D07-3515F01652FD}" type="pres">
      <dgm:prSet presAssocID="{F6C9324B-55E1-4C53-A6B9-E90359BF7543}" presName="parTxOnly" presStyleLbl="node1" presStyleIdx="2" presStyleCnt="5">
        <dgm:presLayoutVars>
          <dgm:chMax val="0"/>
          <dgm:chPref val="0"/>
          <dgm:bulletEnabled val="1"/>
        </dgm:presLayoutVars>
      </dgm:prSet>
      <dgm:spPr/>
      <dgm:t>
        <a:bodyPr/>
        <a:lstStyle/>
        <a:p>
          <a:endParaRPr lang="en-GB"/>
        </a:p>
      </dgm:t>
    </dgm:pt>
    <dgm:pt modelId="{50193686-C14E-4A4D-9A32-A08E74E3283C}" type="pres">
      <dgm:prSet presAssocID="{621C22E0-9DDF-40C5-8B18-F9D9ED68F28A}" presName="parTxOnlySpace" presStyleCnt="0"/>
      <dgm:spPr/>
    </dgm:pt>
    <dgm:pt modelId="{DF1B5E6B-E404-4038-8C22-E9AECF6B8108}" type="pres">
      <dgm:prSet presAssocID="{5E616404-2CD3-4779-9033-735D650D5CB5}" presName="parTxOnly" presStyleLbl="node1" presStyleIdx="3" presStyleCnt="5">
        <dgm:presLayoutVars>
          <dgm:chMax val="0"/>
          <dgm:chPref val="0"/>
          <dgm:bulletEnabled val="1"/>
        </dgm:presLayoutVars>
      </dgm:prSet>
      <dgm:spPr/>
      <dgm:t>
        <a:bodyPr/>
        <a:lstStyle/>
        <a:p>
          <a:endParaRPr lang="en-GB"/>
        </a:p>
      </dgm:t>
    </dgm:pt>
    <dgm:pt modelId="{B1F07681-1A9C-4C47-A304-6C94221189CD}" type="pres">
      <dgm:prSet presAssocID="{31F391CF-FED6-442B-A09C-83B797FF43F5}" presName="parTxOnlySpace" presStyleCnt="0"/>
      <dgm:spPr/>
    </dgm:pt>
    <dgm:pt modelId="{98202000-EE1A-4118-8441-536D3199620B}" type="pres">
      <dgm:prSet presAssocID="{5F919596-BE94-49A2-9090-52ED213B1AA2}" presName="parTxOnly" presStyleLbl="node1" presStyleIdx="4" presStyleCnt="5">
        <dgm:presLayoutVars>
          <dgm:chMax val="0"/>
          <dgm:chPref val="0"/>
          <dgm:bulletEnabled val="1"/>
        </dgm:presLayoutVars>
      </dgm:prSet>
      <dgm:spPr/>
      <dgm:t>
        <a:bodyPr/>
        <a:lstStyle/>
        <a:p>
          <a:endParaRPr lang="en-GB"/>
        </a:p>
      </dgm:t>
    </dgm:pt>
  </dgm:ptLst>
  <dgm:cxnLst>
    <dgm:cxn modelId="{E221F5C0-DA00-41BB-8BCD-DFFD93CC41AC}" srcId="{E1C25BA4-CD94-48AD-AE50-64AE48F13B24}" destId="{5F919596-BE94-49A2-9090-52ED213B1AA2}" srcOrd="4" destOrd="0" parTransId="{CBAC4791-9D2B-4658-829B-BBAE4EA4BB58}" sibTransId="{858D410B-32C6-43A1-9E67-F9C830D845EB}"/>
    <dgm:cxn modelId="{F605CAD0-7EDC-4DEB-B8B0-F262999BDC8F}" type="presOf" srcId="{CE7D345B-4382-40B7-8AE5-3C560131C26B}" destId="{191FECF2-A521-4F46-A93A-2BBD80BE276F}" srcOrd="0" destOrd="0" presId="urn:microsoft.com/office/officeart/2005/8/layout/chevron1"/>
    <dgm:cxn modelId="{9AB5A116-4874-4154-8853-F8FC64D42651}" srcId="{E1C25BA4-CD94-48AD-AE50-64AE48F13B24}" destId="{5E616404-2CD3-4779-9033-735D650D5CB5}" srcOrd="3" destOrd="0" parTransId="{25016313-0164-4BC5-B4CB-CD7A93B6078B}" sibTransId="{31F391CF-FED6-442B-A09C-83B797FF43F5}"/>
    <dgm:cxn modelId="{85659F04-24EA-4A9F-B0E2-88C4CF0DF64A}" type="presOf" srcId="{5F919596-BE94-49A2-9090-52ED213B1AA2}" destId="{98202000-EE1A-4118-8441-536D3199620B}" srcOrd="0" destOrd="0" presId="urn:microsoft.com/office/officeart/2005/8/layout/chevron1"/>
    <dgm:cxn modelId="{FEDD6EBA-8DA0-4B2B-AE9F-EB1D812FB66D}" type="presOf" srcId="{20CC9278-1A5F-4B76-B2AA-59FA8426B074}" destId="{6E872551-BC66-474E-9080-DF01D418D413}" srcOrd="0" destOrd="0" presId="urn:microsoft.com/office/officeart/2005/8/layout/chevron1"/>
    <dgm:cxn modelId="{A3FACC07-0DD9-4677-BF79-9E74A6C8A150}" srcId="{E1C25BA4-CD94-48AD-AE50-64AE48F13B24}" destId="{CE7D345B-4382-40B7-8AE5-3C560131C26B}" srcOrd="0" destOrd="0" parTransId="{D9262A82-C4DC-4FBF-8A9C-A5FD3941FB93}" sibTransId="{9D510870-6695-4296-A195-8C06AFE2296A}"/>
    <dgm:cxn modelId="{0C240EE0-3E0A-44E6-908A-F744EA045DA4}" type="presOf" srcId="{F6C9324B-55E1-4C53-A6B9-E90359BF7543}" destId="{2BA60F5D-2D40-4CE6-9D07-3515F01652FD}" srcOrd="0" destOrd="0" presId="urn:microsoft.com/office/officeart/2005/8/layout/chevron1"/>
    <dgm:cxn modelId="{F72FB6A1-5D02-4BF5-B032-BF0447257F3B}" type="presOf" srcId="{5E616404-2CD3-4779-9033-735D650D5CB5}" destId="{DF1B5E6B-E404-4038-8C22-E9AECF6B8108}" srcOrd="0" destOrd="0" presId="urn:microsoft.com/office/officeart/2005/8/layout/chevron1"/>
    <dgm:cxn modelId="{F0152D46-34E1-4E5C-81AC-9B9DA35494EA}" srcId="{E1C25BA4-CD94-48AD-AE50-64AE48F13B24}" destId="{20CC9278-1A5F-4B76-B2AA-59FA8426B074}" srcOrd="1" destOrd="0" parTransId="{6126B8CC-65C1-444D-8DD7-9D09058B52F4}" sibTransId="{3572702A-987D-4F37-91F9-280B3A848634}"/>
    <dgm:cxn modelId="{07C2E957-25AC-4046-B815-B645F5A663F4}" type="presOf" srcId="{E1C25BA4-CD94-48AD-AE50-64AE48F13B24}" destId="{28EF3502-A5CE-4BF1-80B1-CA7E0202B890}" srcOrd="0" destOrd="0" presId="urn:microsoft.com/office/officeart/2005/8/layout/chevron1"/>
    <dgm:cxn modelId="{4FE4E3D8-0B85-47C3-ACBB-955EAC60AA41}" srcId="{E1C25BA4-CD94-48AD-AE50-64AE48F13B24}" destId="{F6C9324B-55E1-4C53-A6B9-E90359BF7543}" srcOrd="2" destOrd="0" parTransId="{435B7F28-4787-4E4D-BD6E-8A8F0A6B53E7}" sibTransId="{621C22E0-9DDF-40C5-8B18-F9D9ED68F28A}"/>
    <dgm:cxn modelId="{403E7942-6929-44EE-88FB-45FA7A7383FA}" type="presParOf" srcId="{28EF3502-A5CE-4BF1-80B1-CA7E0202B890}" destId="{191FECF2-A521-4F46-A93A-2BBD80BE276F}" srcOrd="0" destOrd="0" presId="urn:microsoft.com/office/officeart/2005/8/layout/chevron1"/>
    <dgm:cxn modelId="{C44BB40F-C842-444E-9169-519A65D0E2D8}" type="presParOf" srcId="{28EF3502-A5CE-4BF1-80B1-CA7E0202B890}" destId="{02AD3CC4-9DFF-43CD-981A-7C4AB4B49B41}" srcOrd="1" destOrd="0" presId="urn:microsoft.com/office/officeart/2005/8/layout/chevron1"/>
    <dgm:cxn modelId="{C23EE62F-B269-422F-B1A2-FBDF1B5EA427}" type="presParOf" srcId="{28EF3502-A5CE-4BF1-80B1-CA7E0202B890}" destId="{6E872551-BC66-474E-9080-DF01D418D413}" srcOrd="2" destOrd="0" presId="urn:microsoft.com/office/officeart/2005/8/layout/chevron1"/>
    <dgm:cxn modelId="{35C52C7A-2030-4271-83E7-3571B4E32CC6}" type="presParOf" srcId="{28EF3502-A5CE-4BF1-80B1-CA7E0202B890}" destId="{12B97AD2-D582-40D7-B04F-958FF16B139F}" srcOrd="3" destOrd="0" presId="urn:microsoft.com/office/officeart/2005/8/layout/chevron1"/>
    <dgm:cxn modelId="{0AFBF498-54F4-43B7-9DDA-0EF38DB0C107}" type="presParOf" srcId="{28EF3502-A5CE-4BF1-80B1-CA7E0202B890}" destId="{2BA60F5D-2D40-4CE6-9D07-3515F01652FD}" srcOrd="4" destOrd="0" presId="urn:microsoft.com/office/officeart/2005/8/layout/chevron1"/>
    <dgm:cxn modelId="{09465DB9-CC84-4EC6-9C94-AE88CFBFCCDA}" type="presParOf" srcId="{28EF3502-A5CE-4BF1-80B1-CA7E0202B890}" destId="{50193686-C14E-4A4D-9A32-A08E74E3283C}" srcOrd="5" destOrd="0" presId="urn:microsoft.com/office/officeart/2005/8/layout/chevron1"/>
    <dgm:cxn modelId="{7DD3F03A-EF54-46D8-A2C8-D92589E3C6AD}" type="presParOf" srcId="{28EF3502-A5CE-4BF1-80B1-CA7E0202B890}" destId="{DF1B5E6B-E404-4038-8C22-E9AECF6B8108}" srcOrd="6" destOrd="0" presId="urn:microsoft.com/office/officeart/2005/8/layout/chevron1"/>
    <dgm:cxn modelId="{DDB83EB2-EAF5-41B5-9A5F-F86EDE34F7A3}" type="presParOf" srcId="{28EF3502-A5CE-4BF1-80B1-CA7E0202B890}" destId="{B1F07681-1A9C-4C47-A304-6C94221189CD}" srcOrd="7" destOrd="0" presId="urn:microsoft.com/office/officeart/2005/8/layout/chevron1"/>
    <dgm:cxn modelId="{0417E2B6-E0AB-4FB9-A540-BC78DC2392DD}" type="presParOf" srcId="{28EF3502-A5CE-4BF1-80B1-CA7E0202B890}" destId="{98202000-EE1A-4118-8441-536D3199620B}" srcOrd="8" destOrd="0" presId="urn:microsoft.com/office/officeart/2005/8/layout/chevron1"/>
  </dgm:cxnLst>
  <dgm:bg/>
  <dgm:whole/>
  <dgm:extLst>
    <a:ext uri="http://schemas.microsoft.com/office/drawing/2008/diagram">
      <dsp:dataModelExt xmlns:dsp="http://schemas.microsoft.com/office/drawing/2008/diagram" relId="rId2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191FECF2-A521-4F46-A93A-2BBD80BE276F}">
      <dsp:nvSpPr>
        <dsp:cNvPr id="0" name=""/>
        <dsp:cNvSpPr/>
      </dsp:nvSpPr>
      <dsp:spPr>
        <a:xfrm>
          <a:off x="1314" y="0"/>
          <a:ext cx="1169872" cy="293427"/>
        </a:xfrm>
        <a:prstGeom prst="chevron">
          <a:avLst/>
        </a:prstGeom>
        <a:solidFill>
          <a:srgbClr val="92D050"/>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Audit / Control</a:t>
          </a:r>
        </a:p>
      </dsp:txBody>
      <dsp:txXfrm>
        <a:off x="148028" y="0"/>
        <a:ext cx="876445" cy="293427"/>
      </dsp:txXfrm>
    </dsp:sp>
    <dsp:sp modelId="{6E872551-BC66-474E-9080-DF01D418D413}">
      <dsp:nvSpPr>
        <dsp:cNvPr id="0" name=""/>
        <dsp:cNvSpPr/>
      </dsp:nvSpPr>
      <dsp:spPr>
        <a:xfrm>
          <a:off x="1054199" y="0"/>
          <a:ext cx="1169872" cy="293427"/>
        </a:xfrm>
        <a:prstGeom prst="chevron">
          <a:avLst/>
        </a:prstGeom>
        <a:solidFill>
          <a:schemeClr val="accent3">
            <a:lumMod val="5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In progress </a:t>
          </a:r>
        </a:p>
      </dsp:txBody>
      <dsp:txXfrm>
        <a:off x="1200913" y="0"/>
        <a:ext cx="876445" cy="293427"/>
      </dsp:txXfrm>
    </dsp:sp>
    <dsp:sp modelId="{2BA60F5D-2D40-4CE6-9D07-3515F01652FD}">
      <dsp:nvSpPr>
        <dsp:cNvPr id="0" name=""/>
        <dsp:cNvSpPr/>
      </dsp:nvSpPr>
      <dsp:spPr>
        <a:xfrm>
          <a:off x="2107084" y="0"/>
          <a:ext cx="1169872" cy="293427"/>
        </a:xfrm>
        <a:prstGeom prst="chevron">
          <a:avLst/>
        </a:prstGeom>
        <a:solidFill>
          <a:schemeClr val="accent5"/>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kern="1200"/>
            <a:t>Confirmed</a:t>
          </a:r>
        </a:p>
      </dsp:txBody>
      <dsp:txXfrm>
        <a:off x="2253798" y="0"/>
        <a:ext cx="876445" cy="293427"/>
      </dsp:txXfrm>
    </dsp:sp>
    <dsp:sp modelId="{DF1B5E6B-E404-4038-8C22-E9AECF6B8108}">
      <dsp:nvSpPr>
        <dsp:cNvPr id="0" name=""/>
        <dsp:cNvSpPr/>
      </dsp:nvSpPr>
      <dsp:spPr>
        <a:xfrm>
          <a:off x="3159969" y="0"/>
          <a:ext cx="1169872" cy="293427"/>
        </a:xfrm>
        <a:prstGeom prst="chevron">
          <a:avLst/>
        </a:prstGeom>
        <a:solidFill>
          <a:schemeClr val="tx2">
            <a:lumMod val="60000"/>
            <a:lumOff val="40000"/>
          </a:schemeClr>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b="0" i="0" kern="1200"/>
            <a:t>Implemented</a:t>
          </a:r>
          <a:r>
            <a:rPr lang="en-GB" sz="1000" i="1" kern="1200"/>
            <a:t> </a:t>
          </a:r>
        </a:p>
      </dsp:txBody>
      <dsp:txXfrm>
        <a:off x="3306683" y="0"/>
        <a:ext cx="876445" cy="293427"/>
      </dsp:txXfrm>
    </dsp:sp>
    <dsp:sp modelId="{98202000-EE1A-4118-8441-536D3199620B}">
      <dsp:nvSpPr>
        <dsp:cNvPr id="0" name=""/>
        <dsp:cNvSpPr/>
      </dsp:nvSpPr>
      <dsp:spPr>
        <a:xfrm>
          <a:off x="4212855" y="0"/>
          <a:ext cx="1169872" cy="293427"/>
        </a:xfrm>
        <a:prstGeom prst="chevron">
          <a:avLst/>
        </a:prstGeom>
        <a:solidFill>
          <a:schemeClr val="accent4"/>
        </a:solidFill>
        <a:ln w="25400" cap="flat" cmpd="sng" algn="ctr">
          <a:solidFill>
            <a:schemeClr val="lt1">
              <a:hueOff val="0"/>
              <a:satOff val="0"/>
              <a:lumOff val="0"/>
              <a:alphaOff val="0"/>
            </a:schemeClr>
          </a:solidFill>
          <a:prstDash val="solid"/>
        </a:ln>
        <a:effectLst/>
      </dsp:spPr>
      <dsp:style>
        <a:lnRef idx="2">
          <a:scrgbClr r="0" g="0" b="0"/>
        </a:lnRef>
        <a:fillRef idx="1">
          <a:scrgbClr r="0" g="0" b="0"/>
        </a:fillRef>
        <a:effectRef idx="0">
          <a:scrgbClr r="0" g="0" b="0"/>
        </a:effectRef>
        <a:fontRef idx="minor">
          <a:schemeClr val="lt1"/>
        </a:fontRef>
      </dsp:style>
      <dsp:txBody>
        <a:bodyPr spcFirstLastPara="0" vert="horz" wrap="square" lIns="40005" tIns="13335" rIns="13335" bIns="13335" numCol="1" spcCol="1270" anchor="ctr" anchorCtr="0">
          <a:noAutofit/>
        </a:bodyPr>
        <a:lstStyle/>
        <a:p>
          <a:pPr lvl="0" algn="ctr" defTabSz="444500">
            <a:lnSpc>
              <a:spcPct val="90000"/>
            </a:lnSpc>
            <a:spcBef>
              <a:spcPct val="0"/>
            </a:spcBef>
            <a:spcAft>
              <a:spcPct val="35000"/>
            </a:spcAft>
          </a:pPr>
          <a:r>
            <a:rPr lang="en-GB" sz="1000" i="0" kern="1200"/>
            <a:t>Reported</a:t>
          </a:r>
        </a:p>
      </dsp:txBody>
      <dsp:txXfrm>
        <a:off x="4359569" y="0"/>
        <a:ext cx="876445" cy="293427"/>
      </dsp:txXfrm>
    </dsp:sp>
  </dsp:spTree>
</dsp:drawing>
</file>

<file path=word/diagrams/layout1.xml><?xml version="1.0" encoding="utf-8"?>
<dgm:layoutDef xmlns:dgm="http://schemas.openxmlformats.org/drawingml/2006/diagram" xmlns:a="http://schemas.openxmlformats.org/drawingml/2006/main" uniqueId="urn:microsoft.com/office/officeart/2005/8/layout/chevron1">
  <dgm:title val=""/>
  <dgm:desc val=""/>
  <dgm:catLst>
    <dgm:cat type="process" pri="9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dgm:varLst>
      <dgm:dir/>
      <dgm:animLvl val="lvl"/>
      <dgm:resizeHandles val="exact"/>
    </dgm:varLst>
    <dgm:choose name="Name1">
      <dgm:if name="Name2" func="var" arg="dir" op="equ" val="norm">
        <dgm:alg type="lin"/>
      </dgm:if>
      <dgm:else name="Name3">
        <dgm:alg type="lin">
          <dgm:param type="linDir" val="fromR"/>
        </dgm:alg>
      </dgm:else>
    </dgm:choose>
    <dgm:shape xmlns:r="http://schemas.openxmlformats.org/officeDocument/2006/relationships" r:blip="">
      <dgm:adjLst/>
    </dgm:shape>
    <dgm:presOf/>
    <dgm:choose name="Name4">
      <dgm:if name="Name5" axis="des" func="maxDepth" op="gte" val="2">
        <dgm:constrLst>
          <dgm:constr type="h" for="ch" forName="composite" refType="h"/>
          <dgm:constr type="w" for="ch" forName="composite" refType="w"/>
          <dgm:constr type="w" for="des" forName="parTx"/>
          <dgm:constr type="h" for="des" forName="parTx" op="equ"/>
          <dgm:constr type="w" for="des" forName="desTx"/>
          <dgm:constr type="h" for="des" forName="desTx" op="equ"/>
          <dgm:constr type="primFontSz" for="des" forName="parTx" val="65"/>
          <dgm:constr type="secFontSz" for="des" forName="desTx" refType="primFontSz" refFor="des" refForName="parTx" op="equ"/>
          <dgm:constr type="h" for="des" forName="parTx" refType="primFontSz" refFor="des" refForName="parTx" fact="1.5"/>
          <dgm:constr type="h" for="des" forName="desTx" refType="primFontSz" refFor="des" refForName="parTx" fact="0.5"/>
          <dgm:constr type="w" for="ch" forName="space" op="equ" val="-6"/>
        </dgm:constrLst>
        <dgm:ruleLst>
          <dgm:rule type="w" for="ch" forName="composite" val="0" fact="NaN" max="NaN"/>
          <dgm:rule type="primFontSz" for="des" forName="parTx" val="5" fact="NaN" max="NaN"/>
        </dgm:ruleLst>
        <dgm:forEach name="Name6" axis="ch" ptType="node">
          <dgm:layoutNode name="composite">
            <dgm:alg type="composite"/>
            <dgm:shape xmlns:r="http://schemas.openxmlformats.org/officeDocument/2006/relationships" r:blip="">
              <dgm:adjLst/>
            </dgm:shape>
            <dgm:presOf/>
            <dgm:choose name="Name7">
              <dgm:if name="Name8" func="var" arg="dir" op="equ" val="norm">
                <dgm:constrLst>
                  <dgm:constr type="l" for="ch" forName="parTx"/>
                  <dgm:constr type="w" for="ch" forName="parTx" refType="w"/>
                  <dgm:constr type="t" for="ch" forName="parTx"/>
                  <dgm:constr type="l" for="ch" forName="desTx"/>
                  <dgm:constr type="w" for="ch" forName="desTx" refType="w" refFor="ch" refForName="parTx" fact="0.8"/>
                  <dgm:constr type="t" for="ch" forName="desTx" refType="h" refFor="ch" refForName="parTx" fact="1.125"/>
                </dgm:constrLst>
              </dgm:if>
              <dgm:else name="Name9">
                <dgm:constrLst>
                  <dgm:constr type="l" for="ch" forName="parTx"/>
                  <dgm:constr type="w" for="ch" forName="parTx" refType="w"/>
                  <dgm:constr type="t" for="ch" forName="parTx"/>
                  <dgm:constr type="l" for="ch" forName="desTx" refType="w" fact="0.2"/>
                  <dgm:constr type="w" for="ch" forName="desTx" refType="w" refFor="ch" refForName="parTx" fact="0.8"/>
                  <dgm:constr type="t" for="ch" forName="desTx" refType="h" refFor="ch" refForName="parTx" fact="1.125"/>
                </dgm:constrLst>
              </dgm:else>
            </dgm:choose>
            <dgm:ruleLst>
              <dgm:rule type="h" val="INF" fact="NaN" max="NaN"/>
            </dgm:ruleLst>
            <dgm:layoutNode name="parTx">
              <dgm:varLst>
                <dgm:chMax val="0"/>
                <dgm:chPref val="0"/>
                <dgm:bulletEnabled val="1"/>
              </dgm:varLst>
              <dgm:alg type="tx"/>
              <dgm:choose name="Name10">
                <dgm:if name="Name11" func="var" arg="dir" op="equ" val="norm">
                  <dgm:shape xmlns:r="http://schemas.openxmlformats.org/officeDocument/2006/relationships" type="chevron" r:blip="">
                    <dgm:adjLst/>
                  </dgm:shape>
                </dgm:if>
                <dgm:else name="Name12">
                  <dgm:shape xmlns:r="http://schemas.openxmlformats.org/officeDocument/2006/relationships" rot="180" type="chevron" r:blip="">
                    <dgm:adjLst/>
                  </dgm:shape>
                </dgm:else>
              </dgm:choose>
              <dgm:presOf axis="self" ptType="node"/>
              <dgm:choose name="Name13">
                <dgm:if name="Name14" func="var" arg="dir" op="equ" val="norm">
                  <dgm:constrLst>
                    <dgm:constr type="h" refType="w" op="lte" fact="0.4"/>
                    <dgm:constr type="h"/>
                    <dgm:constr type="tMarg" refType="primFontSz" fact="0.105"/>
                    <dgm:constr type="bMarg" refType="primFontSz" fact="0.105"/>
                    <dgm:constr type="lMarg" refType="primFontSz" fact="0.315"/>
                    <dgm:constr type="rMarg" refType="primFontSz" fact="0.105"/>
                  </dgm:constrLst>
                </dgm:if>
                <dgm:else name="Name15">
                  <dgm:constrLst>
                    <dgm:constr type="h" refType="w" op="lte" fact="0.4"/>
                    <dgm:constr type="h"/>
                    <dgm:constr type="tMarg" refType="primFontSz" fact="0.105"/>
                    <dgm:constr type="bMarg" refType="primFontSz" fact="0.105"/>
                    <dgm:constr type="lMarg" refType="primFontSz" fact="0.105"/>
                    <dgm:constr type="rMarg" refType="primFontSz" fact="0.315"/>
                  </dgm:constrLst>
                </dgm:else>
              </dgm:choose>
              <dgm:ruleLst>
                <dgm:rule type="h" val="INF" fact="NaN" max="NaN"/>
              </dgm:ruleLst>
            </dgm:layoutNode>
            <dgm:layoutNode name="desTx" styleLbl="revTx">
              <dgm:varLst>
                <dgm:bulletEnabled val="1"/>
              </dgm:varLst>
              <dgm:alg type="tx">
                <dgm:param type="stBulletLvl" val="1"/>
              </dgm:alg>
              <dgm:choose name="Name16">
                <dgm:if name="Name17" axis="ch" ptType="node" func="cnt" op="gte" val="1">
                  <dgm:shape xmlns:r="http://schemas.openxmlformats.org/officeDocument/2006/relationships" type="rect" r:blip="">
                    <dgm:adjLst/>
                  </dgm:shape>
                </dgm:if>
                <dgm:else name="Name18">
                  <dgm:shape xmlns:r="http://schemas.openxmlformats.org/officeDocument/2006/relationships" type="rect" r:blip="" hideGeom="1">
                    <dgm:adjLst/>
                  </dgm:shape>
                </dgm:else>
              </dgm:choose>
              <dgm:presOf axis="des" ptType="node"/>
              <dgm:constrLst>
                <dgm:constr type="secFontSz" val="65"/>
                <dgm:constr type="primFontSz" refType="secFontSz"/>
                <dgm:constr type="h"/>
                <dgm:constr type="tMarg"/>
                <dgm:constr type="bMarg"/>
                <dgm:constr type="rMarg"/>
                <dgm:constr type="lMarg"/>
              </dgm:constrLst>
              <dgm:ruleLst>
                <dgm:rule type="h" val="INF" fact="NaN" max="NaN"/>
              </dgm:ruleLst>
            </dgm:layoutNode>
          </dgm:layoutNode>
          <dgm:forEach name="Name19" axis="followSib" ptType="sibTrans" cnt="1">
            <dgm:layoutNode name="space">
              <dgm:alg type="sp"/>
              <dgm:shape xmlns:r="http://schemas.openxmlformats.org/officeDocument/2006/relationships" r:blip="">
                <dgm:adjLst/>
              </dgm:shape>
              <dgm:presOf/>
              <dgm:constrLst/>
              <dgm:ruleLst/>
            </dgm:layoutNode>
          </dgm:forEach>
        </dgm:forEach>
      </dgm:if>
      <dgm:else name="Name20">
        <dgm:constrLst>
          <dgm:constr type="w" for="ch" forName="parTxOnly" refType="w"/>
          <dgm:constr type="h" for="des" forName="parTxOnly" op="equ"/>
          <dgm:constr type="primFontSz" for="des" forName="parTxOnly" op="equ" val="65"/>
          <dgm:constr type="w" for="ch" forName="parTxOnlySpace" refType="w" refFor="ch" refForName="parTxOnly" fact="-0.1"/>
        </dgm:constrLst>
        <dgm:ruleLst/>
        <dgm:forEach name="Name21" axis="ch" ptType="node">
          <dgm:layoutNode name="parTxOnly">
            <dgm:varLst>
              <dgm:chMax val="0"/>
              <dgm:chPref val="0"/>
              <dgm:bulletEnabled val="1"/>
            </dgm:varLst>
            <dgm:alg type="tx"/>
            <dgm:choose name="Name22">
              <dgm:if name="Name23" func="var" arg="dir" op="equ" val="norm">
                <dgm:shape xmlns:r="http://schemas.openxmlformats.org/officeDocument/2006/relationships" type="chevron" r:blip="">
                  <dgm:adjLst/>
                </dgm:shape>
              </dgm:if>
              <dgm:else name="Name24">
                <dgm:shape xmlns:r="http://schemas.openxmlformats.org/officeDocument/2006/relationships" rot="180" type="chevron" r:blip="">
                  <dgm:adjLst/>
                </dgm:shape>
              </dgm:else>
            </dgm:choose>
            <dgm:presOf axis="self" ptType="node"/>
            <dgm:choose name="Name25">
              <dgm:if name="Name26" func="var" arg="dir" op="equ" val="norm">
                <dgm:constrLst>
                  <dgm:constr type="h" refType="w" op="equ" fact="0.4"/>
                  <dgm:constr type="tMarg" refType="primFontSz" fact="0.105"/>
                  <dgm:constr type="bMarg" refType="primFontSz" fact="0.105"/>
                  <dgm:constr type="lMarg" refType="primFontSz" fact="0.315"/>
                  <dgm:constr type="rMarg" refType="primFontSz" fact="0.105"/>
                </dgm:constrLst>
              </dgm:if>
              <dgm:else name="Name27">
                <dgm:constrLst>
                  <dgm:constr type="h" refType="w" op="equ" fact="0.4"/>
                  <dgm:constr type="tMarg" refType="primFontSz" fact="0.105"/>
                  <dgm:constr type="bMarg" refType="primFontSz" fact="0.105"/>
                  <dgm:constr type="lMarg" refType="primFontSz" fact="0.105"/>
                  <dgm:constr type="rMarg" refType="primFontSz" fact="0.315"/>
                </dgm:constrLst>
              </dgm:else>
            </dgm:choose>
            <dgm:ruleLst>
              <dgm:rule type="primFontSz" val="5" fact="NaN" max="NaN"/>
            </dgm:ruleLst>
          </dgm:layoutNode>
          <dgm:forEach name="Name28" axis="followSib" ptType="sibTrans" cnt="1">
            <dgm:layoutNode name="parTxOnlySpace">
              <dgm:alg type="sp"/>
              <dgm:shape xmlns:r="http://schemas.openxmlformats.org/officeDocument/2006/relationships" r:blip="">
                <dgm:adjLst/>
              </dgm:shape>
              <dgm:presOf/>
              <dgm:constrLst/>
              <dgm:ruleLst/>
            </dgm:layoutNode>
          </dgm:forEach>
        </dgm:forEach>
      </dgm:else>
    </dgm:choose>
  </dgm:layoutNode>
</dgm:layoutDef>
</file>

<file path=word/diagrams/quickStyle1.xml><?xml version="1.0" encoding="utf-8"?>
<dgm:styleDef xmlns:dgm="http://schemas.openxmlformats.org/drawingml/2006/diagram" xmlns:a="http://schemas.openxmlformats.org/drawingml/2006/main" uniqueId="urn:microsoft.com/office/officeart/2005/8/quickstyle/simple1">
  <dgm:title val=""/>
  <dgm:desc val=""/>
  <dgm:catLst>
    <dgm:cat type="simple" pri="10100"/>
  </dgm:catLst>
  <dgm:scene3d>
    <a:camera prst="orthographicFront"/>
    <a:lightRig rig="threePt" dir="t"/>
  </dgm:scene3d>
  <dgm:styleLbl name="node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l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vennNode1">
    <dgm:scene3d>
      <a:camera prst="orthographicFront"/>
      <a:lightRig rig="threePt" dir="t"/>
    </dgm:scene3d>
    <dgm:sp3d/>
    <dgm:txPr/>
    <dgm:style>
      <a:lnRef idx="2">
        <a:scrgbClr r="0" g="0" b="0"/>
      </a:lnRef>
      <a:fillRef idx="1">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node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f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ImgPlac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1">
        <a:scrgbClr r="0" g="0" b="0"/>
      </a:fillRef>
      <a:effectRef idx="0">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asst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1">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2">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2D4">
    <dgm:scene3d>
      <a:camera prst="orthographicFront"/>
      <a:lightRig rig="threePt" dir="t"/>
    </dgm:scene3d>
    <dgm:sp3d/>
    <dgm:txPr/>
    <dgm:style>
      <a:lnRef idx="2">
        <a:scrgbClr r="0" g="0" b="0"/>
      </a:lnRef>
      <a:fillRef idx="1">
        <a:scrgbClr r="0" g="0" b="0"/>
      </a:fillRef>
      <a:effectRef idx="0">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Align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2">
        <a:scrgbClr r="0" g="0" b="0"/>
      </a:lnRef>
      <a:fillRef idx="1">
        <a:scrgbClr r="0" g="0" b="0"/>
      </a:fillRef>
      <a:effectRef idx="0">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drawings/drawing1.xml><?xml version="1.0" encoding="utf-8"?>
<c:userShapes xmlns:c="http://schemas.openxmlformats.org/drawingml/2006/chart">
  <cdr:relSizeAnchor xmlns:cdr="http://schemas.openxmlformats.org/drawingml/2006/chartDrawing">
    <cdr:from>
      <cdr:x>0.02659</cdr:x>
      <cdr:y>0.00865</cdr:y>
    </cdr:from>
    <cdr:to>
      <cdr:x>0.23108</cdr:x>
      <cdr:y>0.06916</cdr:y>
    </cdr:to>
    <cdr:sp macro="" textlink="">
      <cdr:nvSpPr>
        <cdr:cNvPr id="2" name="TextBox 1"/>
        <cdr:cNvSpPr txBox="1"/>
      </cdr:nvSpPr>
      <cdr:spPr>
        <a:xfrm xmlns:a="http://schemas.openxmlformats.org/drawingml/2006/main">
          <a:off x="123826" y="28575"/>
          <a:ext cx="95250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userShapes>
</file>

<file path=word/drawings/drawing2.xml><?xml version="1.0" encoding="utf-8"?>
<c:userShapes xmlns:c="http://schemas.openxmlformats.org/drawingml/2006/chart">
  <cdr:relSizeAnchor xmlns:cdr="http://schemas.openxmlformats.org/drawingml/2006/chartDrawing">
    <cdr:from>
      <cdr:x>0.02659</cdr:x>
      <cdr:y>0.00865</cdr:y>
    </cdr:from>
    <cdr:to>
      <cdr:x>0.23108</cdr:x>
      <cdr:y>0.06916</cdr:y>
    </cdr:to>
    <cdr:sp macro="" textlink="">
      <cdr:nvSpPr>
        <cdr:cNvPr id="2" name="TextBox 1"/>
        <cdr:cNvSpPr txBox="1"/>
      </cdr:nvSpPr>
      <cdr:spPr>
        <a:xfrm xmlns:a="http://schemas.openxmlformats.org/drawingml/2006/main">
          <a:off x="123826" y="28575"/>
          <a:ext cx="95250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0.02659</cdr:x>
      <cdr:y>0.00865</cdr:y>
    </cdr:from>
    <cdr:to>
      <cdr:x>0.23108</cdr:x>
      <cdr:y>0.06916</cdr:y>
    </cdr:to>
    <cdr:sp macro="" textlink="">
      <cdr:nvSpPr>
        <cdr:cNvPr id="3" name="TextBox 1"/>
        <cdr:cNvSpPr txBox="1"/>
      </cdr:nvSpPr>
      <cdr:spPr>
        <a:xfrm xmlns:a="http://schemas.openxmlformats.org/drawingml/2006/main">
          <a:off x="123826" y="28575"/>
          <a:ext cx="952500" cy="2000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userShapes>
</file>

<file path=word/drawings/drawing3.xml><?xml version="1.0" encoding="utf-8"?>
<c:userShapes xmlns:c="http://schemas.openxmlformats.org/drawingml/2006/chart">
  <cdr:relSizeAnchor xmlns:cdr="http://schemas.openxmlformats.org/drawingml/2006/chartDrawing">
    <cdr:from>
      <cdr:x>0.114</cdr:x>
      <cdr:y>0.56024</cdr:y>
    </cdr:from>
    <cdr:to>
      <cdr:x>0.85773</cdr:x>
      <cdr:y>0.56162</cdr:y>
    </cdr:to>
    <cdr:cxnSp macro="">
      <cdr:nvCxnSpPr>
        <cdr:cNvPr id="3" name="Straight Connector 2"/>
        <cdr:cNvCxnSpPr/>
      </cdr:nvCxnSpPr>
      <cdr:spPr>
        <a:xfrm xmlns:a="http://schemas.openxmlformats.org/drawingml/2006/main" flipH="1">
          <a:off x="892598" y="2350638"/>
          <a:ext cx="5823072" cy="5790"/>
        </a:xfrm>
        <a:prstGeom xmlns:a="http://schemas.openxmlformats.org/drawingml/2006/main" prst="line">
          <a:avLst/>
        </a:prstGeom>
        <a:ln xmlns:a="http://schemas.openxmlformats.org/drawingml/2006/main" w="3175"/>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0.84807</cdr:x>
      <cdr:y>0.53318</cdr:y>
    </cdr:from>
    <cdr:to>
      <cdr:x>0.93301</cdr:x>
      <cdr:y>0.58581</cdr:y>
    </cdr:to>
    <cdr:sp macro="" textlink="">
      <cdr:nvSpPr>
        <cdr:cNvPr id="4" name="TextBox 3"/>
        <cdr:cNvSpPr txBox="1"/>
      </cdr:nvSpPr>
      <cdr:spPr>
        <a:xfrm xmlns:a="http://schemas.openxmlformats.org/drawingml/2006/main">
          <a:off x="6753081" y="2219326"/>
          <a:ext cx="676420" cy="2190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600" b="1"/>
        </a:p>
        <a:p xmlns:a="http://schemas.openxmlformats.org/drawingml/2006/main">
          <a:endParaRPr lang="en-GB" sz="600" b="1"/>
        </a:p>
      </cdr:txBody>
    </cdr:sp>
  </cdr:relSizeAnchor>
  <cdr:relSizeAnchor xmlns:cdr="http://schemas.openxmlformats.org/drawingml/2006/chartDrawing">
    <cdr:from>
      <cdr:x>0.11502</cdr:x>
      <cdr:y>0.55933</cdr:y>
    </cdr:from>
    <cdr:to>
      <cdr:x>0.11517</cdr:x>
      <cdr:y>0.56064</cdr:y>
    </cdr:to>
    <cdr:cxnSp macro="">
      <cdr:nvCxnSpPr>
        <cdr:cNvPr id="5" name="Straight Connector 2"/>
        <cdr:cNvCxnSpPr/>
      </cdr:nvCxnSpPr>
      <cdr:spPr>
        <a:xfrm xmlns:a="http://schemas.openxmlformats.org/drawingml/2006/main" flipV="1">
          <a:off x="933451" y="2328176"/>
          <a:ext cx="1219" cy="5450"/>
        </a:xfrm>
        <a:prstGeom xmlns:a="http://schemas.openxmlformats.org/drawingml/2006/main" prst="line">
          <a:avLst/>
        </a:prstGeom>
        <a:ln xmlns:a="http://schemas.openxmlformats.org/drawingml/2006/main" w="0"/>
      </cdr:spPr>
      <cdr:style>
        <a:lnRef xmlns:a="http://schemas.openxmlformats.org/drawingml/2006/main" idx="1">
          <a:schemeClr val="dk1"/>
        </a:lnRef>
        <a:fillRef xmlns:a="http://schemas.openxmlformats.org/drawingml/2006/main" idx="0">
          <a:schemeClr val="dk1"/>
        </a:fillRef>
        <a:effectRef xmlns:a="http://schemas.openxmlformats.org/drawingml/2006/main" idx="0">
          <a:schemeClr val="dk1"/>
        </a:effectRef>
        <a:fontRef xmlns:a="http://schemas.openxmlformats.org/drawingml/2006/main" idx="minor">
          <a:schemeClr val="tx1"/>
        </a:fontRef>
      </cdr:style>
    </cdr:cxnSp>
  </cdr:relSizeAnchor>
  <cdr:relSizeAnchor xmlns:cdr="http://schemas.openxmlformats.org/drawingml/2006/chartDrawing">
    <cdr:from>
      <cdr:x>0.85042</cdr:x>
      <cdr:y>0.53547</cdr:y>
    </cdr:from>
    <cdr:to>
      <cdr:x>0.96132</cdr:x>
      <cdr:y>0.58736</cdr:y>
    </cdr:to>
    <cdr:sp macro="" textlink="">
      <cdr:nvSpPr>
        <cdr:cNvPr id="6" name="TextBox 3"/>
        <cdr:cNvSpPr txBox="1"/>
      </cdr:nvSpPr>
      <cdr:spPr>
        <a:xfrm xmlns:a="http://schemas.openxmlformats.org/drawingml/2006/main">
          <a:off x="6901393" y="2228851"/>
          <a:ext cx="900000" cy="2160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600" b="1"/>
            <a:t>average 1.7%</a:t>
          </a:r>
        </a:p>
        <a:p xmlns:a="http://schemas.openxmlformats.org/drawingml/2006/main">
          <a:endParaRPr lang="en-GB" sz="500" b="1" baseline="0"/>
        </a:p>
      </cdr:txBody>
    </cdr:sp>
  </cdr:relSizeAnchor>
</c:userShapes>
</file>

<file path=word/drawings/drawing4.xml><?xml version="1.0" encoding="utf-8"?>
<c:userShapes xmlns:c="http://schemas.openxmlformats.org/drawingml/2006/chart">
  <cdr:relSizeAnchor xmlns:cdr="http://schemas.openxmlformats.org/drawingml/2006/chartDrawing">
    <cdr:from>
      <cdr:x>0.12481</cdr:x>
      <cdr:y>0.49797</cdr:y>
    </cdr:from>
    <cdr:to>
      <cdr:x>0.87822</cdr:x>
      <cdr:y>0.49797</cdr:y>
    </cdr:to>
    <cdr:cxnSp macro="">
      <cdr:nvCxnSpPr>
        <cdr:cNvPr id="3" name="Straight Connector 2"/>
        <cdr:cNvCxnSpPr/>
      </cdr:nvCxnSpPr>
      <cdr:spPr>
        <a:xfrm xmlns:a="http://schemas.openxmlformats.org/drawingml/2006/main" flipH="1">
          <a:off x="874577" y="2495678"/>
          <a:ext cx="5279314"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0.87544</cdr:x>
      <cdr:y>0.46504</cdr:y>
    </cdr:from>
    <cdr:to>
      <cdr:x>0.98577</cdr:x>
      <cdr:y>0.51234</cdr:y>
    </cdr:to>
    <cdr:sp macro="" textlink="">
      <cdr:nvSpPr>
        <cdr:cNvPr id="4" name="TextBox 1"/>
        <cdr:cNvSpPr txBox="1"/>
      </cdr:nvSpPr>
      <cdr:spPr>
        <a:xfrm xmlns:a="http://schemas.openxmlformats.org/drawingml/2006/main">
          <a:off x="6837635" y="2270125"/>
          <a:ext cx="861741" cy="23091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600" b="1"/>
            <a:t>average 4,2%</a:t>
          </a:r>
        </a:p>
      </cdr:txBody>
    </cdr:sp>
  </cdr:relSizeAnchor>
</c:userShapes>
</file>

<file path=word/drawings/drawing5.xml><?xml version="1.0" encoding="utf-8"?>
<c:userShapes xmlns:c="http://schemas.openxmlformats.org/drawingml/2006/chart">
  <cdr:relSizeAnchor xmlns:cdr="http://schemas.openxmlformats.org/drawingml/2006/chartDrawing">
    <cdr:from>
      <cdr:x>0.12481</cdr:x>
      <cdr:y>0.61517</cdr:y>
    </cdr:from>
    <cdr:to>
      <cdr:x>0.87822</cdr:x>
      <cdr:y>0.61517</cdr:y>
    </cdr:to>
    <cdr:cxnSp macro="">
      <cdr:nvCxnSpPr>
        <cdr:cNvPr id="3" name="Straight Connector 2"/>
        <cdr:cNvCxnSpPr/>
      </cdr:nvCxnSpPr>
      <cdr:spPr>
        <a:xfrm xmlns:a="http://schemas.openxmlformats.org/drawingml/2006/main" flipH="1">
          <a:off x="874572" y="3047889"/>
          <a:ext cx="5279314" cy="0"/>
        </a:xfrm>
        <a:prstGeom xmlns:a="http://schemas.openxmlformats.org/drawingml/2006/main" prst="line">
          <a:avLst/>
        </a:prstGeom>
        <a:ln xmlns:a="http://schemas.openxmlformats.org/drawingml/2006/main" w="12700">
          <a:solidFill>
            <a:schemeClr val="tx1"/>
          </a:solidFill>
        </a:ln>
      </cdr:spPr>
      <cdr:style>
        <a:lnRef xmlns:a="http://schemas.openxmlformats.org/drawingml/2006/main" idx="2">
          <a:schemeClr val="dk1"/>
        </a:lnRef>
        <a:fillRef xmlns:a="http://schemas.openxmlformats.org/drawingml/2006/main" idx="0">
          <a:schemeClr val="dk1"/>
        </a:fillRef>
        <a:effectRef xmlns:a="http://schemas.openxmlformats.org/drawingml/2006/main" idx="1">
          <a:schemeClr val="dk1"/>
        </a:effectRef>
        <a:fontRef xmlns:a="http://schemas.openxmlformats.org/drawingml/2006/main" idx="minor">
          <a:schemeClr val="tx1"/>
        </a:fontRef>
      </cdr:style>
    </cdr:cxnSp>
  </cdr:relSizeAnchor>
  <cdr:relSizeAnchor xmlns:cdr="http://schemas.openxmlformats.org/drawingml/2006/chartDrawing">
    <cdr:from>
      <cdr:x>0.88496</cdr:x>
      <cdr:y>0.57462</cdr:y>
    </cdr:from>
    <cdr:to>
      <cdr:x>0.99529</cdr:x>
      <cdr:y>0.62192</cdr:y>
    </cdr:to>
    <cdr:sp macro="" textlink="">
      <cdr:nvSpPr>
        <cdr:cNvPr id="4" name="TextBox 1"/>
        <cdr:cNvSpPr txBox="1"/>
      </cdr:nvSpPr>
      <cdr:spPr>
        <a:xfrm xmlns:a="http://schemas.openxmlformats.org/drawingml/2006/main">
          <a:off x="6201081" y="2847006"/>
          <a:ext cx="773107" cy="234352"/>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en-GB" sz="700" b="1"/>
            <a:t>average 1.4%</a:t>
          </a:r>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7F4C81-B47E-4FE0-9480-97C44914A1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60</TotalTime>
  <Pages>41</Pages>
  <Words>15000</Words>
  <Characters>85501</Characters>
  <Application>Microsoft Office Word</Application>
  <DocSecurity>0</DocSecurity>
  <Lines>712</Lines>
  <Paragraphs>200</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Manager/>
  <Company/>
  <LinksUpToDate>false</LinksUpToDate>
  <CharactersWithSpaces>100301</CharactersWithSpaces>
  <SharedDoc>false</SharedDoc>
  <HLinks>
    <vt:vector size="198" baseType="variant">
      <vt:variant>
        <vt:i4>1114163</vt:i4>
      </vt:variant>
      <vt:variant>
        <vt:i4>197</vt:i4>
      </vt:variant>
      <vt:variant>
        <vt:i4>0</vt:i4>
      </vt:variant>
      <vt:variant>
        <vt:i4>5</vt:i4>
      </vt:variant>
      <vt:variant>
        <vt:lpwstr/>
      </vt:variant>
      <vt:variant>
        <vt:lpwstr>_Toc424121148</vt:lpwstr>
      </vt:variant>
      <vt:variant>
        <vt:i4>1114163</vt:i4>
      </vt:variant>
      <vt:variant>
        <vt:i4>191</vt:i4>
      </vt:variant>
      <vt:variant>
        <vt:i4>0</vt:i4>
      </vt:variant>
      <vt:variant>
        <vt:i4>5</vt:i4>
      </vt:variant>
      <vt:variant>
        <vt:lpwstr/>
      </vt:variant>
      <vt:variant>
        <vt:lpwstr>_Toc424121147</vt:lpwstr>
      </vt:variant>
      <vt:variant>
        <vt:i4>1114163</vt:i4>
      </vt:variant>
      <vt:variant>
        <vt:i4>185</vt:i4>
      </vt:variant>
      <vt:variant>
        <vt:i4>0</vt:i4>
      </vt:variant>
      <vt:variant>
        <vt:i4>5</vt:i4>
      </vt:variant>
      <vt:variant>
        <vt:lpwstr/>
      </vt:variant>
      <vt:variant>
        <vt:lpwstr>_Toc424121146</vt:lpwstr>
      </vt:variant>
      <vt:variant>
        <vt:i4>1114163</vt:i4>
      </vt:variant>
      <vt:variant>
        <vt:i4>179</vt:i4>
      </vt:variant>
      <vt:variant>
        <vt:i4>0</vt:i4>
      </vt:variant>
      <vt:variant>
        <vt:i4>5</vt:i4>
      </vt:variant>
      <vt:variant>
        <vt:lpwstr/>
      </vt:variant>
      <vt:variant>
        <vt:lpwstr>_Toc424121145</vt:lpwstr>
      </vt:variant>
      <vt:variant>
        <vt:i4>1114163</vt:i4>
      </vt:variant>
      <vt:variant>
        <vt:i4>173</vt:i4>
      </vt:variant>
      <vt:variant>
        <vt:i4>0</vt:i4>
      </vt:variant>
      <vt:variant>
        <vt:i4>5</vt:i4>
      </vt:variant>
      <vt:variant>
        <vt:lpwstr/>
      </vt:variant>
      <vt:variant>
        <vt:lpwstr>_Toc424121144</vt:lpwstr>
      </vt:variant>
      <vt:variant>
        <vt:i4>1114163</vt:i4>
      </vt:variant>
      <vt:variant>
        <vt:i4>167</vt:i4>
      </vt:variant>
      <vt:variant>
        <vt:i4>0</vt:i4>
      </vt:variant>
      <vt:variant>
        <vt:i4>5</vt:i4>
      </vt:variant>
      <vt:variant>
        <vt:lpwstr/>
      </vt:variant>
      <vt:variant>
        <vt:lpwstr>_Toc424121143</vt:lpwstr>
      </vt:variant>
      <vt:variant>
        <vt:i4>1114163</vt:i4>
      </vt:variant>
      <vt:variant>
        <vt:i4>161</vt:i4>
      </vt:variant>
      <vt:variant>
        <vt:i4>0</vt:i4>
      </vt:variant>
      <vt:variant>
        <vt:i4>5</vt:i4>
      </vt:variant>
      <vt:variant>
        <vt:lpwstr/>
      </vt:variant>
      <vt:variant>
        <vt:lpwstr>_Toc424121142</vt:lpwstr>
      </vt:variant>
      <vt:variant>
        <vt:i4>1114163</vt:i4>
      </vt:variant>
      <vt:variant>
        <vt:i4>155</vt:i4>
      </vt:variant>
      <vt:variant>
        <vt:i4>0</vt:i4>
      </vt:variant>
      <vt:variant>
        <vt:i4>5</vt:i4>
      </vt:variant>
      <vt:variant>
        <vt:lpwstr/>
      </vt:variant>
      <vt:variant>
        <vt:lpwstr>_Toc424121141</vt:lpwstr>
      </vt:variant>
      <vt:variant>
        <vt:i4>1114163</vt:i4>
      </vt:variant>
      <vt:variant>
        <vt:i4>149</vt:i4>
      </vt:variant>
      <vt:variant>
        <vt:i4>0</vt:i4>
      </vt:variant>
      <vt:variant>
        <vt:i4>5</vt:i4>
      </vt:variant>
      <vt:variant>
        <vt:lpwstr/>
      </vt:variant>
      <vt:variant>
        <vt:lpwstr>_Toc424121140</vt:lpwstr>
      </vt:variant>
      <vt:variant>
        <vt:i4>1441843</vt:i4>
      </vt:variant>
      <vt:variant>
        <vt:i4>143</vt:i4>
      </vt:variant>
      <vt:variant>
        <vt:i4>0</vt:i4>
      </vt:variant>
      <vt:variant>
        <vt:i4>5</vt:i4>
      </vt:variant>
      <vt:variant>
        <vt:lpwstr/>
      </vt:variant>
      <vt:variant>
        <vt:lpwstr>_Toc424121139</vt:lpwstr>
      </vt:variant>
      <vt:variant>
        <vt:i4>1441843</vt:i4>
      </vt:variant>
      <vt:variant>
        <vt:i4>137</vt:i4>
      </vt:variant>
      <vt:variant>
        <vt:i4>0</vt:i4>
      </vt:variant>
      <vt:variant>
        <vt:i4>5</vt:i4>
      </vt:variant>
      <vt:variant>
        <vt:lpwstr/>
      </vt:variant>
      <vt:variant>
        <vt:lpwstr>_Toc424121138</vt:lpwstr>
      </vt:variant>
      <vt:variant>
        <vt:i4>1441843</vt:i4>
      </vt:variant>
      <vt:variant>
        <vt:i4>131</vt:i4>
      </vt:variant>
      <vt:variant>
        <vt:i4>0</vt:i4>
      </vt:variant>
      <vt:variant>
        <vt:i4>5</vt:i4>
      </vt:variant>
      <vt:variant>
        <vt:lpwstr/>
      </vt:variant>
      <vt:variant>
        <vt:lpwstr>_Toc424121137</vt:lpwstr>
      </vt:variant>
      <vt:variant>
        <vt:i4>1441843</vt:i4>
      </vt:variant>
      <vt:variant>
        <vt:i4>125</vt:i4>
      </vt:variant>
      <vt:variant>
        <vt:i4>0</vt:i4>
      </vt:variant>
      <vt:variant>
        <vt:i4>5</vt:i4>
      </vt:variant>
      <vt:variant>
        <vt:lpwstr/>
      </vt:variant>
      <vt:variant>
        <vt:lpwstr>_Toc424121134</vt:lpwstr>
      </vt:variant>
      <vt:variant>
        <vt:i4>1441843</vt:i4>
      </vt:variant>
      <vt:variant>
        <vt:i4>119</vt:i4>
      </vt:variant>
      <vt:variant>
        <vt:i4>0</vt:i4>
      </vt:variant>
      <vt:variant>
        <vt:i4>5</vt:i4>
      </vt:variant>
      <vt:variant>
        <vt:lpwstr/>
      </vt:variant>
      <vt:variant>
        <vt:lpwstr>_Toc424121133</vt:lpwstr>
      </vt:variant>
      <vt:variant>
        <vt:i4>1441843</vt:i4>
      </vt:variant>
      <vt:variant>
        <vt:i4>113</vt:i4>
      </vt:variant>
      <vt:variant>
        <vt:i4>0</vt:i4>
      </vt:variant>
      <vt:variant>
        <vt:i4>5</vt:i4>
      </vt:variant>
      <vt:variant>
        <vt:lpwstr/>
      </vt:variant>
      <vt:variant>
        <vt:lpwstr>_Toc424121132</vt:lpwstr>
      </vt:variant>
      <vt:variant>
        <vt:i4>1441843</vt:i4>
      </vt:variant>
      <vt:variant>
        <vt:i4>107</vt:i4>
      </vt:variant>
      <vt:variant>
        <vt:i4>0</vt:i4>
      </vt:variant>
      <vt:variant>
        <vt:i4>5</vt:i4>
      </vt:variant>
      <vt:variant>
        <vt:lpwstr/>
      </vt:variant>
      <vt:variant>
        <vt:lpwstr>_Toc424121130</vt:lpwstr>
      </vt:variant>
      <vt:variant>
        <vt:i4>1507379</vt:i4>
      </vt:variant>
      <vt:variant>
        <vt:i4>101</vt:i4>
      </vt:variant>
      <vt:variant>
        <vt:i4>0</vt:i4>
      </vt:variant>
      <vt:variant>
        <vt:i4>5</vt:i4>
      </vt:variant>
      <vt:variant>
        <vt:lpwstr/>
      </vt:variant>
      <vt:variant>
        <vt:lpwstr>_Toc424121129</vt:lpwstr>
      </vt:variant>
      <vt:variant>
        <vt:i4>1507379</vt:i4>
      </vt:variant>
      <vt:variant>
        <vt:i4>95</vt:i4>
      </vt:variant>
      <vt:variant>
        <vt:i4>0</vt:i4>
      </vt:variant>
      <vt:variant>
        <vt:i4>5</vt:i4>
      </vt:variant>
      <vt:variant>
        <vt:lpwstr/>
      </vt:variant>
      <vt:variant>
        <vt:lpwstr>_Toc424121128</vt:lpwstr>
      </vt:variant>
      <vt:variant>
        <vt:i4>1507379</vt:i4>
      </vt:variant>
      <vt:variant>
        <vt:i4>89</vt:i4>
      </vt:variant>
      <vt:variant>
        <vt:i4>0</vt:i4>
      </vt:variant>
      <vt:variant>
        <vt:i4>5</vt:i4>
      </vt:variant>
      <vt:variant>
        <vt:lpwstr/>
      </vt:variant>
      <vt:variant>
        <vt:lpwstr>_Toc424121127</vt:lpwstr>
      </vt:variant>
      <vt:variant>
        <vt:i4>1507379</vt:i4>
      </vt:variant>
      <vt:variant>
        <vt:i4>83</vt:i4>
      </vt:variant>
      <vt:variant>
        <vt:i4>0</vt:i4>
      </vt:variant>
      <vt:variant>
        <vt:i4>5</vt:i4>
      </vt:variant>
      <vt:variant>
        <vt:lpwstr/>
      </vt:variant>
      <vt:variant>
        <vt:lpwstr>_Toc424121126</vt:lpwstr>
      </vt:variant>
      <vt:variant>
        <vt:i4>1507379</vt:i4>
      </vt:variant>
      <vt:variant>
        <vt:i4>77</vt:i4>
      </vt:variant>
      <vt:variant>
        <vt:i4>0</vt:i4>
      </vt:variant>
      <vt:variant>
        <vt:i4>5</vt:i4>
      </vt:variant>
      <vt:variant>
        <vt:lpwstr/>
      </vt:variant>
      <vt:variant>
        <vt:lpwstr>_Toc424121125</vt:lpwstr>
      </vt:variant>
      <vt:variant>
        <vt:i4>1507379</vt:i4>
      </vt:variant>
      <vt:variant>
        <vt:i4>71</vt:i4>
      </vt:variant>
      <vt:variant>
        <vt:i4>0</vt:i4>
      </vt:variant>
      <vt:variant>
        <vt:i4>5</vt:i4>
      </vt:variant>
      <vt:variant>
        <vt:lpwstr/>
      </vt:variant>
      <vt:variant>
        <vt:lpwstr>_Toc424121124</vt:lpwstr>
      </vt:variant>
      <vt:variant>
        <vt:i4>1507379</vt:i4>
      </vt:variant>
      <vt:variant>
        <vt:i4>65</vt:i4>
      </vt:variant>
      <vt:variant>
        <vt:i4>0</vt:i4>
      </vt:variant>
      <vt:variant>
        <vt:i4>5</vt:i4>
      </vt:variant>
      <vt:variant>
        <vt:lpwstr/>
      </vt:variant>
      <vt:variant>
        <vt:lpwstr>_Toc424121123</vt:lpwstr>
      </vt:variant>
      <vt:variant>
        <vt:i4>1310771</vt:i4>
      </vt:variant>
      <vt:variant>
        <vt:i4>59</vt:i4>
      </vt:variant>
      <vt:variant>
        <vt:i4>0</vt:i4>
      </vt:variant>
      <vt:variant>
        <vt:i4>5</vt:i4>
      </vt:variant>
      <vt:variant>
        <vt:lpwstr/>
      </vt:variant>
      <vt:variant>
        <vt:lpwstr>_Toc424121119</vt:lpwstr>
      </vt:variant>
      <vt:variant>
        <vt:i4>1310771</vt:i4>
      </vt:variant>
      <vt:variant>
        <vt:i4>53</vt:i4>
      </vt:variant>
      <vt:variant>
        <vt:i4>0</vt:i4>
      </vt:variant>
      <vt:variant>
        <vt:i4>5</vt:i4>
      </vt:variant>
      <vt:variant>
        <vt:lpwstr/>
      </vt:variant>
      <vt:variant>
        <vt:lpwstr>_Toc424121115</vt:lpwstr>
      </vt:variant>
      <vt:variant>
        <vt:i4>1310771</vt:i4>
      </vt:variant>
      <vt:variant>
        <vt:i4>47</vt:i4>
      </vt:variant>
      <vt:variant>
        <vt:i4>0</vt:i4>
      </vt:variant>
      <vt:variant>
        <vt:i4>5</vt:i4>
      </vt:variant>
      <vt:variant>
        <vt:lpwstr/>
      </vt:variant>
      <vt:variant>
        <vt:lpwstr>_Toc424121114</vt:lpwstr>
      </vt:variant>
      <vt:variant>
        <vt:i4>1310771</vt:i4>
      </vt:variant>
      <vt:variant>
        <vt:i4>41</vt:i4>
      </vt:variant>
      <vt:variant>
        <vt:i4>0</vt:i4>
      </vt:variant>
      <vt:variant>
        <vt:i4>5</vt:i4>
      </vt:variant>
      <vt:variant>
        <vt:lpwstr/>
      </vt:variant>
      <vt:variant>
        <vt:lpwstr>_Toc424121113</vt:lpwstr>
      </vt:variant>
      <vt:variant>
        <vt:i4>1310771</vt:i4>
      </vt:variant>
      <vt:variant>
        <vt:i4>35</vt:i4>
      </vt:variant>
      <vt:variant>
        <vt:i4>0</vt:i4>
      </vt:variant>
      <vt:variant>
        <vt:i4>5</vt:i4>
      </vt:variant>
      <vt:variant>
        <vt:lpwstr/>
      </vt:variant>
      <vt:variant>
        <vt:lpwstr>_Toc424121112</vt:lpwstr>
      </vt:variant>
      <vt:variant>
        <vt:i4>1376307</vt:i4>
      </vt:variant>
      <vt:variant>
        <vt:i4>29</vt:i4>
      </vt:variant>
      <vt:variant>
        <vt:i4>0</vt:i4>
      </vt:variant>
      <vt:variant>
        <vt:i4>5</vt:i4>
      </vt:variant>
      <vt:variant>
        <vt:lpwstr/>
      </vt:variant>
      <vt:variant>
        <vt:lpwstr>_Toc424121108</vt:lpwstr>
      </vt:variant>
      <vt:variant>
        <vt:i4>1376307</vt:i4>
      </vt:variant>
      <vt:variant>
        <vt:i4>23</vt:i4>
      </vt:variant>
      <vt:variant>
        <vt:i4>0</vt:i4>
      </vt:variant>
      <vt:variant>
        <vt:i4>5</vt:i4>
      </vt:variant>
      <vt:variant>
        <vt:lpwstr/>
      </vt:variant>
      <vt:variant>
        <vt:lpwstr>_Toc424121107</vt:lpwstr>
      </vt:variant>
      <vt:variant>
        <vt:i4>1376307</vt:i4>
      </vt:variant>
      <vt:variant>
        <vt:i4>17</vt:i4>
      </vt:variant>
      <vt:variant>
        <vt:i4>0</vt:i4>
      </vt:variant>
      <vt:variant>
        <vt:i4>5</vt:i4>
      </vt:variant>
      <vt:variant>
        <vt:lpwstr/>
      </vt:variant>
      <vt:variant>
        <vt:lpwstr>_Toc424121106</vt:lpwstr>
      </vt:variant>
      <vt:variant>
        <vt:i4>1376307</vt:i4>
      </vt:variant>
      <vt:variant>
        <vt:i4>11</vt:i4>
      </vt:variant>
      <vt:variant>
        <vt:i4>0</vt:i4>
      </vt:variant>
      <vt:variant>
        <vt:i4>5</vt:i4>
      </vt:variant>
      <vt:variant>
        <vt:lpwstr/>
      </vt:variant>
      <vt:variant>
        <vt:lpwstr>_Toc424121105</vt:lpwstr>
      </vt:variant>
      <vt:variant>
        <vt:i4>1376307</vt:i4>
      </vt:variant>
      <vt:variant>
        <vt:i4>5</vt:i4>
      </vt:variant>
      <vt:variant>
        <vt:i4>0</vt:i4>
      </vt:variant>
      <vt:variant>
        <vt:i4>5</vt:i4>
      </vt:variant>
      <vt:variant>
        <vt:lpwstr/>
      </vt:variant>
      <vt:variant>
        <vt:lpwstr>_Toc424121104</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WOJCIECHOWSKA Eliza (SG)</cp:lastModifiedBy>
  <cp:revision>22</cp:revision>
  <cp:lastPrinted>2016-07-19T09:01:00Z</cp:lastPrinted>
  <dcterms:created xsi:type="dcterms:W3CDTF">2016-07-18T07:11:00Z</dcterms:created>
  <dcterms:modified xsi:type="dcterms:W3CDTF">2016-07-19T09:04:00Z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Classification">
    <vt:lpwstr> </vt:lpwstr>
  </property>
  <property fmtid="{D5CDD505-2E9C-101B-9397-08002B2CF9AE}" pid="5" name="DocStatus">
    <vt:lpwstr>Green</vt:lpwstr>
  </property>
</Properties>
</file>