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73832E2554FF41B495DB44405E239830" style="width:450.8pt;height:456.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ANNEXES</w:t>
      </w:r>
    </w:p>
    <w:p>
      <w:pPr>
        <w:pStyle w:val="Titreobjet"/>
        <w:rPr>
          <w:noProof/>
        </w:rPr>
      </w:pPr>
      <w:r>
        <w:rPr>
          <w:noProof/>
        </w:rPr>
        <w:t>[...]</w:t>
      </w:r>
    </w:p>
    <w:p>
      <w:pPr>
        <w:pStyle w:val="Accompagnant"/>
        <w:rPr>
          <w:noProof/>
        </w:rPr>
      </w:pPr>
      <w:r>
        <w:rPr>
          <w:noProof/>
        </w:rPr>
        <w:t>à la</w:t>
      </w:r>
    </w:p>
    <w:p>
      <w:pPr>
        <w:pStyle w:val="Typeacteprincipal"/>
        <w:rPr>
          <w:noProof/>
        </w:rPr>
      </w:pPr>
      <w:r>
        <w:rPr>
          <w:noProof/>
        </w:rPr>
        <w:t xml:space="preserve">Proposition de RÈGLEMENT DU PARLEMENT EUROPÉEN ET DU CONSEIL </w:t>
      </w:r>
    </w:p>
    <w:p>
      <w:pPr>
        <w:pStyle w:val="Objetacteprincipal"/>
        <w:rPr>
          <w:noProof/>
        </w:rPr>
      </w:pPr>
      <w:r>
        <w:rPr>
          <w:noProof/>
        </w:rPr>
        <w:t>établissant un plan pluriannuel pour les stocks démersaux de la mer du Nord et les pêcheries exploitant ces stocks, et abrogeant le règlement (CE) n° 676/2007 du Conseil et le règlement (CE) n° 1342/2008 du Conseil</w:t>
      </w:r>
    </w:p>
    <w:p>
      <w:pPr>
        <w:pStyle w:val="Annexetitre"/>
        <w:rPr>
          <w:noProof/>
        </w:rPr>
      </w:pPr>
      <w:r>
        <w:rPr>
          <w:noProof/>
        </w:rPr>
        <w:t>ANNEXE I</w:t>
      </w:r>
    </w:p>
    <w:p>
      <w:pPr>
        <w:pStyle w:val="Annexetitreexpos"/>
        <w:rPr>
          <w:noProof/>
        </w:rPr>
      </w:pPr>
      <w:r>
        <w:rPr>
          <w:noProof/>
        </w:rPr>
        <w:t>Objectifs ciblés de mortalité par pêche</w:t>
      </w:r>
    </w:p>
    <w:p>
      <w:pPr>
        <w:jc w:val="center"/>
        <w:rPr>
          <w:b/>
          <w:noProof/>
        </w:rPr>
      </w:pPr>
      <w:r>
        <w:rPr>
          <w:b/>
          <w:noProof/>
        </w:rPr>
        <w:t>(visés à l’article 4)</w:t>
      </w:r>
    </w:p>
    <w:p>
      <w:pPr>
        <w:rPr>
          <w:rFonts w:eastAsia="Times New Roman"/>
          <w:noProof/>
          <w:color w:val="000000"/>
          <w:szCs w:val="24"/>
        </w:rPr>
      </w:pPr>
      <w:r>
        <w:rPr>
          <w:b/>
          <w:noProof/>
        </w:rPr>
        <w:t xml:space="preserve">1. </w:t>
      </w:r>
      <w:r>
        <w:rPr>
          <w:b/>
          <w:noProof/>
          <w:color w:val="000000"/>
        </w:rPr>
        <w:t>Groupe 1</w:t>
      </w:r>
    </w:p>
    <w:tbl>
      <w:tblPr>
        <w:tblW w:w="91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3260"/>
        <w:gridCol w:w="3119"/>
      </w:tblGrid>
      <w:tr>
        <w:tc>
          <w:tcPr>
            <w:tcW w:w="2775" w:type="dxa"/>
            <w:vMerge w:val="restart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Stock</w:t>
            </w:r>
          </w:p>
        </w:tc>
        <w:tc>
          <w:tcPr>
            <w:tcW w:w="6379" w:type="dxa"/>
            <w:gridSpan w:val="2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 xml:space="preserve">Fourchette des objectifs ciblés de mortalité par pêche </w:t>
            </w:r>
            <w:r>
              <w:rPr>
                <w:b/>
                <w:noProof/>
                <w:sz w:val="22"/>
              </w:rPr>
              <w:t>permettant de garantir le rendement maximal durable (F</w:t>
            </w:r>
            <w:r>
              <w:rPr>
                <w:b/>
                <w:noProof/>
                <w:sz w:val="22"/>
                <w:vertAlign w:val="subscript"/>
              </w:rPr>
              <w:t>RMD</w:t>
            </w:r>
            <w:r>
              <w:rPr>
                <w:b/>
                <w:noProof/>
                <w:sz w:val="22"/>
              </w:rPr>
              <w:t>)</w:t>
            </w:r>
          </w:p>
        </w:tc>
      </w:tr>
      <w:tr>
        <w:trPr>
          <w:trHeight w:hRule="exact" w:val="454"/>
        </w:trPr>
        <w:tc>
          <w:tcPr>
            <w:tcW w:w="2775" w:type="dxa"/>
            <w:vMerge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Colonne A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Colonne B</w:t>
            </w:r>
          </w:p>
        </w:tc>
      </w:tr>
      <w:tr>
        <w:trPr>
          <w:trHeight w:hRule="exact" w:val="54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Cabillaud de la mer du Nord 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0,22 – 0,33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0,33 – 0,49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Églefin 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0,25 – 0,37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0,37 – 0,52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Plie de la mer du Nord 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0,13 – 0,19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0,19 – 0,27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Lieu noir 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0,20 – 0,32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0,32 – 0,43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Sole de la mer du Nord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0,11 – 0,20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0,20 – 0,37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Sole du Kattegat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0,19 – 0,22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0,22 – 0,26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Merlan de la mer du Nord 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Non défini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Non défini</w:t>
            </w:r>
          </w:p>
        </w:tc>
      </w:tr>
    </w:tbl>
    <w:p>
      <w:pPr>
        <w:rPr>
          <w:rFonts w:eastAsia="Times New Roman"/>
          <w:noProof/>
          <w:color w:val="000000"/>
          <w:szCs w:val="24"/>
        </w:rPr>
      </w:pPr>
    </w:p>
    <w:p>
      <w:pPr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2. Groupe 2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3260"/>
        <w:gridCol w:w="3119"/>
      </w:tblGrid>
      <w:tr>
        <w:tc>
          <w:tcPr>
            <w:tcW w:w="2694" w:type="dxa"/>
            <w:vMerge w:val="restart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 xml:space="preserve"> Unité fonctionnelle pour les langoustines (FU)</w:t>
            </w:r>
          </w:p>
        </w:tc>
        <w:tc>
          <w:tcPr>
            <w:tcW w:w="6379" w:type="dxa"/>
            <w:gridSpan w:val="2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Fourchette des objectifs ciblés de mortalité par pêche permettant de garantir le rendement maximal durable (F</w:t>
            </w:r>
            <w:r>
              <w:rPr>
                <w:b/>
                <w:noProof/>
                <w:color w:val="000000"/>
                <w:vertAlign w:val="subscript"/>
              </w:rPr>
              <w:t>RMD</w:t>
            </w:r>
            <w:r>
              <w:rPr>
                <w:b/>
                <w:noProof/>
                <w:color w:val="000000"/>
              </w:rPr>
              <w:t>)</w:t>
            </w:r>
          </w:p>
        </w:tc>
      </w:tr>
      <w:tr>
        <w:trPr>
          <w:trHeight w:hRule="exact" w:val="454"/>
        </w:trPr>
        <w:tc>
          <w:tcPr>
            <w:tcW w:w="2694" w:type="dxa"/>
            <w:vMerge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Colonne A</w:t>
            </w:r>
          </w:p>
        </w:tc>
        <w:tc>
          <w:tcPr>
            <w:tcW w:w="3119" w:type="dxa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 xml:space="preserve">Colonne B </w:t>
            </w:r>
          </w:p>
        </w:tc>
      </w:tr>
      <w:tr>
        <w:trPr>
          <w:trHeight w:hRule="exact" w:val="454"/>
        </w:trPr>
        <w:tc>
          <w:tcPr>
            <w:tcW w:w="2694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Division III a FU 3 et 4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0,056 – 0,079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0,079 – 0,079</w:t>
            </w:r>
          </w:p>
        </w:tc>
      </w:tr>
      <w:tr>
        <w:trPr>
          <w:trHeight w:hRule="exact" w:val="454"/>
        </w:trPr>
        <w:tc>
          <w:tcPr>
            <w:tcW w:w="2694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 xml:space="preserve">Farn Deeps </w:t>
            </w:r>
            <w:r>
              <w:rPr>
                <w:noProof/>
                <w:color w:val="000000"/>
              </w:rPr>
              <w:t>FU 6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0,07 – 0,081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0,081 – 0,081</w:t>
            </w:r>
          </w:p>
        </w:tc>
      </w:tr>
      <w:tr>
        <w:trPr>
          <w:trHeight w:hRule="exact" w:val="454"/>
        </w:trPr>
        <w:tc>
          <w:tcPr>
            <w:tcW w:w="2694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 xml:space="preserve">Fladen Ground </w:t>
            </w:r>
            <w:r>
              <w:rPr>
                <w:noProof/>
                <w:color w:val="000000"/>
              </w:rPr>
              <w:t xml:space="preserve"> FU 7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0,066 – 0,075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0,075 – 0,075</w:t>
            </w:r>
          </w:p>
        </w:tc>
      </w:tr>
      <w:tr>
        <w:trPr>
          <w:trHeight w:hRule="exact" w:val="454"/>
        </w:trPr>
        <w:tc>
          <w:tcPr>
            <w:tcW w:w="2694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 xml:space="preserve">Firth of Forth </w:t>
            </w:r>
            <w:r>
              <w:rPr>
                <w:noProof/>
                <w:color w:val="000000"/>
              </w:rPr>
              <w:t>FU 8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0,106 – 0,163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0,163 – 0,163</w:t>
            </w:r>
          </w:p>
        </w:tc>
      </w:tr>
      <w:tr>
        <w:trPr>
          <w:trHeight w:hRule="exact" w:val="454"/>
        </w:trPr>
        <w:tc>
          <w:tcPr>
            <w:tcW w:w="2694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 xml:space="preserve">Moray Firth </w:t>
            </w:r>
            <w:r>
              <w:rPr>
                <w:noProof/>
                <w:color w:val="000000"/>
              </w:rPr>
              <w:t>FU 9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0,091 – 0,118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0,118 – 0,118</w:t>
            </w:r>
          </w:p>
        </w:tc>
      </w:tr>
    </w:tbl>
    <w:p>
      <w:pPr>
        <w:rPr>
          <w:noProof/>
        </w:rPr>
      </w:pPr>
    </w:p>
    <w:p>
      <w:pPr>
        <w:pStyle w:val="Annexetitre"/>
        <w:rPr>
          <w:noProof/>
        </w:rPr>
      </w:pPr>
      <w:r>
        <w:rPr>
          <w:noProof/>
        </w:rPr>
        <w:t>ANNEXE II</w:t>
      </w:r>
    </w:p>
    <w:p>
      <w:pPr>
        <w:pStyle w:val="Annexetitreexpos"/>
        <w:rPr>
          <w:noProof/>
        </w:rPr>
      </w:pPr>
      <w:r>
        <w:rPr>
          <w:noProof/>
        </w:rPr>
        <w:t>Niveaux de référence de conservation</w:t>
      </w:r>
    </w:p>
    <w:p>
      <w:pPr>
        <w:spacing w:before="0" w:after="0"/>
        <w:jc w:val="center"/>
        <w:rPr>
          <w:b/>
          <w:noProof/>
          <w:szCs w:val="24"/>
          <w:u w:val="single"/>
        </w:rPr>
      </w:pPr>
      <w:r>
        <w:rPr>
          <w:b/>
          <w:noProof/>
        </w:rPr>
        <w:t>(visés à l’article 7)</w:t>
      </w:r>
    </w:p>
    <w:p>
      <w:pPr>
        <w:rPr>
          <w:b/>
          <w:noProof/>
        </w:rPr>
      </w:pPr>
      <w:r>
        <w:rPr>
          <w:b/>
          <w:noProof/>
        </w:rPr>
        <w:t xml:space="preserve">1. Groupe 1 </w:t>
      </w:r>
    </w:p>
    <w:tbl>
      <w:tblPr>
        <w:tblW w:w="92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5"/>
        <w:gridCol w:w="3544"/>
        <w:gridCol w:w="3530"/>
      </w:tblGrid>
      <w:t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Stock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Niveau de référence minimum pour la biomasse du stock reproducteur(en tonnes) (RMD B</w:t>
            </w:r>
            <w:r>
              <w:rPr>
                <w:b/>
                <w:noProof/>
                <w:color w:val="000000"/>
                <w:vertAlign w:val="subscript"/>
              </w:rPr>
              <w:t>trigger</w:t>
            </w:r>
            <w:r>
              <w:rPr>
                <w:b/>
                <w:noProof/>
                <w:color w:val="000000"/>
              </w:rPr>
              <w:t>)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Point de référence de la biomasse limite (en tonnes) (B</w:t>
            </w:r>
            <w:r>
              <w:rPr>
                <w:b/>
                <w:noProof/>
                <w:color w:val="000000"/>
                <w:vertAlign w:val="subscript"/>
              </w:rPr>
              <w:t>lim</w:t>
            </w:r>
            <w:r>
              <w:rPr>
                <w:b/>
                <w:noProof/>
                <w:color w:val="000000"/>
              </w:rPr>
              <w:t>)</w:t>
            </w:r>
          </w:p>
        </w:tc>
      </w:tr>
      <w:tr>
        <w:trPr>
          <w:trHeight w:hRule="exact" w:val="748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Cabillaud de la mer du Nord 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165 000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118 000</w:t>
            </w:r>
          </w:p>
        </w:tc>
      </w:tr>
      <w:tr>
        <w:trPr>
          <w:trHeight w:hRule="exact" w:val="454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Églefin 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88 000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63 000</w:t>
            </w:r>
          </w:p>
        </w:tc>
      </w:tr>
      <w:tr>
        <w:trPr>
          <w:trHeight w:hRule="exact" w:val="628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Plie de la mer du Nord 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230 000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160 000</w:t>
            </w:r>
          </w:p>
        </w:tc>
      </w:tr>
      <w:tr>
        <w:trPr>
          <w:trHeight w:hRule="exact" w:val="454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Lieu noir 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200 000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106 000</w:t>
            </w:r>
          </w:p>
        </w:tc>
      </w:tr>
      <w:tr>
        <w:trPr>
          <w:trHeight w:hRule="exact" w:val="628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Sole de la mer du Nord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37 000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26 300</w:t>
            </w:r>
          </w:p>
        </w:tc>
      </w:tr>
      <w:tr>
        <w:trPr>
          <w:trHeight w:hRule="exact" w:val="454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Sole du Kattegat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2 600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1 850</w:t>
            </w:r>
          </w:p>
        </w:tc>
      </w:tr>
      <w:tr>
        <w:trPr>
          <w:trHeight w:hRule="exact" w:val="628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Merlan de la mer du Nord 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Non défini 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Non défini </w:t>
            </w:r>
          </w:p>
        </w:tc>
      </w:tr>
    </w:tbl>
    <w:p>
      <w:pPr>
        <w:rPr>
          <w:noProof/>
        </w:rPr>
      </w:pPr>
    </w:p>
    <w:p>
      <w:pPr>
        <w:rPr>
          <w:b/>
          <w:noProof/>
        </w:rPr>
      </w:pPr>
      <w:r>
        <w:rPr>
          <w:b/>
          <w:noProof/>
        </w:rPr>
        <w:t xml:space="preserve">2. Groupe 2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0"/>
        <w:gridCol w:w="3058"/>
        <w:gridCol w:w="3402"/>
      </w:tblGrid>
      <w:tr>
        <w:tc>
          <w:tcPr>
            <w:tcW w:w="272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Unité fonctionnelle pour les langoustines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Point de référence de l’abondance minimale (en millions) (Abondance</w:t>
            </w:r>
            <w:r>
              <w:rPr>
                <w:b/>
                <w:noProof/>
                <w:color w:val="000000"/>
                <w:vertAlign w:val="subscript"/>
              </w:rPr>
              <w:t>buffer</w:t>
            </w:r>
            <w:r>
              <w:rPr>
                <w:b/>
                <w:noProof/>
                <w:color w:val="000000"/>
              </w:rPr>
              <w:t>)</w:t>
            </w:r>
          </w:p>
        </w:tc>
        <w:tc>
          <w:tcPr>
            <w:tcW w:w="3402" w:type="dxa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Niveau de référence limite de l’abondance (en millions) (Abondance</w:t>
            </w:r>
            <w:r>
              <w:rPr>
                <w:b/>
                <w:noProof/>
                <w:color w:val="000000"/>
                <w:vertAlign w:val="subscript"/>
              </w:rPr>
              <w:t>limit</w:t>
            </w:r>
            <w:r>
              <w:rPr>
                <w:b/>
                <w:noProof/>
                <w:color w:val="000000"/>
              </w:rPr>
              <w:t>)</w:t>
            </w:r>
          </w:p>
        </w:tc>
      </w:tr>
      <w:tr>
        <w:trPr>
          <w:trHeight w:hRule="exact" w:val="454"/>
        </w:trPr>
        <w:tc>
          <w:tcPr>
            <w:tcW w:w="2720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Division III a FU 3 et 4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N.C.</w:t>
            </w:r>
          </w:p>
        </w:tc>
        <w:tc>
          <w:tcPr>
            <w:tcW w:w="3402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N.C.</w:t>
            </w:r>
          </w:p>
        </w:tc>
      </w:tr>
      <w:tr>
        <w:trPr>
          <w:trHeight w:hRule="exact" w:val="454"/>
        </w:trPr>
        <w:tc>
          <w:tcPr>
            <w:tcW w:w="2720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 xml:space="preserve">Farn Deeps </w:t>
            </w:r>
            <w:r>
              <w:rPr>
                <w:noProof/>
                <w:color w:val="000000"/>
              </w:rPr>
              <w:t>FU 6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999</w:t>
            </w:r>
          </w:p>
        </w:tc>
        <w:tc>
          <w:tcPr>
            <w:tcW w:w="3402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858</w:t>
            </w:r>
          </w:p>
        </w:tc>
      </w:tr>
      <w:tr>
        <w:trPr>
          <w:trHeight w:hRule="exact" w:val="454"/>
        </w:trPr>
        <w:tc>
          <w:tcPr>
            <w:tcW w:w="2720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 xml:space="preserve">Fladen Ground </w:t>
            </w:r>
            <w:r>
              <w:rPr>
                <w:noProof/>
                <w:color w:val="000000"/>
              </w:rPr>
              <w:t xml:space="preserve"> FU 7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3 583</w:t>
            </w:r>
          </w:p>
        </w:tc>
        <w:tc>
          <w:tcPr>
            <w:tcW w:w="3402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2 767</w:t>
            </w:r>
          </w:p>
        </w:tc>
      </w:tr>
      <w:tr>
        <w:trPr>
          <w:trHeight w:hRule="exact" w:val="454"/>
        </w:trPr>
        <w:tc>
          <w:tcPr>
            <w:tcW w:w="2720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 xml:space="preserve">Firth of Forth </w:t>
            </w:r>
            <w:r>
              <w:rPr>
                <w:noProof/>
                <w:color w:val="000000"/>
              </w:rPr>
              <w:t>FU 8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362</w:t>
            </w:r>
          </w:p>
        </w:tc>
        <w:tc>
          <w:tcPr>
            <w:tcW w:w="3402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292</w:t>
            </w:r>
          </w:p>
        </w:tc>
      </w:tr>
      <w:tr>
        <w:trPr>
          <w:trHeight w:hRule="exact" w:val="454"/>
        </w:trPr>
        <w:tc>
          <w:tcPr>
            <w:tcW w:w="2720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 xml:space="preserve">Moray Firth </w:t>
            </w:r>
            <w:r>
              <w:rPr>
                <w:noProof/>
                <w:color w:val="000000"/>
              </w:rPr>
              <w:t>FU 9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262</w:t>
            </w:r>
          </w:p>
        </w:tc>
        <w:tc>
          <w:tcPr>
            <w:tcW w:w="3402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262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0F8E7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B965D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960E2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8741E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B54A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722C5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C2E5F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A58A2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8-02 15:32:4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FigNum" w:val="1"/>
    <w:docVar w:name="LW_ACCOMPAGNANT.CP" w:val="à la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73832E2554FF41B495DB44405E239830"/>
    <w:docVar w:name="LW_CROSSREFERENCE" w:val="{SWD(2016) 267 final}_x000b_{SWD(2016) 272 final}"/>
    <w:docVar w:name="LW_DocType" w:val="ANNEX"/>
    <w:docVar w:name="LW_EMISSION" w:val="3.8.2016"/>
    <w:docVar w:name="LW_EMISSION_ISODATE" w:val="2016-08-03"/>
    <w:docVar w:name="LW_EMISSION_LOCATION" w:val="BRX"/>
    <w:docVar w:name="LW_EMISSION_PREFIX" w:val="Bruxelles, le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établissant un plan pluriannuel pour les stocks démersaux de la mer du Nord et les pêcheries exploitant ces stocks, et abrogeant le règlement (CE) n° 676/2007 du Conseil et le règlement (CE) n° 1342/2008 du Conseil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493"/>
    <w:docVar w:name="LW_REF.INTERNE" w:val="&lt;UNUSED&gt;"/>
    <w:docVar w:name="LW_SUPERTITRE" w:val="&lt;UNUSED&gt;"/>
    <w:docVar w:name="LW_TITRE.OBJ.CP" w:val="[...]"/>
    <w:docVar w:name="LW_TYPE.DOC.CP" w:val="ANNEXES"/>
    <w:docVar w:name="LW_TYPEACTEPRINCIPAL.CP" w:val="Proposition de RÈGLEMENT DU PARLEMENT EUROPÉEN ET DU CONSEIL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388</Words>
  <Characters>1746</Characters>
  <Application>Microsoft Office Word</Application>
  <DocSecurity>0</DocSecurity>
  <Lines>145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REULAND Marie-Helene (MARE)</dc:creator>
  <cp:lastModifiedBy>DIGIT/A3</cp:lastModifiedBy>
  <cp:revision>8</cp:revision>
  <dcterms:created xsi:type="dcterms:W3CDTF">2016-07-22T14:45:00Z</dcterms:created>
  <dcterms:modified xsi:type="dcterms:W3CDTF">2016-08-02T13:32:00Z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