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F92F5C85432E4232B55265986A83FCFB" style="width:450.75pt;height:470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ANNEXES</w:t>
      </w:r>
    </w:p>
    <w:p>
      <w:pPr>
        <w:pStyle w:val="Titreobjet"/>
        <w:rPr>
          <w:noProof/>
        </w:rPr>
      </w:pPr>
      <w:r>
        <w:rPr>
          <w:rStyle w:val="Marker"/>
          <w:noProof/>
        </w:rPr>
        <w:t>[…]</w:t>
      </w:r>
    </w:p>
    <w:p>
      <w:pPr>
        <w:pStyle w:val="Accompagnant"/>
        <w:rPr>
          <w:noProof/>
        </w:rPr>
      </w:pPr>
      <w:r>
        <w:rPr>
          <w:noProof/>
        </w:rPr>
        <w:t>to the</w:t>
      </w:r>
    </w:p>
    <w:p>
      <w:pPr>
        <w:pStyle w:val="Typeacteprincipal"/>
        <w:rPr>
          <w:noProof/>
        </w:rPr>
      </w:pPr>
      <w:r>
        <w:rPr>
          <w:noProof/>
        </w:rPr>
        <w:t xml:space="preserve">Proposal for a REGULATION OF THE EUROPEAN PARLIAMENT AND OF THE COUNCIL </w:t>
      </w:r>
    </w:p>
    <w:p>
      <w:pPr>
        <w:pStyle w:val="Objetacteprincipal"/>
        <w:rPr>
          <w:noProof/>
        </w:rPr>
      </w:pPr>
      <w:r>
        <w:rPr>
          <w:noProof/>
        </w:rPr>
        <w:t>on establishing a multi-annual plan for demersal stocks in the North Sea and the fisheries exploiting those stocks and repealing Council Regulation (EC) 676/2007 and Council Regulation (EC) 1342/2008</w:t>
      </w:r>
    </w:p>
    <w:p>
      <w:pPr>
        <w:pStyle w:val="Annexetitre"/>
        <w:rPr>
          <w:noProof/>
        </w:rPr>
      </w:pPr>
      <w:r>
        <w:rPr>
          <w:noProof/>
        </w:rPr>
        <w:t>ANNEX I</w:t>
      </w:r>
    </w:p>
    <w:p>
      <w:pPr>
        <w:pStyle w:val="Annexetitreexpos"/>
        <w:rPr>
          <w:noProof/>
        </w:rPr>
      </w:pPr>
      <w:r>
        <w:rPr>
          <w:noProof/>
        </w:rPr>
        <w:t>Target fishing mortality</w:t>
      </w:r>
    </w:p>
    <w:p>
      <w:pPr>
        <w:jc w:val="center"/>
        <w:rPr>
          <w:b/>
          <w:noProof/>
        </w:rPr>
      </w:pPr>
      <w:r>
        <w:rPr>
          <w:b/>
          <w:noProof/>
        </w:rPr>
        <w:t>(as referred to in Article 4)</w:t>
      </w:r>
    </w:p>
    <w:p>
      <w:pPr>
        <w:rPr>
          <w:rFonts w:eastAsia="Times New Roman"/>
          <w:noProof/>
          <w:color w:val="000000"/>
          <w:szCs w:val="24"/>
          <w:lang w:eastAsia="en-GB"/>
        </w:rPr>
      </w:pPr>
      <w:r>
        <w:rPr>
          <w:b/>
          <w:noProof/>
        </w:rPr>
        <w:t xml:space="preserve">1. </w:t>
      </w:r>
      <w:r>
        <w:rPr>
          <w:rFonts w:eastAsia="Times New Roman"/>
          <w:b/>
          <w:noProof/>
          <w:color w:val="000000"/>
          <w:szCs w:val="24"/>
          <w:lang w:eastAsia="en-GB"/>
        </w:rPr>
        <w:t>Group 1</w:t>
      </w:r>
    </w:p>
    <w:tbl>
      <w:tblPr>
        <w:tblW w:w="91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5"/>
        <w:gridCol w:w="3260"/>
        <w:gridCol w:w="3119"/>
      </w:tblGrid>
      <w:tr>
        <w:tc>
          <w:tcPr>
            <w:tcW w:w="2775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Stock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 xml:space="preserve">Target fishing mortality range </w:t>
            </w:r>
            <w:r>
              <w:rPr>
                <w:b/>
                <w:noProof/>
                <w:sz w:val="22"/>
              </w:rPr>
              <w:t>consistent with achieving maximum sustainable yield (F</w:t>
            </w:r>
            <w:r>
              <w:rPr>
                <w:b/>
                <w:noProof/>
                <w:sz w:val="22"/>
                <w:vertAlign w:val="subscript"/>
              </w:rPr>
              <w:t>MSY</w:t>
            </w:r>
            <w:r>
              <w:rPr>
                <w:b/>
                <w:noProof/>
                <w:sz w:val="22"/>
              </w:rPr>
              <w:t>)</w:t>
            </w:r>
          </w:p>
        </w:tc>
      </w:tr>
      <w:tr>
        <w:trPr>
          <w:trHeight w:hRule="exact" w:val="454"/>
        </w:trPr>
        <w:tc>
          <w:tcPr>
            <w:tcW w:w="2775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Column A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Column B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cod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0.22 – 0.33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0.33 – 0.49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Haddock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0.25 – 0.37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0.37 – 0.52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plaice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0.13 – 0.19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0.19 – 0.27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Saithe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0.20 – 0.32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0.32 – 0.43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North Sea sole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0.11 – 0.20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0.20 – 0.37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Kattegat sole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0.19 – 0.22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0.22 – 0.26</w:t>
            </w:r>
          </w:p>
        </w:tc>
      </w:tr>
      <w:tr>
        <w:trPr>
          <w:trHeight w:hRule="exact" w:val="454"/>
        </w:trPr>
        <w:tc>
          <w:tcPr>
            <w:tcW w:w="2775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whiting 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Not defined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Not defined</w:t>
            </w:r>
          </w:p>
        </w:tc>
      </w:tr>
    </w:tbl>
    <w:p>
      <w:pPr>
        <w:rPr>
          <w:rFonts w:eastAsia="Times New Roman"/>
          <w:noProof/>
          <w:color w:val="000000"/>
          <w:szCs w:val="24"/>
          <w:lang w:eastAsia="en-GB"/>
        </w:rPr>
      </w:pPr>
    </w:p>
    <w:p>
      <w:pPr>
        <w:rPr>
          <w:rFonts w:eastAsia="Times New Roman"/>
          <w:noProof/>
          <w:color w:val="000000"/>
          <w:szCs w:val="24"/>
          <w:lang w:eastAsia="en-GB"/>
        </w:rPr>
      </w:pPr>
      <w:r>
        <w:rPr>
          <w:rFonts w:eastAsia="Times New Roman"/>
          <w:b/>
          <w:noProof/>
          <w:color w:val="000000"/>
          <w:szCs w:val="24"/>
          <w:lang w:eastAsia="en-GB"/>
        </w:rPr>
        <w:t>2. Group 2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260"/>
        <w:gridCol w:w="3119"/>
      </w:tblGrid>
      <w:tr>
        <w:tc>
          <w:tcPr>
            <w:tcW w:w="2694" w:type="dxa"/>
            <w:vMerge w:val="restart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 xml:space="preserve"> Norway lobster functional unit (FU)</w:t>
            </w:r>
          </w:p>
        </w:tc>
        <w:tc>
          <w:tcPr>
            <w:tcW w:w="6379" w:type="dxa"/>
            <w:gridSpan w:val="2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Target fishing mortality range consistent with achieving maximum sustainable yield (F</w:t>
            </w:r>
            <w:r>
              <w:rPr>
                <w:rFonts w:eastAsia="Times New Roman"/>
                <w:b/>
                <w:noProof/>
                <w:color w:val="000000"/>
                <w:szCs w:val="24"/>
                <w:vertAlign w:val="subscript"/>
                <w:lang w:eastAsia="en-GB"/>
              </w:rPr>
              <w:t>MSY</w:t>
            </w: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) (as harvest rate)</w:t>
            </w:r>
          </w:p>
        </w:tc>
      </w:tr>
      <w:tr>
        <w:trPr>
          <w:trHeight w:hRule="exact" w:val="454"/>
        </w:trPr>
        <w:tc>
          <w:tcPr>
            <w:tcW w:w="2694" w:type="dxa"/>
            <w:vMerge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</w:p>
        </w:tc>
        <w:tc>
          <w:tcPr>
            <w:tcW w:w="3260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Column A</w:t>
            </w:r>
          </w:p>
        </w:tc>
        <w:tc>
          <w:tcPr>
            <w:tcW w:w="3119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 xml:space="preserve">Column B 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Division IIIa FU 3 and 4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0.056 – 0.079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0.079 – 0.079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Farn Deeps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6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0.07 – 0.081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0.081 – 0.081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>Fladen Ground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 FU 7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0.066 – 0.075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0.075 – 0.075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Firth of Forth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8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0.106 – 0.163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0.163 – 0.163</w:t>
            </w:r>
          </w:p>
        </w:tc>
      </w:tr>
      <w:tr>
        <w:trPr>
          <w:trHeight w:hRule="exact" w:val="454"/>
        </w:trPr>
        <w:tc>
          <w:tcPr>
            <w:tcW w:w="2694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Moray Firth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9</w:t>
            </w:r>
          </w:p>
        </w:tc>
        <w:tc>
          <w:tcPr>
            <w:tcW w:w="326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0.091 – 0.118</w:t>
            </w:r>
          </w:p>
        </w:tc>
        <w:tc>
          <w:tcPr>
            <w:tcW w:w="3119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0.118 – 0.118</w:t>
            </w:r>
          </w:p>
        </w:tc>
      </w:tr>
    </w:tbl>
    <w:p>
      <w:pPr>
        <w:rPr>
          <w:noProof/>
        </w:rPr>
      </w:pPr>
    </w:p>
    <w:p>
      <w:pPr>
        <w:pStyle w:val="Annexetitre"/>
        <w:rPr>
          <w:noProof/>
        </w:rPr>
      </w:pPr>
      <w:r>
        <w:rPr>
          <w:noProof/>
        </w:rPr>
        <w:t>ANNEX II</w:t>
      </w:r>
    </w:p>
    <w:p>
      <w:pPr>
        <w:pStyle w:val="Annexetitreexpos"/>
        <w:rPr>
          <w:noProof/>
        </w:rPr>
      </w:pPr>
      <w:r>
        <w:rPr>
          <w:noProof/>
        </w:rPr>
        <w:t>Conservation reference points</w:t>
      </w:r>
    </w:p>
    <w:p>
      <w:pPr>
        <w:spacing w:before="0" w:after="0"/>
        <w:jc w:val="center"/>
        <w:rPr>
          <w:b/>
          <w:noProof/>
          <w:szCs w:val="24"/>
          <w:u w:val="single"/>
        </w:rPr>
      </w:pPr>
      <w:r>
        <w:rPr>
          <w:b/>
          <w:noProof/>
        </w:rPr>
        <w:t>(as referred to in Article 7)</w:t>
      </w:r>
    </w:p>
    <w:p>
      <w:pPr>
        <w:rPr>
          <w:b/>
          <w:noProof/>
        </w:rPr>
      </w:pPr>
      <w:r>
        <w:rPr>
          <w:b/>
          <w:noProof/>
        </w:rPr>
        <w:t xml:space="preserve">1. Group 1 </w:t>
      </w:r>
    </w:p>
    <w:tbl>
      <w:tblPr>
        <w:tblW w:w="92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5"/>
        <w:gridCol w:w="3544"/>
        <w:gridCol w:w="3530"/>
      </w:tblGrid>
      <w:t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Stock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Minimum spawning stock biomass reference point (in tonnes) (MSY B</w:t>
            </w:r>
            <w:r>
              <w:rPr>
                <w:rFonts w:eastAsia="Times New Roman"/>
                <w:b/>
                <w:noProof/>
                <w:color w:val="000000"/>
                <w:szCs w:val="24"/>
                <w:vertAlign w:val="subscript"/>
                <w:lang w:eastAsia="en-GB"/>
              </w:rPr>
              <w:t>trigger</w:t>
            </w: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Limit biomass reference point (in tonnes) (B</w:t>
            </w:r>
            <w:r>
              <w:rPr>
                <w:rFonts w:eastAsia="Times New Roman"/>
                <w:b/>
                <w:noProof/>
                <w:color w:val="000000"/>
                <w:szCs w:val="24"/>
                <w:vertAlign w:val="subscript"/>
                <w:lang w:eastAsia="en-GB"/>
              </w:rPr>
              <w:t>lim</w:t>
            </w: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)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cod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165 000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118 000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Haddock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88 000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63 000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plaice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230 000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160 000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Saithe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200 000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106 000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North Sea sole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37 000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26 300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Kattegat sole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2 600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1 850</w:t>
            </w:r>
          </w:p>
        </w:tc>
      </w:tr>
      <w:tr>
        <w:trPr>
          <w:trHeight w:hRule="exact" w:val="454"/>
        </w:trPr>
        <w:tc>
          <w:tcPr>
            <w:tcW w:w="2215" w:type="dxa"/>
          </w:tcPr>
          <w:p>
            <w:pPr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North Sea whiting 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Not defined </w:t>
            </w:r>
          </w:p>
        </w:tc>
        <w:tc>
          <w:tcPr>
            <w:tcW w:w="3530" w:type="dxa"/>
          </w:tcPr>
          <w:p>
            <w:pPr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Not defined </w:t>
            </w:r>
          </w:p>
        </w:tc>
      </w:tr>
    </w:tbl>
    <w:p>
      <w:pPr>
        <w:rPr>
          <w:noProof/>
        </w:rPr>
      </w:pPr>
    </w:p>
    <w:p>
      <w:pPr>
        <w:rPr>
          <w:b/>
          <w:noProof/>
        </w:rPr>
      </w:pPr>
      <w:r>
        <w:rPr>
          <w:b/>
          <w:noProof/>
        </w:rPr>
        <w:t xml:space="preserve">2. Group 2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20"/>
        <w:gridCol w:w="3058"/>
        <w:gridCol w:w="3402"/>
      </w:tblGrid>
      <w:tr>
        <w:tc>
          <w:tcPr>
            <w:tcW w:w="2720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Norway lobster functional unit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Minimum abundance reference point (in millions) (Abundance</w:t>
            </w:r>
            <w:r>
              <w:rPr>
                <w:rFonts w:eastAsia="Times New Roman"/>
                <w:b/>
                <w:noProof/>
                <w:color w:val="000000"/>
                <w:szCs w:val="24"/>
                <w:vertAlign w:val="subscript"/>
                <w:lang w:eastAsia="en-GB"/>
              </w:rPr>
              <w:t>buffer</w:t>
            </w: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3402" w:type="dxa"/>
          </w:tcPr>
          <w:p>
            <w:pPr>
              <w:spacing w:before="0" w:after="0"/>
              <w:jc w:val="center"/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Limit abundance reference point (in millions) (Abundance</w:t>
            </w:r>
            <w:r>
              <w:rPr>
                <w:rFonts w:eastAsia="Times New Roman"/>
                <w:b/>
                <w:noProof/>
                <w:color w:val="000000"/>
                <w:szCs w:val="24"/>
                <w:vertAlign w:val="subscript"/>
                <w:lang w:eastAsia="en-GB"/>
              </w:rPr>
              <w:t>limit</w:t>
            </w:r>
            <w:r>
              <w:rPr>
                <w:rFonts w:eastAsia="Times New Roman"/>
                <w:b/>
                <w:noProof/>
                <w:color w:val="000000"/>
                <w:szCs w:val="24"/>
                <w:lang w:eastAsia="en-GB"/>
              </w:rPr>
              <w:t>)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Division IIIa FU 3 and 4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NA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NA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Farn Deeps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6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999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858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>Fladen Ground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 xml:space="preserve"> FU 7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3583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2767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Firth of Forth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8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362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292</w:t>
            </w:r>
          </w:p>
        </w:tc>
      </w:tr>
      <w:tr>
        <w:trPr>
          <w:trHeight w:hRule="exact" w:val="454"/>
        </w:trPr>
        <w:tc>
          <w:tcPr>
            <w:tcW w:w="2720" w:type="dxa"/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w:t xml:space="preserve">Moray Firth </w:t>
            </w: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FU 9</w:t>
            </w:r>
          </w:p>
        </w:tc>
        <w:tc>
          <w:tcPr>
            <w:tcW w:w="3058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262</w:t>
            </w:r>
          </w:p>
        </w:tc>
        <w:tc>
          <w:tcPr>
            <w:tcW w:w="3402" w:type="dxa"/>
            <w:vAlign w:val="center"/>
          </w:tcPr>
          <w:p>
            <w:pPr>
              <w:spacing w:before="0" w:after="0"/>
              <w:jc w:val="center"/>
              <w:rPr>
                <w:rFonts w:eastAsia="Times New Roman"/>
                <w:noProof/>
                <w:color w:val="000000"/>
                <w:szCs w:val="24"/>
                <w:lang w:eastAsia="en-GB"/>
              </w:rPr>
            </w:pPr>
            <w:r>
              <w:rPr>
                <w:rFonts w:eastAsia="Times New Roman"/>
                <w:noProof/>
                <w:color w:val="000000"/>
                <w:szCs w:val="24"/>
                <w:lang w:eastAsia="en-GB"/>
              </w:rPr>
              <w:t>262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0F8E7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2B965D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960E26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8741E9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B54A4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722C5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C2E5F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A58A2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11"/>
  </w:num>
  <w:num w:numId="5">
    <w:abstractNumId w:val="13"/>
  </w:num>
  <w:num w:numId="6">
    <w:abstractNumId w:val="9"/>
  </w:num>
  <w:num w:numId="7">
    <w:abstractNumId w:val="19"/>
  </w:num>
  <w:num w:numId="8">
    <w:abstractNumId w:val="8"/>
  </w:num>
  <w:num w:numId="9">
    <w:abstractNumId w:val="14"/>
  </w:num>
  <w:num w:numId="10">
    <w:abstractNumId w:val="16"/>
  </w:num>
  <w:num w:numId="11">
    <w:abstractNumId w:val="17"/>
  </w:num>
  <w:num w:numId="12">
    <w:abstractNumId w:val="10"/>
  </w:num>
  <w:num w:numId="13">
    <w:abstractNumId w:val="15"/>
  </w:num>
  <w:num w:numId="14">
    <w:abstractNumId w:val="21"/>
  </w:num>
  <w:num w:numId="15">
    <w:abstractNumId w:val="7"/>
  </w:num>
  <w:num w:numId="16">
    <w:abstractNumId w:val="5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20"/>
  </w:num>
  <w:num w:numId="22">
    <w:abstractNumId w:val="11"/>
  </w:num>
  <w:num w:numId="23">
    <w:abstractNumId w:val="13"/>
  </w:num>
  <w:num w:numId="24">
    <w:abstractNumId w:val="9"/>
  </w:num>
  <w:num w:numId="25">
    <w:abstractNumId w:val="19"/>
  </w:num>
  <w:num w:numId="26">
    <w:abstractNumId w:val="8"/>
  </w:num>
  <w:num w:numId="27">
    <w:abstractNumId w:val="14"/>
  </w:num>
  <w:num w:numId="28">
    <w:abstractNumId w:val="16"/>
  </w:num>
  <w:num w:numId="29">
    <w:abstractNumId w:val="17"/>
  </w:num>
  <w:num w:numId="30">
    <w:abstractNumId w:val="10"/>
  </w:num>
  <w:num w:numId="31">
    <w:abstractNumId w:val="15"/>
  </w:num>
  <w:num w:numId="32">
    <w:abstractNumId w:val="21"/>
  </w:num>
  <w:num w:numId="33">
    <w:abstractNumId w:val="6"/>
  </w:num>
  <w:num w:numId="34">
    <w:abstractNumId w:val="2"/>
  </w:num>
  <w:num w:numId="35">
    <w:abstractNumId w:val="1"/>
  </w:num>
  <w:num w:numId="36">
    <w:abstractNumId w:val="0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8-02 15:32:48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to the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F92F5C85432E4232B55265986A83FCFB"/>
    <w:docVar w:name="LW_CROSSREFERENCE" w:val="{SWD(2016) 267 final}_x000b_{SWD(2016) 272 final}"/>
    <w:docVar w:name="LW_DocType" w:val="ANNEX"/>
    <w:docVar w:name="LW_EMISSION" w:val="3.8.2016"/>
    <w:docVar w:name="LW_EMISSION_ISODATE" w:val="2016-08-0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on establishing a multi-annual plan for demersal stocks in the North Sea and the fisheries exploiting those stocks and repealing Council Regulation (EC) 676/2007 and Council Regulation (EC) 1342/2008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493"/>
    <w:docVar w:name="LW_REF.INTERNE" w:val="&lt;UNUSED&gt;"/>
    <w:docVar w:name="LW_SUPERTITRE" w:val="&lt;UNUSED&gt;"/>
    <w:docVar w:name="LW_TITRE.OBJ.CP" w:val="[\u8230?]"/>
    <w:docVar w:name="LW_TYPE.DOC.CP" w:val="ANNEXES"/>
    <w:docVar w:name="LW_TYPEACTEPRINCIPAL.CP" w:val="Proposal for a REGULATION OF THE EUROPEAN PARLIAMENT AND OF THE COUNCIL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18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3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3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3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36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331</Words>
  <Characters>1596</Characters>
  <Application>Microsoft Office Word</Application>
  <DocSecurity>0</DocSecurity>
  <Lines>133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REULAND Marie-Helene (MARE)</dc:creator>
  <cp:lastModifiedBy>DIGIT/A3</cp:lastModifiedBy>
  <cp:revision>8</cp:revision>
  <dcterms:created xsi:type="dcterms:W3CDTF">2016-06-23T07:50:00Z</dcterms:created>
  <dcterms:modified xsi:type="dcterms:W3CDTF">2016-08-02T13:32:00Z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