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580ACB80417478B8C78A745E326925D"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 (наричана по-долу „Директивата за ДДС“) Съветът, действащ с единодушие по предложение на Комисията, може да разреши на всяка държава членка да въведе специални мерки за дерогация от разпоредбите на посочената директива, за да се опрости процедурата за събиране на ДДС или за предотвратяване на определени форми на отклонение от данъчно облагане или избягване на данъци.</w:t>
      </w:r>
    </w:p>
    <w:p>
      <w:pPr>
        <w:rPr>
          <w:noProof/>
        </w:rPr>
      </w:pPr>
      <w:r>
        <w:rPr>
          <w:noProof/>
        </w:rPr>
        <w:t xml:space="preserve">С писмо, заведено в Комисията на 8 февруари 2016 г., Полша поиска удължаване на срока на действие на дерогацията от член 168 от Директивата за ДДС, за да може да продължи прилаганото ограничение на правото на приспадане на начислявания ДДС във връзка с разходите, свързани с определени моторни превозни средства. В съответствие с член 395, параграф 2 от Директивата за ДДС, с писмо от 6 юни 2016 г. Комисията информира останалите държави членки за отправеното от Полша искане. С писмо от 8 юни 2016 г. Комисията уведоми Полша, че разполага с пълната информация, необходима за разглеждане на искането. </w:t>
      </w:r>
    </w:p>
    <w:p>
      <w:pPr>
        <w:pStyle w:val="ManualHeading1"/>
        <w:rPr>
          <w:noProof/>
        </w:rPr>
      </w:pPr>
      <w:r>
        <w:rPr>
          <w:noProof/>
        </w:rPr>
        <w:t>1.</w:t>
      </w:r>
      <w:r>
        <w:rPr>
          <w:noProof/>
        </w:rPr>
        <w:tab/>
        <w:t>КОНТЕКСТ НА ПРЕДЛОЖЕНИЕТО</w:t>
      </w:r>
    </w:p>
    <w:p>
      <w:pPr>
        <w:rPr>
          <w:noProof/>
        </w:rPr>
      </w:pPr>
      <w:r>
        <w:rPr>
          <w:noProof/>
        </w:rPr>
        <w:t xml:space="preserve">Съгласно член 168 от Директивата за ДДС данъчно задълженото лице има правото да приспадне ДДС, начислен при покупки, извършени за целите на облагаеми сделки. Член 26, параграф 1, буква а) от същата директива съдържа изискването употребата за лични нужди на стоки, които са част от стопанските активи, да се третира като възмездна доставка на услуги, когато дължимият за тези стоки ДДС подлежи на приспадане. </w:t>
      </w:r>
    </w:p>
    <w:p>
      <w:pPr>
        <w:rPr>
          <w:noProof/>
        </w:rPr>
      </w:pPr>
      <w:r>
        <w:rPr>
          <w:noProof/>
        </w:rPr>
        <w:t xml:space="preserve">Тази система позволява възстановяването на първоначално приспаднатия ДДС във връзка с употребата за лични нужди. </w:t>
      </w:r>
    </w:p>
    <w:p>
      <w:pPr>
        <w:rPr>
          <w:noProof/>
        </w:rPr>
      </w:pPr>
      <w:r>
        <w:rPr>
          <w:noProof/>
        </w:rPr>
        <w:t>При моторните превозни средства тази система може да се окаже трудно приложима по ред причини, но най-вече защото е трудно да се направи точно разграничение на употребата за стопански и нестопански цели. Когато се води специална документация, нейното поддържане и проверка представляват допълнителна тежест за стопанските субекти и за администрацията. Предвид броя на засегнатите превозни средства, дори малко на брой единични случаи на отклонение от данъчно облагане могат в перспектива да доведат до натрупване на значителни по размер неплатени данъци.</w:t>
      </w:r>
    </w:p>
    <w:p>
      <w:pPr>
        <w:rPr>
          <w:noProof/>
        </w:rPr>
      </w:pPr>
      <w:r>
        <w:rPr>
          <w:noProof/>
        </w:rPr>
        <w:t>Поисканото ограничение е от 50 %. То се основава на извършената от Полша оценка и съгласно условията на предложението ще се преразглежда при всяко искане на Полша за удължаване на срока след 2019 г.</w:t>
      </w:r>
    </w:p>
    <w:p>
      <w:pPr>
        <w:rPr>
          <w:noProof/>
        </w:rPr>
      </w:pPr>
      <w:r>
        <w:rPr>
          <w:noProof/>
        </w:rPr>
        <w:t>Понастоящем, по силата на Решение за изпълнение 2013/805/ЕС на Съвета</w:t>
      </w:r>
      <w:r>
        <w:rPr>
          <w:rStyle w:val="FootnoteReference"/>
          <w:noProof/>
        </w:rPr>
        <w:footnoteReference w:id="1"/>
      </w:r>
      <w:r>
        <w:rPr>
          <w:noProof/>
        </w:rPr>
        <w:t>, Полша има право да ограничи до 50 % правото на приспадане на ДДС при закупуването, вътрешнообщностното придобиване, вноса, наемането или лизинга, или други договорености със сходен характер, на определени моторни превозни средства, различни от леките пътнически автомобили, в размер до 6000 PLN. Срокът на действие на това решение изтича на 31 декември 2016 г.</w:t>
      </w:r>
    </w:p>
    <w:p>
      <w:pPr>
        <w:rPr>
          <w:noProof/>
        </w:rPr>
      </w:pPr>
      <w:r>
        <w:rPr>
          <w:noProof/>
        </w:rPr>
        <w:t xml:space="preserve">Полша посочва, че мотивите за настоящото искане за дерогация не са се променили и са подобни на описаните в предходното искане. Искането за дерогация цели продължаване на режима, предвиден в гореспоменатото решение на Съвета. </w:t>
      </w:r>
    </w:p>
    <w:p>
      <w:pPr>
        <w:rPr>
          <w:noProof/>
        </w:rPr>
      </w:pPr>
      <w:r>
        <w:rPr>
          <w:noProof/>
        </w:rPr>
        <w:t>В него се предвижда ограничението да се прилага единствено за моторни превозни средства, които не се използват изключително за целите на стопанската дейност, и за разходите, свързани с тези превозни средства.</w:t>
      </w:r>
    </w:p>
    <w:p>
      <w:pPr>
        <w:rPr>
          <w:noProof/>
        </w:rPr>
      </w:pPr>
      <w:r>
        <w:rPr>
          <w:noProof/>
        </w:rPr>
        <w:t>Въпросната дерогация включва и частично ограничаване на правото на приспадане до 50 % от платения по получени доставки ДДС при покупки на гориво за моторни превозни средства, обхванати от дерогацията, и при други оперативни разходи, включително ремонт и поддръжка на тези превозни средства, така и по отношение на разходите за доставка на стоки или услуги, предоставяни във връзка с тези превозни средства и използването им, включително разходите за замяна или монтаж на части в тези превозни средства (с изключение на разходите за замяна или монтаж на части в тези превозни средства, които се използват изключително за целите на стопанската дейност, например монтаж на таксиметров апарат).</w:t>
      </w:r>
    </w:p>
    <w:p>
      <w:pPr>
        <w:rPr>
          <w:noProof/>
        </w:rPr>
      </w:pPr>
      <w:r>
        <w:rPr>
          <w:noProof/>
        </w:rPr>
        <w:t>Полша посочва, че моторните превозни средства, обхванати от тази дерогация, по силата на своята конструкция могат лесно да се използват и за нестопански цели.</w:t>
      </w:r>
    </w:p>
    <w:p>
      <w:pPr>
        <w:pBdr>
          <w:top w:val="nil"/>
          <w:left w:val="nil"/>
          <w:bottom w:val="nil"/>
          <w:right w:val="nil"/>
          <w:between w:val="nil"/>
          <w:bar w:val="nil"/>
        </w:pBdr>
        <w:spacing w:before="0" w:after="240"/>
        <w:rPr>
          <w:rFonts w:eastAsia="Arial Unicode MS"/>
          <w:noProof/>
        </w:rPr>
      </w:pPr>
      <w:r>
        <w:rPr>
          <w:noProof/>
        </w:rPr>
        <w:t>Ограничението обаче не се прилага за определени видове моторни превозни средства, които съответно се подчиняват на обичайните правила; това се отнася за всяко превозно средство с повече от 9 седящи места (включително мястото на водача) и с общо максимално тегло над 3500 килограма. Това ограничава приложното поле най-вече до леките пътнически автомобили, микробусите, пикапите и мотоциклетите. Дерогацията няма да засегне също така превозните средства, предназначени изключително за препродажба или за възмездно предоставяне на услуги по договор за вземане или отдаване под наем или за лизинг, или по други договори от подобно естество, нито превозните средства, предназначени за превоз на най-малко десет души, в т.ч. водача.</w:t>
      </w:r>
    </w:p>
    <w:p>
      <w:pPr>
        <w:rPr>
          <w:noProof/>
        </w:rPr>
      </w:pPr>
      <w:r>
        <w:rPr>
          <w:noProof/>
        </w:rPr>
        <w:t>Полша поиска да ѝ бъде разрешено да продължи до 31 декември 2019 г. ограничаването на първоначалното приспадане до определен процент и в замяна да се освободят стопанските субекти от задължението за деклариране на ДДС при употребата за лични нужди. С тази дерогация отпада необходимостта да се води подробна отчетност за изминатия пробег от всеки автомобил, както и да се декларира дължимият ДДС във връзка с употребата за лични нужди. Ето защо тази дерогация следва да се разглежда преди всичко като мярка за опростяване. Ползата от нея е в това, че се опростява системата за всички заинтересовани страни и се гарантира събирането на процент от данъка, който иначе може да остане неплатен.</w:t>
      </w:r>
    </w:p>
    <w:p>
      <w:pPr>
        <w:rPr>
          <w:noProof/>
        </w:rPr>
      </w:pPr>
      <w:r>
        <w:rPr>
          <w:noProof/>
        </w:rPr>
        <w:t xml:space="preserve">От информацията, предоставена от Полша, е видно, че средно употребата за стопански цели на служебните автомобили със смесена употреба продължава да бъде от порядъка на 50 %. Поради това поисканото удължаване на срока изглежда е оправдано. По принцип дерогациите се предоставят за ограничен срок, за да може да се прецени дали специалната мярка е подходяща и ефективна. Поради това всяко удължаване следва да е ограничено във времето, за да се прецени дали условията, на които се основава дерогацията, междувременно не са претърпели изменение. </w:t>
      </w:r>
    </w:p>
    <w:p>
      <w:pPr>
        <w:rPr>
          <w:noProof/>
        </w:rPr>
      </w:pPr>
      <w:r>
        <w:rPr>
          <w:noProof/>
        </w:rPr>
        <w:t>Поради това се предлага исканото удължаване на въпросната дерогация да се разреши до 31 декември 2019 г., а в случай на планирано допълнително удължаване след 2019 г. да се поиска от Полша да представи до 1 април 2019 г. доклад, съдържащ повторна оценка на прилаганото процентно ограничение.</w:t>
      </w:r>
    </w:p>
    <w:p>
      <w:pPr>
        <w:rPr>
          <w:noProof/>
        </w:rPr>
      </w:pPr>
      <w:r>
        <w:rPr>
          <w:noProof/>
        </w:rPr>
        <w:t>Очаква се дерогацията да има пренебрежимо малко отражение върху общия размер на данъчните приходи на държавата членка, събрани на етапа на крайното потребление.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В член 176 от Директива 2006/112/EО се предвижда, че Съветът определя разходите, по отношение на които ДДС не подлежи на приспадане. Докато същите не бъдат определени, той разрешава на държавите членки да продължат да прилагат изключенията, които са били в сила на 1 януари 1979 г. Следователно има известен брой разпоредби за изчакване, които ограничават правото за приспадане във връзка с моторните превозни средства.</w:t>
      </w:r>
    </w:p>
    <w:p>
      <w:pPr>
        <w:pBdr>
          <w:top w:val="nil"/>
          <w:left w:val="nil"/>
          <w:bottom w:val="nil"/>
          <w:right w:val="nil"/>
          <w:between w:val="nil"/>
          <w:bar w:val="nil"/>
        </w:pBdr>
        <w:spacing w:before="0" w:after="240"/>
        <w:rPr>
          <w:noProof/>
        </w:rPr>
      </w:pPr>
      <w:r>
        <w:rPr>
          <w:noProof/>
        </w:rPr>
        <w:t>Независимо от предишните инициативи за установяване на правила относно категориите разходи, които могат да бъдат обект на ограничение на правото на приспадане</w:t>
      </w:r>
      <w:r>
        <w:rPr>
          <w:rStyle w:val="FootnoteReference"/>
          <w:noProof/>
        </w:rPr>
        <w:footnoteReference w:id="2"/>
      </w:r>
      <w:r>
        <w:rPr>
          <w:noProof/>
        </w:rPr>
        <w:t xml:space="preserve">, подобна дерогация е целесъобразна в очакване на евентуално хармонизиране на тези правила на равнището на ЕС.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Arial Unicode MS"/>
          <w:noProof/>
        </w:rPr>
      </w:pPr>
      <w:r>
        <w:rPr>
          <w:noProof/>
        </w:rPr>
        <w:t>Член 395 от Директивата за ДДС.</w:t>
      </w:r>
      <w:r>
        <w:t xml:space="preserve">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Предвид разпоредбата от Директивата за ДДС, на която се основава предложението, то попада в обхвата на изключителната компетентност на Европейския съюз. Поради това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Решението касае даването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rFonts w:eastAsia="Arial Unicode MS"/>
          <w:noProof/>
        </w:rPr>
      </w:pPr>
      <w:r>
        <w:rPr>
          <w:noProof/>
        </w:rPr>
        <w:t>Предвид ограничения обхват на дерогацията специалната мярка е пропорционална на поставената цел, а именно предотвратяване на някои форми на отклонение от данъчно облагане и избягване на данъци и опростяване на събирането на ДДС в конкретен сектор.</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Предлаган инструмент: решение за изпълнение на Съвета.</w:t>
      </w:r>
    </w:p>
    <w:p>
      <w:pPr>
        <w:pBdr>
          <w:top w:val="nil"/>
          <w:left w:val="nil"/>
          <w:bottom w:val="nil"/>
          <w:right w:val="nil"/>
          <w:between w:val="nil"/>
          <w:bar w:val="nil"/>
        </w:pBdr>
        <w:spacing w:before="0" w:after="240"/>
        <w:rPr>
          <w:rFonts w:eastAsia="Arial Unicode MS"/>
          <w:noProof/>
        </w:rPr>
      </w:pPr>
      <w:r>
        <w:rPr>
          <w:noProof/>
        </w:rPr>
        <w:t>Други средства не биха били подходящи поради изложената по-долу причина.</w:t>
      </w:r>
    </w:p>
    <w:p>
      <w:pPr>
        <w:pBdr>
          <w:top w:val="nil"/>
          <w:left w:val="nil"/>
          <w:bottom w:val="nil"/>
          <w:right w:val="nil"/>
          <w:between w:val="nil"/>
          <w:bar w:val="nil"/>
        </w:pBdr>
        <w:spacing w:before="0" w:after="240"/>
        <w:rPr>
          <w:rFonts w:eastAsia="Arial Unicode MS"/>
          <w:noProof/>
        </w:rPr>
      </w:pPr>
      <w:r>
        <w:rPr>
          <w:noProof/>
        </w:rPr>
        <w:t>По силата на член 395 от Директива 2006/112/EО на Съвета дерогация от общите правила за ДДС е възможна единствено след разрешение от Съвета, действащ с единодушие по предложение на Комисията. Решение за изпълнение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 Настоящото предложение се основава на искане, отправено от Полша, и се отнася само до тази държава членка.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Не бяха необходими външни експертни становища.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Предложението има за цел да предотврати отклонението от облагане с ДДС и да опрости процедурата по данъчно облагане и поради това може да има положително въздействие както за стопанските субекти, така и за администрациите. Полша определи решението като подходяща мярка, сравнима с други минали и прилагани понастоящем дерогации.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да има отрицателно отражение върху бюджета на ЕС.</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Предложението включва клауза за изтичане на срока на действие, като срокът на действие на дерогацията автоматично изтича на 31 декември 2019 г.</w:t>
      </w:r>
    </w:p>
    <w:p>
      <w:pPr>
        <w:pBdr>
          <w:top w:val="nil"/>
          <w:left w:val="nil"/>
          <w:bottom w:val="nil"/>
          <w:right w:val="nil"/>
          <w:between w:val="nil"/>
          <w:bar w:val="nil"/>
        </w:pBdr>
        <w:spacing w:before="0" w:after="240"/>
        <w:rPr>
          <w:rFonts w:eastAsia="Arial Unicode MS"/>
          <w:noProof/>
        </w:rPr>
      </w:pPr>
      <w:r>
        <w:rPr>
          <w:noProof/>
        </w:rPr>
        <w:t>В случай че Полша възнамерява срокът на действие на дерогационната мярка да бъде удължен и след 2019 г., заедно с искането за удължаване на Комисията следва да бъде представен нов доклад за оценка не по-късно от 1 април 2019 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2016/0245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даване на разрешение на Република Полша да продължи да прилага мярка за дерогация от член 26, параграф 1, буква а) и член 168 от Директива 2006/112/EО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3"/>
      </w:r>
      <w:r>
        <w:rPr>
          <w:noProof/>
        </w:rPr>
        <w:t>, и по-специално член 395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Съгласно член 168 от Директива 2006/112/ЕО данъчно задълженото лице има правото да приспада ДДС, начисляван върху получените от него доставки на стоки и услуги за целите на неговите облагаеми сделки. Член 26, параграф 1, буква а) от същата директива съдържа изискване да се начисли ДДС, когато даден стопански актив се използва за лични нужди на данъчно задълженото лице или неговия персонал или по-общо за цели, различни от стопанската му дейност.</w:t>
      </w:r>
    </w:p>
    <w:p>
      <w:pPr>
        <w:pStyle w:val="ManualConsidrant"/>
        <w:rPr>
          <w:noProof/>
        </w:rPr>
      </w:pPr>
      <w:r>
        <w:t>(2)</w:t>
      </w:r>
      <w:r>
        <w:tab/>
      </w:r>
      <w:r>
        <w:rPr>
          <w:noProof/>
        </w:rPr>
        <w:t>С Решение за изпълнение 2013/805/ЕС на Съвета</w:t>
      </w:r>
      <w:r>
        <w:rPr>
          <w:rStyle w:val="FootnoteReference"/>
          <w:noProof/>
        </w:rPr>
        <w:footnoteReference w:id="4"/>
      </w:r>
      <w:r>
        <w:rPr>
          <w:noProof/>
        </w:rPr>
        <w:t xml:space="preserve"> бе разрешено на Полша да ограничи до 31 декември 2016 г. правото на приспадане на ДДС, начисляван при закупуването, вземането и отдаването под наем или лизинга на определени пътни моторни превозни средства, както и върху свързаните с тях разходи, и да освобождава данъчно задълженото лице от задължението да начисли ДДС за употребата на превозните средства за нестопански цели, включени в обхвата на ограничението.</w:t>
      </w:r>
    </w:p>
    <w:p>
      <w:pPr>
        <w:pStyle w:val="ManualConsidrant"/>
        <w:rPr>
          <w:noProof/>
        </w:rPr>
      </w:pPr>
      <w:r>
        <w:t>(3)</w:t>
      </w:r>
      <w:r>
        <w:tab/>
      </w:r>
      <w:r>
        <w:rPr>
          <w:noProof/>
        </w:rPr>
        <w:t>С писмо, заведено в Комисията на 8 февруари 2016 г., Полша поиска разрешение да продължи да прилага спрямо определени пътни моторни превозни средства и свързаните с тях разходи специални мерки за дерогация от разпоредбите в Директива 2006/112/ЕО, които уреждат правото на данъчно задължените лица да приспадат ДДС, заплащан при закупуването на стоки и услуги, и от разпоредбите, които изискват данъкът да се приложи върху стопанските активи, които се ползват за нестопански цели.</w:t>
      </w:r>
    </w:p>
    <w:p>
      <w:pPr>
        <w:pStyle w:val="ManualConsidrant"/>
        <w:rPr>
          <w:noProof/>
        </w:rPr>
      </w:pPr>
      <w:r>
        <w:t>(4)</w:t>
      </w:r>
      <w:r>
        <w:tab/>
      </w:r>
      <w:r>
        <w:rPr>
          <w:noProof/>
        </w:rPr>
        <w:t>В съответствие с член 395, параграф 2, втора алинея от Директива 2006/112/ЕО, с писмо от 6 юни 2016 г., Комисията информира другите държави членки за искането, отправено от Полша. С писмо от 8 юни 2016 г. Комисията уведоми Полша, че разполага с цялата необходима информация за разглеждане на искането.</w:t>
      </w:r>
    </w:p>
    <w:p>
      <w:pPr>
        <w:pStyle w:val="ManualConsidrant"/>
        <w:rPr>
          <w:noProof/>
        </w:rPr>
      </w:pPr>
      <w:r>
        <w:t>(5)</w:t>
      </w:r>
      <w:r>
        <w:tab/>
      </w:r>
      <w:r>
        <w:rPr>
          <w:noProof/>
        </w:rPr>
        <w:t>В съответствие с член 3, параграф 2, втора алинея от Решение 2013/805/ЕС Полша представи на Комисията, заедно с искането за удължаване, доклад за прилагането на това решение, включващ преглед на процентното ограничение, прилагано по отношение на правото на приспадане. Въз основа на наличната в момента информация Полша е на мнение, че все още е оправдано прилагането на ставка от 50 %. Същевременно, за да се избегне двойното облагане, следва да отпадне изискването за начисляване на ДДС при ползването на моторно превозно средство за нестопански цели, когато то е обект на гореспоменатото ограничение. Тези мерки могат да бъдат оправдани с необходимостта да се опрости процедурата за начисляване на ДДС и да се предотврати отклонението от данъчно облагане посредством неправилно счетоводство и фалшиви данъчни декларации.</w:t>
      </w:r>
    </w:p>
    <w:p>
      <w:pPr>
        <w:pStyle w:val="ManualConsidrant"/>
        <w:rPr>
          <w:noProof/>
        </w:rPr>
      </w:pPr>
      <w:r>
        <w:t>(6)</w:t>
      </w:r>
      <w:r>
        <w:tab/>
      </w:r>
      <w:r>
        <w:rPr>
          <w:noProof/>
        </w:rPr>
        <w:t>Определени видове моторни превозни средства са изключени от обхвата на специалните мерки, тъй като поради естеството им или вида дейност, за която се използват, употребата им за нестопански цели се приема за незначителна. Поради това специалните мерки не следва да се прилагат за превозни средства с повече от 9 седящи места (включително това на водача) и с общо максимално тегло над 3500 килограма. Освен това, ограничението на правото на приспадане не се прилага за ДДС, начисляван върху разходите, които са изцяло свързани със стопанската дейност на данъчно задълженото лице.</w:t>
      </w:r>
    </w:p>
    <w:p>
      <w:pPr>
        <w:pStyle w:val="ManualConsidrant"/>
        <w:rPr>
          <w:noProof/>
        </w:rPr>
      </w:pPr>
      <w:r>
        <w:t>(7)</w:t>
      </w:r>
      <w:r>
        <w:tab/>
      </w:r>
      <w:r>
        <w:rPr>
          <w:noProof/>
        </w:rPr>
        <w:t>Ограничението на правото на приспадане съгласно специалните мерки следва да се прилага за ДДС, платен при закупуване, вътреобщностно придобиване, внос, наемане или лизинг на определени пътни моторни превозни средства и върху свързаните с тях разходи, включително закупуването на гориво.</w:t>
      </w:r>
    </w:p>
    <w:p>
      <w:pPr>
        <w:pStyle w:val="ManualConsidrant"/>
        <w:rPr>
          <w:noProof/>
        </w:rPr>
      </w:pPr>
      <w:r>
        <w:t>(8)</w:t>
      </w:r>
      <w:r>
        <w:tab/>
      </w:r>
      <w:r>
        <w:rPr>
          <w:noProof/>
        </w:rPr>
        <w:t>Удължаването на срока на прилагане на тези дерогационни мерки следва да се ограничи във времето, за да може да се направи оценка на ефективността им и на подходящия процент. Поради това на Полша следва да се разреши да продължи да прилага мярката за ограничен срок, а именно до 31 декември 2019 г.</w:t>
      </w:r>
    </w:p>
    <w:p>
      <w:pPr>
        <w:pStyle w:val="ManualConsidrant"/>
        <w:rPr>
          <w:noProof/>
        </w:rPr>
      </w:pPr>
      <w:r>
        <w:t>(9)</w:t>
      </w:r>
      <w:r>
        <w:tab/>
      </w:r>
      <w:r>
        <w:rPr>
          <w:noProof/>
        </w:rPr>
        <w:t>В случай че Полша прецени, че е необходимо ново удължаване на срока на действие на дерогационните мерки след 2019 г., тя следва да представи на Комисията не по-късно от 1 април 2019 г., заедно с искането за удължаване, доклад относно прилагането на въпросните мерки, който да съдържа преглед на прилаганата ставка.</w:t>
      </w:r>
    </w:p>
    <w:p>
      <w:pPr>
        <w:pStyle w:val="ManualConsidrant"/>
        <w:rPr>
          <w:noProof/>
        </w:rPr>
      </w:pPr>
      <w:r>
        <w:t>(10)</w:t>
      </w:r>
      <w:r>
        <w:tab/>
      </w:r>
      <w:r>
        <w:rPr>
          <w:noProof/>
        </w:rPr>
        <w:t xml:space="preserve">Дерогацията ще има само незначително въздействие върху общия размер на данъците, събирани на етапа на крайното потребление, и няма да окаже отрицателно въздействие върху собствените ресурси на Европейския съюз, формирани от ДДС. </w:t>
      </w:r>
    </w:p>
    <w:p>
      <w:pPr>
        <w:pStyle w:val="ManualConsidrant"/>
        <w:rPr>
          <w:noProof/>
        </w:rPr>
      </w:pPr>
      <w:r>
        <w:t>(11)</w:t>
      </w:r>
      <w:r>
        <w:tab/>
      </w:r>
      <w:r>
        <w:rPr>
          <w:noProof/>
        </w:rPr>
        <w:t>Решение за изпълнение 2013/805/ЕС следва да бъде съответно изменено,</w:t>
      </w:r>
    </w:p>
    <w:p>
      <w:pPr>
        <w:pStyle w:val="Formuledadoption"/>
        <w:rPr>
          <w:noProof/>
        </w:rPr>
      </w:pPr>
      <w:r>
        <w:rPr>
          <w:noProof/>
        </w:rPr>
        <w:t xml:space="preserve">ПРИЕ НАСТОЯЩОТО РЕШЕНИЕ: </w:t>
      </w:r>
    </w:p>
    <w:p>
      <w:pPr>
        <w:pStyle w:val="Titrearticle"/>
        <w:rPr>
          <w:noProof/>
          <w:color w:val="000000"/>
        </w:rPr>
      </w:pPr>
      <w:r>
        <w:rPr>
          <w:noProof/>
          <w:color w:val="000000"/>
        </w:rPr>
        <w:t>Член 1</w:t>
      </w:r>
    </w:p>
    <w:p>
      <w:pPr>
        <w:rPr>
          <w:noProof/>
        </w:rPr>
      </w:pPr>
      <w:r>
        <w:rPr>
          <w:noProof/>
        </w:rPr>
        <w:t>Решение за изпълнение 2013/805/ЕС се изменя, както следва:</w:t>
      </w:r>
    </w:p>
    <w:p>
      <w:pPr>
        <w:rPr>
          <w:noProof/>
        </w:rPr>
      </w:pPr>
      <w:r>
        <w:rPr>
          <w:noProof/>
        </w:rPr>
        <w:t>Член 3 се заменя със следното:</w:t>
      </w:r>
    </w:p>
    <w:p>
      <w:pPr>
        <w:pStyle w:val="Titrearticle"/>
        <w:rPr>
          <w:noProof/>
        </w:rPr>
      </w:pPr>
      <w:r>
        <w:rPr>
          <w:i w:val="0"/>
          <w:noProof/>
        </w:rPr>
        <w:t>„</w:t>
      </w:r>
      <w:r>
        <w:rPr>
          <w:noProof/>
        </w:rPr>
        <w:t>Член 3</w:t>
      </w:r>
    </w:p>
    <w:p>
      <w:pPr>
        <w:pStyle w:val="Normal1"/>
        <w:rPr>
          <w:noProof/>
        </w:rPr>
      </w:pPr>
      <w:r>
        <w:rPr>
          <w:noProof/>
        </w:rPr>
        <w:t>1. Срокът на действие на настоящото решение изтича на 31 декември 2019 г.</w:t>
      </w:r>
    </w:p>
    <w:p>
      <w:pPr>
        <w:pStyle w:val="Normal1"/>
        <w:rPr>
          <w:noProof/>
        </w:rPr>
      </w:pPr>
      <w:r>
        <w:rPr>
          <w:noProof/>
        </w:rPr>
        <w:t>2. Всяко искане за удължаване на срока на действие на мерките, предвидени в настоящото решение, се представя на Комисията до 1 април 2019 г. Такова искане се придружава от доклад, включващ преглед на процентното ограничение, прилагано по отношение на правото на приспадане на ДДС въз основа на настоящото решение.“</w:t>
      </w:r>
    </w:p>
    <w:p>
      <w:pPr>
        <w:pStyle w:val="Titrearticle"/>
        <w:rPr>
          <w:noProof/>
        </w:rPr>
      </w:pPr>
      <w:r>
        <w:rPr>
          <w:noProof/>
        </w:rPr>
        <w:t>Член 2</w:t>
      </w:r>
    </w:p>
    <w:p>
      <w:pPr>
        <w:rPr>
          <w:noProof/>
          <w:color w:val="000000"/>
        </w:rPr>
      </w:pPr>
      <w:r>
        <w:rPr>
          <w:noProof/>
          <w:color w:val="000000"/>
        </w:rPr>
        <w:t xml:space="preserve">Настоящото решение се прилага от 1 януари 2017 г. </w:t>
      </w:r>
    </w:p>
    <w:p>
      <w:pPr>
        <w:pStyle w:val="Titrearticle"/>
        <w:rPr>
          <w:noProof/>
        </w:rPr>
      </w:pPr>
      <w:r>
        <w:rPr>
          <w:noProof/>
        </w:rPr>
        <w:t>Член 3</w:t>
      </w:r>
    </w:p>
    <w:p>
      <w:pPr>
        <w:keepNext/>
        <w:keepLines/>
        <w:rPr>
          <w:noProof/>
        </w:rPr>
      </w:pPr>
      <w:r>
        <w:rPr>
          <w:noProof/>
        </w:rPr>
        <w:t>Адресат на настоящото решение е Република Полша</w:t>
      </w:r>
      <w: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за изпълнение 2013/805/ЕС на Съвета от 17 декември 2013 г. за предоставяне на разрешение на Република Полша да въведе мерки за дерогация от член 26, параграф 1, буква а) и член 168 от Директива 2006/112/ЕО относно общата система на данъка върху добавената стойност (ОВ L 353, 28.12.2013 г., стр. 51).</w:t>
      </w:r>
    </w:p>
  </w:footnote>
  <w:footnote w:id="2">
    <w:p>
      <w:pPr>
        <w:pStyle w:val="FootnoteText"/>
      </w:pPr>
      <w:r>
        <w:rPr>
          <w:rStyle w:val="FootnoteReference"/>
        </w:rPr>
        <w:footnoteRef/>
      </w:r>
      <w:r>
        <w:tab/>
        <w:t>COM(2004) 728 final — Предложение за Директива на Съвета за изменение на Директива 77/388/ЕИО с цел опростяване на задълженията, свързани с данъка върху добавената стойност (ОВ C 24, 29.1.2005 г., стр. 10), оттеглено на 21 май 2014 г.</w:t>
      </w:r>
      <w:r>
        <w:rPr>
          <w:rStyle w:val="Hyperlink"/>
          <w:u w:val="none"/>
        </w:rPr>
        <w:t xml:space="preserve"> </w:t>
      </w:r>
      <w:r>
        <w:t xml:space="preserve">(ОВ C 153, 21.5.2014 г., стр. 3). </w:t>
      </w:r>
    </w:p>
  </w:footnote>
  <w:footnote w:id="3">
    <w:p>
      <w:pPr>
        <w:pStyle w:val="FootnoteText"/>
      </w:pPr>
      <w:r>
        <w:rPr>
          <w:rStyle w:val="FootnoteReference"/>
        </w:rPr>
        <w:footnoteRef/>
      </w:r>
      <w:r>
        <w:tab/>
        <w:t xml:space="preserve">ОВ L 347, 11.12.2006 г. , стр. 1. </w:t>
      </w:r>
    </w:p>
  </w:footnote>
  <w:footnote w:id="4">
    <w:p>
      <w:pPr>
        <w:pStyle w:val="FootnoteText"/>
      </w:pPr>
      <w:r>
        <w:rPr>
          <w:rStyle w:val="FootnoteReference"/>
        </w:rPr>
        <w:footnoteRef/>
      </w:r>
      <w:r>
        <w:tab/>
        <w:t>Решение за изпълнение 2013/805/ЕС на Съвета от 17 декември 2013 г. за предоставяне на разрешение на Република Полша да въведе мерки за дерогация от член 26, параграф 1, буква а) и член 168 от Директива 2006/112/ЕО относно общата система на данъка върху добавената стойност (ОВ L 353, 28.12.2013 г., стр.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B432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801B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1E6E0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8E8A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B81E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CCC7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9E1C92"/>
    <w:lvl w:ilvl="0">
      <w:start w:val="1"/>
      <w:numFmt w:val="decimal"/>
      <w:pStyle w:val="ListNumber"/>
      <w:lvlText w:val="%1."/>
      <w:lvlJc w:val="left"/>
      <w:pPr>
        <w:tabs>
          <w:tab w:val="num" w:pos="360"/>
        </w:tabs>
        <w:ind w:left="360" w:hanging="360"/>
      </w:pPr>
    </w:lvl>
  </w:abstractNum>
  <w:abstractNum w:abstractNumId="7">
    <w:nsid w:val="FFFFFF89"/>
    <w:multiLevelType w:val="singleLevel"/>
    <w:tmpl w:val="10B09C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02 09:27: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3580ACB80417478B8C78A745E326925D"/>
    <w:docVar w:name="LW_CROSSREFERENCE" w:val="&lt;UNUSED&gt;"/>
    <w:docVar w:name="LW_DocType" w:val="COM"/>
    <w:docVar w:name="LW_EMISSION" w:val="5.8.2016"/>
    <w:docVar w:name="LW_EMISSION_ISODATE" w:val="2016-08-05"/>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5"/>
    <w:docVar w:name="LW_REF.II.NEW.CP_YEAR" w:val="2016"/>
    <w:docVar w:name="LW_REF.INST.NEW" w:val="COM"/>
    <w:docVar w:name="LW_REF.INST.NEW_ADOPTED" w:val="final"/>
    <w:docVar w:name="LW_REF.INST.NEW_TEXT" w:val="(2016) 497"/>
    <w:docVar w:name="LW_REF.INTERNE" w:val="&lt;UNUSED&gt;"/>
    <w:docVar w:name="LW_SOUS.TITRE.OBJ.CP" w:val="&lt;UNUSED&gt;"/>
    <w:docVar w:name="LW_STATUT.CP" w:val="\u1055?\u1088?\u1077?\u1076?\u1083?\u1086?\u1078?\u1077?\u1085?\u1080?\u1077? \u1079?\u1072?"/>
    <w:docVar w:name="LW_SUPERTITRE" w:val="&lt;UNUSED&gt;"/>
    <w:docVar w:name="LW_TITRE.OBJ.CP" w:val="\u1079?\u1072? \u1076?\u1072?\u1074?\u1072?\u1085?\u1077? \u1085?\u1072? \u1088?\u1072?\u1079?\u1088?\u1077?\u1096?\u1077?\u1085?\u1080?\u1077? \u1085?\u1072? \u1056?\u1077?\u1087?\u1091?\u1073?\u1083?\u1080?\u1082?\u1072? \u1055?\u1086?\u1083?\u1096?\u1072? \u1076?\u1072? \u1087?\u1088?\u1086?\u1076?\u1098?\u1083?\u1078?\u1080? \u1076?\u1072? \u1087?\u1088?\u1080?\u1083?\u1072?\u1075?\u1072? \u1084?\u1103?\u1088?\u1082?\u1072? \u1079?\u1072? \u1076?\u1077?\u1088?\u1086?\u1075?\u1072?\u1094?\u1080?\u1103? \u1086?\u1090? \u1095?\u1083?\u1077?\u1085? 26, \u1087?\u1072?\u1088?\u1072?\u1075?\u1088?\u1072?\u1092? 1, \u1073?\u1091?\u1082?\u1074?\u1072? \u1072?) \u1080? \u1095?\u1083?\u1077?\u1085? 168 \u1086?\u1090? \u1044?\u1080?\u1088?\u1077?\u1082?\u1090?\u1080?\u1074?\u1072? 2006/112/E\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15276">
      <w:bodyDiv w:val="1"/>
      <w:marLeft w:val="0"/>
      <w:marRight w:val="0"/>
      <w:marTop w:val="0"/>
      <w:marBottom w:val="0"/>
      <w:divBdr>
        <w:top w:val="none" w:sz="0" w:space="0" w:color="auto"/>
        <w:left w:val="none" w:sz="0" w:space="0" w:color="auto"/>
        <w:bottom w:val="none" w:sz="0" w:space="0" w:color="auto"/>
        <w:right w:val="none" w:sz="0" w:space="0" w:color="auto"/>
      </w:divBdr>
      <w:divsChild>
        <w:div w:id="489445391">
          <w:marLeft w:val="0"/>
          <w:marRight w:val="0"/>
          <w:marTop w:val="0"/>
          <w:marBottom w:val="0"/>
          <w:divBdr>
            <w:top w:val="none" w:sz="0" w:space="0" w:color="auto"/>
            <w:left w:val="none" w:sz="0" w:space="0" w:color="auto"/>
            <w:bottom w:val="none" w:sz="0" w:space="0" w:color="auto"/>
            <w:right w:val="none" w:sz="0" w:space="0" w:color="auto"/>
          </w:divBdr>
          <w:divsChild>
            <w:div w:id="264388303">
              <w:marLeft w:val="0"/>
              <w:marRight w:val="0"/>
              <w:marTop w:val="0"/>
              <w:marBottom w:val="0"/>
              <w:divBdr>
                <w:top w:val="none" w:sz="0" w:space="0" w:color="auto"/>
                <w:left w:val="none" w:sz="0" w:space="0" w:color="auto"/>
                <w:bottom w:val="none" w:sz="0" w:space="0" w:color="auto"/>
                <w:right w:val="none" w:sz="0" w:space="0" w:color="auto"/>
              </w:divBdr>
              <w:divsChild>
                <w:div w:id="1149979480">
                  <w:marLeft w:val="0"/>
                  <w:marRight w:val="0"/>
                  <w:marTop w:val="0"/>
                  <w:marBottom w:val="0"/>
                  <w:divBdr>
                    <w:top w:val="none" w:sz="0" w:space="0" w:color="auto"/>
                    <w:left w:val="none" w:sz="0" w:space="0" w:color="auto"/>
                    <w:bottom w:val="none" w:sz="0" w:space="0" w:color="auto"/>
                    <w:right w:val="none" w:sz="0" w:space="0" w:color="auto"/>
                  </w:divBdr>
                  <w:divsChild>
                    <w:div w:id="663095088">
                      <w:marLeft w:val="1"/>
                      <w:marRight w:val="1"/>
                      <w:marTop w:val="0"/>
                      <w:marBottom w:val="0"/>
                      <w:divBdr>
                        <w:top w:val="none" w:sz="0" w:space="0" w:color="auto"/>
                        <w:left w:val="none" w:sz="0" w:space="0" w:color="auto"/>
                        <w:bottom w:val="none" w:sz="0" w:space="0" w:color="auto"/>
                        <w:right w:val="none" w:sz="0" w:space="0" w:color="auto"/>
                      </w:divBdr>
                      <w:divsChild>
                        <w:div w:id="1992833189">
                          <w:marLeft w:val="0"/>
                          <w:marRight w:val="0"/>
                          <w:marTop w:val="0"/>
                          <w:marBottom w:val="0"/>
                          <w:divBdr>
                            <w:top w:val="none" w:sz="0" w:space="0" w:color="auto"/>
                            <w:left w:val="none" w:sz="0" w:space="0" w:color="auto"/>
                            <w:bottom w:val="none" w:sz="0" w:space="0" w:color="auto"/>
                            <w:right w:val="none" w:sz="0" w:space="0" w:color="auto"/>
                          </w:divBdr>
                          <w:divsChild>
                            <w:div w:id="1586765899">
                              <w:marLeft w:val="0"/>
                              <w:marRight w:val="0"/>
                              <w:marTop w:val="0"/>
                              <w:marBottom w:val="360"/>
                              <w:divBdr>
                                <w:top w:val="none" w:sz="0" w:space="0" w:color="auto"/>
                                <w:left w:val="none" w:sz="0" w:space="0" w:color="auto"/>
                                <w:bottom w:val="none" w:sz="0" w:space="0" w:color="auto"/>
                                <w:right w:val="none" w:sz="0" w:space="0" w:color="auto"/>
                              </w:divBdr>
                              <w:divsChild>
                                <w:div w:id="72749270">
                                  <w:marLeft w:val="0"/>
                                  <w:marRight w:val="0"/>
                                  <w:marTop w:val="0"/>
                                  <w:marBottom w:val="0"/>
                                  <w:divBdr>
                                    <w:top w:val="none" w:sz="0" w:space="0" w:color="auto"/>
                                    <w:left w:val="none" w:sz="0" w:space="0" w:color="auto"/>
                                    <w:bottom w:val="none" w:sz="0" w:space="0" w:color="auto"/>
                                    <w:right w:val="none" w:sz="0" w:space="0" w:color="auto"/>
                                  </w:divBdr>
                                  <w:divsChild>
                                    <w:div w:id="1028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214394">
      <w:bodyDiv w:val="1"/>
      <w:marLeft w:val="0"/>
      <w:marRight w:val="0"/>
      <w:marTop w:val="0"/>
      <w:marBottom w:val="0"/>
      <w:divBdr>
        <w:top w:val="none" w:sz="0" w:space="0" w:color="auto"/>
        <w:left w:val="none" w:sz="0" w:space="0" w:color="auto"/>
        <w:bottom w:val="none" w:sz="0" w:space="0" w:color="auto"/>
        <w:right w:val="none" w:sz="0" w:space="0" w:color="auto"/>
      </w:divBdr>
    </w:div>
    <w:div w:id="2034070486">
      <w:bodyDiv w:val="1"/>
      <w:marLeft w:val="0"/>
      <w:marRight w:val="0"/>
      <w:marTop w:val="0"/>
      <w:marBottom w:val="0"/>
      <w:divBdr>
        <w:top w:val="none" w:sz="0" w:space="0" w:color="auto"/>
        <w:left w:val="none" w:sz="0" w:space="0" w:color="auto"/>
        <w:bottom w:val="none" w:sz="0" w:space="0" w:color="auto"/>
        <w:right w:val="none" w:sz="0" w:space="0" w:color="auto"/>
      </w:divBdr>
      <w:divsChild>
        <w:div w:id="456804564">
          <w:marLeft w:val="0"/>
          <w:marRight w:val="0"/>
          <w:marTop w:val="0"/>
          <w:marBottom w:val="0"/>
          <w:divBdr>
            <w:top w:val="none" w:sz="0" w:space="0" w:color="auto"/>
            <w:left w:val="none" w:sz="0" w:space="0" w:color="auto"/>
            <w:bottom w:val="none" w:sz="0" w:space="0" w:color="auto"/>
            <w:right w:val="none" w:sz="0" w:space="0" w:color="auto"/>
          </w:divBdr>
          <w:divsChild>
            <w:div w:id="1506357552">
              <w:marLeft w:val="0"/>
              <w:marRight w:val="0"/>
              <w:marTop w:val="0"/>
              <w:marBottom w:val="0"/>
              <w:divBdr>
                <w:top w:val="none" w:sz="0" w:space="0" w:color="auto"/>
                <w:left w:val="none" w:sz="0" w:space="0" w:color="auto"/>
                <w:bottom w:val="none" w:sz="0" w:space="0" w:color="auto"/>
                <w:right w:val="none" w:sz="0" w:space="0" w:color="auto"/>
              </w:divBdr>
              <w:divsChild>
                <w:div w:id="1464695529">
                  <w:marLeft w:val="0"/>
                  <w:marRight w:val="0"/>
                  <w:marTop w:val="0"/>
                  <w:marBottom w:val="0"/>
                  <w:divBdr>
                    <w:top w:val="none" w:sz="0" w:space="0" w:color="auto"/>
                    <w:left w:val="none" w:sz="0" w:space="0" w:color="auto"/>
                    <w:bottom w:val="none" w:sz="0" w:space="0" w:color="auto"/>
                    <w:right w:val="none" w:sz="0" w:space="0" w:color="auto"/>
                  </w:divBdr>
                  <w:divsChild>
                    <w:div w:id="907884407">
                      <w:marLeft w:val="1"/>
                      <w:marRight w:val="1"/>
                      <w:marTop w:val="0"/>
                      <w:marBottom w:val="0"/>
                      <w:divBdr>
                        <w:top w:val="none" w:sz="0" w:space="0" w:color="auto"/>
                        <w:left w:val="none" w:sz="0" w:space="0" w:color="auto"/>
                        <w:bottom w:val="none" w:sz="0" w:space="0" w:color="auto"/>
                        <w:right w:val="none" w:sz="0" w:space="0" w:color="auto"/>
                      </w:divBdr>
                      <w:divsChild>
                        <w:div w:id="294023728">
                          <w:marLeft w:val="0"/>
                          <w:marRight w:val="0"/>
                          <w:marTop w:val="0"/>
                          <w:marBottom w:val="0"/>
                          <w:divBdr>
                            <w:top w:val="none" w:sz="0" w:space="0" w:color="auto"/>
                            <w:left w:val="none" w:sz="0" w:space="0" w:color="auto"/>
                            <w:bottom w:val="none" w:sz="0" w:space="0" w:color="auto"/>
                            <w:right w:val="none" w:sz="0" w:space="0" w:color="auto"/>
                          </w:divBdr>
                          <w:divsChild>
                            <w:div w:id="231164793">
                              <w:marLeft w:val="0"/>
                              <w:marRight w:val="0"/>
                              <w:marTop w:val="0"/>
                              <w:marBottom w:val="360"/>
                              <w:divBdr>
                                <w:top w:val="none" w:sz="0" w:space="0" w:color="auto"/>
                                <w:left w:val="none" w:sz="0" w:space="0" w:color="auto"/>
                                <w:bottom w:val="none" w:sz="0" w:space="0" w:color="auto"/>
                                <w:right w:val="none" w:sz="0" w:space="0" w:color="auto"/>
                              </w:divBdr>
                              <w:divsChild>
                                <w:div w:id="1659992069">
                                  <w:marLeft w:val="0"/>
                                  <w:marRight w:val="0"/>
                                  <w:marTop w:val="0"/>
                                  <w:marBottom w:val="0"/>
                                  <w:divBdr>
                                    <w:top w:val="none" w:sz="0" w:space="0" w:color="auto"/>
                                    <w:left w:val="none" w:sz="0" w:space="0" w:color="auto"/>
                                    <w:bottom w:val="none" w:sz="0" w:space="0" w:color="auto"/>
                                    <w:right w:val="none" w:sz="0" w:space="0" w:color="auto"/>
                                  </w:divBdr>
                                  <w:divsChild>
                                    <w:div w:id="1984696744">
                                      <w:marLeft w:val="0"/>
                                      <w:marRight w:val="0"/>
                                      <w:marTop w:val="0"/>
                                      <w:marBottom w:val="0"/>
                                      <w:divBdr>
                                        <w:top w:val="none" w:sz="0" w:space="0" w:color="auto"/>
                                        <w:left w:val="none" w:sz="0" w:space="0" w:color="auto"/>
                                        <w:bottom w:val="none" w:sz="0" w:space="0" w:color="auto"/>
                                        <w:right w:val="none" w:sz="0" w:space="0" w:color="auto"/>
                                      </w:divBdr>
                                      <w:divsChild>
                                        <w:div w:id="1769888904">
                                          <w:marLeft w:val="0"/>
                                          <w:marRight w:val="0"/>
                                          <w:marTop w:val="0"/>
                                          <w:marBottom w:val="0"/>
                                          <w:divBdr>
                                            <w:top w:val="none" w:sz="0" w:space="0" w:color="auto"/>
                                            <w:left w:val="none" w:sz="0" w:space="0" w:color="auto"/>
                                            <w:bottom w:val="none" w:sz="0" w:space="0" w:color="auto"/>
                                            <w:right w:val="none" w:sz="0" w:space="0" w:color="auto"/>
                                          </w:divBdr>
                                          <w:divsChild>
                                            <w:div w:id="1558930765">
                                              <w:marLeft w:val="0"/>
                                              <w:marRight w:val="0"/>
                                              <w:marTop w:val="0"/>
                                              <w:marBottom w:val="0"/>
                                              <w:divBdr>
                                                <w:top w:val="none" w:sz="0" w:space="0" w:color="auto"/>
                                                <w:left w:val="none" w:sz="0" w:space="0" w:color="auto"/>
                                                <w:bottom w:val="none" w:sz="0" w:space="0" w:color="auto"/>
                                                <w:right w:val="none" w:sz="0" w:space="0" w:color="auto"/>
                                              </w:divBdr>
                                              <w:divsChild>
                                                <w:div w:id="18684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4314-A730-45E2-92C3-D0C5B5ED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2337</Words>
  <Characters>13046</Characters>
  <Application>Microsoft Office Word</Application>
  <DocSecurity>0</DocSecurity>
  <Lines>241</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2016-05-30T14:00:00Z</cp:lastPrinted>
  <dcterms:created xsi:type="dcterms:W3CDTF">2016-08-01T10:41:00Z</dcterms:created>
  <dcterms:modified xsi:type="dcterms:W3CDTF">2016-08-02T07:27:00Z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