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3352E2CFB54E400E844FBB0AC93E0F33" style="width:450.45pt;height:445.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2012/0340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за приемането на предложение за директива на Европейския парламент и на Съвета относно достъпността на уебсайтовете и мобилните приложения на органите от публичния сектор</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предаване на предложението на Европейския парламент и на Съвета (документ COM(2012) 721 final — 2012/0340 (COD):</w:t>
            </w:r>
          </w:p>
        </w:tc>
        <w:tc>
          <w:tcPr>
            <w:tcW w:w="2483" w:type="dxa"/>
          </w:tcPr>
          <w:p>
            <w:pPr>
              <w:autoSpaceDE w:val="0"/>
              <w:autoSpaceDN w:val="0"/>
              <w:adjustRightInd w:val="0"/>
              <w:spacing w:before="0" w:after="0"/>
              <w:ind w:left="993"/>
              <w:jc w:val="left"/>
              <w:rPr>
                <w:noProof/>
                <w:color w:val="000000"/>
                <w:szCs w:val="24"/>
              </w:rPr>
            </w:pPr>
          </w:p>
          <w:p>
            <w:pPr>
              <w:ind w:left="993"/>
              <w:jc w:val="left"/>
              <w:rPr>
                <w:noProof/>
              </w:rPr>
            </w:pPr>
            <w:r>
              <w:rPr>
                <w:noProof/>
              </w:rPr>
              <w:t>3.12.2012 г.</w:t>
            </w:r>
          </w:p>
        </w:tc>
      </w:tr>
      <w:tr>
        <w:tc>
          <w:tcPr>
            <w:tcW w:w="6804" w:type="dxa"/>
          </w:tcPr>
          <w:p>
            <w:pPr>
              <w:jc w:val="left"/>
              <w:rPr>
                <w:noProof/>
              </w:rPr>
            </w:pPr>
            <w:r>
              <w:rPr>
                <w:noProof/>
              </w:rPr>
              <w:t xml:space="preserve">Дата на становището на Европейския икономически и социален комитет: </w:t>
            </w:r>
          </w:p>
        </w:tc>
        <w:tc>
          <w:tcPr>
            <w:tcW w:w="2483" w:type="dxa"/>
          </w:tcPr>
          <w:p>
            <w:pPr>
              <w:ind w:left="993"/>
              <w:jc w:val="left"/>
              <w:rPr>
                <w:noProof/>
              </w:rPr>
            </w:pPr>
            <w:r>
              <w:rPr>
                <w:noProof/>
              </w:rPr>
              <w:t>22.5.2013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ind w:left="993"/>
              <w:jc w:val="left"/>
              <w:rPr>
                <w:noProof/>
              </w:rPr>
            </w:pPr>
            <w:r>
              <w:rPr>
                <w:noProof/>
              </w:rPr>
              <w:t>26.2.2014 г.</w:t>
            </w:r>
          </w:p>
        </w:tc>
      </w:tr>
      <w:tr>
        <w:tc>
          <w:tcPr>
            <w:tcW w:w="6804" w:type="dxa"/>
          </w:tcPr>
          <w:p>
            <w:pPr>
              <w:rPr>
                <w:noProof/>
              </w:rPr>
            </w:pPr>
            <w:r>
              <w:rPr>
                <w:noProof/>
              </w:rPr>
              <w:t>Дата на приемане на позицията на Съвета:</w:t>
            </w:r>
          </w:p>
        </w:tc>
        <w:tc>
          <w:tcPr>
            <w:tcW w:w="2483" w:type="dxa"/>
          </w:tcPr>
          <w:p>
            <w:pPr>
              <w:ind w:left="993"/>
              <w:jc w:val="left"/>
              <w:rPr>
                <w:noProof/>
              </w:rPr>
            </w:pPr>
            <w:r>
              <w:rPr>
                <w:noProof/>
              </w:rPr>
              <w:t>18.7.2016 г.</w:t>
            </w:r>
          </w:p>
        </w:tc>
      </w:tr>
    </w:tbl>
    <w:p>
      <w:pPr>
        <w:pStyle w:val="ManualHeading1"/>
        <w:rPr>
          <w:noProof/>
        </w:rPr>
      </w:pPr>
      <w:r>
        <w:rPr>
          <w:noProof/>
        </w:rPr>
        <w:t>2.</w:t>
      </w:r>
      <w:r>
        <w:rPr>
          <w:noProof/>
        </w:rPr>
        <w:tab/>
        <w:t>Цел на предложението на Комисията</w:t>
      </w:r>
    </w:p>
    <w:p>
      <w:pPr>
        <w:rPr>
          <w:noProof/>
        </w:rPr>
      </w:pPr>
      <w:r>
        <w:rPr>
          <w:noProof/>
        </w:rPr>
        <w:t xml:space="preserve">Целта на предложението на Комисията е да се преодолее разпокъсаността на единния пазар на ЕС за продукти и услуги, свързани с уеб достъпност, чрез сближаване на законовите, подзаконовите и административните разпоредби на държавите членки относно достъпността на уебсайтовете на органите от публичния сектор. </w:t>
      </w:r>
    </w:p>
    <w:p>
      <w:pPr>
        <w:rPr>
          <w:noProof/>
        </w:rPr>
      </w:pPr>
      <w:r>
        <w:rPr>
          <w:noProof/>
        </w:rPr>
        <w:t>Предложението предвижда някои уебсайтове на органи от публичния сектор да бъдат достъпни в целия ЕС, като съответстват на едни и същи технически норми и стандарти (Насоки за достъпност на уебсъдържанието (WCAG), версия 2.0 за ниво АА, изготвени от Консорциума на световната уебмрежа (W3C) — WCAG 2.0).</w:t>
      </w:r>
    </w:p>
    <w:p>
      <w:pPr>
        <w:rPr>
          <w:noProof/>
        </w:rPr>
      </w:pPr>
      <w:r>
        <w:rPr>
          <w:noProof/>
        </w:rPr>
        <w:t>Предложението се отнася само за 12 вида уебсайтове в публичния сектор, като държавите членки имат свободата да разширят списъка.</w:t>
      </w:r>
    </w:p>
    <w:p>
      <w:pPr>
        <w:pStyle w:val="ManualHeading1"/>
        <w:rPr>
          <w:noProof/>
        </w:rPr>
      </w:pPr>
      <w:r>
        <w:rPr>
          <w:noProof/>
        </w:rPr>
        <w:t>3.</w:t>
      </w:r>
      <w:r>
        <w:rPr>
          <w:noProof/>
        </w:rPr>
        <w:tab/>
        <w:t>Коментари относно позицията на Съвета</w:t>
      </w:r>
    </w:p>
    <w:p>
      <w:pPr>
        <w:rPr>
          <w:noProof/>
        </w:rPr>
      </w:pPr>
      <w:r>
        <w:rPr>
          <w:noProof/>
        </w:rPr>
        <w:t>Като цяло Съветът призна, че е необходимо законодателство в тази област, и одобри основните цели на предложението на Комисията, а именно подобряването на достъпността на уебсайтовете в публичния сектор. Съветът обаче въведе някои промени по отношение на начините за постигане на тези цели.</w:t>
      </w:r>
    </w:p>
    <w:p>
      <w:pPr>
        <w:rPr>
          <w:noProof/>
          <w:szCs w:val="20"/>
        </w:rPr>
      </w:pPr>
      <w:r>
        <w:rPr>
          <w:noProof/>
        </w:rPr>
        <w:lastRenderedPageBreak/>
        <w:t xml:space="preserve">По-специално бе разширен обхватът на предложението, за да обхване уебсайтове и мобилни приложения на всички органи от публичния сектор, с ограничен брой изключения по отношение на видовете органи и обхванатото съдържание. Бе включен и набор от разпоредби, с които да се даде възможност на органите от публичния сектор да прилагат изискванията за достъпност дотолкова, доколкото те не им налагат прекомерна тежест (като се вземат предвид фактори като размерът и ресурсите на дадения орган от публичния сектор).  </w:t>
      </w:r>
    </w:p>
    <w:p>
      <w:pPr>
        <w:rPr>
          <w:noProof/>
          <w:szCs w:val="20"/>
        </w:rPr>
      </w:pPr>
      <w:r>
        <w:rPr>
          <w:noProof/>
        </w:rPr>
        <w:t>В определението за „орган от публичния сектор“ е уточнено, че разширяването спрямо сдружения, състоящи се от един или няколко публичноправни органи или структури, включва и сдружения, създадени с конкретната цел да задоволят нужди от общ интерес, които нямат промишлен или търговски характер.</w:t>
      </w:r>
    </w:p>
    <w:p>
      <w:pPr>
        <w:rPr>
          <w:noProof/>
          <w:szCs w:val="20"/>
        </w:rPr>
      </w:pPr>
      <w:r>
        <w:rPr>
          <w:noProof/>
        </w:rPr>
        <w:t>Държавите членки могат да запазват или въвеждат мерки (в съответствие с правото на Съюза), които надхвърлят минималните изисквания, предвидени от директивата.</w:t>
      </w:r>
    </w:p>
    <w:p>
      <w:pPr>
        <w:rPr>
          <w:noProof/>
          <w:szCs w:val="20"/>
        </w:rPr>
      </w:pPr>
      <w:r>
        <w:rPr>
          <w:noProof/>
        </w:rPr>
        <w:t>Разпоредбите за стандартите бяха адаптирани, за да се вземе предвид приемането през 2014 г. на европейския стандарт EN 301 549 относно изискванията за достъпност, подходящи при възлагането на обществени поръчки за ИКТ продукти и услуги в Европа („Accessibility requirements suitable for public procurement of ICT products and services in Europe“), произтичащ от мандат 376, а също така и фактът, че продължава стандартизационната дейност във връзка с мобилните приложения. В срок до 24 месеца от влизането в сила на директивата Комисията трябва да приема актове за изпълнение, с които да се предоставят технически спецификации за мобилните приложения, когато не е публикувано позоваване на хармонизиран стандарт за тях. Включено бе конкретното задължение да се спазват съответните разпоредби на Европейския стандарт EN 301 549 V1.1.2 (2015—04) за уебсайтове и мобилни приложения, а на Комисията се предоставя правомощието да приема делегиран акт, с който да се направи позоваване на по-нова версия на този стандарт, или на европейски стандарт, който го заменя, също и когато не е публикувано позоваване на хармонизиран стандарт за тях.</w:t>
      </w:r>
    </w:p>
    <w:p>
      <w:pPr>
        <w:rPr>
          <w:noProof/>
          <w:szCs w:val="20"/>
        </w:rPr>
      </w:pPr>
      <w:r>
        <w:rPr>
          <w:noProof/>
        </w:rPr>
        <w:t>В сегашния си вид текстът определя изисквания за прозрачност (органите от публичния сектор ще трябва да публикуват информация за достъпността на своите уебсайтове и мобилни приложения) и предоставя на потребителите правото да изискват определено съдържание, което иначе е освободено от изискванията за достъпност. Освен това измененото предложение определя изискванията за ефективна процедура по правоприлагане, включително възможността за осъществяване на контакт с омбудсмана, както и изисквания за мониторинг и докладване от страна на държавите членки. Последните следва да засилят ефективното изпълнение на изискванията за достъпност.</w:t>
      </w:r>
    </w:p>
    <w:p>
      <w:pPr>
        <w:rPr>
          <w:noProof/>
          <w:szCs w:val="20"/>
        </w:rPr>
      </w:pPr>
      <w:r>
        <w:rPr>
          <w:noProof/>
        </w:rPr>
        <w:t>От Комисията се изисква също така чрез актове за изпълнение да установи образец на декларацията за достъпност, която органите от публичния сектор ще трябва да публикуват, както и уредбата за докладване за държавите членки и методологията за мониторинг, която държавите членки ще трябва да въведат.</w:t>
      </w:r>
    </w:p>
    <w:p>
      <w:pPr>
        <w:rPr>
          <w:noProof/>
          <w:szCs w:val="20"/>
        </w:rPr>
      </w:pPr>
      <w:r>
        <w:rPr>
          <w:noProof/>
        </w:rPr>
        <w:t>След като бъде приета, държавите членки трябва да транспонират директивата в националното си законодателство в срок от 21 месеца след датата на влизането ѝ в сила. След това те разполагат с 12 месеца, за да приложат новите разпоредби към нови уебсайтове на органите от публичния сектор, 24 месеца — към съществуващи уебсайтове и 33 месеца — към мобилни приложения на органите от публичния сектор.</w:t>
      </w:r>
    </w:p>
    <w:p>
      <w:pPr>
        <w:rPr>
          <w:noProof/>
        </w:rPr>
      </w:pPr>
      <w:r>
        <w:rPr>
          <w:noProof/>
        </w:rPr>
        <w:lastRenderedPageBreak/>
        <w:t>Комисията подкрепя този резултат.</w:t>
      </w:r>
    </w:p>
    <w:p>
      <w:pPr>
        <w:rPr>
          <w:noProof/>
        </w:rPr>
      </w:pPr>
      <w:r>
        <w:rPr>
          <w:noProof/>
        </w:rPr>
        <w:t>След неформалните тристранни дискусии, проведени на 26 януари, 2 февруари и 3 март 2016 г., Европейският парламент и Съветът постигнаха предварително политическо съгласие относно текста.</w:t>
      </w:r>
    </w:p>
    <w:p>
      <w:pPr>
        <w:rPr>
          <w:noProof/>
        </w:rPr>
      </w:pPr>
      <w:r>
        <w:rPr>
          <w:noProof/>
        </w:rPr>
        <w:t>Това политическо съгласие бе потвърдено от Съвета на 16 юни, а на 18 юли 2016 г. той прие своята позиция на първо четене.</w:t>
      </w:r>
    </w:p>
    <w:p>
      <w:pPr>
        <w:pStyle w:val="ManualHeading1"/>
        <w:rPr>
          <w:noProof/>
        </w:rPr>
      </w:pPr>
      <w:r>
        <w:rPr>
          <w:noProof/>
        </w:rPr>
        <w:t>4.</w:t>
      </w:r>
      <w:r>
        <w:rPr>
          <w:noProof/>
        </w:rPr>
        <w:tab/>
        <w:t>Заключение</w:t>
      </w:r>
    </w:p>
    <w:p>
      <w:pPr>
        <w:rPr>
          <w:noProof/>
        </w:rPr>
      </w:pPr>
      <w:r>
        <w:rPr>
          <w:noProof/>
        </w:rPr>
        <w:t>Комисията подкрепя резултатите от междуинституционалните преговори и следователно може да приеме позицията на Съвета на първо четене.</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BCE9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3CAF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4C0A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0A41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2ED3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DCA8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58C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61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7-15 17:08: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352E2CFB54E400E844FBB0AC93E0F33"/>
    <w:docVar w:name="LW_CROSSREFERENCE" w:val="&lt;UNUSED&gt;"/>
    <w:docVar w:name="LW_DocType" w:val="COM"/>
    <w:docVar w:name="LW_EMISSION" w:val="19.7.2016"/>
    <w:docVar w:name="LW_EMISSION_ISODATE" w:val="2016-07-19"/>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40"/>
    <w:docVar w:name="LW_REF.II.NEW.CP_YEAR" w:val="2012"/>
    <w:docVar w:name="LW_REF.INST.NEW" w:val="COM"/>
    <w:docVar w:name="LW_REF.INST.NEW_ADOPTED" w:val="final"/>
    <w:docVar w:name="LW_REF.INST.NEW_TEXT" w:val="(2016) 484"/>
    <w:docVar w:name="LW_REF.INTERNE" w:val="&lt;UNUSED&gt;"/>
    <w:docVar w:name="LW_SOUS.TITRE.OBJ.CP" w:val="&lt;UNUSED&gt;"/>
    <w:docVar w:name="LW_SUPERTITRE" w:val="&lt;UNUSED&gt;"/>
    <w:docVar w:name="LW_TITRE.OBJ.CP" w:val="\u1087?\u1086?\u1079?\u1080?\u1094?\u1080?\u1103?\u1090?\u1072? \u1085?\u1072? \u1057?\u1098?\u1074?\u1077?\u1090?\u1072? \u1079?\u1072? \u1087?\u1088?\u1080?\u1077?\u1084?\u1072?\u1085?\u1077?\u1090?\u1086? \u1085?\u1072? \u1087?\u1088?\u1077?\u1076?\u1083?\u1086?\u1078?\u1077?\u1085?\u1080?\u1077? \u1079?\u1072? \u1076?\u1080?\u1088?\u1077?\u1082?\u1090?\u1080?\u1074?\u1072? \u1085?\u1072? \u1045?\u1074?\u1088?\u1086?\u1087?\u1077?\u1081?\u1089?\u1082?\u1080?\u1103? \u1087?\u1072?\u1088?\u1083?\u1072?\u1084?\u1077?\u1085?\u1090? \u1080? \u1085?\u1072? \u1057?\u1098?\u1074?\u1077?\u1090?\u1072? \u1086?\u1090?\u1085?\u1086?\u1089?\u1085?\u1086? \u1076?\u1086?\u1089?\u1090?\u1098?\u1087?\u1085?\u1086?\u1089?\u1090?\u1090?\u1072? \u1085?\u1072? \u1091?\u1077?\u1073?\u1089?\u1072?\u1081?\u1090?\u1086?\u1074?\u1077?\u1090?\u1077? \u1080? \u1084?\u1086?\u1073?\u1080?\u1083?\u1085?\u1080?\u1090?\u1077? \u1087?\u1088?\u1080?\u1083?\u1086?\u1078?\u1077?\u1085?\u1080?\u1103? \u1085?\u1072? \u1086?\u1088?\u1075?\u1072?\u1085?\u1080?\u1090?\u1077? \u1086?\u1090? \u1087?\u1091?\u1073?\u1083?\u1080?\u1095?\u1085?\u1080?\u1103? \u1089?\u1077?\u1082?\u1090?\u1086?\u1088?"/>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 w:name="Stamp" w:val="\\dossiers.dgt.cec.eu.int\dossiers\CNECT\CNECT-2016-00063\CNECT-2016-00063-00-00-EN-REV-0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rPr>
      <w:rFonts w:ascii="Times New Roman" w:hAnsi="Times New Roman"/>
      <w:sz w:val="24"/>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character" w:customStyle="1" w:styleId="s10">
    <w:name w:val="s10"/>
    <w:basedOn w:val="DefaultParagraphFont"/>
  </w:style>
  <w:style w:type="paragraph" w:styleId="Revision">
    <w:name w:val="Revision"/>
    <w:hidden/>
    <w:uiPriority w:val="99"/>
    <w:semiHidden/>
    <w:rPr>
      <w:rFonts w:ascii="Times New Roman" w:hAnsi="Times New Roman"/>
      <w:sz w:val="24"/>
    </w:rPr>
  </w:style>
  <w:style w:type="paragraph" w:customStyle="1" w:styleId="CM4">
    <w:name w:val="CM4"/>
    <w:basedOn w:val="Default"/>
    <w:next w:val="Default"/>
    <w:uiPriority w:val="99"/>
    <w:rPr>
      <w:rFonts w:ascii="EUAlbertina" w:hAnsi="EUAlbertina"/>
      <w:color w:val="auto"/>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9874">
      <w:bodyDiv w:val="1"/>
      <w:marLeft w:val="0"/>
      <w:marRight w:val="0"/>
      <w:marTop w:val="0"/>
      <w:marBottom w:val="0"/>
      <w:divBdr>
        <w:top w:val="none" w:sz="0" w:space="0" w:color="auto"/>
        <w:left w:val="none" w:sz="0" w:space="0" w:color="auto"/>
        <w:bottom w:val="none" w:sz="0" w:space="0" w:color="auto"/>
        <w:right w:val="none" w:sz="0" w:space="0" w:color="auto"/>
      </w:divBdr>
    </w:div>
    <w:div w:id="393628701">
      <w:bodyDiv w:val="1"/>
      <w:marLeft w:val="0"/>
      <w:marRight w:val="0"/>
      <w:marTop w:val="0"/>
      <w:marBottom w:val="0"/>
      <w:divBdr>
        <w:top w:val="none" w:sz="0" w:space="0" w:color="auto"/>
        <w:left w:val="none" w:sz="0" w:space="0" w:color="auto"/>
        <w:bottom w:val="none" w:sz="0" w:space="0" w:color="auto"/>
        <w:right w:val="none" w:sz="0" w:space="0" w:color="auto"/>
      </w:divBdr>
    </w:div>
    <w:div w:id="1300959675">
      <w:bodyDiv w:val="1"/>
      <w:marLeft w:val="0"/>
      <w:marRight w:val="0"/>
      <w:marTop w:val="0"/>
      <w:marBottom w:val="0"/>
      <w:divBdr>
        <w:top w:val="none" w:sz="0" w:space="0" w:color="auto"/>
        <w:left w:val="none" w:sz="0" w:space="0" w:color="auto"/>
        <w:bottom w:val="none" w:sz="0" w:space="0" w:color="auto"/>
        <w:right w:val="none" w:sz="0" w:space="0" w:color="auto"/>
      </w:divBdr>
    </w:div>
    <w:div w:id="1424296798">
      <w:bodyDiv w:val="1"/>
      <w:marLeft w:val="0"/>
      <w:marRight w:val="0"/>
      <w:marTop w:val="0"/>
      <w:marBottom w:val="0"/>
      <w:divBdr>
        <w:top w:val="none" w:sz="0" w:space="0" w:color="auto"/>
        <w:left w:val="none" w:sz="0" w:space="0" w:color="auto"/>
        <w:bottom w:val="none" w:sz="0" w:space="0" w:color="auto"/>
        <w:right w:val="none" w:sz="0" w:space="0" w:color="auto"/>
      </w:divBdr>
    </w:div>
    <w:div w:id="1901593777">
      <w:bodyDiv w:val="1"/>
      <w:marLeft w:val="0"/>
      <w:marRight w:val="0"/>
      <w:marTop w:val="0"/>
      <w:marBottom w:val="0"/>
      <w:divBdr>
        <w:top w:val="none" w:sz="0" w:space="0" w:color="auto"/>
        <w:left w:val="none" w:sz="0" w:space="0" w:color="auto"/>
        <w:bottom w:val="none" w:sz="0" w:space="0" w:color="auto"/>
        <w:right w:val="none" w:sz="0" w:space="0" w:color="auto"/>
      </w:divBdr>
    </w:div>
    <w:div w:id="20887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A694-ADF2-43F6-B8FA-79C8FDF5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840</Words>
  <Characters>4929</Characters>
  <Application>Microsoft Office Word</Application>
  <DocSecurity>0</DocSecurity>
  <Lines>96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2015-08-28T13:37:00Z</cp:lastPrinted>
  <dcterms:created xsi:type="dcterms:W3CDTF">2016-07-13T10:04:00Z</dcterms:created>
  <dcterms:modified xsi:type="dcterms:W3CDTF">2016-07-15T15:08:00Z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