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Pagedecouverture"/>
        <w:rPr>
          <w:noProof/>
        </w:rP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4" type="#_x0000_t75" alt="393031746745493697474D67A3A39890" style="width:450.8pt;height:436.4pt">
            <v:imagedata r:id="rId8" o:title=""/>
          </v:shape>
        </w:pict>
      </w:r>
    </w:p>
    <w:p>
      <w:pPr>
        <w:pStyle w:val="Exposdesmotifstitre"/>
        <w:rPr>
          <w:noProof/>
        </w:rPr>
      </w:pPr>
      <w:r>
        <w:rPr>
          <w:noProof/>
        </w:rPr>
        <w:br w:type="page"/>
      </w:r>
      <w:r>
        <w:rPr>
          <w:noProof/>
        </w:rPr>
        <w:lastRenderedPageBreak/>
        <w:t>ОБЯСНИТЕЛЕН МЕМОРАНДУМ</w:t>
      </w:r>
    </w:p>
    <w:p>
      <w:pPr>
        <w:pStyle w:val="ManualHeading1"/>
        <w:rPr>
          <w:noProof/>
        </w:rPr>
      </w:pPr>
      <w:r>
        <w:rPr>
          <w:noProof/>
        </w:rPr>
        <w:t>1.</w:t>
      </w:r>
      <w:r>
        <w:rPr>
          <w:noProof/>
        </w:rPr>
        <w:tab/>
        <w:t>КОНТЕКСТ НА ПРЕДЛОЖЕНИЕТО</w:t>
      </w:r>
    </w:p>
    <w:p>
      <w:pPr>
        <w:pStyle w:val="ManualHeading2"/>
        <w:rPr>
          <w:rFonts w:eastAsia="Arial Unicode MS"/>
          <w:noProof/>
        </w:rPr>
      </w:pPr>
      <w:r>
        <w:rPr>
          <w:noProof/>
          <w:color w:val="000000"/>
        </w:rPr>
        <w:t>•</w:t>
      </w:r>
      <w:r>
        <w:rPr>
          <w:noProof/>
          <w:color w:val="000000"/>
        </w:rPr>
        <w:tab/>
      </w:r>
      <w:r>
        <w:rPr>
          <w:noProof/>
        </w:rPr>
        <w:t>Основания и цели на предложението</w:t>
      </w:r>
    </w:p>
    <w:p>
      <w:pPr>
        <w:spacing w:before="0" w:after="200"/>
        <w:rPr>
          <w:noProof/>
          <w:szCs w:val="24"/>
        </w:rPr>
      </w:pPr>
      <w:r>
        <w:rPr>
          <w:noProof/>
        </w:rPr>
        <w:t>Целта на настоящото предложение е да бъдат изменени Регламент (ЕС) № 345/2013 на Европейския парламент и на Съвета от 17 април 2013 г. относно европейските фондове за рисков капитал</w:t>
      </w:r>
      <w:r>
        <w:rPr>
          <w:rStyle w:val="FootnoteReference"/>
          <w:noProof/>
        </w:rPr>
        <w:footnoteReference w:id="1"/>
      </w:r>
      <w:r>
        <w:rPr>
          <w:noProof/>
        </w:rPr>
        <w:t xml:space="preserve"> („Регламент (ЕС) № 345/2013“) и Регламент (ЕС) № 346/2013 на Европейския парламент и на Съвета от 17 април 2013 г. относно европейски фондове за социално предприемачество („Регламент (ЕС) № 346/2013“).</w:t>
      </w:r>
      <w:r>
        <w:rPr>
          <w:rStyle w:val="FootnoteReference"/>
          <w:noProof/>
        </w:rPr>
        <w:footnoteReference w:id="2"/>
      </w:r>
      <w:r>
        <w:rPr>
          <w:noProof/>
        </w:rPr>
        <w:t xml:space="preserve">  </w:t>
      </w:r>
    </w:p>
    <w:p>
      <w:pPr>
        <w:spacing w:before="0" w:after="240"/>
        <w:rPr>
          <w:noProof/>
        </w:rPr>
      </w:pPr>
      <w:r>
        <w:rPr>
          <w:noProof/>
        </w:rPr>
        <w:t>Настоящото предложение следва да се разглежда в по-широкия контекст на работата за разгръщане на инвестициите в разрастващите се предприятия и предприемаческата дейност. В</w:t>
      </w:r>
      <w:r>
        <w:rPr>
          <w:b/>
          <w:noProof/>
        </w:rPr>
        <w:t xml:space="preserve"> Плана за инвестиции за Европа</w:t>
      </w:r>
      <w:r>
        <w:rPr>
          <w:rStyle w:val="FootnoteReference"/>
          <w:noProof/>
        </w:rPr>
        <w:footnoteReference w:id="3"/>
      </w:r>
      <w:r>
        <w:rPr>
          <w:b/>
          <w:noProof/>
        </w:rPr>
        <w:t xml:space="preserve"> </w:t>
      </w:r>
      <w:r>
        <w:rPr>
          <w:noProof/>
        </w:rPr>
        <w:t xml:space="preserve">се предвижда цялостна стратегия за насърчаване на заетостта, растежа и инвестициите. Ключово направление на Плана за инвестиции е </w:t>
      </w:r>
      <w:r>
        <w:rPr>
          <w:b/>
          <w:noProof/>
        </w:rPr>
        <w:t>Планът за действие за съюз на капиталовите пазари (СКП)</w:t>
      </w:r>
      <w:r>
        <w:rPr>
          <w:rStyle w:val="FootnoteReference"/>
          <w:noProof/>
        </w:rPr>
        <w:footnoteReference w:id="4"/>
      </w:r>
      <w:r>
        <w:rPr>
          <w:noProof/>
        </w:rPr>
        <w:t xml:space="preserve">, чиято цел е да се намали разпокъсаността на капиталовите пазари, да се премахнат регулаторните пречки за финансирането на икономиката и да се увеличи предлагането на капитал за предприятията чрез създаване на истински единен капиталов пазар. Планът за инвестиции за Европа цели да мобилизира допълнителни частни инвестиции, като използва публични средства по линия на </w:t>
      </w:r>
      <w:r>
        <w:rPr>
          <w:b/>
          <w:noProof/>
        </w:rPr>
        <w:t>Европейския фонд за стратегически инвестиции (ЕФСИ)</w:t>
      </w:r>
      <w:r>
        <w:rPr>
          <w:rStyle w:val="FootnoteReference"/>
          <w:noProof/>
        </w:rPr>
        <w:footnoteReference w:id="5"/>
      </w:r>
      <w:r>
        <w:rPr>
          <w:noProof/>
        </w:rPr>
        <w:t xml:space="preserve">. В този контекст, за да се стимулират частните инвестиции в пазарите на рисков капитал в Европа, понастоящем се създава и </w:t>
      </w:r>
      <w:r>
        <w:rPr>
          <w:b/>
          <w:noProof/>
        </w:rPr>
        <w:t>общоевропейски фонд за инвестиране в други фондове</w:t>
      </w:r>
      <w:r>
        <w:rPr>
          <w:noProof/>
        </w:rPr>
        <w:t xml:space="preserve">, който инвестира в европейски рисков капитал. Това ще доведе до комбиниране на капитала от частния сектор с подкрепата от ЕС с цел привличане на големите институционални инвеститори към европейския рисков капитал и ще увеличи въздействието на подкрепата на ЕС за сектора на рисковия капитал. </w:t>
      </w:r>
    </w:p>
    <w:p>
      <w:pPr>
        <w:rPr>
          <w:noProof/>
          <w:szCs w:val="24"/>
        </w:rPr>
      </w:pPr>
      <w:r>
        <w:rPr>
          <w:noProof/>
        </w:rPr>
        <w:t xml:space="preserve">Европейските фондове за рисков капитал („EuVECA“) и европейските фондове за социално предприемачество („EuSEF“) са създадени с цел да предложат нови възможности на участниците на пазара с оглед набиране и инвестиране на капитал в иновативни малки и средни предприятия (МСП) и социални предприятия в цяла Европа. МСП са от голямо значение за икономиката на ЕС като сектор, който може да генерира реален растеж и възвръщаемост. Докато със средствата по линия на EuVECA </w:t>
      </w:r>
      <w:r>
        <w:rPr>
          <w:noProof/>
        </w:rPr>
        <w:lastRenderedPageBreak/>
        <w:t>се подпомагат новосъздадени и иновативни дружества, средствата по линия на EuSEF са насочени към дружества, чиято цел е да се постигне положително социално въздействие.</w:t>
      </w:r>
    </w:p>
    <w:p>
      <w:pPr>
        <w:autoSpaceDE w:val="0"/>
        <w:autoSpaceDN w:val="0"/>
        <w:adjustRightInd w:val="0"/>
        <w:rPr>
          <w:noProof/>
          <w:szCs w:val="24"/>
        </w:rPr>
      </w:pPr>
      <w:r>
        <w:rPr>
          <w:noProof/>
        </w:rPr>
        <w:t>Източникът и наличието на финансиране за МСП са важни фактори, които са в основата на тяхното развитие, растеж и успех. За да се насърчи развитието на нови области на растеж и преминаването към водена от иновации икономика, е необходимо да бъдат утвърдени нови начини за финансиране в подкрепа на стартиращи предприятия, иновативни МСП и социални предприятия. Тъй като банките обикновено не са в достатъчно силна позиция да осигурят тези видове финансиране, достъпът до рисков капитал и капитал за социално предприемачество е ключов фактор за финансирането на растежа на този сегмент от икономиката на ЕС. Празнината в това финансиране се посочва многократно като пречка, която трябва да се преодолее, за да се насърчи икономическият растеж на ЕС. Освен това вместо да настига САЩ, ЕС все повече изостава по отношение на пазара на рисков капитал. Въпреки сходния мащаб на икономиката Съединените щати осигуряват повече рисков капитал на дружествата, включително МСП. В Плана за действие за СКП се посочва, че ако пазарите на рисков капитал на ЕС бяха толкова развити, колкото тези в САЩ, в периода 2009—2014 г. щяха да бъдат осигурени средства в размер на 90 милиарда евро за финансиране на дружествата. През 2014 г. около 90 % от всички инвестиции в рисков капитал в ЕС бяха концентрирани в осем държави членки: Обединеното кралство, Германия, Швеция, Дания, Финландия, Нидерландия, Франция и Испания. Но дори и в тези по-развити пазари рисковият капитал представлява по-малко от 0,1 % от БВП.</w:t>
      </w:r>
    </w:p>
    <w:p>
      <w:pPr>
        <w:spacing w:before="0" w:after="240"/>
        <w:rPr>
          <w:noProof/>
          <w:szCs w:val="24"/>
        </w:rPr>
      </w:pPr>
      <w:r>
        <w:rPr>
          <w:noProof/>
        </w:rPr>
        <w:t>С цел допълнително да подпомогне развитието на тези пазари Комисията се стреми да гарантира, че нормативната уредба за функционирането на EuVECA и EuSEF благоприятства по възможно най-добрия начин инвестирането в рисков капитал и инвестициите за социално въздействие. Поради това Комисията реши да изпревари прегледите, изисквани съгласно двата регламента през 2017 г., и започна законодателен преглед като част от инициативата за програмата за пригодност и резултатност на регулаторната рамка за 2016 г. („REFIT“)</w:t>
      </w:r>
      <w:r>
        <w:rPr>
          <w:rStyle w:val="FootnoteReference"/>
          <w:noProof/>
        </w:rPr>
        <w:footnoteReference w:id="6"/>
      </w:r>
      <w:r>
        <w:rPr>
          <w:noProof/>
        </w:rPr>
        <w:t>. Целта на прегледа е да се оцени как двете рамки са функционирали досега, по-специално дали са били ефективни, ефикасни, съгласувани, уместни, и дали са осигурили добавена стойност за ЕС. При прегледа бяха установени голям брой фактори, които възпрепятстват развитието на тези фондове, по-специално правилата, регламентиращи начина, по който средствата от фондовете се инвестират в активи, начина, по който управителите управляват фондовете, как двата регламента си взаимодействат с други съществуващи законови разпоредби за инвестиционни фондове и изискванията, които фондовете изпълняват, за да се възползват от възможността за трансгранична дейност.</w:t>
      </w:r>
    </w:p>
    <w:p>
      <w:pPr>
        <w:rPr>
          <w:noProof/>
          <w:szCs w:val="24"/>
        </w:rPr>
      </w:pPr>
      <w:r>
        <w:rPr>
          <w:noProof/>
        </w:rPr>
        <w:t xml:space="preserve">В настоящото предложение се признава, че съществуват и други фактори извън неговия обхват, които възпрепятстват развитието на сектора за рисков капитал в ЕС, като например подходът към небанковото финансиране или данъчните режими, във връзка с които следва да се предприемат мерки под формата на други специални инициативи от страна на държавите членки. Освен това тези фактори ще бъдат отчетени и във </w:t>
      </w:r>
      <w:r>
        <w:rPr>
          <w:noProof/>
        </w:rPr>
        <w:lastRenderedPageBreak/>
        <w:t>всеобхватния пакет от мерки на Плана за действие за СКП, насочен към подкрепа на финансирането с рисков капитал в ЕС.</w:t>
      </w:r>
    </w:p>
    <w:p>
      <w:pPr>
        <w:pStyle w:val="ManualHeading2"/>
        <w:rPr>
          <w:rFonts w:eastAsia="Arial Unicode MS"/>
          <w:noProof/>
          <w:color w:val="000000"/>
        </w:rPr>
      </w:pPr>
      <w:r>
        <w:rPr>
          <w:noProof/>
          <w:color w:val="000000"/>
        </w:rPr>
        <w:t>•</w:t>
      </w:r>
      <w:r>
        <w:rPr>
          <w:noProof/>
          <w:color w:val="000000"/>
        </w:rPr>
        <w:tab/>
      </w:r>
      <w:r>
        <w:rPr>
          <w:noProof/>
        </w:rPr>
        <w:t>Съгласуваност със съществуващите разпоредби в тази област на политиката</w:t>
      </w:r>
    </w:p>
    <w:p>
      <w:pPr>
        <w:spacing w:before="0" w:after="200"/>
        <w:rPr>
          <w:noProof/>
          <w:szCs w:val="24"/>
        </w:rPr>
      </w:pPr>
      <w:r>
        <w:rPr>
          <w:noProof/>
        </w:rPr>
        <w:t xml:space="preserve">Настоящото предложение е част от </w:t>
      </w:r>
      <w:r>
        <w:rPr>
          <w:b/>
          <w:noProof/>
        </w:rPr>
        <w:t>Плана за действие за СКП</w:t>
      </w:r>
      <w:r>
        <w:rPr>
          <w:noProof/>
        </w:rPr>
        <w:t xml:space="preserve">. Планът за действие за СКП представлява ключов приоритет за Комисията и съдържа редица мерки за премахване на пречките пред капиталовите пазари и улесняване на финансирането на МСП. Те по-специално включват действия за укрепване на обратната информация, предоставяна от банките при отхвърляне на искания за кредит от страна МСП, за укрепване на кредитната информация относно МСП и за преглед на фискалните стимули и данъчните облекчения, които държавите членки предлагат на МСП и инвеститорите в МСП. </w:t>
      </w:r>
    </w:p>
    <w:p>
      <w:pPr>
        <w:spacing w:before="0" w:after="240"/>
        <w:rPr>
          <w:noProof/>
          <w:szCs w:val="24"/>
        </w:rPr>
      </w:pPr>
      <w:r>
        <w:rPr>
          <w:noProof/>
        </w:rPr>
        <w:t>Настоящото предложение е основна част от Плана за действие за СКП и спомага за диверсификация на източниците на финансиране и за отключване на капитала, като дава възможност на инвеститорите, управителите на фондове и предприятията с квалифициран портфейл да се възползват по-лесно от средствата по линия на EuVECA и EuSEF. Капиталовите пазари предлагат достъп до широк кръг от доставчици на финансиране и дават възможност за излизане от инвестициите за инвеститорите в рисков капитал и в социално въздействие, частния капитал или бизнес ангелите, които инвестират в дружества на по-ранен етап от тяхното развитие.</w:t>
      </w:r>
    </w:p>
    <w:p>
      <w:pPr>
        <w:pStyle w:val="ManualHeading2"/>
        <w:rPr>
          <w:rFonts w:eastAsia="Arial Unicode MS"/>
          <w:noProof/>
          <w:szCs w:val="24"/>
        </w:rPr>
      </w:pPr>
      <w:r>
        <w:rPr>
          <w:noProof/>
          <w:color w:val="000000"/>
        </w:rPr>
        <w:t>•</w:t>
      </w:r>
      <w:r>
        <w:rPr>
          <w:noProof/>
          <w:color w:val="000000"/>
        </w:rPr>
        <w:tab/>
      </w:r>
      <w:r>
        <w:rPr>
          <w:noProof/>
        </w:rPr>
        <w:t>Съгласуваност с другите политики на Съюза</w:t>
      </w:r>
    </w:p>
    <w:p>
      <w:pPr>
        <w:spacing w:before="0" w:after="200"/>
        <w:ind w:left="850" w:hanging="850"/>
        <w:rPr>
          <w:noProof/>
          <w:szCs w:val="24"/>
        </w:rPr>
      </w:pPr>
      <w:r>
        <w:rPr>
          <w:noProof/>
        </w:rPr>
        <w:t>Настоящото предложение допълва другите два стълба на Плана за инвестиции за Европа:</w:t>
      </w:r>
    </w:p>
    <w:p>
      <w:pPr>
        <w:pStyle w:val="Tiret0"/>
        <w:numPr>
          <w:ilvl w:val="0"/>
          <w:numId w:val="1"/>
        </w:numPr>
        <w:rPr>
          <w:noProof/>
        </w:rPr>
      </w:pPr>
      <w:r>
        <w:rPr>
          <w:noProof/>
          <w:u w:val="single"/>
        </w:rPr>
        <w:t>Мобилизиране на допълнителни частни инвестиции чрез използване на публични фондове.</w:t>
      </w:r>
      <w:r>
        <w:rPr>
          <w:noProof/>
        </w:rPr>
        <w:t xml:space="preserve"> </w:t>
      </w:r>
      <w:r>
        <w:rPr>
          <w:b/>
          <w:noProof/>
        </w:rPr>
        <w:t>ЕФСИ</w:t>
      </w:r>
      <w:r>
        <w:rPr>
          <w:noProof/>
        </w:rPr>
        <w:t xml:space="preserve"> е създаден с цел да мобилизира поне 315 милиарда евро допълнителни инвестиции до 2018 г. ЕФСИ инвестира в широк кръг от сектори и осигурява пряка финансова подкрепа за МСП, най-вече чрез Европейския инвестиционен фонд.</w:t>
      </w:r>
    </w:p>
    <w:p>
      <w:pPr>
        <w:pStyle w:val="Tiret0"/>
        <w:numPr>
          <w:ilvl w:val="0"/>
          <w:numId w:val="11"/>
        </w:numPr>
        <w:rPr>
          <w:noProof/>
        </w:rPr>
      </w:pPr>
      <w:r>
        <w:rPr>
          <w:noProof/>
          <w:u w:val="single"/>
        </w:rPr>
        <w:t>Гарантиране, че инвестиционното финансиране достига до реалната икономика.</w:t>
      </w:r>
      <w:r>
        <w:rPr>
          <w:noProof/>
        </w:rPr>
        <w:t xml:space="preserve"> С цел да се помогне на инвестиционното финансиране да достигне до реалната икономика са създадени </w:t>
      </w:r>
      <w:r>
        <w:rPr>
          <w:b/>
          <w:noProof/>
        </w:rPr>
        <w:t>европейски портал за инвестиционни проекти</w:t>
      </w:r>
      <w:r>
        <w:rPr>
          <w:noProof/>
        </w:rPr>
        <w:t xml:space="preserve"> и </w:t>
      </w:r>
      <w:r>
        <w:rPr>
          <w:b/>
          <w:noProof/>
        </w:rPr>
        <w:t>европейски консултантски център по инвестиционни въпроси</w:t>
      </w:r>
      <w:r>
        <w:rPr>
          <w:noProof/>
        </w:rPr>
        <w:t>.</w:t>
      </w:r>
    </w:p>
    <w:p>
      <w:pPr>
        <w:spacing w:before="0" w:after="240"/>
        <w:rPr>
          <w:noProof/>
          <w:szCs w:val="24"/>
        </w:rPr>
      </w:pPr>
      <w:r>
        <w:rPr>
          <w:noProof/>
        </w:rPr>
        <w:t xml:space="preserve">С настоящото предложение се допълва и </w:t>
      </w:r>
      <w:r>
        <w:rPr>
          <w:b/>
          <w:noProof/>
        </w:rPr>
        <w:t>Рамковата програма за научни изследвания и иновации „Хоризонт 2020“</w:t>
      </w:r>
      <w:r>
        <w:rPr>
          <w:rStyle w:val="FootnoteReference"/>
          <w:noProof/>
        </w:rPr>
        <w:footnoteReference w:id="7"/>
      </w:r>
      <w:r>
        <w:rPr>
          <w:noProof/>
        </w:rPr>
        <w:t xml:space="preserve">, която изпълнява важна роля като движеща сила на финансирането за МСП чрез </w:t>
      </w:r>
      <w:r>
        <w:rPr>
          <w:b/>
          <w:noProof/>
        </w:rPr>
        <w:t>InnovFin</w:t>
      </w:r>
      <w:r>
        <w:rPr>
          <w:noProof/>
        </w:rPr>
        <w:t xml:space="preserve"> – </w:t>
      </w:r>
      <w:r>
        <w:rPr>
          <w:b/>
          <w:noProof/>
        </w:rPr>
        <w:t>Финансиране от ЕС за новатори</w:t>
      </w:r>
      <w:r>
        <w:rPr>
          <w:noProof/>
        </w:rPr>
        <w:t xml:space="preserve">, серия от интегрирани и взаимно допълващи се инструменти за финансиране и консултантски услуги, предлагани от групата на Европейската инвестиционна банка, която обхваща цялата верига на стойността на научните изследвания и иновациите. Комисията управлява също така Програма за </w:t>
      </w:r>
      <w:r>
        <w:rPr>
          <w:b/>
          <w:noProof/>
        </w:rPr>
        <w:t xml:space="preserve">конкурентоспособност на </w:t>
      </w:r>
      <w:r>
        <w:rPr>
          <w:b/>
          <w:noProof/>
        </w:rPr>
        <w:lastRenderedPageBreak/>
        <w:t>предприятията и МСП (COSME)</w:t>
      </w:r>
      <w:r>
        <w:rPr>
          <w:rStyle w:val="FootnoteReference"/>
          <w:noProof/>
        </w:rPr>
        <w:footnoteReference w:id="8"/>
      </w:r>
      <w:r>
        <w:rPr>
          <w:noProof/>
        </w:rPr>
        <w:t>, която осигурява на МСП по-добър достъп до финансиране и услуги в подкрепа на бизнеса и насърчава предприемачеството.</w:t>
      </w:r>
    </w:p>
    <w:p>
      <w:pPr>
        <w:spacing w:before="0" w:after="240"/>
        <w:rPr>
          <w:noProof/>
        </w:rPr>
      </w:pPr>
      <w:r>
        <w:rPr>
          <w:noProof/>
        </w:rPr>
        <w:t xml:space="preserve">В контекста на </w:t>
      </w:r>
      <w:r>
        <w:rPr>
          <w:b/>
          <w:noProof/>
        </w:rPr>
        <w:t>стратегията за единния пазар</w:t>
      </w:r>
      <w:r>
        <w:rPr>
          <w:rStyle w:val="FootnoteReference"/>
          <w:noProof/>
        </w:rPr>
        <w:footnoteReference w:id="9"/>
      </w:r>
      <w:r>
        <w:rPr>
          <w:b/>
          <w:noProof/>
        </w:rPr>
        <w:t xml:space="preserve"> </w:t>
      </w:r>
      <w:r>
        <w:rPr>
          <w:noProof/>
        </w:rPr>
        <w:t xml:space="preserve">Комисията се стреми да намали административната тежест и да се превърне Европа в по-привлекателна дестинация за новатори както от ЕС, така и извън него. По-специално Комисията ще представи </w:t>
      </w:r>
      <w:r>
        <w:rPr>
          <w:b/>
          <w:noProof/>
        </w:rPr>
        <w:t>Инициатива за стартиращите предприятия</w:t>
      </w:r>
      <w:r>
        <w:rPr>
          <w:noProof/>
        </w:rPr>
        <w:t>, в рамките на която да се подложат на широка оценка изискванията за стартиращите предприятия и начините за намаляване на тези изисквания, а в случаите, когато не е възможно те да бъдат намалени — да се улесни тяхното спазване.</w:t>
      </w:r>
    </w:p>
    <w:p>
      <w:pPr>
        <w:pStyle w:val="ManualHeading1"/>
        <w:rPr>
          <w:noProof/>
        </w:rPr>
      </w:pPr>
      <w:r>
        <w:rPr>
          <w:noProof/>
        </w:rPr>
        <w:t>2.</w:t>
      </w:r>
      <w:r>
        <w:rPr>
          <w:noProof/>
        </w:rPr>
        <w:tab/>
        <w:t>ПРАВНО ОСНОВАНИЕ, СУБСИДИАРНОСТ И ПРОПОРЦИОНАЛНОСТ</w:t>
      </w:r>
    </w:p>
    <w:p>
      <w:pPr>
        <w:pStyle w:val="ManualHeading2"/>
        <w:rPr>
          <w:rFonts w:eastAsia="Arial Unicode MS"/>
          <w:noProof/>
        </w:rPr>
      </w:pPr>
      <w:r>
        <w:rPr>
          <w:noProof/>
        </w:rPr>
        <w:t>•</w:t>
      </w:r>
      <w:r>
        <w:rPr>
          <w:noProof/>
        </w:rPr>
        <w:tab/>
        <w:t>Правно основание</w:t>
      </w:r>
    </w:p>
    <w:p>
      <w:pPr>
        <w:rPr>
          <w:noProof/>
        </w:rPr>
      </w:pPr>
      <w:r>
        <w:rPr>
          <w:noProof/>
        </w:rPr>
        <w:t>Правното основание за настоящото предложение е член 114 от ДФЕС, който е правното основание за Регламент (ЕС) № 345/2013 и Регламент (ЕС) № 346/2013. В анализа, извършен като част от доклада за оценката на въздействието, се посочва, че някои елементи от Регламент (ЕС) № 345/2013 и Регламент (ЕС) № 346/2013 трябва да бъдат изменени, за да се подобри и рационализира използването на EuVECA и EuSEF. Единствено съзаконодателите на ЕС са компетентни да направят необходимите изменения.</w:t>
      </w:r>
    </w:p>
    <w:p>
      <w:pPr>
        <w:rPr>
          <w:noProof/>
        </w:rPr>
      </w:pPr>
      <w:r>
        <w:rPr>
          <w:noProof/>
        </w:rPr>
        <w:t>•</w:t>
      </w:r>
      <w:r>
        <w:rPr>
          <w:b/>
          <w:noProof/>
        </w:rPr>
        <w:tab/>
        <w:t>Субсидиарност</w:t>
      </w:r>
    </w:p>
    <w:p>
      <w:pPr>
        <w:spacing w:before="0" w:after="240"/>
        <w:rPr>
          <w:noProof/>
        </w:rPr>
      </w:pPr>
      <w:r>
        <w:rPr>
          <w:noProof/>
        </w:rPr>
        <w:t xml:space="preserve">Действия на равнище ЕС следва да се предприемат само когато целите на предложеното действие не могат да бъдат постигнати в достатъчна степен от държавите членки в рамките на националните им конституционни системи. </w:t>
      </w:r>
    </w:p>
    <w:p>
      <w:pPr>
        <w:spacing w:before="0" w:after="240"/>
        <w:rPr>
          <w:noProof/>
        </w:rPr>
      </w:pPr>
      <w:r>
        <w:rPr>
          <w:noProof/>
        </w:rPr>
        <w:t xml:space="preserve">Вътрешният пазар за рисков капитал и средства за социално въздействие, както е определено в Регламент (ЕС) № 345/2013 и Регламент (ЕС) № 346/2013, все още е разпокъсан и са необходими допълнителни действия за укрепване на европейската рамка за трансгранично набиране на средства от такива фондове. Настоящото предложение ще доведе до сближаване и до укрепване на вътрешния пазар за рисков капитал и фондове за социално предприемачество. Поради това целите на настоящия регламент могат да бъдат постигнати единствено чрез действие на равнището на Съюза. </w:t>
      </w:r>
    </w:p>
    <w:p>
      <w:pPr>
        <w:spacing w:before="0" w:after="240"/>
        <w:rPr>
          <w:noProof/>
        </w:rPr>
      </w:pPr>
      <w:r>
        <w:rPr>
          <w:noProof/>
        </w:rPr>
        <w:t xml:space="preserve">Идентифицираните проблеми са свързани с ограниченията и различията в прилагането на Регламент (ЕС) № 345/2013 и Регламент (ЕС) № 346/2013 в държавите членки. Ако не бъдат предприети мерки за премахване на тези ограничения и различия, това може да породи още по-голяма разпокъсаност и ще доведе до пропуснати възможности. Единствено координираната намеса на ЕС чрез настоящото предложение може да реши тези проблеми. Ето защо решаването на тези проблеми е уместно само на равнището на </w:t>
      </w:r>
      <w:r>
        <w:rPr>
          <w:noProof/>
        </w:rPr>
        <w:lastRenderedPageBreak/>
        <w:t xml:space="preserve">ЕС, за да се гарантира, че във всички държави членки се прилагат еднакви правила по последователен начин. </w:t>
      </w:r>
    </w:p>
    <w:p>
      <w:pPr>
        <w:pStyle w:val="ManualHeading2"/>
        <w:rPr>
          <w:rFonts w:eastAsia="Arial Unicode MS"/>
          <w:noProof/>
        </w:rPr>
      </w:pPr>
      <w:r>
        <w:rPr>
          <w:noProof/>
        </w:rPr>
        <w:t>•</w:t>
      </w:r>
      <w:r>
        <w:rPr>
          <w:noProof/>
        </w:rPr>
        <w:tab/>
        <w:t>Пропорционалност</w:t>
      </w:r>
    </w:p>
    <w:p>
      <w:pPr>
        <w:spacing w:before="0" w:after="240"/>
        <w:rPr>
          <w:noProof/>
        </w:rPr>
      </w:pPr>
      <w:r>
        <w:rPr>
          <w:noProof/>
        </w:rPr>
        <w:t>С настоящото предложение се укрепва използването на обозначенията „EuVECA“ и „EuSEF“. Нито Регламенти (ЕС) № 345/2013 и (ЕС) № 346/2013, нито настоящото предложение предоставят изключителни права върху обозначенията „EuVECA“ и „EuSEF“ в сектора на рисковия капитал и фондовете за социално въздействие. В настоящия регламент се запазва изключителното използване на обозначенията „EuVECA“ и „EuSEF“ съответно от EuVECA и EuSEF. Съгласно Директива 2011/61/ЕС относно лицата, управляващи алтернативни инвестиционни фондове (Директива относно ЛУАИФ)</w:t>
      </w:r>
      <w:r>
        <w:rPr>
          <w:rStyle w:val="FootnoteReference"/>
          <w:noProof/>
        </w:rPr>
        <w:footnoteReference w:id="10"/>
      </w:r>
      <w:r>
        <w:rPr>
          <w:noProof/>
        </w:rPr>
        <w:t>, на държавите членки се оставя свободата да определят националните режими за рисковия капитал и фондовете за социално въздействие.</w:t>
      </w:r>
    </w:p>
    <w:p>
      <w:pPr>
        <w:spacing w:before="0" w:after="240"/>
        <w:rPr>
          <w:noProof/>
        </w:rPr>
      </w:pPr>
      <w:r>
        <w:rPr>
          <w:noProof/>
        </w:rPr>
        <w:t xml:space="preserve">Чрез настоящото предложение се постига баланс между обществения интерес, защитата на инвеститорите, съображенията за безопасност и доверие, както и свързаните разходи. Избягва се ненужното утежняване: предлага се управлението и маркетингът на фондовете, обхванати от Регламент (ЕС) № 345/2013 и Регламент (ЕС) № 346/2013, да бъдат отворени за нова група управители, обхванати от Директивата относно ЛУАИФ и само от специфичните за сектора изисквания на Регламент (ЕС) № 345/2013 и Регламент (ЕС) № 346/2013, които не са задължителни съгласно Директивата относно ЛУАИФ, регистрацията на фондовете е рационализирана и се пояснява, че компетентните органи на приемащите държави членки не могат да налагат такси и подобни комисиони. </w:t>
      </w:r>
    </w:p>
    <w:p>
      <w:pPr>
        <w:pStyle w:val="ManualHeading2"/>
        <w:rPr>
          <w:rFonts w:eastAsia="Arial Unicode MS"/>
          <w:noProof/>
        </w:rPr>
      </w:pPr>
      <w:r>
        <w:rPr>
          <w:noProof/>
        </w:rPr>
        <w:t>•</w:t>
      </w:r>
      <w:r>
        <w:rPr>
          <w:noProof/>
        </w:rPr>
        <w:tab/>
        <w:t>Избор на инструмент</w:t>
      </w:r>
    </w:p>
    <w:p>
      <w:pPr>
        <w:rPr>
          <w:noProof/>
        </w:rPr>
      </w:pPr>
      <w:r>
        <w:rPr>
          <w:noProof/>
        </w:rPr>
        <w:t>Предложеният инструмент е регламент на Европейския парламент и на Съвета.</w:t>
      </w:r>
    </w:p>
    <w:p>
      <w:pPr>
        <w:pStyle w:val="ManualHeading1"/>
        <w:rPr>
          <w:noProof/>
        </w:rPr>
      </w:pPr>
      <w:r>
        <w:rPr>
          <w:noProof/>
        </w:rPr>
        <w:t>3.</w:t>
      </w:r>
      <w:r>
        <w:rPr>
          <w:noProof/>
        </w:rPr>
        <w:tab/>
        <w:t>РЕЗУЛТАТИ ОТ ПОСЛЕДВАЩ ПРЕГЛЕД, КОНСУЛТАЦИИ СЪС ЗАИНТЕРЕСОВАНИТЕ СТРАНИ И ОЦЕНКА НА ВЪЗДЕЙСТВИЕТО</w:t>
      </w:r>
    </w:p>
    <w:p>
      <w:pPr>
        <w:pStyle w:val="ManualHeading2"/>
        <w:rPr>
          <w:rFonts w:eastAsia="Arial Unicode MS"/>
          <w:noProof/>
        </w:rPr>
      </w:pPr>
      <w:r>
        <w:rPr>
          <w:noProof/>
        </w:rPr>
        <w:t>•</w:t>
      </w:r>
      <w:r>
        <w:rPr>
          <w:noProof/>
        </w:rPr>
        <w:tab/>
        <w:t>Преглед на съществуващото законодателство</w:t>
      </w:r>
    </w:p>
    <w:p>
      <w:pPr>
        <w:spacing w:before="0" w:after="240"/>
        <w:rPr>
          <w:noProof/>
        </w:rPr>
      </w:pPr>
      <w:r>
        <w:rPr>
          <w:noProof/>
        </w:rPr>
        <w:t>Регламент (ЕС) № 345/2013 и Регламент (ЕС) № 346/2013 са включени в програма REFIT на Европейската комисия. Повече подробности за настоящия преглед могат да бъдат намерени в раздел „Пригодност и опростяване на законодателството“ по-долу.</w:t>
      </w:r>
    </w:p>
    <w:p>
      <w:pPr>
        <w:pStyle w:val="ManualHeading2"/>
        <w:rPr>
          <w:rFonts w:eastAsia="Arial Unicode MS"/>
          <w:noProof/>
        </w:rPr>
      </w:pPr>
      <w:r>
        <w:rPr>
          <w:noProof/>
        </w:rPr>
        <w:t>•</w:t>
      </w:r>
      <w:r>
        <w:rPr>
          <w:noProof/>
        </w:rPr>
        <w:tab/>
        <w:t>Последваща оценка/проверка за пригодност</w:t>
      </w:r>
    </w:p>
    <w:p>
      <w:pPr>
        <w:rPr>
          <w:noProof/>
        </w:rPr>
      </w:pPr>
      <w:r>
        <w:rPr>
          <w:noProof/>
        </w:rPr>
        <w:t>Комисията реши да ускори планирания преглед на Регламент (ЕС) № 345/2013 и Регламент (ЕС) № 346/2013, предвиден за 2017 г., и да започне законодателен преглед като част от работната програма REFIT за 2016 г.</w:t>
      </w:r>
      <w:r>
        <w:rPr>
          <w:rStyle w:val="FootnoteReference"/>
          <w:noProof/>
        </w:rPr>
        <w:footnoteReference w:id="11"/>
      </w:r>
      <w:r>
        <w:rPr>
          <w:rStyle w:val="CommentReference"/>
          <w:noProof/>
        </w:rPr>
        <w:t xml:space="preserve"> </w:t>
      </w:r>
    </w:p>
    <w:p>
      <w:pPr>
        <w:rPr>
          <w:noProof/>
        </w:rPr>
      </w:pPr>
      <w:r>
        <w:rPr>
          <w:noProof/>
        </w:rPr>
        <w:lastRenderedPageBreak/>
        <w:t>Като се има предвид, че Регламент (ЕС) № 345/2013 и Регламент (ЕС) № 346/2013 се прилагат едва от средата на 2013 г., извършването на пълна оценка не би било възможно, тъй като е твърде рано да се направи категорично заключение за дългосрочните въздействия. Вместо това в оценката се прави преценка на първоначалното въздействие на регламентите, като се акцентира върху потенциалните фактори, които може да са попречили на по-широкото разпространение на фондовете в сравнение с първоначалните очаквания. Прегледът е приложен към доклада на Комисията за оценката на въздействието, като заключенията са следните:</w:t>
      </w:r>
    </w:p>
    <w:p>
      <w:pPr>
        <w:rPr>
          <w:noProof/>
        </w:rPr>
      </w:pPr>
      <w:r>
        <w:rPr>
          <w:noProof/>
        </w:rPr>
        <w:t>По отношение на ефективността на Регламент (ЕС) № 345/2013 и Регламент (ЕС) № 346/2013 използването на възможностите, предлагани от Регламент (ЕС) № 345/2013, може да бъде допълнително подобрено, докато използването им съгласно Регламент (ЕС) № 346/2013 определено е незадоволително. Както Регламент (ЕС) № 345/2013, така и Регламент (ЕС) № 346/2013 са ограничени от редица пречки, по-специално ограниченията по отношение на управителите на големи фондове, чиито портфейли надвишават 500 милиона евро, които не могат да използват обозначенията „EuVECA“ и „EuSEF“, минималния праг за участие от 100 000 EUR за непрофесионални инвеститори и специфичните ограничения за допустимите инвестиции (тоест определението на предприятия, допустими да бъдат част от портфейл). За по-малките фондове минималната инвестиция от 100 000 EUR е посочена като потенциална пречка, но за непрофесионалните инвеститори вече са възможни по-малки инвестиции в активи на МСП чрез редица алтернативни инструменти (например колективно финансиране, първично публично предлагане (ППП) и т.н.). EuSEF и EuVECA са различни инструменти за по-дългосрочен период (например при тези фондове има минимален срок на блокиране от пет години), което изисква по-високи прагове и по-голяма защита на инвеститорите.</w:t>
      </w:r>
    </w:p>
    <w:p>
      <w:pPr>
        <w:rPr>
          <w:noProof/>
        </w:rPr>
      </w:pPr>
      <w:r>
        <w:rPr>
          <w:noProof/>
        </w:rPr>
        <w:t>Към началото на април 2016 г. има 70 EuVECA, регистрирани в базата данни на ЕОЦКП. Има четири EuSEF фонда, регистрирани само в две държави членки: един EuSEF, регистриран във Франция, и три EuSEF в Германия, с общо управлявани активи в размер на 32 милиона евро.</w:t>
      </w:r>
    </w:p>
    <w:p>
      <w:pPr>
        <w:rPr>
          <w:noProof/>
        </w:rPr>
      </w:pPr>
      <w:r>
        <w:rPr>
          <w:noProof/>
        </w:rPr>
        <w:t xml:space="preserve">По отношение на ефективността при прегледа са установени различни изисквания в различните юрисдикции, по-специално по отношение на таксите за създаване, допълнителните разходи, начислявани от приемащите държави членки, и необходимите достатъчни собствени средства. В някои случаи тези практики водят до свръхрегулиране, като надхвърлят изискванията на регламентите, което от своя страна представлява пречка за създаването и трансграничното предлагане на както на EuVECA, така и на EuSEF. От гледна точка на целесъобразността Регламент (ЕС) № 345/2013 и Регламент (ЕС) № 346/2013 се признават като неделима част от работата за СКП. Регламент (ЕС) № 345/2013 и Регламент (ЕС) № 346/2013 представляват част от инициативата на Комисията за увеличаване на небанковото финансиране за икономиката и са съгласувани с целите на Плана за инвестиции за Европа за увеличаване на конкурентоспособността и стимулиране на инвестициите с цел създаване на работни места. </w:t>
      </w:r>
    </w:p>
    <w:p>
      <w:pPr>
        <w:rPr>
          <w:noProof/>
        </w:rPr>
      </w:pPr>
      <w:r>
        <w:rPr>
          <w:noProof/>
        </w:rPr>
        <w:t xml:space="preserve">Съгласуваност се постига благодарение на факта, че Регламент (ЕС) № 345/2013 и Регламент (ЕС) № 346/2013 допълват Директивата относно ЛУАИФ, тъй като в обхвата им попадат управителите на малки фондове, чиито портфейли са под 500 милиона евро, за да им се даде възможност да предлагат както EuVECA, така и </w:t>
      </w:r>
      <w:r>
        <w:rPr>
          <w:noProof/>
          <w:u w:color="000000"/>
        </w:rPr>
        <w:t>EuSEF</w:t>
      </w:r>
      <w:r>
        <w:rPr>
          <w:noProof/>
        </w:rPr>
        <w:t xml:space="preserve"> на трансгранично равнище.</w:t>
      </w:r>
    </w:p>
    <w:p>
      <w:pPr>
        <w:rPr>
          <w:noProof/>
        </w:rPr>
      </w:pPr>
      <w:r>
        <w:rPr>
          <w:noProof/>
        </w:rPr>
        <w:lastRenderedPageBreak/>
        <w:t>От гледна точка на добавената им стойност за ЕС Регламент (ЕС) № 345/2013 и Регламент (ЕС) № 346/2013 попълват съществувалата преди приемането им празнина в законодателството, като целта е да се осигури възможност на управителите на малки фондове да предлагат фондове на трансгранично равнище и да увеличават размера на небанковия капитал, достъпен за инвестиции в стартиращи и в социални предприятия. Регламентите осигуряват и допълнителна добавена стойност за ЕС, тъй като представляват „единен правилник“, чиято цел е да се гарантира, че инвеститорите разполагат с възможно най-добрата и най-сравнимата информация за целите на инвестирането както в EuVECA, така и в EuSEF в цяла Европа.</w:t>
      </w:r>
    </w:p>
    <w:p>
      <w:pPr>
        <w:pStyle w:val="ManualHeading2"/>
        <w:rPr>
          <w:rFonts w:eastAsia="Arial Unicode MS"/>
          <w:noProof/>
        </w:rPr>
      </w:pPr>
      <w:r>
        <w:rPr>
          <w:noProof/>
        </w:rPr>
        <w:t>•</w:t>
      </w:r>
      <w:r>
        <w:rPr>
          <w:noProof/>
        </w:rPr>
        <w:tab/>
        <w:t>Консултации със заинтересованите страни</w:t>
      </w:r>
    </w:p>
    <w:p>
      <w:pPr>
        <w:spacing w:before="0" w:after="240"/>
        <w:rPr>
          <w:noProof/>
        </w:rPr>
      </w:pPr>
      <w:r>
        <w:rPr>
          <w:noProof/>
        </w:rPr>
        <w:t>Настоящото предложение се основава на редица обществени консултации, а именно обществена консултация, стартирала със Зелената книга за изграждане на съюз на капиталовите пазари (18 февруари 2015 г. до 13 май 2015 г.), обществена консултация за преразглеждане на Регламент (ЕС) № 345/2013 и Регламент (ЕС) № 346/2013 (30 септември 2015 г. до 6 януари 2016 г.), обществена консултация, стартирала с поканата за представяне на мнения: Регулаторна рамка на ЕС за финансови услуги (30 септември 2015 г. до 31 януари 2016 г.) и целеви технически семинар (27 януари 2016 г.).</w:t>
      </w:r>
    </w:p>
    <w:p>
      <w:pPr>
        <w:spacing w:before="0" w:after="240"/>
        <w:rPr>
          <w:noProof/>
        </w:rPr>
      </w:pPr>
      <w:r>
        <w:rPr>
          <w:noProof/>
        </w:rPr>
        <w:t xml:space="preserve">Резултатите от консултациите предполагат, че е налице широка подкрепа за разширяване на обхвата по отношение на управителите, които имат право да управляват и предлагат фондове с обозначенията „EuVECA“ и „EuSEF“, чрез включване на управителите, получили разрешение съгласно член 6 от Директива 2011/61/ЕС. С настоящото предложение пазарът за EuVECA и EuSEF се отваря за управителите, получили разрешение съгласно Директивата относно ЛУАИФ, така че да могат да предлагат пълна гама от продукти на клиентите от държавата членка по произход и от други държави членки, което на свой ред ще увеличи навлизането на тези фондове като цяло. Тези управители ще трябва да продължат да отговарят на изискванията на Директивата относно ЛУАИФ, както и съответно да спазват определени правила от Регламент (ЕС) № 345/2013 и Регламент (ЕС) № 346/2013. </w:t>
      </w:r>
    </w:p>
    <w:p>
      <w:pPr>
        <w:rPr>
          <w:noProof/>
        </w:rPr>
      </w:pPr>
      <w:r>
        <w:rPr>
          <w:noProof/>
        </w:rPr>
        <w:t>Заинтересованите страни изразиха разнопосочни становища относно намаляването на минималната инвестиция от 100 000 EUR, изисквана от непрофесионалните инвеститори за инвестиране в EuVECA и EuSEF. Някои от участниците заявиха своята подкрепа за намаляване на този минимален праг за участие. Те предложиха да се разшири обхватът на потенциалните инвеститори, за да се увеличи изборът за непрофесионалните инвеститори. Според други участници профилът на риска, договорните задължения и неликвидният характер на инвестициите в рисков капитал и социални предприятия не е непременно подходящ за инвеститори на дребно с по-малък капитал. Други отбелязаха, че за да се подкрепи тази група инвеститори, биха били необходими допълнителни специални правила за защита на инвеститорите, разходите за които не биха компенсирали евентуалното разширяване на кръга от инвеститори. Портфейлният подход за индивидуални инвеститори, подобен на този от Регламент (ЕС) № 2015/760 относно Европейски фондове за дългосрочни инвестиции</w:t>
      </w:r>
      <w:r>
        <w:rPr>
          <w:rStyle w:val="FootnoteReference"/>
          <w:noProof/>
        </w:rPr>
        <w:footnoteReference w:id="12"/>
      </w:r>
      <w:r>
        <w:rPr>
          <w:noProof/>
        </w:rPr>
        <w:t xml:space="preserve">, беше посочен като пример за нивото на защита, което може да се изисква. Предвид горепосочените аргументи, в настоящото предложение се запазва прагът за участие от </w:t>
      </w:r>
      <w:r>
        <w:rPr>
          <w:noProof/>
        </w:rPr>
        <w:lastRenderedPageBreak/>
        <w:t>100 000 EUR поради следните причини: намалената минимална инвестиция би породила значителни рискове за защитата на инвеститорите и от своя страна би могла да подкопае доверието на инвеститорите в EuVECA и EuSEF. Понижаването на прага за инвестиции ще трябва неизбежно да бъде съчетано с допълнителни мерки за защита на инвеститорите на дребно, като и двете действия биха породили разходи и биха намалили крайната полза от по-гъвкавите режими за EuVECA и EuSEF.</w:t>
      </w:r>
    </w:p>
    <w:p>
      <w:pPr>
        <w:rPr>
          <w:noProof/>
        </w:rPr>
      </w:pPr>
      <w:r>
        <w:rPr>
          <w:noProof/>
        </w:rPr>
        <w:t>Непреките разходи на управителите за регистриране на EuVECA и EuSEF включват изискванията за собствените средства. Участниците подчертаха, че компетентните органи тълкуват по различен начин понятието „достатъчно собствени средства“, като някои от тях прилагат всички изисквания по отношение на управителите, получили разрешение съгласно Директивата относно ЛУАИФ. Участниците поставиха под въпрос също така съвместимостта на допълнителните такси, събирани от някои приемащи държави членки съгласно Регламент (ЕС) № 345/2013 и Регламент (ЕС) № 346/2013. В настоящото предложение решение на въпроса за свръхрегулирането се търси чрез отправеното до Европейския орган за ценни книжа и пазари („ЕОЦКП“) искане да разработи регулаторни технически стандарти относно методиките за определяне на размера на достатъчните собствени средства. Освен това в него се пояснява, че приемащите държави членки не могат да събират такси за трансгранични EuVECA и EuSEF.</w:t>
      </w:r>
    </w:p>
    <w:p>
      <w:pPr>
        <w:rPr>
          <w:noProof/>
        </w:rPr>
      </w:pPr>
      <w:r>
        <w:rPr>
          <w:noProof/>
        </w:rPr>
        <w:t xml:space="preserve">В Регламент (ЕС) № 345/2013 и Регламент (ЕС) № 346/2013 се забранява налагането на каквито и да било изисквания или административни процедури по отношение на предлагането на допустими фондове за рисков капитал в приемащите държави членки. С цел да се гарантира последователното спазване на забраната във всички държави членки в настоящия регламент изрично се предвижда, че приемащите държави членки не могат да налагат такси и други комисиони. </w:t>
      </w:r>
    </w:p>
    <w:p>
      <w:pPr>
        <w:rPr>
          <w:noProof/>
        </w:rPr>
      </w:pPr>
      <w:r>
        <w:rPr>
          <w:noProof/>
        </w:rPr>
        <w:t>В по-голямата част от отговорите се подкрепя разширяване на обхвата на активите, в които могат да инвестират EuVECA, с аргумента, че определението на предприятията, допустими да бъдат част от портфейл съгласно Регламент (ЕС) № 345/2013, е твърде ограничаващо. Причините за това включваха затрудненията на управителите при идентифицирането на достатъчни инвестиции в рамките на определението, както и привлекателността на последващите инвестиции. В отговорите се предлагаше също увеличаване на прага относно броя на служителите и премахване на ограниченията, свързани с оборота и счетоводния баланс. В настоящото предложение се разрешават инвестиции в предприятия с до 499 служители (малки предприятия със средна степен на капитализация). С това изменение се съгласува обхватът на допустимите инвестиции съгласно Регламент (ЕС) № 345/2013 с програмите за рисков капитал, управлявани от Европейския инвестиционен фонд и подкрепяни от финансови програми на ЕС, като например инструмента InnovFin. В допълнение, в настоящото предложение се дава възможност също така за инвестиции в малки и средни предприятия, търгувани на пазари за растеж на МСП, както е определено в Директива 2014/65/ЕС относно пазарите на финансови инструменти</w:t>
      </w:r>
      <w:r>
        <w:rPr>
          <w:rStyle w:val="FootnoteReference"/>
          <w:noProof/>
        </w:rPr>
        <w:footnoteReference w:id="13"/>
      </w:r>
      <w:r>
        <w:rPr>
          <w:noProof/>
        </w:rPr>
        <w:t xml:space="preserve">, за да се даде възможност на предприятията, които са достигнали етап на растеж и които вече имат достъп до други източници на финансиране, също да получават капитал от EuVECA. С настоящото предложение се дава възможност също така и за последващи инвестиции в дадено предприятие, което </w:t>
      </w:r>
      <w:r>
        <w:rPr>
          <w:noProof/>
        </w:rPr>
        <w:lastRenderedPageBreak/>
        <w:t>след първата инвестицията вече не отговаря на определението за предприятие, допустимо да бъде част от портфейл.</w:t>
      </w:r>
    </w:p>
    <w:p>
      <w:pPr>
        <w:pStyle w:val="ManualHeading2"/>
        <w:rPr>
          <w:rFonts w:eastAsia="Arial Unicode MS"/>
          <w:noProof/>
        </w:rPr>
      </w:pPr>
      <w:r>
        <w:rPr>
          <w:noProof/>
        </w:rPr>
        <w:t>•</w:t>
      </w:r>
      <w:r>
        <w:rPr>
          <w:noProof/>
        </w:rPr>
        <w:tab/>
        <w:t>Събиране и използване на експертни становища</w:t>
      </w:r>
    </w:p>
    <w:p>
      <w:pPr>
        <w:spacing w:before="0" w:after="240"/>
        <w:rPr>
          <w:rFonts w:eastAsia="Arial Unicode MS"/>
          <w:noProof/>
        </w:rPr>
      </w:pPr>
      <w:r>
        <w:rPr>
          <w:noProof/>
        </w:rPr>
        <w:t>Комисията използва информация, предоставена от ЕОЦКП. Комисията организира също така целеви технически семинар на 27 януари 2016 г., двустранни срещи и телеконференции със заинтересованите страни и използва статистически данни, предоставени от отраслови сдружения.</w:t>
      </w:r>
    </w:p>
    <w:p>
      <w:pPr>
        <w:pStyle w:val="ManualHeading2"/>
        <w:rPr>
          <w:rFonts w:eastAsia="Arial Unicode MS"/>
          <w:noProof/>
        </w:rPr>
      </w:pPr>
      <w:r>
        <w:rPr>
          <w:noProof/>
        </w:rPr>
        <w:t>•</w:t>
      </w:r>
      <w:r>
        <w:rPr>
          <w:noProof/>
        </w:rPr>
        <w:tab/>
        <w:t>Оценка на въздействието</w:t>
      </w:r>
    </w:p>
    <w:p>
      <w:pPr>
        <w:spacing w:before="0" w:after="240"/>
        <w:rPr>
          <w:noProof/>
        </w:rPr>
      </w:pPr>
      <w:r>
        <w:rPr>
          <w:noProof/>
        </w:rPr>
        <w:t xml:space="preserve">Настоящото предложение се придружава от доклад за оценката на въздействието, в който се разглеждат редица варианти на политиката, а именно дали да бъде разрешено на управителите, получили разрешение съгласно Директивата относно ЛУАИФ, да ползват обозначенията „EuVECA“ и „EuSEF“, дали да бъде разширено определението за предприятие, допустимо да бъде част от портфейл, в Регламент (ЕС ) № 345/2013, дали да бъде запазен минималният праг за участие и дали да бъдат определени административните процеси и допълнителните мерки, налагани от приемащите държави членки. </w:t>
      </w:r>
    </w:p>
    <w:p>
      <w:pPr>
        <w:spacing w:before="0" w:after="240"/>
        <w:rPr>
          <w:noProof/>
        </w:rPr>
      </w:pPr>
      <w:r>
        <w:rPr>
          <w:noProof/>
        </w:rPr>
        <w:t>На 13 май 2016 г. Комитетът за регулаторен контрол даде положително становище с препоръки за по-нататъшно подобряване на проекта на доклада за оценката на въздействието. Впоследствие проектът на доклада бе променен, за да бъдат отразени коментарите на Комитета</w:t>
      </w:r>
      <w:r>
        <w:rPr>
          <w:rStyle w:val="FootnoteReference"/>
          <w:noProof/>
        </w:rPr>
        <w:footnoteReference w:id="14"/>
      </w:r>
      <w:r>
        <w:rPr>
          <w:noProof/>
        </w:rPr>
        <w:t>. Основните промени бяха свързани с контекста и момента на законодателното преразглеждане, представянето на предпочитаните варианти и елементите за опростяване и икономиите на административни разходи. Преработеният доклад за оценка на въздействието и обобщението на доклада за оценката на въздействието се публикуват заедно с настоящото предложение.</w:t>
      </w:r>
      <w:r>
        <w:rPr>
          <w:rStyle w:val="FootnoteReference"/>
          <w:noProof/>
        </w:rPr>
        <w:footnoteReference w:id="15"/>
      </w:r>
    </w:p>
    <w:p>
      <w:pPr>
        <w:spacing w:before="0" w:after="240"/>
        <w:rPr>
          <w:noProof/>
        </w:rPr>
      </w:pPr>
      <w:r>
        <w:rPr>
          <w:noProof/>
        </w:rPr>
        <w:t>В таблицата по-долу е представено обобщение на различните избрани мерки заедно с оценка на въздействието им върху съответните заинтересовани страни, ползите и пропорционалността.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22"/>
        <w:gridCol w:w="2322"/>
        <w:gridCol w:w="2322"/>
        <w:gridCol w:w="2323"/>
      </w:tblGrid>
      <w:tr>
        <w:tc>
          <w:tcPr>
            <w:tcW w:w="2322" w:type="dxa"/>
            <w:shd w:val="clear" w:color="auto" w:fill="BFBFBF"/>
          </w:tcPr>
          <w:p>
            <w:pPr>
              <w:jc w:val="center"/>
              <w:rPr>
                <w:b/>
                <w:noProof/>
                <w:sz w:val="16"/>
                <w:szCs w:val="16"/>
              </w:rPr>
            </w:pPr>
            <w:r>
              <w:rPr>
                <w:b/>
                <w:noProof/>
                <w:sz w:val="16"/>
              </w:rPr>
              <w:t>Предпочитани варианти на политиката</w:t>
            </w:r>
          </w:p>
        </w:tc>
        <w:tc>
          <w:tcPr>
            <w:tcW w:w="2322" w:type="dxa"/>
            <w:shd w:val="clear" w:color="auto" w:fill="BFBFBF"/>
          </w:tcPr>
          <w:p>
            <w:pPr>
              <w:jc w:val="center"/>
              <w:rPr>
                <w:b/>
                <w:noProof/>
                <w:sz w:val="16"/>
                <w:szCs w:val="16"/>
              </w:rPr>
            </w:pPr>
            <w:r>
              <w:rPr>
                <w:b/>
                <w:noProof/>
                <w:sz w:val="16"/>
              </w:rPr>
              <w:t>Въздействия върху разходите</w:t>
            </w:r>
          </w:p>
        </w:tc>
        <w:tc>
          <w:tcPr>
            <w:tcW w:w="2322" w:type="dxa"/>
            <w:shd w:val="clear" w:color="auto" w:fill="BFBFBF"/>
          </w:tcPr>
          <w:p>
            <w:pPr>
              <w:jc w:val="center"/>
              <w:rPr>
                <w:b/>
                <w:noProof/>
                <w:sz w:val="16"/>
                <w:szCs w:val="16"/>
              </w:rPr>
            </w:pPr>
            <w:r>
              <w:rPr>
                <w:b/>
                <w:noProof/>
                <w:sz w:val="16"/>
              </w:rPr>
              <w:t>Ползи за управителите, управляващи EuVECA и EuSEF, инвеститорите и предприятията, които са част от портфейл</w:t>
            </w:r>
          </w:p>
        </w:tc>
        <w:tc>
          <w:tcPr>
            <w:tcW w:w="2323" w:type="dxa"/>
            <w:shd w:val="clear" w:color="auto" w:fill="BFBFBF"/>
          </w:tcPr>
          <w:p>
            <w:pPr>
              <w:jc w:val="center"/>
              <w:rPr>
                <w:b/>
                <w:noProof/>
                <w:sz w:val="16"/>
                <w:szCs w:val="16"/>
              </w:rPr>
            </w:pPr>
            <w:r>
              <w:rPr>
                <w:b/>
                <w:noProof/>
                <w:sz w:val="16"/>
              </w:rPr>
              <w:t>Пропорционалност</w:t>
            </w:r>
          </w:p>
        </w:tc>
      </w:tr>
      <w:tr>
        <w:tc>
          <w:tcPr>
            <w:tcW w:w="2322" w:type="dxa"/>
            <w:shd w:val="clear" w:color="auto" w:fill="FFFFFF"/>
          </w:tcPr>
          <w:p>
            <w:pPr>
              <w:rPr>
                <w:noProof/>
                <w:sz w:val="16"/>
                <w:szCs w:val="16"/>
              </w:rPr>
            </w:pPr>
            <w:r>
              <w:rPr>
                <w:noProof/>
                <w:sz w:val="16"/>
              </w:rPr>
              <w:t>Управителите, получили разрешение съгласно Директивата относно ЛУАИФ, получават възможност да използват обозначенията</w:t>
            </w:r>
            <w:r>
              <w:rPr>
                <w:noProof/>
              </w:rPr>
              <w:t xml:space="preserve"> </w:t>
            </w:r>
            <w:r>
              <w:rPr>
                <w:noProof/>
                <w:sz w:val="16"/>
              </w:rPr>
              <w:t>„EuVECA“ и „EuSEF“.</w:t>
            </w:r>
          </w:p>
          <w:p>
            <w:pPr>
              <w:rPr>
                <w:noProof/>
                <w:sz w:val="16"/>
                <w:szCs w:val="16"/>
              </w:rPr>
            </w:pPr>
            <w:r>
              <w:rPr>
                <w:noProof/>
                <w:sz w:val="16"/>
              </w:rPr>
              <w:t xml:space="preserve">В Регламент (ЕС) № 345/2013 се разширява определението за предприятие, допустимо да бъде част от портфейл. </w:t>
            </w:r>
          </w:p>
          <w:p>
            <w:pPr>
              <w:rPr>
                <w:noProof/>
                <w:sz w:val="16"/>
                <w:szCs w:val="16"/>
              </w:rPr>
            </w:pPr>
            <w:r>
              <w:rPr>
                <w:noProof/>
                <w:sz w:val="16"/>
              </w:rPr>
              <w:t xml:space="preserve">Запазва се минималната </w:t>
            </w:r>
            <w:r>
              <w:rPr>
                <w:noProof/>
                <w:sz w:val="16"/>
              </w:rPr>
              <w:lastRenderedPageBreak/>
              <w:t>инвестиция от 100 000 EUR.</w:t>
            </w:r>
          </w:p>
          <w:p>
            <w:pPr>
              <w:rPr>
                <w:b/>
                <w:noProof/>
                <w:sz w:val="16"/>
                <w:szCs w:val="16"/>
              </w:rPr>
            </w:pPr>
            <w:r>
              <w:rPr>
                <w:noProof/>
                <w:sz w:val="16"/>
              </w:rPr>
              <w:t>Изрични разпоредби в Регламент (ЕС) № 345/2013 и Регламент (ЕС) № 346/2013 за избягване на тежки административни процедури и допълнителни мерки (включително такси, налагани от приемащите държави членки), както и непропорционални изисквания, налагани от държавите членки по произход.</w:t>
            </w:r>
          </w:p>
        </w:tc>
        <w:tc>
          <w:tcPr>
            <w:tcW w:w="2322" w:type="dxa"/>
            <w:shd w:val="clear" w:color="auto" w:fill="FFFFFF"/>
          </w:tcPr>
          <w:p>
            <w:pPr>
              <w:rPr>
                <w:noProof/>
                <w:sz w:val="16"/>
                <w:szCs w:val="16"/>
              </w:rPr>
            </w:pPr>
            <w:r>
              <w:rPr>
                <w:noProof/>
                <w:sz w:val="16"/>
              </w:rPr>
              <w:lastRenderedPageBreak/>
              <w:t>Тъй като основните характеристики на режима са запазени, няма да има допълнителни разходи за управителите на активи.</w:t>
            </w:r>
          </w:p>
          <w:p>
            <w:pPr>
              <w:rPr>
                <w:noProof/>
                <w:sz w:val="16"/>
                <w:szCs w:val="16"/>
              </w:rPr>
            </w:pPr>
            <w:r>
              <w:rPr>
                <w:noProof/>
                <w:sz w:val="16"/>
              </w:rPr>
              <w:t>Вероятно е разходите да бъдат по-ниски в сравнение със сегашната ситуация, тъй като в адаптираните правила ще бъде изрично определено как да бъде постигната пропорционалност при изискванията.</w:t>
            </w:r>
          </w:p>
          <w:p>
            <w:pPr>
              <w:rPr>
                <w:noProof/>
                <w:sz w:val="16"/>
                <w:szCs w:val="16"/>
              </w:rPr>
            </w:pPr>
            <w:r>
              <w:rPr>
                <w:noProof/>
                <w:sz w:val="16"/>
              </w:rPr>
              <w:lastRenderedPageBreak/>
              <w:t>Възможността, която се дава на управителите, получили разрешение съгласно Директивата относно ЛУАИФ, да използват обозначенията</w:t>
            </w:r>
            <w:r>
              <w:rPr>
                <w:noProof/>
              </w:rPr>
              <w:t xml:space="preserve"> </w:t>
            </w:r>
            <w:r>
              <w:rPr>
                <w:noProof/>
                <w:sz w:val="16"/>
              </w:rPr>
              <w:t>„EuVECA“ и „EuSEF“, вероятно ще има положително въздействие върху таксите, плащани от инвеститорите на управителите, тъй като управителите, получили разрешение съгласно Директивата относно ЛУАИФ, разчитат на повече икономии от мащаба.</w:t>
            </w:r>
          </w:p>
          <w:p>
            <w:pPr>
              <w:rPr>
                <w:noProof/>
                <w:sz w:val="16"/>
                <w:szCs w:val="16"/>
              </w:rPr>
            </w:pPr>
            <w:r>
              <w:rPr>
                <w:noProof/>
                <w:sz w:val="16"/>
              </w:rPr>
              <w:t xml:space="preserve">Запазването на прага от 100 000 EUR гарантира също така, че няма да има нови изисквания за защита на потребителите, като например депозитарни или диверсификационни правила. В противен случай те биха довели до увеличаване на разходите за управителите на активи и косвено нарастване на таксите, плащани от инвеститорите. </w:t>
            </w:r>
          </w:p>
          <w:p>
            <w:pPr>
              <w:rPr>
                <w:noProof/>
                <w:sz w:val="16"/>
                <w:szCs w:val="16"/>
              </w:rPr>
            </w:pPr>
          </w:p>
          <w:p>
            <w:pPr>
              <w:rPr>
                <w:noProof/>
                <w:sz w:val="16"/>
                <w:szCs w:val="16"/>
              </w:rPr>
            </w:pPr>
            <w:r>
              <w:rPr>
                <w:noProof/>
                <w:sz w:val="16"/>
              </w:rPr>
              <w:t>Няма въздействие върху бюджета на ЕС.</w:t>
            </w:r>
          </w:p>
          <w:p>
            <w:pPr>
              <w:rPr>
                <w:noProof/>
                <w:sz w:val="16"/>
                <w:szCs w:val="16"/>
              </w:rPr>
            </w:pPr>
          </w:p>
          <w:p>
            <w:pPr>
              <w:rPr>
                <w:noProof/>
                <w:sz w:val="16"/>
                <w:szCs w:val="16"/>
              </w:rPr>
            </w:pPr>
          </w:p>
        </w:tc>
        <w:tc>
          <w:tcPr>
            <w:tcW w:w="2322" w:type="dxa"/>
            <w:shd w:val="clear" w:color="auto" w:fill="FFFFFF"/>
          </w:tcPr>
          <w:p>
            <w:pPr>
              <w:rPr>
                <w:noProof/>
                <w:sz w:val="16"/>
                <w:szCs w:val="16"/>
              </w:rPr>
            </w:pPr>
            <w:r>
              <w:rPr>
                <w:noProof/>
                <w:sz w:val="16"/>
              </w:rPr>
              <w:lastRenderedPageBreak/>
              <w:t>Основните характеристики на режима са запазени за управителите на малки по размер активи и ще бъдат допълнително подсилени.</w:t>
            </w:r>
          </w:p>
          <w:p>
            <w:pPr>
              <w:rPr>
                <w:noProof/>
                <w:sz w:val="16"/>
                <w:szCs w:val="16"/>
              </w:rPr>
            </w:pPr>
            <w:r>
              <w:rPr>
                <w:noProof/>
                <w:sz w:val="16"/>
              </w:rPr>
              <w:t>Запазен е балансираният подход между защитата на инвеститорите и по-ниските разходи и гъвкавостта на режима.</w:t>
            </w:r>
          </w:p>
          <w:p>
            <w:pPr>
              <w:rPr>
                <w:noProof/>
                <w:sz w:val="16"/>
                <w:szCs w:val="16"/>
              </w:rPr>
            </w:pPr>
            <w:r>
              <w:rPr>
                <w:noProof/>
                <w:sz w:val="16"/>
              </w:rPr>
              <w:t>Няма допълнителни рискове за инвеститорите.</w:t>
            </w:r>
          </w:p>
          <w:p>
            <w:pPr>
              <w:rPr>
                <w:noProof/>
                <w:sz w:val="16"/>
                <w:szCs w:val="16"/>
              </w:rPr>
            </w:pPr>
            <w:r>
              <w:rPr>
                <w:noProof/>
                <w:sz w:val="16"/>
              </w:rPr>
              <w:lastRenderedPageBreak/>
              <w:t>Управителите, получили разрешение съгласно Директивата относно ЛУАИФ, ще се възползват от нормативната уредба на EuVECA и EuSEF и ще могат да предлагат EuVECA и EuSEF на професионални инвеститори и други инвеститори, които са в състояние да вложат 100 000 EUR. Те могат да се насочат също така към институционални инвеститори, като застрахователни дружества, които вече имат стимул да инвестират в тази рамка относно фондовете по линия на делегираните актове за Платежоспособност II.</w:t>
            </w:r>
          </w:p>
          <w:p>
            <w:pPr>
              <w:rPr>
                <w:noProof/>
                <w:sz w:val="16"/>
                <w:szCs w:val="16"/>
              </w:rPr>
            </w:pPr>
            <w:r>
              <w:rPr>
                <w:noProof/>
                <w:sz w:val="16"/>
              </w:rPr>
              <w:t>Тъй като все повече управители на активи ще могат да използват обозначенията</w:t>
            </w:r>
            <w:r>
              <w:rPr>
                <w:noProof/>
              </w:rPr>
              <w:t xml:space="preserve"> </w:t>
            </w:r>
            <w:r>
              <w:rPr>
                <w:noProof/>
                <w:sz w:val="16"/>
              </w:rPr>
              <w:t>„EuVECA“ и „EuSEF“, това от своя страна ще има положително въздействие върху инвестициите в МСП, малки предприятия със средна капитализация и социални предприятия.</w:t>
            </w:r>
          </w:p>
          <w:p>
            <w:pPr>
              <w:rPr>
                <w:noProof/>
                <w:sz w:val="16"/>
                <w:szCs w:val="16"/>
              </w:rPr>
            </w:pPr>
            <w:r>
              <w:rPr>
                <w:noProof/>
                <w:sz w:val="16"/>
              </w:rPr>
              <w:t>Разширяването на определението за предприятие, допустимо да бъде част от портфейл, за да бъдат включени в него по-големи субекти, ще позволи диверсифициране на портфейлите на EuVECA и ще осигури достъп на малките предприятия със средна капитализация до финансиране от EuVECA.</w:t>
            </w:r>
          </w:p>
          <w:p>
            <w:pPr>
              <w:rPr>
                <w:noProof/>
                <w:sz w:val="16"/>
                <w:szCs w:val="16"/>
              </w:rPr>
            </w:pPr>
            <w:r>
              <w:rPr>
                <w:noProof/>
                <w:sz w:val="16"/>
              </w:rPr>
              <w:t>Разширяването на определението на предприятие, допустимо да бъде част от портфейл, в Регламент (ЕС) № 345/2013 чрез възможността за инвестиции в пазари за растеж на МСП ще насърчи развитието на тези пазари.</w:t>
            </w:r>
          </w:p>
          <w:p>
            <w:pPr>
              <w:rPr>
                <w:noProof/>
                <w:sz w:val="16"/>
                <w:szCs w:val="16"/>
              </w:rPr>
            </w:pPr>
            <w:r>
              <w:rPr>
                <w:noProof/>
                <w:sz w:val="16"/>
              </w:rPr>
              <w:t>Инвеститорите ще имат достъп до портфейли на EuVECA с по-голяма диверсификация и потенциално по-нисък риск.</w:t>
            </w:r>
          </w:p>
          <w:p>
            <w:pPr>
              <w:rPr>
                <w:noProof/>
                <w:sz w:val="16"/>
                <w:szCs w:val="16"/>
              </w:rPr>
            </w:pPr>
            <w:r>
              <w:rPr>
                <w:noProof/>
                <w:sz w:val="16"/>
              </w:rPr>
              <w:t>Ще бъде намалена административната тежест за управителите на EuVECA и EuSEF.</w:t>
            </w:r>
          </w:p>
          <w:p>
            <w:pPr>
              <w:rPr>
                <w:b/>
                <w:noProof/>
                <w:sz w:val="16"/>
                <w:szCs w:val="16"/>
              </w:rPr>
            </w:pPr>
            <w:r>
              <w:rPr>
                <w:noProof/>
                <w:sz w:val="16"/>
                <w:szCs w:val="16"/>
              </w:rPr>
              <w:t xml:space="preserve">Предпочитаните варианти са съгласувани с други законодателни актове и инициативи, по-специално Директивата относно ЛУАИФ, пазарите за растеж на МСП съгласно Директива </w:t>
            </w:r>
            <w:r>
              <w:rPr>
                <w:noProof/>
                <w:sz w:val="16"/>
                <w:szCs w:val="16"/>
              </w:rPr>
              <w:lastRenderedPageBreak/>
              <w:t>2014/65/ЕС и СКП, и укрепват програмите на ЕС за финансиране, включително програмата за конкурентоспособност на предприятията и МСП (COSME), „Хоризонт 2020“ и Европейския фонд за стратегически инвестиции.</w:t>
            </w:r>
            <w:r>
              <w:rPr>
                <w:b/>
                <w:noProof/>
                <w:sz w:val="16"/>
                <w:szCs w:val="16"/>
              </w:rPr>
              <w:t xml:space="preserve"> </w:t>
            </w:r>
          </w:p>
        </w:tc>
        <w:tc>
          <w:tcPr>
            <w:tcW w:w="2323" w:type="dxa"/>
            <w:shd w:val="clear" w:color="auto" w:fill="FFFFFF"/>
          </w:tcPr>
          <w:p>
            <w:pPr>
              <w:rPr>
                <w:noProof/>
                <w:sz w:val="16"/>
                <w:szCs w:val="16"/>
              </w:rPr>
            </w:pPr>
            <w:r>
              <w:rPr>
                <w:noProof/>
                <w:sz w:val="16"/>
              </w:rPr>
              <w:lastRenderedPageBreak/>
              <w:t xml:space="preserve">Предпочитаните варианти са съобразени с принципа на пропорционалност, както е предвиден в член 5, параграф 4 от Договора за ЕС, като са достатъчни за постигането на целите и не надхвърлят необходимото за това. </w:t>
            </w:r>
          </w:p>
          <w:p>
            <w:pPr>
              <w:rPr>
                <w:noProof/>
                <w:sz w:val="16"/>
                <w:szCs w:val="16"/>
              </w:rPr>
            </w:pPr>
            <w:r>
              <w:rPr>
                <w:noProof/>
                <w:sz w:val="16"/>
              </w:rPr>
              <w:t xml:space="preserve">Чрез избраните варианти на политиката се цели постигане на баланс между обществения интерес, защитата на инвеститорите, съображенията за безопасност </w:t>
            </w:r>
            <w:r>
              <w:rPr>
                <w:noProof/>
                <w:sz w:val="16"/>
              </w:rPr>
              <w:lastRenderedPageBreak/>
              <w:t xml:space="preserve">и доверие, както и свързаните разходи. Ненужното утежняване се избягва. </w:t>
            </w:r>
          </w:p>
          <w:p>
            <w:pPr>
              <w:rPr>
                <w:noProof/>
                <w:sz w:val="16"/>
                <w:szCs w:val="16"/>
              </w:rPr>
            </w:pPr>
            <w:r>
              <w:rPr>
                <w:noProof/>
                <w:sz w:val="16"/>
              </w:rPr>
              <w:t>Предложените правила не надхвърлят необходимото за постигане на обща нормативна уредба за средствата от EuVECA и EuSEF. Те са внимателно разгледани и предназначени да подкрепят специфичните особености, потенциала за растеж и новаторството на секторите на EuVECA и EuSEF.</w:t>
            </w:r>
          </w:p>
          <w:p>
            <w:pPr>
              <w:rPr>
                <w:noProof/>
                <w:sz w:val="16"/>
                <w:szCs w:val="16"/>
              </w:rPr>
            </w:pPr>
          </w:p>
        </w:tc>
      </w:tr>
    </w:tbl>
    <w:p>
      <w:pPr>
        <w:pStyle w:val="ManualHeading2"/>
        <w:rPr>
          <w:rFonts w:eastAsia="Arial Unicode MS"/>
          <w:noProof/>
        </w:rPr>
      </w:pPr>
      <w:r>
        <w:rPr>
          <w:noProof/>
        </w:rPr>
        <w:lastRenderedPageBreak/>
        <w:t>•</w:t>
      </w:r>
      <w:r>
        <w:rPr>
          <w:noProof/>
        </w:rPr>
        <w:tab/>
        <w:t>Пригодност и опростяване на законодателството</w:t>
      </w:r>
    </w:p>
    <w:p>
      <w:pPr>
        <w:rPr>
          <w:noProof/>
        </w:rPr>
      </w:pPr>
      <w:r>
        <w:rPr>
          <w:noProof/>
        </w:rPr>
        <w:t xml:space="preserve">Регламент (ЕС) № 345/2013 и Регламент (ЕС) № 346/2013 съдържат нормативна уредба за доброволни фондове, така че прилагането на регламентите зависи от това дали заинтересованите страни желаят да създадат такива механизми за осигуряване на средства. С настоящото предложение се намалява ненужната тежест и разходите за управителите, които желаят да създадат EuVECA и EuSEF. </w:t>
      </w:r>
    </w:p>
    <w:p>
      <w:pPr>
        <w:pStyle w:val="Text1"/>
        <w:ind w:left="0"/>
        <w:rPr>
          <w:noProof/>
        </w:rPr>
      </w:pPr>
      <w:r>
        <w:rPr>
          <w:noProof/>
        </w:rPr>
        <w:t xml:space="preserve">Управителите на EuVECA и EuSEF понастоящем подлежат на регистрация съгласно Регламент (ЕС) № 345/2013 или Регламент (ЕС) № 346/2013 и Директива 2011/61/ЕС. С настоящото предложение се избягват такива дублиращи се изисквания. Прегледът на Регламент (ЕС) № 345/2013 и Регламент (ЕС) № 346/2013 показва, че за един и същ размер на фонда достатъчните собствени средства могат да варират в различните държави членки от 6500 EUR до 125 000 EUR, като горният праг е в съответствие с всички капиталови изисквания за управителите, получили разрешение съгласно Директивата относно ЛУАИФ. За да се избегне такова прекомерно регулиране, в настоящото предложение се посочва, че методиките за определяне на размера на достатъчните собствени средства следва да бъдат разработени от ЕОЦКП в регулаторни технически стандарти. В допълнение към това прегледът също така показва, че някои компетентни органи събират такси за предлагане на пазара на трансгранични EuVECA и EuSEF на тяхна територия. Годишните такси варират от 300 EUR до 3000 EUR, като нивата са същите, както за трансграничните алтернативни инвестиционни фондове, които се предлагат от управителите, получили разрешение съгласно Директивата относно ЛУАИФ. Освен това към началния момент предлагането на фондовете на трансгранично равнище някои приемащи държави членки налагат и еднократни такси, вариращи от 300 EUR до 3000 EUR. В настоящото предложение тази практика се забранява. </w:t>
      </w:r>
    </w:p>
    <w:p>
      <w:pPr>
        <w:pStyle w:val="Text1"/>
        <w:ind w:left="0"/>
        <w:rPr>
          <w:noProof/>
        </w:rPr>
      </w:pPr>
      <w:r>
        <w:rPr>
          <w:noProof/>
        </w:rPr>
        <w:t>В това отношение в доклада за оценката на въздействието се предлага икономия на приблизително 40 500 EUR на година за един EuVECA или EuSEF, предлаган в 27 държави членки, и спестени разходи на стойност общо 32 милиона евро за пет години за всички нови фондове EuVECA.</w:t>
      </w:r>
    </w:p>
    <w:p>
      <w:pPr>
        <w:pStyle w:val="Text1"/>
        <w:ind w:left="0"/>
        <w:rPr>
          <w:rFonts w:eastAsia="Arial Unicode MS"/>
          <w:noProof/>
        </w:rPr>
      </w:pPr>
      <w:r>
        <w:rPr>
          <w:noProof/>
        </w:rPr>
        <w:t>•</w:t>
      </w:r>
      <w:r>
        <w:rPr>
          <w:noProof/>
        </w:rPr>
        <w:tab/>
      </w:r>
      <w:r>
        <w:rPr>
          <w:b/>
          <w:noProof/>
        </w:rPr>
        <w:t>Основни права</w:t>
      </w:r>
    </w:p>
    <w:p>
      <w:pPr>
        <w:rPr>
          <w:noProof/>
        </w:rPr>
      </w:pPr>
      <w:r>
        <w:rPr>
          <w:noProof/>
        </w:rPr>
        <w:t>Настоящият регламент зачита основните права и спазва принципите, признати в Хартата на основните права на Европейския съюз. Той е в съответствие с член 16 относно свободата на стопанската инициатива, тъй като отваря пазара за фондовете с обозначение „EuVECA“ и „EuSEF“ за други регулирани управители. С него се утвърждава член 47 относно правото на правни средства за защита и на справедлив съдебен процес, тъй като гарантира правото на обжалване пред съдилищата, включително в случаи, при които не е взето решение от компетентните органи.</w:t>
      </w:r>
    </w:p>
    <w:p>
      <w:pPr>
        <w:rPr>
          <w:noProof/>
        </w:rPr>
      </w:pPr>
      <w:r>
        <w:rPr>
          <w:noProof/>
        </w:rPr>
        <w:t>Настоящият регламент трябва да се прилага в съответствие с тези права и принципи.</w:t>
      </w:r>
    </w:p>
    <w:p>
      <w:pPr>
        <w:pStyle w:val="ManualHeading1"/>
        <w:rPr>
          <w:noProof/>
        </w:rPr>
      </w:pPr>
      <w:r>
        <w:rPr>
          <w:noProof/>
        </w:rPr>
        <w:lastRenderedPageBreak/>
        <w:t>4.</w:t>
      </w:r>
      <w:r>
        <w:rPr>
          <w:noProof/>
        </w:rPr>
        <w:tab/>
        <w:t>ОТРАЖЕНИЕ ВЪРХУ БЮДЖЕТА</w:t>
      </w:r>
    </w:p>
    <w:p>
      <w:pPr>
        <w:rPr>
          <w:noProof/>
        </w:rPr>
      </w:pPr>
      <w:r>
        <w:rPr>
          <w:noProof/>
        </w:rPr>
        <w:t>Настоящото предложение няма отражение върху бюджета на Европейския съюз.</w:t>
      </w:r>
    </w:p>
    <w:p>
      <w:pPr>
        <w:pStyle w:val="ManualHeading1"/>
        <w:rPr>
          <w:noProof/>
        </w:rPr>
      </w:pPr>
      <w:r>
        <w:rPr>
          <w:noProof/>
        </w:rPr>
        <w:t>5.</w:t>
      </w:r>
      <w:r>
        <w:rPr>
          <w:noProof/>
        </w:rPr>
        <w:tab/>
        <w:t>ДРУГИ ЕЛЕМЕНТИ</w:t>
      </w:r>
    </w:p>
    <w:p>
      <w:pPr>
        <w:pStyle w:val="ManualHeading2"/>
        <w:rPr>
          <w:rFonts w:eastAsia="Arial Unicode MS"/>
          <w:noProof/>
        </w:rPr>
      </w:pPr>
      <w:r>
        <w:rPr>
          <w:noProof/>
        </w:rPr>
        <w:t>•</w:t>
      </w:r>
      <w:r>
        <w:rPr>
          <w:noProof/>
        </w:rPr>
        <w:tab/>
        <w:t>Планове за изпълнение и уредба за мониторинг, оценка и докладване</w:t>
      </w:r>
    </w:p>
    <w:p>
      <w:pPr>
        <w:rPr>
          <w:noProof/>
        </w:rPr>
      </w:pPr>
      <w:r>
        <w:rPr>
          <w:noProof/>
        </w:rPr>
        <w:t xml:space="preserve">Изменените Регламент (ЕС) № 345/2013 и Регламент (ЕС) № 346/2013 ще бъдат оценени четири години след влизането им в сила. </w:t>
      </w:r>
    </w:p>
    <w:p>
      <w:pPr>
        <w:rPr>
          <w:noProof/>
        </w:rPr>
      </w:pPr>
      <w:r>
        <w:rPr>
          <w:noProof/>
        </w:rPr>
        <w:t xml:space="preserve">Мониторингът и оценката ще бъдат съсредоточени върху четири въпроса: i) дали изменената нормативна уредба е привлекателна за управителите, получили разрешение съгласно Директивата относно ЛУАИФ, да предлагат EuVECA и EuSEF, ii) дали нормативната уредба е допринесла за увеличаване на активите, които се управляват в EuVECA и EuSEF, и по-общо за активите, инвестирани в дружества за рисков капитал и социално въздействие, iii) дали изменените критерии за предприятията, допустими да бъдат част от портфейл, са довели до увеличение на набирания капитал и на инвестициите, предприети от EuVECA, и iv) дали изричните разпоредби относно забраната за приемащите държави членки да налагат такси и да определят достатъчните собствени средства са намалили административните и пазарните разходи на EuVECA и EuSEF. </w:t>
      </w:r>
    </w:p>
    <w:p>
      <w:pPr>
        <w:rPr>
          <w:noProof/>
        </w:rPr>
      </w:pPr>
      <w:r>
        <w:rPr>
          <w:noProof/>
        </w:rPr>
        <w:t>Показателите за този мониторинг ще включват i) общи данни за секторите на рисков капитал и капитал за социално въздействие в ЕС, включително фондовете за рисков капитал и капитал за социално въздействие, които не са EuVECA или EuSEF, ii) брой на EuVECA и EuSEF и брой на управителите, получили разрешение съгласно Директивата относно ЛУАИФ, управляващи и предлагащи EuVECA и EuSEF, както и брой на управителите на EuVECA и EuSEF, регистрирани в съответствие с Регламент (ЕС) № 345/2013 и Регламент (ЕС) № 346/2013, iii) стойност на активите, управлявани в EuVECA и EuSEF, и средния размер на тези фондове, iv) разходи за предлагане на трансгранични EuVECA и EuSEF, v) съгласуваност на нивото на собствените средства, притежавани от управители на EuVECA и EuSEF, и vi) разходи за създаване на фондове. Мониторингът ще се осъществява в сътрудничество с ЕОЦКП, на който е възложена задачата да поддържа регистър на EuVECA и EuSEF и на управителите на EuVECA и EuSEF, както и въз основа на докладването съгласно Директивата относно ЛУАИФ, когато такова се извършва. Търговските данни и докладите, засягащи EuVECA и EuSEF и дружествата за рисков капитал и за социално въздействие в ЕС, също ще бъдат преглеждани, за да бъде отразено въздействието на EuVECA и EuSEF в по-широка перспектива.</w:t>
      </w:r>
    </w:p>
    <w:p>
      <w:pPr>
        <w:pStyle w:val="ManualHeading2"/>
        <w:rPr>
          <w:rFonts w:eastAsia="Arial Unicode MS"/>
          <w:noProof/>
        </w:rPr>
      </w:pPr>
      <w:r>
        <w:rPr>
          <w:noProof/>
        </w:rPr>
        <w:t>•</w:t>
      </w:r>
      <w:r>
        <w:rPr>
          <w:noProof/>
        </w:rPr>
        <w:tab/>
        <w:t>Подробно разяснение на конкретни разпоредби на предложението</w:t>
      </w:r>
    </w:p>
    <w:p>
      <w:pPr>
        <w:spacing w:before="0" w:after="240"/>
        <w:rPr>
          <w:noProof/>
        </w:rPr>
      </w:pPr>
      <w:r>
        <w:rPr>
          <w:noProof/>
        </w:rPr>
        <w:t xml:space="preserve">В член 1, точка 1) и член 2, точка 1) се дава възможност на управителите на предприятия за колективно инвестиране, получили разрешение съгласно член 6 от Директива 2011/61/ЕС, които управляват портфейли от допустими фондове за рисков капитал и допустими фондове за социално предприемачество, да използват обозначенията „EuVECA“ и „EuSEF“ съответно във връзка с предлагането на тези фондове на пазара в Съюза. Тези управители ще трябва да регистрират своите EuVECA и EuSEF и да спазват специфичните разпоредби, предвидени съответно в Регламент (ЕС) № 345/2013 или Регламент (ЕС) № 346/2013, по-специално прага от 30 % за инвестиции, които не са допустими, правилата за допустимите инвеститори, </w:t>
      </w:r>
      <w:r>
        <w:rPr>
          <w:noProof/>
        </w:rPr>
        <w:lastRenderedPageBreak/>
        <w:t xml:space="preserve">специалното оповестяване пред инвеститорите и уведомленията. Управителите на EuSEF ще трябва да изпълняват също така разпоредбите, определящи процедурите за измерване на степента, до която предприятията, допустими да бъдат част от портфейл, в които тези фондове инвестират, постигат измеримо положително социално въздействие. </w:t>
      </w:r>
    </w:p>
    <w:p>
      <w:pPr>
        <w:spacing w:before="0" w:after="240"/>
        <w:rPr>
          <w:noProof/>
        </w:rPr>
      </w:pPr>
      <w:r>
        <w:rPr>
          <w:noProof/>
        </w:rPr>
        <w:t xml:space="preserve">В член 1, точка 2) се променя определението за предприятие, допустимо да бъде част от портфейл, дадено в Регламент (ЕС) № 345/2013, и се включват както нетъргувани предприятия, които имат до 499 наети лица, така и малки и средни предприятия, търгувани на пазар за растеж на МСП, които са определени в член 4, параграф 1, точки 12) и 13) от Директива 2014/65/ЕС. В тази точка се разрешават също така последващи инвестиции в предприятия, допустими да бъдат част от портфейл, а именно предприятия, които не отговарят на критериите на определението, но са ги изпълнили към момента на първата инвестиция от допустим фонд за рисков капитал в тях. В член 1, точка 2) и член 2, точка 2) се променя определението за компетентен орган и определението за държава членка по произход. </w:t>
      </w:r>
    </w:p>
    <w:p>
      <w:pPr>
        <w:spacing w:before="0" w:after="240"/>
        <w:rPr>
          <w:noProof/>
        </w:rPr>
      </w:pPr>
      <w:r>
        <w:rPr>
          <w:noProof/>
        </w:rPr>
        <w:t>В член 1, точка 3) и член 2, точка 3) на ЕОЦКП се възлага разработването на проекти на регулаторни технически стандарти, в които се уточняват методиките за определяне на размера на достатъчните собствени средства. В методиките трябва да се прави разлика между вътрешно и външно управлявани EuVECA и EuSEF, да се вземат под внимание размерът и вътрешната организация при управителите, регистрирани в съответствие с Регламент (ЕС) № 345/2013 или Регламент (ЕС) № 346/2013, и управителите, получили разрешение съгласно член 6 от Директива 2011/61/ЕС, и да се гарантира, че сумите, които представляват достатъчни собствени средства, не надвишават сумите, предвидени в член 9 от Директива 2011/61/ЕС.</w:t>
      </w:r>
    </w:p>
    <w:p>
      <w:pPr>
        <w:spacing w:before="0" w:after="240"/>
        <w:rPr>
          <w:noProof/>
        </w:rPr>
      </w:pPr>
      <w:r>
        <w:rPr>
          <w:noProof/>
        </w:rPr>
        <w:t>Целта на член 1, точка 4 и член 2, точка 4) е да се рационализира процесът на регистрация. На първо място, в разпоредбите се установява, че компетентният орган на държавата членка по произход информира управителите дали са били регистрирани не по-късно от два месеца след като са предоставили цялата необходима информация. На второ място, целта на разпоредбите е да се избегне дублиране на процеса на регистрация съгласно Регламент (ЕС) № 345/2013 или Регламент (ЕС) № 346/2013 и Директива 2011/61/ЕС.</w:t>
      </w:r>
    </w:p>
    <w:p>
      <w:pPr>
        <w:spacing w:before="0" w:after="240"/>
        <w:rPr>
          <w:noProof/>
        </w:rPr>
      </w:pPr>
      <w:r>
        <w:rPr>
          <w:noProof/>
        </w:rPr>
        <w:t xml:space="preserve">В член 1, точка 5) и член 2, точка 5) се определят условията за регистрация на EuVECA и EuSEF от управители, получили разрешение съгласно член 6 от Директива 2011/61/ЕС. С настоящия регламент се разрешава регистрацията на EuVECA и EuSEF от тези управители в държави членки, различни от държавите членки, в които същите са получили разрешение. В точка 5) се гарантира, че всеки отказ или непредприемане на действие за регистриране на управители или EuVECA и EuSEF трябва да бъдат обосновани, за тях трябва да бъде отправено уведомление и да е налице право на обжалване пред съда. </w:t>
      </w:r>
    </w:p>
    <w:p>
      <w:pPr>
        <w:spacing w:before="0" w:after="240"/>
        <w:rPr>
          <w:noProof/>
        </w:rPr>
      </w:pPr>
      <w:r>
        <w:rPr>
          <w:noProof/>
        </w:rPr>
        <w:t xml:space="preserve">В член 1, точка 6) и член 2, точка 6) изрично се предвижда, че не могат да бъдат налагани такси и други комисиони от компетентните органи на приемащите държави членки по отношение на трансграничното предлагане на EuVECA и EuSEF. С тях се разширява също така обхватът на трансграничното уведомяване между националните </w:t>
      </w:r>
      <w:r>
        <w:rPr>
          <w:noProof/>
        </w:rPr>
        <w:lastRenderedPageBreak/>
        <w:t>надзорни органи по отношение на EuVECA и EuSEF, регистрирани и предлагани от управители, получили разрешение в съответствие с член 6 от Директива 2011/61/ЕС.</w:t>
      </w:r>
    </w:p>
    <w:p>
      <w:pPr>
        <w:spacing w:before="0" w:after="240"/>
        <w:rPr>
          <w:noProof/>
        </w:rPr>
      </w:pPr>
      <w:r>
        <w:rPr>
          <w:noProof/>
        </w:rPr>
        <w:t>В член 1, точка 7) и член 2, точка 7) се гарантира, че базата данни на ЕОЦКП съдържа информация, засягаща всички управители на EuVECA и EuSEF и на фондовете, които предлагат.</w:t>
      </w:r>
    </w:p>
    <w:p>
      <w:pPr>
        <w:spacing w:before="0" w:after="240"/>
        <w:rPr>
          <w:noProof/>
        </w:rPr>
      </w:pPr>
      <w:r>
        <w:rPr>
          <w:noProof/>
        </w:rPr>
        <w:t>В член 1, точка 8) и член 2, точка 8) се променя датата, до която държавите членки следва да съобщят правилата, приложими за нарушения на Регламент (ЕС) № 345/2013 и Регламент (ЕС) № 346/2013, включително за нарушения от страна на управители, получили разрешение в съответствие с член 6 от Директива 2011/61/ЕС, които използват обозначенията „EuVECA“ и „EuSEF“ във връзка с предлагането на EuVECA и EuSEF.</w:t>
      </w:r>
    </w:p>
    <w:p>
      <w:pPr>
        <w:spacing w:before="0" w:after="240"/>
        <w:rPr>
          <w:noProof/>
        </w:rPr>
      </w:pPr>
      <w:r>
        <w:rPr>
          <w:noProof/>
        </w:rPr>
        <w:t>В член 1, точка 9) и член 2, точка 9) се гарантира прилагането на Регламент (ЕС) № 345/2013 и Регламент (ЕС) № 346/2013 спрямо управители, получили разрешение съгласно член 6 от Директива 2011/61/ЕС, които управляват допустими фондове за рисков капитал и допустими фондове за социално предприемачество и използват обозначенията „EuVECA“ и „EuSEF“ съответно във връзка с предлагането на тези фондове на пазара.</w:t>
      </w:r>
    </w:p>
    <w:p>
      <w:pPr>
        <w:spacing w:before="0" w:after="240"/>
        <w:rPr>
          <w:noProof/>
        </w:rPr>
      </w:pPr>
      <w:r>
        <w:rPr>
          <w:noProof/>
        </w:rPr>
        <w:t>В член 1, точка (10) и член 2, точка 10) се определя, че прегледът на Регламент (ЕС) № 345/2013 и Регламент (ЕС) № 346/2013 ще се извърши четири години след влизането в сила на регламентите.</w:t>
      </w:r>
    </w:p>
    <w:p>
      <w:pPr>
        <w:rPr>
          <w:noProof/>
        </w:rPr>
        <w:sectPr>
          <w:footerReference w:type="default" r:id="rId9"/>
          <w:pgSz w:w="11907" w:h="16839"/>
          <w:pgMar w:top="1134" w:right="1417" w:bottom="1134" w:left="1417" w:header="709" w:footer="709" w:gutter="0"/>
          <w:pgNumType w:start="1"/>
          <w:cols w:space="720"/>
          <w:docGrid w:linePitch="360"/>
        </w:sectPr>
      </w:pPr>
    </w:p>
    <w:p>
      <w:pPr>
        <w:pStyle w:val="Rfrenceinterinstitutionnelle"/>
        <w:rPr>
          <w:noProof/>
        </w:rPr>
      </w:pPr>
      <w:bookmarkStart w:id="0" w:name="_GoBack"/>
      <w:bookmarkEnd w:id="0"/>
      <w:r>
        <w:rPr>
          <w:noProof/>
        </w:rPr>
        <w:t>2016/0221 (COD)</w:t>
      </w:r>
    </w:p>
    <w:p>
      <w:pPr>
        <w:pStyle w:val="Statut"/>
        <w:rPr>
          <w:noProof/>
        </w:rPr>
      </w:pPr>
      <w:r>
        <w:rPr>
          <w:noProof/>
        </w:rPr>
        <w:t>Предложение за</w:t>
      </w:r>
    </w:p>
    <w:p>
      <w:pPr>
        <w:pStyle w:val="Typedudocument"/>
        <w:rPr>
          <w:noProof/>
        </w:rPr>
      </w:pPr>
      <w:r>
        <w:rPr>
          <w:noProof/>
        </w:rPr>
        <w:t>РЕГЛАМЕНТ НА ЕВРОПЕЙСКИЯ ПАРЛАМЕНТ И НА СЪВЕТА</w:t>
      </w:r>
    </w:p>
    <w:p>
      <w:pPr>
        <w:pStyle w:val="Titreobjet"/>
        <w:rPr>
          <w:noProof/>
        </w:rPr>
      </w:pPr>
      <w:r>
        <w:rPr>
          <w:noProof/>
        </w:rPr>
        <w:t>за изменение на Регламент (ЕС) № 345/2013 относно европейските фондове за рисков капитал и Регламент (ЕС) № 346/2013 относно европейски фондове за социално предприемачество</w:t>
      </w:r>
    </w:p>
    <w:p>
      <w:pPr>
        <w:pStyle w:val="IntrtEEE"/>
        <w:rPr>
          <w:noProof/>
        </w:rPr>
      </w:pPr>
      <w:r>
        <w:rPr>
          <w:noProof/>
        </w:rPr>
        <w:t xml:space="preserve"> (текст от значение за ЕИП)</w:t>
      </w:r>
    </w:p>
    <w:p>
      <w:pPr>
        <w:pStyle w:val="Institutionquiagit"/>
        <w:rPr>
          <w:noProof/>
        </w:rPr>
      </w:pPr>
      <w:r>
        <w:rPr>
          <w:noProof/>
        </w:rPr>
        <w:t>ЕВРОПЕЙСКИЯТ ПАРЛАМЕНТ И СЪВЕТЪТ НА ЕВРОПЕЙСКИЯ СЪЮЗ,</w:t>
      </w:r>
    </w:p>
    <w:p>
      <w:pPr>
        <w:rPr>
          <w:noProof/>
        </w:rPr>
      </w:pPr>
      <w:r>
        <w:rPr>
          <w:noProof/>
        </w:rPr>
        <w:t>като взеха предвид Договора за функционирането на Европейския съюз, и по-специално член 114 от него,</w:t>
      </w:r>
    </w:p>
    <w:p>
      <w:pPr>
        <w:rPr>
          <w:noProof/>
        </w:rPr>
      </w:pPr>
      <w:r>
        <w:rPr>
          <w:noProof/>
        </w:rPr>
        <w:t>като взеха предвид предложението на Европейската комисия,</w:t>
      </w:r>
    </w:p>
    <w:p>
      <w:pPr>
        <w:rPr>
          <w:noProof/>
        </w:rPr>
      </w:pPr>
      <w:r>
        <w:rPr>
          <w:noProof/>
        </w:rPr>
        <w:t>след предаване на проекта на законодателния акт на националните парламенти,</w:t>
      </w:r>
    </w:p>
    <w:p>
      <w:pPr>
        <w:rPr>
          <w:noProof/>
        </w:rPr>
      </w:pPr>
      <w:r>
        <w:rPr>
          <w:noProof/>
        </w:rPr>
        <w:t>като взеха предвид становището на Европейската централна банка</w:t>
      </w:r>
      <w:r>
        <w:rPr>
          <w:rStyle w:val="FootnoteReference"/>
          <w:noProof/>
        </w:rPr>
        <w:footnoteReference w:id="16"/>
      </w:r>
      <w:r>
        <w:rPr>
          <w:noProof/>
        </w:rPr>
        <w:t>,</w:t>
      </w:r>
    </w:p>
    <w:p>
      <w:pPr>
        <w:rPr>
          <w:noProof/>
        </w:rPr>
      </w:pPr>
      <w:r>
        <w:rPr>
          <w:noProof/>
        </w:rPr>
        <w:t>като взеха предвид становището на Европейския икономически и социален комитет</w:t>
      </w:r>
      <w:r>
        <w:rPr>
          <w:rStyle w:val="FootnoteReference"/>
          <w:noProof/>
        </w:rPr>
        <w:footnoteReference w:id="17"/>
      </w:r>
      <w:r>
        <w:rPr>
          <w:noProof/>
        </w:rPr>
        <w:t>,</w:t>
      </w:r>
    </w:p>
    <w:p>
      <w:pPr>
        <w:rPr>
          <w:noProof/>
        </w:rPr>
      </w:pPr>
      <w:r>
        <w:rPr>
          <w:noProof/>
        </w:rPr>
        <w:t>в съответствие с обикновената законодателна процедура</w:t>
      </w:r>
      <w:r>
        <w:rPr>
          <w:rStyle w:val="FootnoteReference"/>
          <w:noProof/>
        </w:rPr>
        <w:footnoteReference w:id="18"/>
      </w:r>
      <w:r>
        <w:rPr>
          <w:noProof/>
        </w:rPr>
        <w:t>,</w:t>
      </w:r>
    </w:p>
    <w:p>
      <w:pPr>
        <w:rPr>
          <w:noProof/>
        </w:rPr>
      </w:pPr>
      <w:r>
        <w:rPr>
          <w:noProof/>
        </w:rPr>
        <w:t>като имат предвид, че:</w:t>
      </w:r>
    </w:p>
    <w:p>
      <w:pPr>
        <w:pStyle w:val="ManualConsidrant"/>
        <w:rPr>
          <w:noProof/>
        </w:rPr>
      </w:pPr>
      <w:r>
        <w:t>(1)</w:t>
      </w:r>
      <w:r>
        <w:tab/>
      </w:r>
      <w:r>
        <w:rPr>
          <w:noProof/>
        </w:rPr>
        <w:t>В Регламент (ЕС) № 345/2013 на Европейския парламент и на Съвета</w:t>
      </w:r>
      <w:r>
        <w:rPr>
          <w:rStyle w:val="FootnoteReference"/>
          <w:noProof/>
        </w:rPr>
        <w:footnoteReference w:id="19"/>
      </w:r>
      <w:r>
        <w:rPr>
          <w:noProof/>
        </w:rPr>
        <w:t xml:space="preserve"> и Регламент (ЕС) № 346/2013 на Европейския парламент и на Съвета</w:t>
      </w:r>
      <w:r>
        <w:rPr>
          <w:rStyle w:val="FootnoteReference"/>
          <w:noProof/>
        </w:rPr>
        <w:footnoteReference w:id="20"/>
      </w:r>
      <w:r>
        <w:rPr>
          <w:noProof/>
        </w:rPr>
        <w:t xml:space="preserve"> се определят единни изисквания и условия за управителите на предприятия за колективно инвестиране, които желаят да използват в Съюза обозначенията „EuVECA“ или „EuSEF“ за предлагането на допустими фондове за рисков капитал и допустими фондове за социално предприемачество. Регламент (ЕС) № 345/2013 и Регламент (ЕС) № 346/2013 съдържат правила, с които се регламентират по-специално допустимите инвестиции, предприятията, допустими да бъдат част от портфейл, и допустимите инвеститори. Съгласно Регламент (ЕС) № 345/2013 и Регламент (ЕС) № 346/2013 само управителите, чиито общо управлявани активи не надхвърлят прага, посочен в член 3, параграф 2, буква б) от Директива 2011/61/ЕС на Европейския парламент и на Съвета</w:t>
      </w:r>
      <w:r>
        <w:rPr>
          <w:rStyle w:val="FootnoteReference"/>
          <w:noProof/>
        </w:rPr>
        <w:footnoteReference w:id="21"/>
      </w:r>
      <w:r>
        <w:rPr>
          <w:noProof/>
        </w:rPr>
        <w:t>, са допустими да използват съответно обозначенията „EuVECA“ или „EuSEF“.</w:t>
      </w:r>
    </w:p>
    <w:p>
      <w:pPr>
        <w:pStyle w:val="ManualConsidrant"/>
        <w:rPr>
          <w:noProof/>
          <w:szCs w:val="24"/>
        </w:rPr>
      </w:pPr>
      <w:r>
        <w:t>(2)</w:t>
      </w:r>
      <w:r>
        <w:tab/>
      </w:r>
      <w:r>
        <w:rPr>
          <w:noProof/>
        </w:rPr>
        <w:t>В Съобщението относно Плана за инвестиции за Европа от 16 ноември 2014 г.</w:t>
      </w:r>
      <w:r>
        <w:rPr>
          <w:rStyle w:val="FootnoteReference"/>
          <w:noProof/>
        </w:rPr>
        <w:footnoteReference w:id="22"/>
      </w:r>
      <w:r>
        <w:t xml:space="preserve"> </w:t>
      </w:r>
      <w:r>
        <w:rPr>
          <w:noProof/>
        </w:rPr>
        <w:t>се предвижда цялостна стратегия за справяне с липсата на финансиране, която не позволява на Европа да развива потенциала си за растеж и да осигурява работни места за своите граждани. Той има за цел да стимулира разгръщането на частните инвестиции чрез използване на публично финансиране и чрез подобряване на нормативната уредба за инвестиционната среда.</w:t>
      </w:r>
    </w:p>
    <w:p>
      <w:pPr>
        <w:pStyle w:val="ManualConsidrant"/>
        <w:rPr>
          <w:noProof/>
        </w:rPr>
      </w:pPr>
      <w:r>
        <w:t>(3)</w:t>
      </w:r>
      <w:r>
        <w:tab/>
      </w:r>
      <w:r>
        <w:rPr>
          <w:noProof/>
        </w:rPr>
        <w:t>Съобщението относно съюза на капиталовите пазари от 30 септември 2015 г.</w:t>
      </w:r>
      <w:r>
        <w:rPr>
          <w:rStyle w:val="FootnoteReference"/>
          <w:noProof/>
        </w:rPr>
        <w:footnoteReference w:id="23"/>
      </w:r>
      <w:r>
        <w:t xml:space="preserve"> </w:t>
      </w:r>
      <w:r>
        <w:rPr>
          <w:noProof/>
        </w:rPr>
        <w:t>е важен елемент от Плана за инвестиции. То има за цел намаляване на разпокъсаността на финансовите пазари и увеличаване на предлагането на капитал за предприятията чрез създаването на истински единен капиталов пазар. В съобщението се посочва, че Регламент (ЕС) № 345/2013 и Регламент (ЕС) № 346/2013 трябва да бъдат изменени, за да се гарантира, че нормативната уредба на двата акта може да осигури най-добрата подкрепа за инвестициите в МСП.</w:t>
      </w:r>
    </w:p>
    <w:p>
      <w:pPr>
        <w:pStyle w:val="ManualConsidrant"/>
        <w:rPr>
          <w:noProof/>
        </w:rPr>
      </w:pPr>
      <w:r>
        <w:t>(4)</w:t>
      </w:r>
      <w:r>
        <w:tab/>
      </w:r>
      <w:r>
        <w:rPr>
          <w:noProof/>
        </w:rPr>
        <w:t xml:space="preserve">Пазарът на допустими фондове за рисков капитал и допустими фондове за социално предприемачество следва да бъде отворен, за да се увеличат ефектите от мащаба, да се намалят трансакционните и оперативните разходи, да се подобри конкуренцията и да се подобри изборът за инвеститорите. Разширяването на базата от перспективни управители допринася за отварянето на този пазар. Това следва да бъде от полза за търсещите инвестиции предприятия, като им предостави достъп до финансиране от по-широк и по-разнообразен набор от източници на рисково инвестиране. Ето защо обхватът на Регламент (ЕС) № 345/2013 и Регламент (ЕС) № 346/2013 следва да бъде разширен, за да позволи използването на обозначенията „EuVECA“ или „EuSEF“ от управители на предприятия за колективно инвестиране, получили разрешение съгласно член 6 от Директива 2011/61/ЕС. </w:t>
      </w:r>
    </w:p>
    <w:p>
      <w:pPr>
        <w:pStyle w:val="ManualConsidrant"/>
        <w:rPr>
          <w:noProof/>
        </w:rPr>
      </w:pPr>
      <w:r>
        <w:t>(5)</w:t>
      </w:r>
      <w:r>
        <w:tab/>
      </w:r>
      <w:r>
        <w:rPr>
          <w:noProof/>
        </w:rPr>
        <w:t>За да се запази високо нивото на защита на инвеститорите, тези управители следва да продължат да бъдат обект на изискванията на Директива 2011/61/ЕС, като същевременно спазват определени разпоредби на Регламент (ЕС) № 345/2013 и Регламент (ЕС) № 346/2013, а именно разпоредбите относно допустимите инвестиции, целевите инвеститори и изискванията за информация.</w:t>
      </w:r>
    </w:p>
    <w:p>
      <w:pPr>
        <w:pStyle w:val="ManualConsidrant"/>
        <w:rPr>
          <w:noProof/>
        </w:rPr>
      </w:pPr>
      <w:r>
        <w:t>(6)</w:t>
      </w:r>
      <w:r>
        <w:tab/>
      </w:r>
      <w:r>
        <w:rPr>
          <w:noProof/>
        </w:rPr>
        <w:t>За да се гарантира, че компетентните органи са информирани за всяка нова употреба на обозначенията „EuVECA“ или „EuSEF“, управителите на предприятия за колективно инвестиране, получили разрешение съгласно член 6 от Директива 2011/61/ЕС, следва да регистрират всеки допустим фонд за рисков капитал и допустим фонд за социално предприемачество, който възнамеряват да управляват и предлагат. Това следва да гарантира, че тези управители могат да поддържат своите бизнес модели, тъй като са в състояние да управляват предприятия за колективно инвестиране, установени в други държави членки, като същевременно разширяват гамата от продукти, които предлагат.</w:t>
      </w:r>
    </w:p>
    <w:p>
      <w:pPr>
        <w:pStyle w:val="ManualConsidrant"/>
        <w:rPr>
          <w:noProof/>
        </w:rPr>
      </w:pPr>
      <w:r>
        <w:t>(7)</w:t>
      </w:r>
      <w:r>
        <w:tab/>
      </w:r>
      <w:r>
        <w:rPr>
          <w:noProof/>
        </w:rPr>
        <w:t>Обхватът на допустимите предприятия, в които могат да инвестират допустимите фондове за рисков капитал, следва да бъде разширен, за да бъде допълнително увеличено предлагането на капитал на предприятията. Ето защо определението за предприятия, допустими да бъдат част от портфейл, следва да включва дружества с до 499 служители (малки предприятия със средна капитализация) и малки и средни предприятия, търгувани на пазарите за растеж на МСП. Новите варианти за инвестиции следва да позволяват също така на предприятията, които са достигнали етап на растеж и които вече имат достъп до други източници на финансиране, като например пазари за растеж на МСП, да получат капитал от допустими фондове за рисков капитал, които от своя страна следва да допринесат за развитието на пазарите за растеж на МСП.</w:t>
      </w:r>
    </w:p>
    <w:p>
      <w:pPr>
        <w:pStyle w:val="ManualConsidrant"/>
        <w:rPr>
          <w:noProof/>
        </w:rPr>
      </w:pPr>
      <w:r>
        <w:t>(8)</w:t>
      </w:r>
      <w:r>
        <w:tab/>
      </w:r>
      <w:r>
        <w:rPr>
          <w:noProof/>
        </w:rPr>
        <w:t>Допустимите фондове за рисков капитал следва да могат да участват в по-дългосрочен план в стълбицата на финансиране за нетъргувани на регулиран пазар МСП и малки предприятия със средна капитализация, както и МСП, търгувани на пазари за растеж на МСП, за да бъде допълнително повишен техният потенциал да реализират възвращаемост от бързо разрастващи се дружества. За тази цел следва да се даде възможност за последващи инвестиции след първата инвестиция.</w:t>
      </w:r>
    </w:p>
    <w:p>
      <w:pPr>
        <w:pStyle w:val="ManualConsidrant"/>
        <w:rPr>
          <w:noProof/>
        </w:rPr>
      </w:pPr>
      <w:r>
        <w:t>(9)</w:t>
      </w:r>
      <w:r>
        <w:tab/>
      </w:r>
      <w:r>
        <w:rPr>
          <w:noProof/>
        </w:rPr>
        <w:t>Процедурите за регистрация следва да бъдат разходоефективни. Ето защо регистрацията на управител в съответствие с Регламент (ЕС) № 345/2013 и Регламент (ЕС) № 346/2013 следва да служи също така за целите на регистрацията, посочена в Директива 2011/61/ЕС. Решенията за регистрация и отказ на регистрация в съответствие с Регламент (ЕС) № 345/2013 и Регламент (ЕС) № 346/2013 следва, когато е необходимо, да подлежат съдебен контрол.</w:t>
      </w:r>
    </w:p>
    <w:p>
      <w:pPr>
        <w:pStyle w:val="ManualConsidrant"/>
        <w:rPr>
          <w:noProof/>
        </w:rPr>
      </w:pPr>
      <w:r>
        <w:t>(10)</w:t>
      </w:r>
      <w:r>
        <w:tab/>
      </w:r>
      <w:r>
        <w:rPr>
          <w:noProof/>
        </w:rPr>
        <w:t>Необходимо е да се поясни, че забраната за приемащата държава членка да налага изисквания или административни процедури във връзка с предлагането на допустими фондове за рисков капитал и допустими фондове за социално предприемачество на нейна територия включва забраната за налагане на такси и други комисиони по отношение на управителите на тези фондове.</w:t>
      </w:r>
    </w:p>
    <w:p>
      <w:pPr>
        <w:pStyle w:val="ManualConsidrant"/>
        <w:rPr>
          <w:noProof/>
        </w:rPr>
      </w:pPr>
      <w:r>
        <w:t>(11)</w:t>
      </w:r>
      <w:r>
        <w:tab/>
      </w:r>
      <w:r>
        <w:rPr>
          <w:noProof/>
        </w:rPr>
        <w:t xml:space="preserve">Понастоящем в Регламент (ЕС) № 345/2013 и Регламент (ЕС) № 346/2013 се изисква управителите на допустими фондове за рисков капитал и допустими фондове за социално предприемачество да разполагат по всяко време с достатъчно собствени средства. За да се гарантира съгласувано разбиране в рамките на Съюза на това какво означава достатъчно собствени средства за тези управители, от Европейския надзорен орган („ЕОЦКП“) следва да се изиска да изготви проекти на регулаторни технически стандарти, в които се установяват методиките за определяне на това какво означава достатъчно собствени средства. </w:t>
      </w:r>
    </w:p>
    <w:p>
      <w:pPr>
        <w:pStyle w:val="ManualConsidrant"/>
        <w:rPr>
          <w:noProof/>
        </w:rPr>
      </w:pPr>
      <w:r>
        <w:t>(12)</w:t>
      </w:r>
      <w:r>
        <w:tab/>
      </w:r>
      <w:r>
        <w:rPr>
          <w:noProof/>
        </w:rPr>
        <w:t>Тъй като с настоящия регламент използването на етикетите „EuVECA“ и „EuSEF“ става възможно и за управителите на предприятия за колективно инвестиране, получили разрешение съгласно член 6 от Директива 2011/61/ЕС, централната база данни, поддържана от ЕОЦКП в съответствие с Регламент (ЕС) № 345/2013 и Регламент (ЕС) № 346/2013, следва да съдържа също така информация относно допустимите фондове за рисков капитал и допустимите фондове за социално предприемачество, които се управляват и предлагат от тези управители.</w:t>
      </w:r>
    </w:p>
    <w:p>
      <w:pPr>
        <w:pStyle w:val="ManualConsidrant"/>
        <w:rPr>
          <w:noProof/>
        </w:rPr>
      </w:pPr>
      <w:r>
        <w:t>(13)</w:t>
      </w:r>
      <w:r>
        <w:tab/>
      </w:r>
      <w:r>
        <w:rPr>
          <w:noProof/>
        </w:rPr>
        <w:t>Тъй като целите на настоящия регламент, а именно по-нататъшното укрепване на вътрешния пазар на допустимите фондове за рисков капитал и допустимите фондове за социално предприемачество чрез засилване на използването на обозначенията „EuVECA“ и „EuSEF“, не могат да бъдат постигнати в достатъчна степен от държавите членки и следователно могат, с оглед на неговите мащаб и последици да бъдат постигнати по-добре на равнището на Съюза, Съюзът може да приеме мерки в съответствие с принципа на субсидиарност, уреден в член 5 от Договора за Европейския съюз. В съответствие с принципа на пропорционалност настоящият регламент не надхвърля необходимото за постигането на поставените цели съгласно член 5, параграф 4 от Договора за Европейския съюз.</w:t>
      </w:r>
    </w:p>
    <w:p>
      <w:pPr>
        <w:pStyle w:val="ManualConsidrant"/>
        <w:rPr>
          <w:noProof/>
        </w:rPr>
      </w:pPr>
      <w:r>
        <w:t>(14)</w:t>
      </w:r>
      <w:r>
        <w:tab/>
      </w:r>
      <w:r>
        <w:rPr>
          <w:noProof/>
        </w:rPr>
        <w:t>Регламент (ЕС) № 345/2013 и Регламент (ЕС) № 346/2013 следва да бъдат съответно изменени,</w:t>
      </w:r>
    </w:p>
    <w:p>
      <w:pPr>
        <w:pStyle w:val="Formuledadoption"/>
        <w:rPr>
          <w:noProof/>
        </w:rPr>
      </w:pPr>
      <w:r>
        <w:rPr>
          <w:noProof/>
        </w:rPr>
        <w:t>ПРИЕХА НАСТОЯЩИЯ РЕГЛАМЕНТ:</w:t>
      </w:r>
    </w:p>
    <w:p>
      <w:pPr>
        <w:pStyle w:val="Titrearticle"/>
        <w:rPr>
          <w:noProof/>
        </w:rPr>
      </w:pPr>
      <w:r>
        <w:rPr>
          <w:noProof/>
        </w:rPr>
        <w:t>Член 1</w:t>
      </w:r>
    </w:p>
    <w:p>
      <w:pPr>
        <w:rPr>
          <w:noProof/>
        </w:rPr>
      </w:pPr>
      <w:r>
        <w:rPr>
          <w:noProof/>
        </w:rPr>
        <w:t>Регламент (ЕС) № 345/2013 се изменя, както следва:</w:t>
      </w:r>
    </w:p>
    <w:p>
      <w:pPr>
        <w:pStyle w:val="Point0number"/>
        <w:numPr>
          <w:ilvl w:val="0"/>
          <w:numId w:val="4"/>
        </w:numPr>
        <w:tabs>
          <w:tab w:val="num" w:pos="709"/>
        </w:tabs>
        <w:ind w:left="567" w:hanging="567"/>
        <w:rPr>
          <w:noProof/>
        </w:rPr>
      </w:pPr>
      <w:r>
        <w:rPr>
          <w:noProof/>
        </w:rPr>
        <w:t>В член 2 параграф 2 се заменя със следното:</w:t>
      </w:r>
    </w:p>
    <w:p>
      <w:pPr>
        <w:pStyle w:val="Text1"/>
        <w:rPr>
          <w:noProof/>
        </w:rPr>
      </w:pPr>
      <w:r>
        <w:rPr>
          <w:noProof/>
        </w:rPr>
        <w:t>„2.</w:t>
      </w:r>
      <w:r>
        <w:rPr>
          <w:noProof/>
        </w:rPr>
        <w:tab/>
        <w:t>Членове 5 и 6, член 13, параграф 1, букви в) и и) и член 14а от настоящия регламент се прилагат за управители на предприятия за колективно инвестиране, получили разрешение съгласно член 6 от Директива 2011/61/ЕС, които управляват портфейли от допустими фондове за рисков капитал и възнамеряват да използват обозначението „EuVECA“ във връзка с предлагането на тези фондове на пазара в Съюза.“</w:t>
      </w:r>
    </w:p>
    <w:p>
      <w:pPr>
        <w:pStyle w:val="Point0number"/>
        <w:numPr>
          <w:ilvl w:val="0"/>
          <w:numId w:val="12"/>
        </w:numPr>
        <w:ind w:left="567" w:hanging="567"/>
        <w:rPr>
          <w:noProof/>
        </w:rPr>
      </w:pPr>
      <w:r>
        <w:rPr>
          <w:noProof/>
        </w:rPr>
        <w:t>Член 3 се изменя, както следва:</w:t>
      </w:r>
    </w:p>
    <w:p>
      <w:pPr>
        <w:pStyle w:val="Text1"/>
        <w:rPr>
          <w:noProof/>
        </w:rPr>
      </w:pPr>
      <w:r>
        <w:rPr>
          <w:noProof/>
        </w:rPr>
        <w:t>а)</w:t>
      </w:r>
      <w:r>
        <w:rPr>
          <w:noProof/>
        </w:rPr>
        <w:tab/>
        <w:t>буква к) се заменя със следното:</w:t>
      </w:r>
    </w:p>
    <w:p>
      <w:pPr>
        <w:pStyle w:val="Text2"/>
        <w:rPr>
          <w:noProof/>
        </w:rPr>
      </w:pPr>
      <w:r>
        <w:rPr>
          <w:noProof/>
        </w:rPr>
        <w:t>„к)</w:t>
      </w:r>
      <w:r>
        <w:rPr>
          <w:noProof/>
        </w:rPr>
        <w:tab/>
        <w:t>„държава членка по произход“ означава държавата членка, в която се намира седалището на управителя на допустим фонд за рисков капитал;“</w:t>
      </w:r>
    </w:p>
    <w:p>
      <w:pPr>
        <w:pStyle w:val="Text1"/>
        <w:rPr>
          <w:noProof/>
        </w:rPr>
      </w:pPr>
      <w:r>
        <w:rPr>
          <w:noProof/>
        </w:rPr>
        <w:t>б)</w:t>
      </w:r>
      <w:r>
        <w:rPr>
          <w:noProof/>
        </w:rPr>
        <w:tab/>
        <w:t>в буква г) подточка i) се заменя със следното:</w:t>
      </w:r>
    </w:p>
    <w:p>
      <w:pPr>
        <w:pStyle w:val="Text2"/>
        <w:rPr>
          <w:noProof/>
        </w:rPr>
      </w:pPr>
      <w:r>
        <w:rPr>
          <w:noProof/>
        </w:rPr>
        <w:t>„i)</w:t>
      </w:r>
      <w:r>
        <w:rPr>
          <w:noProof/>
        </w:rPr>
        <w:tab/>
        <w:t>към момента на първата инвестиция от страна на допустим фонд за рисков капитал в това предприятие отговаря на едно от следните условия:</w:t>
      </w:r>
    </w:p>
    <w:p>
      <w:pPr>
        <w:pStyle w:val="Text2"/>
        <w:rPr>
          <w:noProof/>
        </w:rPr>
      </w:pPr>
      <w:r>
        <w:rPr>
          <w:noProof/>
        </w:rPr>
        <w:t>—</w:t>
      </w:r>
      <w:r>
        <w:rPr>
          <w:noProof/>
        </w:rPr>
        <w:tab/>
        <w:t>предприятието не е допуснато до търговия на регулиран пазар или до многостранна система за търговия (МСТ) съгласно определението по член 4, параграф 1, точки 21 и 22 от Директива 2014/65/ЕС на Европейския парламент и на Съвета*, а броят на служителите му е до 499 лица;</w:t>
      </w:r>
    </w:p>
    <w:p>
      <w:pPr>
        <w:pStyle w:val="Text2"/>
        <w:rPr>
          <w:noProof/>
        </w:rPr>
      </w:pPr>
      <w:r>
        <w:rPr>
          <w:noProof/>
        </w:rPr>
        <w:t>—</w:t>
      </w:r>
      <w:r>
        <w:rPr>
          <w:noProof/>
        </w:rPr>
        <w:tab/>
        <w:t>предприятието е малко или средно предприятие съгласно определението по член 4, параграф 1, точка 12 от Директива 2014/65/ЕС, което е регистрирано на пазар за растеж на МСП съгласно определението по член 4, параграф 1, точка 13 от посочената директива.“</w:t>
      </w:r>
    </w:p>
    <w:p>
      <w:pPr>
        <w:pStyle w:val="Text1"/>
        <w:rPr>
          <w:noProof/>
        </w:rPr>
      </w:pPr>
      <w:r>
        <w:rPr>
          <w:noProof/>
        </w:rPr>
        <w:t>в)</w:t>
      </w:r>
      <w:r>
        <w:rPr>
          <w:noProof/>
        </w:rPr>
        <w:tab/>
        <w:t>буква м) се заменя със следното:</w:t>
      </w:r>
    </w:p>
    <w:p>
      <w:pPr>
        <w:pStyle w:val="Text2"/>
        <w:rPr>
          <w:noProof/>
        </w:rPr>
      </w:pPr>
      <w:r>
        <w:rPr>
          <w:noProof/>
        </w:rPr>
        <w:t>„м)</w:t>
      </w:r>
      <w:r>
        <w:rPr>
          <w:noProof/>
        </w:rPr>
        <w:tab/>
        <w:t>„компетентен орган“ означава:</w:t>
      </w:r>
    </w:p>
    <w:p>
      <w:pPr>
        <w:pStyle w:val="Text2"/>
        <w:rPr>
          <w:noProof/>
        </w:rPr>
      </w:pPr>
      <w:r>
        <w:rPr>
          <w:noProof/>
        </w:rPr>
        <w:t>i)</w:t>
      </w:r>
      <w:r>
        <w:rPr>
          <w:noProof/>
        </w:rPr>
        <w:tab/>
        <w:t>за управителите, посочени в член 2, параграф 1 от настоящия регламент — компетентният орган, посочен в член 3, параграф 3, буква а) от Директива 2011/61/ЕС;</w:t>
      </w:r>
    </w:p>
    <w:p>
      <w:pPr>
        <w:pStyle w:val="Text2"/>
        <w:rPr>
          <w:noProof/>
        </w:rPr>
      </w:pPr>
      <w:r>
        <w:rPr>
          <w:noProof/>
        </w:rPr>
        <w:t>ii)</w:t>
      </w:r>
      <w:r>
        <w:rPr>
          <w:noProof/>
        </w:rPr>
        <w:tab/>
        <w:t>за управителите, посочени в член 2, параграф 2 от настоящия регламент — компетентният орган, посочен в член 7, параграф 1 от Директива 2011/61/ЕС;</w:t>
      </w:r>
    </w:p>
    <w:p>
      <w:pPr>
        <w:pStyle w:val="Text2"/>
        <w:rPr>
          <w:noProof/>
        </w:rPr>
      </w:pPr>
      <w:r>
        <w:rPr>
          <w:noProof/>
        </w:rPr>
        <w:t>iii)</w:t>
      </w:r>
      <w:r>
        <w:rPr>
          <w:noProof/>
        </w:rPr>
        <w:tab/>
        <w:t>за допустимите фондове за рисков капитал — компетентният орган на държавата членка, в която се намира седалището или главното управление на допустимия фонд за рисков капитал;“</w:t>
      </w:r>
    </w:p>
    <w:p>
      <w:pPr>
        <w:pStyle w:val="Text2"/>
        <w:rPr>
          <w:noProof/>
        </w:rPr>
      </w:pPr>
      <w:r>
        <w:rPr>
          <w:noProof/>
        </w:rPr>
        <w:t>_______________________________________________________________</w:t>
      </w:r>
    </w:p>
    <w:p>
      <w:pPr>
        <w:pStyle w:val="Text2"/>
        <w:rPr>
          <w:noProof/>
        </w:rPr>
      </w:pPr>
      <w:r>
        <w:rPr>
          <w:noProof/>
        </w:rPr>
        <w:t>*</w:t>
      </w:r>
      <w:r>
        <w:rPr>
          <w:noProof/>
        </w:rPr>
        <w:tab/>
        <w:t>Директива 2014/65/ЕС на Европейския парламент и на Съвета от 15 май 2014 г. относно пазарите на финансови инструменти и за изменение на Директива 2002/92/ЕО и на Директива 2011/61/ЕС (ОВ L 173, 12.6.2014 г., стр. 349).</w:t>
      </w:r>
    </w:p>
    <w:p>
      <w:pPr>
        <w:pStyle w:val="Point0number"/>
        <w:numPr>
          <w:ilvl w:val="0"/>
          <w:numId w:val="12"/>
        </w:numPr>
        <w:ind w:left="567" w:hanging="567"/>
        <w:rPr>
          <w:noProof/>
        </w:rPr>
      </w:pPr>
      <w:r>
        <w:rPr>
          <w:noProof/>
        </w:rPr>
        <w:t>В член 10 се вмъква следният параграф 3:</w:t>
      </w:r>
    </w:p>
    <w:p>
      <w:pPr>
        <w:pStyle w:val="Text1"/>
        <w:rPr>
          <w:noProof/>
        </w:rPr>
      </w:pPr>
      <w:r>
        <w:rPr>
          <w:noProof/>
        </w:rPr>
        <w:t>„3.</w:t>
      </w:r>
      <w:r>
        <w:rPr>
          <w:noProof/>
        </w:rPr>
        <w:tab/>
        <w:t>ЕОЦКП разработва проекти на регулаторни технически стандарти, в които се уточняват методиките за определяне на това какво означава достатъчно собствени средства. В тези методики:</w:t>
      </w:r>
    </w:p>
    <w:p>
      <w:pPr>
        <w:pStyle w:val="Text2"/>
        <w:ind w:left="2127" w:hanging="710"/>
        <w:rPr>
          <w:noProof/>
        </w:rPr>
      </w:pPr>
      <w:r>
        <w:rPr>
          <w:noProof/>
        </w:rPr>
        <w:t>a)</w:t>
      </w:r>
      <w:r>
        <w:rPr>
          <w:noProof/>
        </w:rPr>
        <w:tab/>
        <w:t>се прави разлика между това какво означава достатъчно собствени средства за вътрешно управлявани допустими фондове за рисков капитал и достатъчно собствени средства за управителите на допустими фондове за рисков капитал, които са външни управители;</w:t>
      </w:r>
    </w:p>
    <w:p>
      <w:pPr>
        <w:pStyle w:val="Text2"/>
        <w:ind w:left="2127" w:hanging="709"/>
        <w:rPr>
          <w:noProof/>
        </w:rPr>
      </w:pPr>
      <w:r>
        <w:rPr>
          <w:noProof/>
        </w:rPr>
        <w:t>б)</w:t>
      </w:r>
      <w:r>
        <w:rPr>
          <w:noProof/>
        </w:rPr>
        <w:tab/>
        <w:t>се вземат предвид размерът и вътрешната организация при управителите, посочени в член 2, параграф 1, за да се гарантират равни условия на конкуренция между тези управители и управителите, посочени в параграф 2 от същия член;</w:t>
      </w:r>
    </w:p>
    <w:p>
      <w:pPr>
        <w:pStyle w:val="Text2"/>
        <w:ind w:left="2127" w:hanging="709"/>
        <w:rPr>
          <w:noProof/>
        </w:rPr>
      </w:pPr>
      <w:r>
        <w:rPr>
          <w:noProof/>
        </w:rPr>
        <w:t>в)</w:t>
      </w:r>
      <w:r>
        <w:rPr>
          <w:noProof/>
        </w:rPr>
        <w:tab/>
        <w:t>се гарантира, че сумите, получени в резултат на прилагането на тези методики, не надвишават сумите, посочени в член 9 от Директива 2011/61/ЕС.</w:t>
      </w:r>
    </w:p>
    <w:p>
      <w:pPr>
        <w:pStyle w:val="Text1"/>
        <w:rPr>
          <w:noProof/>
        </w:rPr>
      </w:pPr>
      <w:r>
        <w:rPr>
          <w:noProof/>
        </w:rPr>
        <w:t>ЕОЦКП представя на Комисията тези проекти на регулаторни технически стандарти в рамките на [18 месеца след датата на влизане в сила на настоящия регламент].</w:t>
      </w:r>
    </w:p>
    <w:p>
      <w:pPr>
        <w:pStyle w:val="Text1"/>
        <w:rPr>
          <w:noProof/>
        </w:rPr>
      </w:pPr>
      <w:r>
        <w:rPr>
          <w:noProof/>
        </w:rPr>
        <w:t>На Комисията се делегират правомощия за приемане на посочените в първа алинея от настоящия параграф регулаторни технически стандарти в съответствие с членове 10—14 от Регламент (ЕС) № 1095/2010.“</w:t>
      </w:r>
    </w:p>
    <w:p>
      <w:pPr>
        <w:pStyle w:val="Point0number"/>
        <w:numPr>
          <w:ilvl w:val="0"/>
          <w:numId w:val="12"/>
        </w:numPr>
        <w:ind w:left="709" w:hanging="709"/>
        <w:rPr>
          <w:noProof/>
        </w:rPr>
      </w:pPr>
      <w:r>
        <w:rPr>
          <w:noProof/>
        </w:rPr>
        <w:t>В член 14 се вмъкват следните параграфи 3а и 3б:</w:t>
      </w:r>
    </w:p>
    <w:p>
      <w:pPr>
        <w:pStyle w:val="Text1"/>
        <w:rPr>
          <w:noProof/>
        </w:rPr>
      </w:pPr>
      <w:r>
        <w:rPr>
          <w:noProof/>
        </w:rPr>
        <w:t>„3а.</w:t>
      </w:r>
      <w:r>
        <w:rPr>
          <w:noProof/>
        </w:rPr>
        <w:tab/>
        <w:t>Компетентните органи на държавата членка по произход за управителите, посочени в параграф 1, информират управителите за това дали са регистрирани като управител на допустим фонд за рисков капитал не по-късно от два месеца след като са предоставили цялата информация, посочена в параграф 1.</w:t>
      </w:r>
    </w:p>
    <w:p>
      <w:pPr>
        <w:pStyle w:val="Text1"/>
        <w:rPr>
          <w:noProof/>
        </w:rPr>
      </w:pPr>
      <w:r>
        <w:rPr>
          <w:noProof/>
        </w:rPr>
        <w:t>3б.</w:t>
      </w:r>
      <w:r>
        <w:rPr>
          <w:noProof/>
        </w:rPr>
        <w:tab/>
        <w:t>Регистрацията в съответствие с настоящия член представлява регистрация за целите на член 3, параграф 3 от Директива 2011/61/ЕС.“;</w:t>
      </w:r>
    </w:p>
    <w:p>
      <w:pPr>
        <w:pStyle w:val="Point0number"/>
        <w:numPr>
          <w:ilvl w:val="0"/>
          <w:numId w:val="12"/>
        </w:numPr>
        <w:ind w:left="851" w:hanging="851"/>
        <w:rPr>
          <w:noProof/>
        </w:rPr>
      </w:pPr>
      <w:r>
        <w:rPr>
          <w:noProof/>
        </w:rPr>
        <w:t>Вмъкват се следните членове 14а и 14б:</w:t>
      </w:r>
    </w:p>
    <w:p>
      <w:pPr>
        <w:pStyle w:val="Text1"/>
        <w:jc w:val="center"/>
        <w:rPr>
          <w:noProof/>
        </w:rPr>
      </w:pPr>
      <w:r>
        <w:rPr>
          <w:noProof/>
        </w:rPr>
        <w:t>„Член 14a</w:t>
      </w:r>
    </w:p>
    <w:p>
      <w:pPr>
        <w:pStyle w:val="Text1"/>
        <w:rPr>
          <w:noProof/>
        </w:rPr>
      </w:pPr>
      <w:r>
        <w:rPr>
          <w:noProof/>
        </w:rPr>
        <w:t>1.</w:t>
      </w:r>
      <w:r>
        <w:rPr>
          <w:noProof/>
        </w:rPr>
        <w:tab/>
        <w:t>Управителите на предприятия за колективно инвестиране, получили разрешение съгласно член 6 от Директива 2011/61/ЕС, подават заявление за регистрация на допустимите фондове за рисков капитал, за които възнамеряват да използват обозначението „EuVECA“.</w:t>
      </w:r>
    </w:p>
    <w:p>
      <w:pPr>
        <w:pStyle w:val="Text1"/>
        <w:rPr>
          <w:noProof/>
        </w:rPr>
      </w:pPr>
      <w:r>
        <w:rPr>
          <w:noProof/>
        </w:rPr>
        <w:t>2.</w:t>
      </w:r>
      <w:r>
        <w:rPr>
          <w:noProof/>
        </w:rPr>
        <w:tab/>
        <w:t>Заявлението за регистрация, посочено в параграф 1, се подава до компетентния орган за допустимия фонд за рисков капитал и включва следното:</w:t>
      </w:r>
    </w:p>
    <w:p>
      <w:pPr>
        <w:pStyle w:val="Text2"/>
        <w:rPr>
          <w:noProof/>
        </w:rPr>
      </w:pPr>
      <w:r>
        <w:rPr>
          <w:noProof/>
        </w:rPr>
        <w:t>а)</w:t>
      </w:r>
      <w:r>
        <w:rPr>
          <w:noProof/>
        </w:rPr>
        <w:tab/>
        <w:t>устава на фонда или учредителните документи на допустимия фонд за рисков капитал;</w:t>
      </w:r>
    </w:p>
    <w:p>
      <w:pPr>
        <w:pStyle w:val="Text2"/>
        <w:rPr>
          <w:noProof/>
        </w:rPr>
      </w:pPr>
      <w:r>
        <w:rPr>
          <w:noProof/>
        </w:rPr>
        <w:t>б)</w:t>
      </w:r>
      <w:r>
        <w:rPr>
          <w:noProof/>
        </w:rPr>
        <w:tab/>
        <w:t>информация за идентификация на депозитаря;</w:t>
      </w:r>
    </w:p>
    <w:p>
      <w:pPr>
        <w:pStyle w:val="Text2"/>
        <w:rPr>
          <w:noProof/>
        </w:rPr>
      </w:pPr>
      <w:r>
        <w:rPr>
          <w:noProof/>
        </w:rPr>
        <w:t>в)</w:t>
      </w:r>
      <w:r>
        <w:rPr>
          <w:noProof/>
        </w:rPr>
        <w:tab/>
        <w:t>информацията, посочена в член 14, параграф 1.</w:t>
      </w:r>
    </w:p>
    <w:p>
      <w:pPr>
        <w:pStyle w:val="Text1"/>
        <w:rPr>
          <w:noProof/>
        </w:rPr>
      </w:pPr>
      <w:r>
        <w:rPr>
          <w:noProof/>
        </w:rPr>
        <w:t>За целите на първа алинея, буква в) информацията за предприетите действия за постигане на съответствие с изискванията на глава II от настоящия регламент се отнася за предприетите действия за постигане на съответствие с членове 5 и 6 и член 13, параграф 1, букви в) и и).</w:t>
      </w:r>
    </w:p>
    <w:p>
      <w:pPr>
        <w:pStyle w:val="Text1"/>
        <w:rPr>
          <w:noProof/>
        </w:rPr>
      </w:pPr>
      <w:r>
        <w:rPr>
          <w:noProof/>
        </w:rPr>
        <w:t>3.</w:t>
      </w:r>
      <w:r>
        <w:rPr>
          <w:noProof/>
        </w:rPr>
        <w:tab/>
        <w:t>Компетентният орган за допустимия фонд за рисков капитал регистрира всеки фонд като допустим фонд за рисков капитал, ако управителят на фонда отговаря на условията, определени в член 14, параграф 2.</w:t>
      </w:r>
    </w:p>
    <w:p>
      <w:pPr>
        <w:pStyle w:val="Text1"/>
        <w:rPr>
          <w:noProof/>
        </w:rPr>
      </w:pPr>
      <w:r>
        <w:rPr>
          <w:noProof/>
        </w:rPr>
        <w:t>4.</w:t>
      </w:r>
      <w:r>
        <w:rPr>
          <w:noProof/>
        </w:rPr>
        <w:tab/>
        <w:t>Компетентният орган за допустимия фонд за рисков капитал информира управителите, посочени в параграф 1, за това дали фондът е регистриран като допустим фонд за рисков капитал не по-късно от два месеца след като управителите са предоставили цялата информация, посочена в параграф 2.</w:t>
      </w:r>
    </w:p>
    <w:p>
      <w:pPr>
        <w:pStyle w:val="Text1"/>
        <w:rPr>
          <w:noProof/>
        </w:rPr>
      </w:pPr>
      <w:r>
        <w:rPr>
          <w:noProof/>
        </w:rPr>
        <w:t>5.</w:t>
      </w:r>
      <w:r>
        <w:rPr>
          <w:noProof/>
        </w:rPr>
        <w:tab/>
        <w:t>Регистрацията на допустими фондове за рисков капитал съгласно параграфи 1, 2 и 3 е валидна на цялата територия на Съюза и позволява предлагането на пазара на тези фондове под обозначението „EuVECA“ в рамките на Съюза.</w:t>
      </w:r>
    </w:p>
    <w:p>
      <w:pPr>
        <w:pStyle w:val="Text1"/>
        <w:jc w:val="center"/>
        <w:rPr>
          <w:noProof/>
        </w:rPr>
      </w:pPr>
      <w:r>
        <w:rPr>
          <w:noProof/>
        </w:rPr>
        <w:t>Член 14б</w:t>
      </w:r>
    </w:p>
    <w:p>
      <w:pPr>
        <w:pStyle w:val="Text1"/>
        <w:rPr>
          <w:noProof/>
        </w:rPr>
      </w:pPr>
      <w:r>
        <w:rPr>
          <w:noProof/>
        </w:rPr>
        <w:t>Всеки отказ да бъдат регистрирани управителите, посочени в член 14, и фондовете, посочени в член 14а, се обосновава, за него се уведомяват управителите, посочени в тези членове, и е налице право на обжалване пред съда. Правото на обжалване съществува също така, когато не е взето решение за регистрация два месеца след като е подадено заявление за това.“;</w:t>
      </w:r>
    </w:p>
    <w:p>
      <w:pPr>
        <w:pStyle w:val="Point0number"/>
        <w:numPr>
          <w:ilvl w:val="0"/>
          <w:numId w:val="12"/>
        </w:numPr>
        <w:ind w:left="851" w:hanging="851"/>
        <w:rPr>
          <w:noProof/>
        </w:rPr>
      </w:pPr>
      <w:r>
        <w:rPr>
          <w:noProof/>
        </w:rPr>
        <w:t>В член 16 параграфи 1 и 2 се заменят със следното:</w:t>
      </w:r>
    </w:p>
    <w:p>
      <w:pPr>
        <w:pStyle w:val="Text1"/>
        <w:rPr>
          <w:noProof/>
        </w:rPr>
      </w:pPr>
      <w:r>
        <w:rPr>
          <w:noProof/>
        </w:rPr>
        <w:t>„1.</w:t>
      </w:r>
      <w:r>
        <w:rPr>
          <w:noProof/>
        </w:rPr>
        <w:tab/>
        <w:t>Компетентните органи на държавите членки по произход незабавно уведомяват компетентните органи на приемащите държави членки и ЕОЦКП за всяка регистрация на управител на допустим фонд за рисков капитал, всяко добавяне на нов допустим фонд за рисков капитал, всяко добавяне на ново седалище за установяване на допустим фонд за рисков капитал или всяко добавяне на нова държава членка, в която управителят на допустим фонд за рисков капитал възнамерява да предлага тези фондове.</w:t>
      </w:r>
    </w:p>
    <w:p>
      <w:pPr>
        <w:pStyle w:val="Text1"/>
        <w:rPr>
          <w:noProof/>
        </w:rPr>
      </w:pPr>
      <w:r>
        <w:rPr>
          <w:noProof/>
        </w:rPr>
        <w:t>За целите на първа алинея компетентният орган за допустим фонд за рисков капитал, който е регистриран в съответствие с член 14а, незабавно уведомява за регистрацията компетентния орган на държавата членка по произход на управителя на този допустим фонд за рисков капитал.</w:t>
      </w:r>
    </w:p>
    <w:p>
      <w:pPr>
        <w:pStyle w:val="Text1"/>
        <w:rPr>
          <w:noProof/>
        </w:rPr>
      </w:pPr>
      <w:r>
        <w:rPr>
          <w:noProof/>
        </w:rPr>
        <w:t>2.</w:t>
      </w:r>
      <w:r>
        <w:rPr>
          <w:noProof/>
        </w:rPr>
        <w:tab/>
        <w:t>Компетентните органи на приемащите държавите членки не налагат на управителите на допустими фондове за рисков капитал никакви изисквания или административни процедури във връзка с предлагането на техните допустими фондове за рисков капитал, нито изискват каквото и да било одобрение за това предлагане преди неговото начало.</w:t>
      </w:r>
    </w:p>
    <w:p>
      <w:pPr>
        <w:pStyle w:val="Text1"/>
        <w:rPr>
          <w:noProof/>
        </w:rPr>
      </w:pPr>
      <w:r>
        <w:rPr>
          <w:noProof/>
        </w:rPr>
        <w:t>Изискванията или административните процедури, посочени в първа алинея, включват такси и други комисиони.“</w:t>
      </w:r>
    </w:p>
    <w:p>
      <w:pPr>
        <w:pStyle w:val="Point0number"/>
        <w:numPr>
          <w:ilvl w:val="0"/>
          <w:numId w:val="12"/>
        </w:numPr>
        <w:tabs>
          <w:tab w:val="num" w:pos="567"/>
        </w:tabs>
        <w:ind w:left="567" w:hanging="567"/>
        <w:rPr>
          <w:noProof/>
        </w:rPr>
      </w:pPr>
      <w:r>
        <w:rPr>
          <w:noProof/>
        </w:rPr>
        <w:t>Член 17 се заменя със следното:</w:t>
      </w:r>
    </w:p>
    <w:p>
      <w:pPr>
        <w:pStyle w:val="Text1"/>
        <w:jc w:val="center"/>
        <w:rPr>
          <w:noProof/>
        </w:rPr>
      </w:pPr>
      <w:r>
        <w:rPr>
          <w:noProof/>
        </w:rPr>
        <w:t>„Член 17</w:t>
      </w:r>
    </w:p>
    <w:p>
      <w:pPr>
        <w:pStyle w:val="Text1"/>
        <w:rPr>
          <w:noProof/>
        </w:rPr>
      </w:pPr>
      <w:r>
        <w:rPr>
          <w:noProof/>
        </w:rPr>
        <w:t>ЕОЦКП поддържа свободно достъпна в интернет централна база данни на всички управители на допустими фондове за рисков капитал, които използват обозначението „EuVECA“, на допустимите фондове за рисков капитал, за които го използват, както и на държавите, в които се предлагат тези фондове.“;</w:t>
      </w:r>
    </w:p>
    <w:p>
      <w:pPr>
        <w:pStyle w:val="Point0number"/>
        <w:numPr>
          <w:ilvl w:val="0"/>
          <w:numId w:val="12"/>
        </w:numPr>
        <w:tabs>
          <w:tab w:val="num" w:pos="567"/>
        </w:tabs>
        <w:ind w:left="567" w:hanging="567"/>
        <w:rPr>
          <w:noProof/>
        </w:rPr>
      </w:pPr>
      <w:r>
        <w:rPr>
          <w:noProof/>
        </w:rPr>
        <w:t>В член 20, параграф 2 датата „16 май 2015 г.“ се заменя с „[24 месеца след влизането в сила на настоящия регламент]“.</w:t>
      </w:r>
    </w:p>
    <w:p>
      <w:pPr>
        <w:pStyle w:val="Point0number"/>
        <w:numPr>
          <w:ilvl w:val="0"/>
          <w:numId w:val="12"/>
        </w:numPr>
        <w:tabs>
          <w:tab w:val="num" w:pos="567"/>
        </w:tabs>
        <w:ind w:left="567" w:hanging="567"/>
        <w:rPr>
          <w:noProof/>
        </w:rPr>
      </w:pPr>
      <w:r>
        <w:rPr>
          <w:noProof/>
        </w:rPr>
        <w:t>Член 21 се изменя, както следва:</w:t>
      </w:r>
    </w:p>
    <w:p>
      <w:pPr>
        <w:pStyle w:val="Text1"/>
        <w:rPr>
          <w:noProof/>
        </w:rPr>
      </w:pPr>
      <w:r>
        <w:rPr>
          <w:noProof/>
        </w:rPr>
        <w:t>а)</w:t>
      </w:r>
      <w:r>
        <w:rPr>
          <w:noProof/>
        </w:rPr>
        <w:tab/>
        <w:t>в параграф 1 буква в) се заменя със следното:</w:t>
      </w:r>
    </w:p>
    <w:p>
      <w:pPr>
        <w:pStyle w:val="Text2"/>
        <w:rPr>
          <w:noProof/>
        </w:rPr>
      </w:pPr>
      <w:r>
        <w:rPr>
          <w:noProof/>
        </w:rPr>
        <w:t>„в)</w:t>
      </w:r>
      <w:r>
        <w:rPr>
          <w:noProof/>
        </w:rPr>
        <w:tab/>
        <w:t>използва обозначението „EuVECA“, без да е регистриран в съответствие с член 14, или допустимият фонд за рисков капитал не е регистриран в съответствие с член 14а;“</w:t>
      </w:r>
    </w:p>
    <w:p>
      <w:pPr>
        <w:pStyle w:val="Text1"/>
        <w:rPr>
          <w:noProof/>
        </w:rPr>
      </w:pPr>
      <w:r>
        <w:rPr>
          <w:noProof/>
        </w:rPr>
        <w:t>б)</w:t>
      </w:r>
      <w:r>
        <w:rPr>
          <w:noProof/>
        </w:rPr>
        <w:tab/>
        <w:t>в параграф 1 буква д) се заменя със следното:</w:t>
      </w:r>
    </w:p>
    <w:p>
      <w:pPr>
        <w:pStyle w:val="Text2"/>
        <w:rPr>
          <w:noProof/>
        </w:rPr>
      </w:pPr>
      <w:r>
        <w:rPr>
          <w:noProof/>
        </w:rPr>
        <w:t>„д)</w:t>
      </w:r>
      <w:r>
        <w:rPr>
          <w:noProof/>
        </w:rPr>
        <w:tab/>
        <w:t>е получил регистрация чрез представяне на невярна информация или друг неправомерен начин в нарушение на член 14 или член 14а;“</w:t>
      </w:r>
    </w:p>
    <w:p>
      <w:pPr>
        <w:pStyle w:val="Text1"/>
        <w:rPr>
          <w:noProof/>
        </w:rPr>
      </w:pPr>
      <w:r>
        <w:rPr>
          <w:noProof/>
        </w:rPr>
        <w:t>в)</w:t>
      </w:r>
      <w:r>
        <w:rPr>
          <w:noProof/>
        </w:rPr>
        <w:tab/>
        <w:t>в параграф 2 буква а) се заменя със следното:</w:t>
      </w:r>
    </w:p>
    <w:p>
      <w:pPr>
        <w:pStyle w:val="Text2"/>
        <w:rPr>
          <w:noProof/>
        </w:rPr>
      </w:pPr>
      <w:r>
        <w:rPr>
          <w:noProof/>
        </w:rPr>
        <w:t>„а)</w:t>
      </w:r>
      <w:r>
        <w:rPr>
          <w:noProof/>
        </w:rPr>
        <w:tab/>
        <w:t>предприема мерки, за да гарантира, че съответният управител на фонд за рисков капитал спазва членове 5 и 6, член 7, букви а) и б) и членове 12—14а;“</w:t>
      </w:r>
    </w:p>
    <w:p>
      <w:pPr>
        <w:pStyle w:val="Point0number"/>
        <w:numPr>
          <w:ilvl w:val="0"/>
          <w:numId w:val="12"/>
        </w:numPr>
        <w:tabs>
          <w:tab w:val="clear" w:pos="850"/>
        </w:tabs>
        <w:ind w:left="567" w:hanging="567"/>
        <w:rPr>
          <w:noProof/>
        </w:rPr>
      </w:pPr>
      <w:r>
        <w:rPr>
          <w:noProof/>
        </w:rPr>
        <w:t>В член 26, параграф 2, буква а) датата „22 юли 2017 г.“ се заменя с „[48 месеца след датата на влизане в сила на настоящия регламент]“.</w:t>
      </w:r>
    </w:p>
    <w:p>
      <w:pPr>
        <w:pStyle w:val="Titrearticle"/>
        <w:rPr>
          <w:noProof/>
        </w:rPr>
      </w:pPr>
      <w:r>
        <w:rPr>
          <w:noProof/>
        </w:rPr>
        <w:t>Член 2</w:t>
      </w:r>
    </w:p>
    <w:p>
      <w:pPr>
        <w:rPr>
          <w:noProof/>
        </w:rPr>
      </w:pPr>
      <w:r>
        <w:rPr>
          <w:noProof/>
        </w:rPr>
        <w:t>Регламент (ЕС) № 346/2013 се изменя, както следва:</w:t>
      </w:r>
    </w:p>
    <w:p>
      <w:pPr>
        <w:pStyle w:val="Point0number"/>
        <w:numPr>
          <w:ilvl w:val="0"/>
          <w:numId w:val="14"/>
        </w:numPr>
        <w:rPr>
          <w:noProof/>
        </w:rPr>
      </w:pPr>
      <w:r>
        <w:rPr>
          <w:noProof/>
        </w:rPr>
        <w:t>В член 2 параграф 2 се заменя със следното:</w:t>
      </w:r>
    </w:p>
    <w:p>
      <w:pPr>
        <w:pStyle w:val="Text1"/>
        <w:rPr>
          <w:noProof/>
        </w:rPr>
      </w:pPr>
      <w:r>
        <w:rPr>
          <w:noProof/>
        </w:rPr>
        <w:t>„2.</w:t>
      </w:r>
      <w:r>
        <w:rPr>
          <w:noProof/>
        </w:rPr>
        <w:tab/>
        <w:t>Членове 5 и 6, член 10, член 13, параграф 2, член 14, параграф 1, букви г), д) и е) и член 15а от настоящия регламент се прилагат за управители на предприятия за колективно инвестиране, получили разрешение съгласно член 6 от Директива 2011/61/ЕС, които управляват портфейли от допустими фондове за социално предприемачество и възнамеряват да използват обозначението „EuSEF“ във връзка с предлагането на тези фондове на пазара в Съюза.“</w:t>
      </w:r>
    </w:p>
    <w:p>
      <w:pPr>
        <w:pStyle w:val="Point0number"/>
        <w:numPr>
          <w:ilvl w:val="0"/>
          <w:numId w:val="4"/>
        </w:numPr>
        <w:ind w:left="567" w:hanging="567"/>
        <w:rPr>
          <w:noProof/>
        </w:rPr>
      </w:pPr>
      <w:r>
        <w:rPr>
          <w:noProof/>
        </w:rPr>
        <w:t>Член 3 се изменя, както следва:</w:t>
      </w:r>
    </w:p>
    <w:p>
      <w:pPr>
        <w:pStyle w:val="Text1"/>
        <w:rPr>
          <w:noProof/>
        </w:rPr>
      </w:pPr>
      <w:r>
        <w:rPr>
          <w:noProof/>
        </w:rPr>
        <w:t>а)</w:t>
      </w:r>
      <w:r>
        <w:rPr>
          <w:noProof/>
        </w:rPr>
        <w:tab/>
        <w:t>буква к) се заменя със следното:</w:t>
      </w:r>
    </w:p>
    <w:p>
      <w:pPr>
        <w:pStyle w:val="Text2"/>
        <w:rPr>
          <w:noProof/>
        </w:rPr>
      </w:pPr>
      <w:r>
        <w:rPr>
          <w:noProof/>
        </w:rPr>
        <w:t>„к)</w:t>
      </w:r>
      <w:r>
        <w:rPr>
          <w:noProof/>
        </w:rPr>
        <w:tab/>
        <w:t>„държава членка по произход“ означава държавата членка, в която се намира седалището на управителя на допустим фонд за социално предприемачество;“</w:t>
      </w:r>
    </w:p>
    <w:p>
      <w:pPr>
        <w:pStyle w:val="Text1"/>
        <w:rPr>
          <w:noProof/>
        </w:rPr>
      </w:pPr>
      <w:r>
        <w:rPr>
          <w:noProof/>
        </w:rPr>
        <w:t>б)</w:t>
      </w:r>
      <w:r>
        <w:rPr>
          <w:noProof/>
        </w:rPr>
        <w:tab/>
        <w:t>буква м) се заменя със следното:</w:t>
      </w:r>
    </w:p>
    <w:p>
      <w:pPr>
        <w:pStyle w:val="Text2"/>
        <w:rPr>
          <w:noProof/>
        </w:rPr>
      </w:pPr>
      <w:r>
        <w:rPr>
          <w:noProof/>
        </w:rPr>
        <w:t>„м)</w:t>
      </w:r>
      <w:r>
        <w:rPr>
          <w:noProof/>
        </w:rPr>
        <w:tab/>
        <w:t>„компетентен орган“ означава:</w:t>
      </w:r>
    </w:p>
    <w:p>
      <w:pPr>
        <w:pStyle w:val="Text2"/>
        <w:rPr>
          <w:noProof/>
        </w:rPr>
      </w:pPr>
      <w:r>
        <w:rPr>
          <w:noProof/>
        </w:rPr>
        <w:t>i)</w:t>
      </w:r>
      <w:r>
        <w:rPr>
          <w:noProof/>
        </w:rPr>
        <w:tab/>
        <w:t>за управителите, посочени в член 2, параграф 1 от настоящия регламент — компетентният орган, посочен в член 3, параграф 3, буква а) от Директива 2011/61/ЕС;</w:t>
      </w:r>
    </w:p>
    <w:p>
      <w:pPr>
        <w:pStyle w:val="Text2"/>
        <w:rPr>
          <w:noProof/>
        </w:rPr>
      </w:pPr>
      <w:r>
        <w:rPr>
          <w:noProof/>
        </w:rPr>
        <w:t>ii)</w:t>
      </w:r>
      <w:r>
        <w:rPr>
          <w:noProof/>
        </w:rPr>
        <w:tab/>
        <w:t>за управителите, посочени в член 2, параграф 2 от настоящия регламент — компетентният орган, посочен в член 7, параграф 1 от Директива 2011/61/ЕС;</w:t>
      </w:r>
    </w:p>
    <w:p>
      <w:pPr>
        <w:pStyle w:val="Text2"/>
        <w:rPr>
          <w:noProof/>
        </w:rPr>
      </w:pPr>
      <w:r>
        <w:rPr>
          <w:noProof/>
        </w:rPr>
        <w:t>iii)</w:t>
      </w:r>
      <w:r>
        <w:rPr>
          <w:noProof/>
        </w:rPr>
        <w:tab/>
        <w:t>за допустимите фондове за социално предприемачество — компетентният орган на държавата членка, в която се намира седалището или главното управление на допустимия фонд за социално предприемачество;“</w:t>
      </w:r>
    </w:p>
    <w:p>
      <w:pPr>
        <w:pStyle w:val="Point0number"/>
        <w:numPr>
          <w:ilvl w:val="0"/>
          <w:numId w:val="12"/>
        </w:numPr>
        <w:ind w:left="567" w:hanging="567"/>
        <w:rPr>
          <w:noProof/>
        </w:rPr>
      </w:pPr>
      <w:r>
        <w:rPr>
          <w:noProof/>
        </w:rPr>
        <w:t>В член 11 се добавя следният параграф 3:</w:t>
      </w:r>
    </w:p>
    <w:p>
      <w:pPr>
        <w:pStyle w:val="Text1"/>
        <w:rPr>
          <w:noProof/>
        </w:rPr>
      </w:pPr>
      <w:r>
        <w:rPr>
          <w:noProof/>
        </w:rPr>
        <w:t>„3.</w:t>
      </w:r>
      <w:r>
        <w:rPr>
          <w:noProof/>
        </w:rPr>
        <w:tab/>
        <w:t>ЕОЦКП разработва проекти на регулаторни технически стандарти, в които се уточняват методиките за определяне на това какво означава достатъчно собствени средства. В тези методики:</w:t>
      </w:r>
    </w:p>
    <w:p>
      <w:pPr>
        <w:pStyle w:val="Text1"/>
        <w:ind w:left="1418" w:hanging="568"/>
        <w:rPr>
          <w:noProof/>
        </w:rPr>
      </w:pPr>
      <w:r>
        <w:rPr>
          <w:noProof/>
        </w:rPr>
        <w:t>a)</w:t>
      </w:r>
      <w:r>
        <w:rPr>
          <w:noProof/>
        </w:rPr>
        <w:tab/>
        <w:t>се прави разлика между това какво означава достатъчно собствени средства за вътрешно управлявани допустими фондове за социално предприемачество и достатъчно собствени средства за управителите на допустими фондове за социално предприемачество, които са външни управители;</w:t>
      </w:r>
    </w:p>
    <w:p>
      <w:pPr>
        <w:pStyle w:val="Text1"/>
        <w:ind w:left="1418" w:hanging="568"/>
        <w:rPr>
          <w:noProof/>
        </w:rPr>
      </w:pPr>
      <w:r>
        <w:rPr>
          <w:noProof/>
        </w:rPr>
        <w:t>б)</w:t>
      </w:r>
      <w:r>
        <w:rPr>
          <w:noProof/>
        </w:rPr>
        <w:tab/>
        <w:t>се вземат предвид размерът и вътрешната организация при управителите, посочени в член 2, параграф 1, за да се гарантират равни условия на конкуренция между тези управители и управителите, посочени в параграф 2 от същия член;</w:t>
      </w:r>
    </w:p>
    <w:p>
      <w:pPr>
        <w:pStyle w:val="Text1"/>
        <w:ind w:left="1418" w:hanging="568"/>
        <w:rPr>
          <w:noProof/>
        </w:rPr>
      </w:pPr>
      <w:r>
        <w:rPr>
          <w:noProof/>
        </w:rPr>
        <w:t>в)</w:t>
      </w:r>
      <w:r>
        <w:rPr>
          <w:noProof/>
        </w:rPr>
        <w:tab/>
        <w:t>се гарантира, че сумите, получени в резултат на прилагането на тези методики, не надвишават сумите, посочени в член 9 от Директива 2011/61/ЕС.</w:t>
      </w:r>
    </w:p>
    <w:p>
      <w:pPr>
        <w:pStyle w:val="Text1"/>
        <w:rPr>
          <w:noProof/>
        </w:rPr>
      </w:pPr>
      <w:r>
        <w:rPr>
          <w:noProof/>
        </w:rPr>
        <w:t>ЕОЦКП представя на Комисията тези проекти на регулаторни технически стандарти в рамките на [18 месеца след датата на влизане в сила на настоящия регламент].</w:t>
      </w:r>
    </w:p>
    <w:p>
      <w:pPr>
        <w:pStyle w:val="Text1"/>
        <w:rPr>
          <w:noProof/>
        </w:rPr>
      </w:pPr>
      <w:r>
        <w:rPr>
          <w:noProof/>
        </w:rPr>
        <w:t>На Комисията се делегират правомощия за приемане на посочените в първа алинея от настоящия параграф регулаторни технически стандарти в съответствие с членове 10—14 от Регламент на (ЕС) № 1095/2010.“</w:t>
      </w:r>
    </w:p>
    <w:p>
      <w:pPr>
        <w:pStyle w:val="Point0number"/>
        <w:numPr>
          <w:ilvl w:val="0"/>
          <w:numId w:val="12"/>
        </w:numPr>
        <w:ind w:left="709" w:hanging="709"/>
        <w:rPr>
          <w:noProof/>
        </w:rPr>
      </w:pPr>
      <w:r>
        <w:rPr>
          <w:noProof/>
        </w:rPr>
        <w:t>В член 15 се вмъкват следните параграфи 3а и 3б:</w:t>
      </w:r>
    </w:p>
    <w:p>
      <w:pPr>
        <w:pStyle w:val="Text1"/>
        <w:rPr>
          <w:noProof/>
        </w:rPr>
      </w:pPr>
      <w:r>
        <w:rPr>
          <w:noProof/>
        </w:rPr>
        <w:t>„3а.</w:t>
      </w:r>
      <w:r>
        <w:rPr>
          <w:noProof/>
        </w:rPr>
        <w:tab/>
        <w:t>Компетентните органи на държавата членка по произход за управителите, посочени в параграф 1, информират управителите за това дали са регистрирани като управител на допустим фонд за социално предприемачество не по-късно от два месеца след като са предоставили цялата информация, посочена в параграф 1.</w:t>
      </w:r>
    </w:p>
    <w:p>
      <w:pPr>
        <w:pStyle w:val="Text1"/>
        <w:rPr>
          <w:noProof/>
        </w:rPr>
      </w:pPr>
      <w:r>
        <w:rPr>
          <w:noProof/>
        </w:rPr>
        <w:t>3б.</w:t>
      </w:r>
      <w:r>
        <w:rPr>
          <w:noProof/>
        </w:rPr>
        <w:tab/>
        <w:t>Регистрацията в съответствие с настоящия член представлява регистрация за целите на член 3, параграф 3 от Директива 2011/61/ЕС.“;</w:t>
      </w:r>
    </w:p>
    <w:p>
      <w:pPr>
        <w:pStyle w:val="Point0number"/>
        <w:numPr>
          <w:ilvl w:val="0"/>
          <w:numId w:val="12"/>
        </w:numPr>
        <w:ind w:left="851" w:hanging="851"/>
        <w:rPr>
          <w:noProof/>
        </w:rPr>
      </w:pPr>
      <w:r>
        <w:rPr>
          <w:noProof/>
        </w:rPr>
        <w:t>Вмъкват се следните членове 15а и 15б:</w:t>
      </w:r>
    </w:p>
    <w:p>
      <w:pPr>
        <w:pStyle w:val="Text1"/>
        <w:jc w:val="center"/>
        <w:rPr>
          <w:noProof/>
        </w:rPr>
      </w:pPr>
      <w:r>
        <w:rPr>
          <w:noProof/>
        </w:rPr>
        <w:t>„Член 15a</w:t>
      </w:r>
    </w:p>
    <w:p>
      <w:pPr>
        <w:pStyle w:val="Text1"/>
        <w:rPr>
          <w:noProof/>
        </w:rPr>
      </w:pPr>
      <w:r>
        <w:rPr>
          <w:noProof/>
        </w:rPr>
        <w:t>1.</w:t>
      </w:r>
      <w:r>
        <w:rPr>
          <w:noProof/>
        </w:rPr>
        <w:tab/>
        <w:t>Управителите на предприятия за колективно инвестиране, получили разрешение съгласно член 6 от Директива 2011/61/ЕС, подават заявление за регистрация на допустимите фондове за социално предприемачество, за които възнамеряват да използват обозначението „EuSEF“.</w:t>
      </w:r>
    </w:p>
    <w:p>
      <w:pPr>
        <w:pStyle w:val="Text1"/>
        <w:rPr>
          <w:noProof/>
        </w:rPr>
      </w:pPr>
      <w:r>
        <w:rPr>
          <w:noProof/>
        </w:rPr>
        <w:t>2.</w:t>
      </w:r>
      <w:r>
        <w:rPr>
          <w:noProof/>
        </w:rPr>
        <w:tab/>
        <w:t>Заявлението за регистрация, посочено в параграф 1, се подава до компетентния орган за допустимия фонд за социално предприемачество и включва следното:</w:t>
      </w:r>
    </w:p>
    <w:p>
      <w:pPr>
        <w:pStyle w:val="Text2"/>
        <w:rPr>
          <w:noProof/>
        </w:rPr>
      </w:pPr>
      <w:r>
        <w:rPr>
          <w:noProof/>
        </w:rPr>
        <w:t>а)</w:t>
      </w:r>
      <w:r>
        <w:rPr>
          <w:noProof/>
        </w:rPr>
        <w:tab/>
        <w:t>устава на фонда или учредителните документи на допустимия фонд за социално предприемачество;</w:t>
      </w:r>
    </w:p>
    <w:p>
      <w:pPr>
        <w:pStyle w:val="Text2"/>
        <w:rPr>
          <w:noProof/>
        </w:rPr>
      </w:pPr>
      <w:r>
        <w:rPr>
          <w:noProof/>
        </w:rPr>
        <w:t>б)</w:t>
      </w:r>
      <w:r>
        <w:rPr>
          <w:noProof/>
        </w:rPr>
        <w:tab/>
        <w:t>информация за идентификация на депозитаря;</w:t>
      </w:r>
    </w:p>
    <w:p>
      <w:pPr>
        <w:pStyle w:val="Text2"/>
        <w:rPr>
          <w:noProof/>
        </w:rPr>
      </w:pPr>
      <w:r>
        <w:rPr>
          <w:noProof/>
        </w:rPr>
        <w:t>в)</w:t>
      </w:r>
      <w:r>
        <w:rPr>
          <w:noProof/>
        </w:rPr>
        <w:tab/>
        <w:t>информацията, посочена в член 15, параграф 1.</w:t>
      </w:r>
    </w:p>
    <w:p>
      <w:pPr>
        <w:pStyle w:val="Text1"/>
        <w:rPr>
          <w:noProof/>
        </w:rPr>
      </w:pPr>
      <w:r>
        <w:rPr>
          <w:noProof/>
        </w:rPr>
        <w:t>За целите на първа алинея, буква в) информацията за предприетите действия за постигане на съответствие с изискванията на глава II от настоящия регламент се отнася за предприетите действия за постигане на съответствие с членове 5, 6 и 10, член 13, параграф 2, и член 14, параграф 1, букви г), д) и е).</w:t>
      </w:r>
    </w:p>
    <w:p>
      <w:pPr>
        <w:pStyle w:val="Text1"/>
        <w:rPr>
          <w:noProof/>
        </w:rPr>
      </w:pPr>
      <w:r>
        <w:rPr>
          <w:noProof/>
        </w:rPr>
        <w:t>3.</w:t>
      </w:r>
      <w:r>
        <w:rPr>
          <w:noProof/>
        </w:rPr>
        <w:tab/>
        <w:t>Компетентният орган за допустимия фонд за социално предприемачество регистрира всеки фонд като допустим фонд за социално предприемачество, ако управителят на фонда отговаря на условията, предвидени в член 15, параграф 2.</w:t>
      </w:r>
    </w:p>
    <w:p>
      <w:pPr>
        <w:pStyle w:val="Text1"/>
        <w:rPr>
          <w:noProof/>
        </w:rPr>
      </w:pPr>
      <w:r>
        <w:rPr>
          <w:noProof/>
        </w:rPr>
        <w:t>4.</w:t>
      </w:r>
      <w:r>
        <w:rPr>
          <w:noProof/>
        </w:rPr>
        <w:tab/>
        <w:t>Компетентният орган за допустимия фонд за социално предприемачество информира управителите, посочени в параграф 1, за това дали фондът е регистриран като допустим фонд за социално предприемачество не по-късно от два месеца след като управителите са предоставили цялата информация, посочена в параграф 2.</w:t>
      </w:r>
    </w:p>
    <w:p>
      <w:pPr>
        <w:pStyle w:val="Text1"/>
        <w:rPr>
          <w:noProof/>
        </w:rPr>
      </w:pPr>
      <w:r>
        <w:rPr>
          <w:noProof/>
        </w:rPr>
        <w:t>5.</w:t>
      </w:r>
      <w:r>
        <w:rPr>
          <w:noProof/>
        </w:rPr>
        <w:tab/>
        <w:t>Регистрацията на допустими фондове за социално предприемачество съгласно параграфи 1, 2 и 3 е валидна на цялата територия на Съюза и позволява предлагането на тези фондове под обозначението „EuSEF“ в рамките на Съюза.</w:t>
      </w:r>
    </w:p>
    <w:p>
      <w:pPr>
        <w:pStyle w:val="Text1"/>
        <w:jc w:val="center"/>
        <w:rPr>
          <w:noProof/>
        </w:rPr>
      </w:pPr>
      <w:r>
        <w:rPr>
          <w:noProof/>
        </w:rPr>
        <w:t>Член 15б</w:t>
      </w:r>
    </w:p>
    <w:p>
      <w:pPr>
        <w:pStyle w:val="Text1"/>
        <w:rPr>
          <w:noProof/>
        </w:rPr>
      </w:pPr>
      <w:r>
        <w:rPr>
          <w:noProof/>
        </w:rPr>
        <w:t>Всеки отказ да бъдат регистрирани управителите, посочени в член 15, и фондовете, посочени в член 15а, се обосновава, за него се уведомяват управителите, посочени в тези членове, и е налице право на обжалване пред съда. Правото на обжалване съществува също така, когато не е взето решение за регистрация два месеца след като е подадено заявление за това.“;</w:t>
      </w:r>
    </w:p>
    <w:p>
      <w:pPr>
        <w:pStyle w:val="Point0number"/>
        <w:numPr>
          <w:ilvl w:val="0"/>
          <w:numId w:val="12"/>
        </w:numPr>
        <w:ind w:left="851" w:hanging="851"/>
        <w:rPr>
          <w:noProof/>
        </w:rPr>
      </w:pPr>
      <w:r>
        <w:rPr>
          <w:noProof/>
        </w:rPr>
        <w:t>В член 17 параграфи 1 и 2 се заменят със следното:</w:t>
      </w:r>
    </w:p>
    <w:p>
      <w:pPr>
        <w:pStyle w:val="Text1"/>
        <w:rPr>
          <w:noProof/>
        </w:rPr>
      </w:pPr>
      <w:r>
        <w:rPr>
          <w:noProof/>
        </w:rPr>
        <w:t>„1.</w:t>
      </w:r>
      <w:r>
        <w:rPr>
          <w:noProof/>
        </w:rPr>
        <w:tab/>
        <w:t>Компетентните органи на държавите членки по произход незабавно уведомяват компетентните органи на приемащите държави членки и ЕОЦКП за всяка регистрация на управител на допустим фонд за социално предприемачество, всяко добавяне на нов допустим фонд за социално предприемачество, всяко добавяне на ново седалище за установяване на допустим фонд за социално предприемачество или всяко добавяне на нова държава членка, в която управителят на допустим фонд за социално предприемачество възнамерява да предлага тези фондове.</w:t>
      </w:r>
    </w:p>
    <w:p>
      <w:pPr>
        <w:pStyle w:val="Text1"/>
        <w:rPr>
          <w:noProof/>
        </w:rPr>
      </w:pPr>
      <w:r>
        <w:rPr>
          <w:noProof/>
        </w:rPr>
        <w:t>За целите на първа алинея компетентният орган за допустим фонд за социално предприемачество, който е регистриран в съответствие с член 15а, незабавно уведомява за регистрацията компетентния орган на държавата членка по произход на управителя на този допустим фонд за социално предприемачество.</w:t>
      </w:r>
    </w:p>
    <w:p>
      <w:pPr>
        <w:pStyle w:val="Text1"/>
        <w:rPr>
          <w:noProof/>
        </w:rPr>
      </w:pPr>
      <w:r>
        <w:rPr>
          <w:noProof/>
        </w:rPr>
        <w:t>2.</w:t>
      </w:r>
      <w:r>
        <w:rPr>
          <w:noProof/>
        </w:rPr>
        <w:tab/>
        <w:t>Компетентните органи на приемащите държавите членки не налагат на управителите на допустими фондове за социално предприемачество никакви изисквания или административни процедури във връзка с предлагането на техните допустими фондове за социално предприемачество, нито изискват каквото и да било одобрение за това предлагане преди неговото начало.</w:t>
      </w:r>
    </w:p>
    <w:p>
      <w:pPr>
        <w:pStyle w:val="Text1"/>
        <w:rPr>
          <w:noProof/>
        </w:rPr>
      </w:pPr>
      <w:r>
        <w:rPr>
          <w:noProof/>
        </w:rPr>
        <w:t>Изискванията или административните процедури, посочени в първа алинея, включват такси и други комисиони.“;</w:t>
      </w:r>
    </w:p>
    <w:p>
      <w:pPr>
        <w:pStyle w:val="Point0number"/>
        <w:numPr>
          <w:ilvl w:val="0"/>
          <w:numId w:val="12"/>
        </w:numPr>
        <w:tabs>
          <w:tab w:val="num" w:pos="567"/>
        </w:tabs>
        <w:ind w:left="567" w:hanging="567"/>
        <w:rPr>
          <w:noProof/>
        </w:rPr>
      </w:pPr>
      <w:r>
        <w:rPr>
          <w:noProof/>
        </w:rPr>
        <w:t>Член 18 се заменя със следното:</w:t>
      </w:r>
    </w:p>
    <w:p>
      <w:pPr>
        <w:pStyle w:val="Text1"/>
        <w:jc w:val="center"/>
        <w:rPr>
          <w:noProof/>
        </w:rPr>
      </w:pPr>
      <w:r>
        <w:rPr>
          <w:noProof/>
        </w:rPr>
        <w:t>„Член 18</w:t>
      </w:r>
    </w:p>
    <w:p>
      <w:pPr>
        <w:pStyle w:val="Text1"/>
        <w:rPr>
          <w:noProof/>
        </w:rPr>
      </w:pPr>
      <w:r>
        <w:rPr>
          <w:noProof/>
        </w:rPr>
        <w:t>ЕОЦКП поддържа свободно достъпна по интернет централна база данни на всички управители на допустими фондове за социално предприемачество, които използват обозначението „EuSEF“, на допустимите фондове за социално предприемачество, за които го използват, както и на държавите, в които се предлагат тези фондове.“;</w:t>
      </w:r>
    </w:p>
    <w:p>
      <w:pPr>
        <w:pStyle w:val="Point0number"/>
        <w:numPr>
          <w:ilvl w:val="0"/>
          <w:numId w:val="12"/>
        </w:numPr>
        <w:tabs>
          <w:tab w:val="num" w:pos="567"/>
        </w:tabs>
        <w:ind w:left="567" w:hanging="567"/>
        <w:rPr>
          <w:noProof/>
        </w:rPr>
      </w:pPr>
      <w:r>
        <w:rPr>
          <w:noProof/>
        </w:rPr>
        <w:t xml:space="preserve"> В член 21, параграф 2 датата „16 май 2015 г.“ се заменя с „[24 месеца след датата на влизане в сила на настоящия регламент]“;</w:t>
      </w:r>
    </w:p>
    <w:p>
      <w:pPr>
        <w:pStyle w:val="Point0number"/>
        <w:numPr>
          <w:ilvl w:val="0"/>
          <w:numId w:val="12"/>
        </w:numPr>
        <w:tabs>
          <w:tab w:val="num" w:pos="567"/>
        </w:tabs>
        <w:ind w:left="567" w:hanging="567"/>
        <w:rPr>
          <w:noProof/>
        </w:rPr>
      </w:pPr>
      <w:r>
        <w:rPr>
          <w:noProof/>
        </w:rPr>
        <w:t>Член 22 се изменя, както следва:</w:t>
      </w:r>
    </w:p>
    <w:p>
      <w:pPr>
        <w:pStyle w:val="Text1"/>
        <w:rPr>
          <w:noProof/>
        </w:rPr>
      </w:pPr>
      <w:r>
        <w:rPr>
          <w:noProof/>
        </w:rPr>
        <w:t>а)</w:t>
      </w:r>
      <w:r>
        <w:rPr>
          <w:noProof/>
        </w:rPr>
        <w:tab/>
        <w:t>в параграф 1 буква в) се заменя със следното:</w:t>
      </w:r>
    </w:p>
    <w:p>
      <w:pPr>
        <w:pStyle w:val="Text2"/>
        <w:rPr>
          <w:noProof/>
        </w:rPr>
      </w:pPr>
      <w:r>
        <w:rPr>
          <w:noProof/>
        </w:rPr>
        <w:t>„в)</w:t>
      </w:r>
      <w:r>
        <w:rPr>
          <w:noProof/>
        </w:rPr>
        <w:tab/>
        <w:t>използва обозначението „EuSEF“, без да е регистриран в съответствие с член 15, или допустимият фонд за социално предприемачество не е регистриран в съответствие с член 15а;“</w:t>
      </w:r>
    </w:p>
    <w:p>
      <w:pPr>
        <w:pStyle w:val="Text1"/>
        <w:rPr>
          <w:noProof/>
        </w:rPr>
      </w:pPr>
      <w:r>
        <w:rPr>
          <w:noProof/>
        </w:rPr>
        <w:t>б)</w:t>
      </w:r>
      <w:r>
        <w:rPr>
          <w:noProof/>
        </w:rPr>
        <w:tab/>
        <w:t>в параграф 1 буква д) се заменя със следното:</w:t>
      </w:r>
    </w:p>
    <w:p>
      <w:pPr>
        <w:pStyle w:val="Text2"/>
        <w:rPr>
          <w:noProof/>
        </w:rPr>
      </w:pPr>
      <w:r>
        <w:rPr>
          <w:noProof/>
        </w:rPr>
        <w:t>„д)</w:t>
      </w:r>
      <w:r>
        <w:rPr>
          <w:noProof/>
        </w:rPr>
        <w:tab/>
        <w:t>е получил регистрация чрез представяне на невярна информация или друг неправомерен начин в нарушение на член 15 или член 15а;”</w:t>
      </w:r>
    </w:p>
    <w:p>
      <w:pPr>
        <w:pStyle w:val="Text1"/>
        <w:rPr>
          <w:noProof/>
        </w:rPr>
      </w:pPr>
      <w:r>
        <w:rPr>
          <w:noProof/>
        </w:rPr>
        <w:t>в)</w:t>
      </w:r>
      <w:r>
        <w:rPr>
          <w:noProof/>
        </w:rPr>
        <w:tab/>
        <w:t>в параграф 2 буква а) се заменя със следното:</w:t>
      </w:r>
    </w:p>
    <w:p>
      <w:pPr>
        <w:pStyle w:val="Text2"/>
        <w:rPr>
          <w:noProof/>
        </w:rPr>
      </w:pPr>
      <w:r>
        <w:rPr>
          <w:noProof/>
        </w:rPr>
        <w:t>„а)</w:t>
      </w:r>
      <w:r>
        <w:rPr>
          <w:noProof/>
        </w:rPr>
        <w:tab/>
        <w:t>предприема мерки, за да гарантира, че съответният управител на фонд за социално предприемачество спазва членове 5 и 6, член 7, букви а) и б) и членове 13—15а;“</w:t>
      </w:r>
    </w:p>
    <w:p>
      <w:pPr>
        <w:pStyle w:val="Point0number"/>
        <w:numPr>
          <w:ilvl w:val="0"/>
          <w:numId w:val="12"/>
        </w:numPr>
        <w:tabs>
          <w:tab w:val="num" w:pos="567"/>
        </w:tabs>
        <w:ind w:left="567" w:hanging="567"/>
        <w:rPr>
          <w:noProof/>
        </w:rPr>
      </w:pPr>
      <w:r>
        <w:rPr>
          <w:noProof/>
        </w:rPr>
        <w:t>В член 27, параграф 2, буква а) датата „22 юли 2017 г.“ се заменя с „[48 месеца след датата на влизане в сила на настоящия регламент]“.</w:t>
      </w:r>
    </w:p>
    <w:p>
      <w:pPr>
        <w:pStyle w:val="Titrearticle"/>
        <w:rPr>
          <w:noProof/>
        </w:rPr>
      </w:pPr>
      <w:r>
        <w:rPr>
          <w:noProof/>
        </w:rPr>
        <w:t>Член 3</w:t>
      </w:r>
    </w:p>
    <w:p>
      <w:pPr>
        <w:rPr>
          <w:noProof/>
        </w:rPr>
      </w:pPr>
      <w:r>
        <w:rPr>
          <w:noProof/>
        </w:rPr>
        <w:t xml:space="preserve">Настоящият регламент влиза в сила на двадесетия ден след деня на публикуването му в </w:t>
      </w:r>
      <w:r>
        <w:rPr>
          <w:i/>
          <w:noProof/>
        </w:rPr>
        <w:t>Официален вестник на Европейския съюз</w:t>
      </w:r>
      <w:r>
        <w:rPr>
          <w:noProof/>
        </w:rPr>
        <w:t>.</w:t>
      </w:r>
    </w:p>
    <w:p>
      <w:pPr>
        <w:pStyle w:val="Applicationdirecte"/>
        <w:rPr>
          <w:noProof/>
        </w:rPr>
      </w:pPr>
      <w:r>
        <w:rPr>
          <w:noProof/>
        </w:rPr>
        <w:t>Настоящият регламент е задължителен в своята цялост и се прилага пряко във всички държави членки.</w:t>
      </w:r>
    </w:p>
    <w:p>
      <w:pPr>
        <w:pStyle w:val="Fait"/>
        <w:rPr>
          <w:noProof/>
        </w:rPr>
      </w:pPr>
      <w:r>
        <w:rPr>
          <w:noProof/>
        </w:rPr>
        <w:t>Съставено в Брюксел на  година.</w:t>
      </w:r>
    </w:p>
    <w:p>
      <w:pPr>
        <w:pStyle w:val="Institutionquisigne"/>
        <w:rPr>
          <w:noProof/>
        </w:rPr>
      </w:pPr>
      <w:r>
        <w:rPr>
          <w:noProof/>
        </w:rPr>
        <w:t>За Европейския парламент</w:t>
      </w:r>
      <w:r>
        <w:rPr>
          <w:noProof/>
        </w:rPr>
        <w:tab/>
        <w:t>За Съвета</w:t>
      </w:r>
    </w:p>
    <w:p>
      <w:pPr>
        <w:pStyle w:val="Personnequisigne"/>
        <w:rPr>
          <w:noProof/>
        </w:rPr>
      </w:pPr>
      <w:r>
        <w:rPr>
          <w:noProof/>
        </w:rPr>
        <w:t>Председател</w:t>
      </w:r>
      <w:r>
        <w:rPr>
          <w:noProof/>
        </w:rPr>
        <w:tab/>
        <w:t>Председател</w:t>
      </w:r>
    </w:p>
    <w:sectPr>
      <w:footerReference w:type="default" r:id="rId10"/>
      <w:footerReference w:type="first" r:id="rId11"/>
      <w:pgSz w:w="11907" w:h="16839"/>
      <w:pgMar w:top="1134" w:right="1417" w:bottom="1134" w:left="1417"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pPr>
        <w:spacing w:before="0" w:after="0"/>
      </w:pPr>
      <w:r>
        <w:separator/>
      </w:r>
    </w:p>
  </w:endnote>
  <w:endnote w:type="continuationSeparator" w:id="0">
    <w:p>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rPr>
        <w:rFonts w:ascii="Arial" w:hAnsi="Arial" w:cs="Arial"/>
        <w:b/>
        <w:sz w:val="48"/>
      </w:rPr>
    </w:pPr>
    <w:r>
      <w:rPr>
        <w:rFonts w:ascii="Arial" w:hAnsi="Arial" w:cs="Arial"/>
        <w:b/>
        <w:sz w:val="48"/>
      </w:rPr>
      <w:t>BG</w:t>
    </w:r>
    <w:r>
      <w:rPr>
        <w:rFonts w:ascii="Arial" w:hAnsi="Arial" w:cs="Arial"/>
        <w:b/>
        <w:sz w:val="48"/>
      </w:rPr>
      <w:tab/>
    </w:r>
    <w:r>
      <w:rPr>
        <w:rFonts w:ascii="Arial" w:hAnsi="Arial" w:cs="Arial"/>
        <w:b/>
        <w:sz w:val="48"/>
      </w:rPr>
      <w:tab/>
    </w:r>
    <w:r>
      <w:fldChar w:fldCharType="begin"/>
    </w:r>
    <w:r>
      <w:instrText xml:space="preserve"> DOCVARIABLE "LW_Confidence" \* MERGEFORMAT </w:instrText>
    </w:r>
    <w:r>
      <w:fldChar w:fldCharType="separate"/>
    </w:r>
    <w:r>
      <w:t xml:space="preserve"> </w:t>
    </w:r>
    <w:r>
      <w:fldChar w:fldCharType="end"/>
    </w:r>
    <w:r>
      <w:tab/>
    </w:r>
    <w:r>
      <w:rPr>
        <w:rFonts w:ascii="Arial" w:hAnsi="Arial" w:cs="Arial"/>
        <w:b/>
        <w:sz w:val="48"/>
      </w:rPr>
      <w:t>BG</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rPr>
        <w:rFonts w:ascii="Arial" w:hAnsi="Arial" w:cs="Arial"/>
        <w:b/>
        <w:sz w:val="48"/>
      </w:rPr>
    </w:pPr>
    <w:r>
      <w:rPr>
        <w:rFonts w:ascii="Arial" w:hAnsi="Arial" w:cs="Arial"/>
        <w:b/>
        <w:sz w:val="48"/>
      </w:rPr>
      <w:t>BG</w:t>
    </w:r>
    <w:r>
      <w:rPr>
        <w:rFonts w:ascii="Arial" w:hAnsi="Arial" w:cs="Arial"/>
        <w:b/>
        <w:sz w:val="48"/>
      </w:rPr>
      <w:tab/>
    </w:r>
    <w:r>
      <w:fldChar w:fldCharType="begin"/>
    </w:r>
    <w:r>
      <w:instrText xml:space="preserve"> PAGE  \* MERGEFORMAT </w:instrText>
    </w:r>
    <w:r>
      <w:fldChar w:fldCharType="separate"/>
    </w:r>
    <w:r>
      <w:rPr>
        <w:noProof/>
      </w:rPr>
      <w:t>26</w:t>
    </w:r>
    <w:r>
      <w:fldChar w:fldCharType="end"/>
    </w:r>
    <w:r>
      <w:tab/>
    </w:r>
    <w:r>
      <w:fldChar w:fldCharType="begin"/>
    </w:r>
    <w:r>
      <w:instrText xml:space="preserve"> DOCVARIABLE "LW_Confidence" \* MERGEFORMAT </w:instrText>
    </w:r>
    <w:r>
      <w:fldChar w:fldCharType="separate"/>
    </w:r>
    <w:r>
      <w:t xml:space="preserve"> </w:t>
    </w:r>
    <w:r>
      <w:fldChar w:fldCharType="end"/>
    </w:r>
    <w:r>
      <w:tab/>
    </w:r>
    <w:r>
      <w:rPr>
        <w:rFonts w:ascii="Arial" w:hAnsi="Arial" w:cs="Arial"/>
        <w:b/>
        <w:sz w:val="48"/>
      </w:rPr>
      <w:t>BG</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pPr>
        <w:spacing w:before="0" w:after="0"/>
      </w:pPr>
      <w:r>
        <w:separator/>
      </w:r>
    </w:p>
  </w:footnote>
  <w:footnote w:type="continuationSeparator" w:id="0">
    <w:p>
      <w:pPr>
        <w:spacing w:before="0" w:after="0"/>
      </w:pPr>
      <w:r>
        <w:continuationSeparator/>
      </w:r>
    </w:p>
  </w:footnote>
  <w:footnote w:id="1">
    <w:p>
      <w:pPr>
        <w:pStyle w:val="FootnoteText"/>
      </w:pPr>
      <w:r>
        <w:rPr>
          <w:rStyle w:val="FootnoteReference"/>
        </w:rPr>
        <w:footnoteRef/>
      </w:r>
      <w:r>
        <w:tab/>
        <w:t>Регламент (ЕС) № 345/2013 на Европейския парламент и на Съвета от 17 април 2013 г. относно европейските фондове за рисков капитал (ОВ L 115, 25.4.2013 г., стр. 1).</w:t>
      </w:r>
    </w:p>
  </w:footnote>
  <w:footnote w:id="2">
    <w:p>
      <w:pPr>
        <w:pStyle w:val="FootnoteText"/>
      </w:pPr>
      <w:r>
        <w:rPr>
          <w:rStyle w:val="FootnoteReference"/>
        </w:rPr>
        <w:footnoteRef/>
      </w:r>
      <w:r>
        <w:tab/>
        <w:t>Регламент (ЕС) № 346/2013 на Европейския парламент и на Съвета от 17 април 2013 г. относно европейски фондове за социално предприемачество (ОВ L 115, 25.4.2013 г., стр. 18).</w:t>
      </w:r>
    </w:p>
  </w:footnote>
  <w:footnote w:id="3">
    <w:p>
      <w:pPr>
        <w:pStyle w:val="FootnoteText"/>
      </w:pPr>
      <w:r>
        <w:rPr>
          <w:rStyle w:val="FootnoteReference"/>
        </w:rPr>
        <w:footnoteRef/>
      </w:r>
      <w:r>
        <w:tab/>
        <w:t>Съобщение на Комисията до Европейския парламент, Съвета, Европейската централна банка, Европейския икономически и социален комитет, Комитета на регионите и Европейската инвестиционна банка: План за инвестиции за Европа (COM(2014)903 final).</w:t>
      </w:r>
    </w:p>
  </w:footnote>
  <w:footnote w:id="4">
    <w:p>
      <w:pPr>
        <w:pStyle w:val="FootnoteText"/>
      </w:pPr>
      <w:r>
        <w:rPr>
          <w:rStyle w:val="FootnoteReference"/>
        </w:rPr>
        <w:footnoteRef/>
      </w:r>
      <w:r>
        <w:tab/>
        <w:t>Съобщение на Комисията до Европейския парламент, Съвета, Европейския икономически и социален комитет и Комитета на регионите: План за действие за изграждане на съюз на капиталовите пазари (COM(2015)468 final).</w:t>
      </w:r>
    </w:p>
  </w:footnote>
  <w:footnote w:id="5">
    <w:p>
      <w:pPr>
        <w:pStyle w:val="FootnoteText"/>
      </w:pPr>
      <w:r>
        <w:rPr>
          <w:rStyle w:val="FootnoteReference"/>
        </w:rPr>
        <w:footnoteRef/>
      </w:r>
      <w:r>
        <w:tab/>
        <w:t>Регламент (ЕС) 2015/1017 на Европейския парламент и на Съвета от 25 юни 2015 г. за Европейския фонд за стратегически инвестиции, Европейския консултантски център по инвестиционни въпроси и Европейския портал за инвестиционни проекти и за изменение на регламенти (ЕС) № 1291/2013 и (ЕС) № 1316/2013 — Европейски фонд за стратегически инвестиции (ОВ L 169, 1.7.2015 г., стр. 1).</w:t>
      </w:r>
    </w:p>
  </w:footnote>
  <w:footnote w:id="6">
    <w:p>
      <w:pPr>
        <w:pStyle w:val="FootnoteText"/>
      </w:pPr>
      <w:r>
        <w:rPr>
          <w:rStyle w:val="FootnoteReference"/>
        </w:rPr>
        <w:footnoteRef/>
      </w:r>
      <w:r>
        <w:tab/>
        <w:t xml:space="preserve">Съобщение на Комисията до Европейския парламент, Съвета, Европейския икономически и социален комитет и Комитета на регионите: Програма за пригодност и резултатност на регулаторната рамка (REFIT): настояща ситуация и перспективи (COM(2014) 368 </w:t>
      </w:r>
      <w:r>
        <w:rPr>
          <w:lang w:val="en-US"/>
        </w:rPr>
        <w:t>final</w:t>
      </w:r>
      <w:r>
        <w:t>).</w:t>
      </w:r>
    </w:p>
  </w:footnote>
  <w:footnote w:id="7">
    <w:p>
      <w:pPr>
        <w:pStyle w:val="FootnoteText"/>
      </w:pPr>
      <w:r>
        <w:rPr>
          <w:rStyle w:val="FootnoteReference"/>
        </w:rPr>
        <w:footnoteRef/>
      </w:r>
      <w:r>
        <w:tab/>
        <w:t>Регламент (ЕС) № 1291/2013 на Европейския парламент и на Съвета от 11 декември 2013 г. за установяване на „Хоризонт 2020“ — рамкова програма за научни изследвания и иновации (2014—2020 г.) и за отмяна на Решение № 1982/2006/EO (ОВ L 347, 20.12.2013 г., стр. 104).</w:t>
      </w:r>
    </w:p>
  </w:footnote>
  <w:footnote w:id="8">
    <w:p>
      <w:pPr>
        <w:pStyle w:val="FootnoteText"/>
      </w:pPr>
      <w:r>
        <w:rPr>
          <w:rStyle w:val="FootnoteReference"/>
        </w:rPr>
        <w:footnoteRef/>
      </w:r>
      <w:r>
        <w:tab/>
        <w:t>Регламент (ЕС) № 1287/2013 на Европейския парламент и на Съвета от 11 декември 2013 г. за създаване на Програма за конкурентоспособност на предприятията и малките и средните предприятия (COSME) (2014—2020 г.) и за отмяна на Решение № 1639/2006/ЕО (ОВ L 347, 20.12.2013 г., стр. 33).</w:t>
      </w:r>
    </w:p>
  </w:footnote>
  <w:footnote w:id="9">
    <w:p>
      <w:pPr>
        <w:pStyle w:val="FootnoteText"/>
      </w:pPr>
      <w:r>
        <w:rPr>
          <w:rStyle w:val="FootnoteReference"/>
        </w:rPr>
        <w:footnoteRef/>
      </w:r>
      <w:r>
        <w:tab/>
        <w:t xml:space="preserve">Съобщение на Комисията до Европейския парламент, Съвета, Европейския икономически и социален комитет и Комитета на регионите: Осъвременяване на единния пазар: повече възможности за гражданите и предприятията (COM(2015)550 </w:t>
      </w:r>
      <w:r>
        <w:rPr>
          <w:lang w:val="en-US"/>
        </w:rPr>
        <w:t>final</w:t>
      </w:r>
      <w:r>
        <w:t>).</w:t>
      </w:r>
    </w:p>
  </w:footnote>
  <w:footnote w:id="10">
    <w:p>
      <w:pPr>
        <w:pStyle w:val="FootnoteText"/>
      </w:pPr>
      <w:r>
        <w:rPr>
          <w:rStyle w:val="FootnoteReference"/>
        </w:rPr>
        <w:footnoteRef/>
      </w:r>
      <w:r>
        <w:tab/>
        <w:t>Директива 2011/61/ЕС на Европейския парламент и на Съвета от 8 юни 2011 г. относно лицата, управляващи алтернативни инвестиционни фондове, и за изменение на директиви 2003/41/ЕО и 2009/65/ЕО и на регламенти (ЕО) № 1060/2009 и (ЕС) № 1095/2010 (ОВ L 174, 1.7.2011 г., стр. 1).</w:t>
      </w:r>
    </w:p>
  </w:footnote>
  <w:footnote w:id="11">
    <w:p>
      <w:pPr>
        <w:pStyle w:val="FootnoteText"/>
      </w:pPr>
      <w:r>
        <w:rPr>
          <w:rStyle w:val="FootnoteReference"/>
        </w:rPr>
        <w:footnoteRef/>
      </w:r>
      <w:r>
        <w:tab/>
        <w:t xml:space="preserve">Съобщение на Комисията до Европейския парламент, Съвета, Европейския икономически и социален комитет и Комитета на регионите: Работна програма на Комисията за 2016 г. Време е за промяна (COM(2015) 610 </w:t>
      </w:r>
      <w:r>
        <w:rPr>
          <w:lang w:val="en-US"/>
        </w:rPr>
        <w:t>final</w:t>
      </w:r>
      <w:r>
        <w:t>).</w:t>
      </w:r>
    </w:p>
  </w:footnote>
  <w:footnote w:id="12">
    <w:p>
      <w:pPr>
        <w:pStyle w:val="FootnoteText"/>
      </w:pPr>
      <w:r>
        <w:rPr>
          <w:rStyle w:val="FootnoteReference"/>
        </w:rPr>
        <w:footnoteRef/>
      </w:r>
      <w:r>
        <w:tab/>
        <w:t>Регламент (ЕС) 2015/760 на Европейския парламент и на Съвета от 29 април 2013 г. относно Европейски фондове за дългосрочни инвестиции (ОВ L 123, 19.5.2015 г., стр. 98).</w:t>
      </w:r>
    </w:p>
  </w:footnote>
  <w:footnote w:id="13">
    <w:p>
      <w:pPr>
        <w:pStyle w:val="FootnoteText"/>
      </w:pPr>
      <w:r>
        <w:rPr>
          <w:rStyle w:val="FootnoteReference"/>
        </w:rPr>
        <w:footnoteRef/>
      </w:r>
      <w:r>
        <w:tab/>
        <w:t>Директива 2014/65/ЕС на Европейския парламент и на Съвета от 15 май 2014 г. относно пазарите на финансови инструменти и за изменение на Директива 2002/92/ЕО и на Директива 2011/61/ЕС (ОВ L 173, 12.6.2014 г., стр. 349).</w:t>
      </w:r>
    </w:p>
  </w:footnote>
  <w:footnote w:id="14">
    <w:p>
      <w:pPr>
        <w:pStyle w:val="FootnoteText"/>
      </w:pPr>
      <w:r>
        <w:rPr>
          <w:rStyle w:val="FootnoteReference"/>
        </w:rPr>
        <w:footnoteRef/>
      </w:r>
      <w:r>
        <w:tab/>
        <w:t>Становището на Комитета за регулаторен контрол е достъпно на адрес: […]</w:t>
      </w:r>
    </w:p>
  </w:footnote>
  <w:footnote w:id="15">
    <w:p>
      <w:pPr>
        <w:pStyle w:val="FootnoteText"/>
      </w:pPr>
      <w:r>
        <w:rPr>
          <w:rStyle w:val="FootnoteReference"/>
        </w:rPr>
        <w:footnoteRef/>
      </w:r>
      <w:r>
        <w:tab/>
        <w:t>Докладът за оценката на въздействието и обобщението са достъпни на адрес: […]</w:t>
      </w:r>
    </w:p>
  </w:footnote>
  <w:footnote w:id="16">
    <w:p>
      <w:pPr>
        <w:pStyle w:val="FootnoteText"/>
      </w:pPr>
      <w:r>
        <w:rPr>
          <w:rStyle w:val="FootnoteReference"/>
        </w:rPr>
        <w:footnoteRef/>
      </w:r>
      <w:r>
        <w:tab/>
        <w:t>ОВ C […], […], стр. […].</w:t>
      </w:r>
    </w:p>
  </w:footnote>
  <w:footnote w:id="17">
    <w:p>
      <w:pPr>
        <w:pStyle w:val="FootnoteText"/>
      </w:pPr>
      <w:r>
        <w:rPr>
          <w:rStyle w:val="FootnoteReference"/>
        </w:rPr>
        <w:footnoteRef/>
      </w:r>
      <w:r>
        <w:tab/>
        <w:t>ОВ C, , стр. </w:t>
      </w:r>
    </w:p>
  </w:footnote>
  <w:footnote w:id="18">
    <w:p>
      <w:pPr>
        <w:pStyle w:val="FootnoteText"/>
      </w:pPr>
      <w:r>
        <w:rPr>
          <w:rStyle w:val="FootnoteReference"/>
        </w:rPr>
        <w:footnoteRef/>
      </w:r>
      <w:r>
        <w:tab/>
        <w:t>Позиция на Европейския парламент от .................... (............) и решение на Съвета от .................</w:t>
      </w:r>
    </w:p>
  </w:footnote>
  <w:footnote w:id="19">
    <w:p>
      <w:pPr>
        <w:pStyle w:val="FootnoteText"/>
      </w:pPr>
      <w:r>
        <w:rPr>
          <w:rStyle w:val="FootnoteReference"/>
        </w:rPr>
        <w:footnoteRef/>
      </w:r>
      <w:r>
        <w:tab/>
        <w:t>Регламент (ЕС) № 345/2013 на Европейския парламент и на Съвета от 17 април 2013 г. относно европейските фондове за рисков капитал (ОВ L 115, 25.4.2013 г., стр. 1).</w:t>
      </w:r>
    </w:p>
  </w:footnote>
  <w:footnote w:id="20">
    <w:p>
      <w:pPr>
        <w:pStyle w:val="FootnoteText"/>
      </w:pPr>
      <w:r>
        <w:rPr>
          <w:rStyle w:val="FootnoteReference"/>
        </w:rPr>
        <w:footnoteRef/>
      </w:r>
      <w:r>
        <w:tab/>
        <w:t>Регламент (ЕС) № 346/2013 на Европейския парламент и на Съвета от 17 април 2013 г. относно европейски фондове за социално предприемачество (ОВ L 115, 25.4.2013 г., стр. 18).</w:t>
      </w:r>
    </w:p>
  </w:footnote>
  <w:footnote w:id="21">
    <w:p>
      <w:pPr>
        <w:pStyle w:val="FootnoteText"/>
      </w:pPr>
      <w:r>
        <w:rPr>
          <w:rStyle w:val="FootnoteReference"/>
        </w:rPr>
        <w:footnoteRef/>
      </w:r>
      <w:r>
        <w:tab/>
        <w:t>Директива 2011/61/ЕС на Европейския парламент и на Съвета от 8 юни 2011 г. относно лицата, управляващи алтернативни инвестиционни фондове, и за изменение на директиви 2003/41/ЕО и 2009/65/ЕО и на регламенти (ЕО) № 1060/2009 и (ЕС) № 1095/2010 (ОВ L 174, 1.7.2011 г., стр. 1).</w:t>
      </w:r>
    </w:p>
  </w:footnote>
  <w:footnote w:id="22">
    <w:p>
      <w:pPr>
        <w:pStyle w:val="FootnoteText"/>
      </w:pPr>
      <w:r>
        <w:rPr>
          <w:rStyle w:val="FootnoteReference"/>
        </w:rPr>
        <w:footnoteRef/>
      </w:r>
      <w:r>
        <w:tab/>
        <w:t>Съобщение на Комисията до Европейския парламент, Съвета, Европейската централна банка, Европейския икономически и социален комитет, Комитета на регионите и Европейската инвестиционна банка: План за инвестиции за Европа (COM(2014)903 final).</w:t>
      </w:r>
    </w:p>
  </w:footnote>
  <w:footnote w:id="23">
    <w:p>
      <w:pPr>
        <w:pStyle w:val="FootnoteText"/>
      </w:pPr>
      <w:r>
        <w:rPr>
          <w:rStyle w:val="FootnoteReference"/>
        </w:rPr>
        <w:footnoteRef/>
      </w:r>
      <w:r>
        <w:tab/>
        <w:t>Съобщение на Комисията до Европейския парламент, Съвета, Европейския икономически и социален комитет и Комитета на регионите: План за действие за изграждане на съюз на капиталовите пазари (COM(2015)468 final).</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D"/>
    <w:multiLevelType w:val="singleLevel"/>
    <w:tmpl w:val="77AC7F86"/>
    <w:lvl w:ilvl="0">
      <w:start w:val="1"/>
      <w:numFmt w:val="decimal"/>
      <w:pStyle w:val="ListNumber4"/>
      <w:lvlText w:val="%1."/>
      <w:lvlJc w:val="left"/>
      <w:pPr>
        <w:tabs>
          <w:tab w:val="num" w:pos="1209"/>
        </w:tabs>
        <w:ind w:left="1209" w:hanging="360"/>
      </w:pPr>
      <w:rPr>
        <w:rFonts w:cs="Times New Roman"/>
      </w:rPr>
    </w:lvl>
  </w:abstractNum>
  <w:abstractNum w:abstractNumId="1">
    <w:nsid w:val="FFFFFF7E"/>
    <w:multiLevelType w:val="singleLevel"/>
    <w:tmpl w:val="74484D46"/>
    <w:lvl w:ilvl="0">
      <w:start w:val="1"/>
      <w:numFmt w:val="decimal"/>
      <w:pStyle w:val="ListNumber3"/>
      <w:lvlText w:val="%1."/>
      <w:lvlJc w:val="left"/>
      <w:pPr>
        <w:tabs>
          <w:tab w:val="num" w:pos="926"/>
        </w:tabs>
        <w:ind w:left="926" w:hanging="360"/>
      </w:pPr>
      <w:rPr>
        <w:rFonts w:cs="Times New Roman"/>
      </w:rPr>
    </w:lvl>
  </w:abstractNum>
  <w:abstractNum w:abstractNumId="2">
    <w:nsid w:val="FFFFFF7F"/>
    <w:multiLevelType w:val="singleLevel"/>
    <w:tmpl w:val="5504DD78"/>
    <w:lvl w:ilvl="0">
      <w:start w:val="1"/>
      <w:numFmt w:val="decimal"/>
      <w:pStyle w:val="ListNumber2"/>
      <w:lvlText w:val="%1."/>
      <w:lvlJc w:val="left"/>
      <w:pPr>
        <w:tabs>
          <w:tab w:val="num" w:pos="643"/>
        </w:tabs>
        <w:ind w:left="643" w:hanging="360"/>
      </w:pPr>
      <w:rPr>
        <w:rFonts w:cs="Times New Roman"/>
      </w:rPr>
    </w:lvl>
  </w:abstractNum>
  <w:abstractNum w:abstractNumId="3">
    <w:nsid w:val="FFFFFF81"/>
    <w:multiLevelType w:val="singleLevel"/>
    <w:tmpl w:val="68DA1472"/>
    <w:lvl w:ilvl="0">
      <w:start w:val="1"/>
      <w:numFmt w:val="bullet"/>
      <w:pStyle w:val="ListBullet4"/>
      <w:lvlText w:val=""/>
      <w:lvlJc w:val="left"/>
      <w:pPr>
        <w:tabs>
          <w:tab w:val="num" w:pos="1209"/>
        </w:tabs>
        <w:ind w:left="1209" w:hanging="360"/>
      </w:pPr>
      <w:rPr>
        <w:rFonts w:ascii="Symbol" w:hAnsi="Symbol" w:hint="default"/>
      </w:rPr>
    </w:lvl>
  </w:abstractNum>
  <w:abstractNum w:abstractNumId="4">
    <w:nsid w:val="FFFFFF82"/>
    <w:multiLevelType w:val="singleLevel"/>
    <w:tmpl w:val="FB4C5A1C"/>
    <w:lvl w:ilvl="0">
      <w:start w:val="1"/>
      <w:numFmt w:val="bullet"/>
      <w:pStyle w:val="ListBullet3"/>
      <w:lvlText w:val=""/>
      <w:lvlJc w:val="left"/>
      <w:pPr>
        <w:tabs>
          <w:tab w:val="num" w:pos="926"/>
        </w:tabs>
        <w:ind w:left="926" w:hanging="360"/>
      </w:pPr>
      <w:rPr>
        <w:rFonts w:ascii="Symbol" w:hAnsi="Symbol" w:hint="default"/>
      </w:rPr>
    </w:lvl>
  </w:abstractNum>
  <w:abstractNum w:abstractNumId="5">
    <w:nsid w:val="FFFFFF83"/>
    <w:multiLevelType w:val="singleLevel"/>
    <w:tmpl w:val="17EE71EC"/>
    <w:lvl w:ilvl="0">
      <w:start w:val="1"/>
      <w:numFmt w:val="bullet"/>
      <w:pStyle w:val="ListBullet2"/>
      <w:lvlText w:val=""/>
      <w:lvlJc w:val="left"/>
      <w:pPr>
        <w:tabs>
          <w:tab w:val="num" w:pos="643"/>
        </w:tabs>
        <w:ind w:left="643" w:hanging="360"/>
      </w:pPr>
      <w:rPr>
        <w:rFonts w:ascii="Symbol" w:hAnsi="Symbol" w:hint="default"/>
      </w:rPr>
    </w:lvl>
  </w:abstractNum>
  <w:abstractNum w:abstractNumId="6">
    <w:nsid w:val="FFFFFF88"/>
    <w:multiLevelType w:val="singleLevel"/>
    <w:tmpl w:val="FF7AB1FA"/>
    <w:lvl w:ilvl="0">
      <w:start w:val="1"/>
      <w:numFmt w:val="decimal"/>
      <w:pStyle w:val="ListNumber"/>
      <w:lvlText w:val="%1."/>
      <w:lvlJc w:val="left"/>
      <w:pPr>
        <w:tabs>
          <w:tab w:val="num" w:pos="360"/>
        </w:tabs>
        <w:ind w:left="360" w:hanging="360"/>
      </w:pPr>
      <w:rPr>
        <w:rFonts w:cs="Times New Roman"/>
      </w:rPr>
    </w:lvl>
  </w:abstractNum>
  <w:abstractNum w:abstractNumId="7">
    <w:nsid w:val="FFFFFF89"/>
    <w:multiLevelType w:val="singleLevel"/>
    <w:tmpl w:val="46B4EBEE"/>
    <w:lvl w:ilvl="0">
      <w:start w:val="1"/>
      <w:numFmt w:val="bullet"/>
      <w:pStyle w:val="ListBullet"/>
      <w:lvlText w:val=""/>
      <w:lvlJc w:val="left"/>
      <w:pPr>
        <w:tabs>
          <w:tab w:val="num" w:pos="360"/>
        </w:tabs>
        <w:ind w:left="360" w:hanging="360"/>
      </w:pPr>
      <w:rPr>
        <w:rFonts w:ascii="Symbol" w:hAnsi="Symbol" w:hint="default"/>
      </w:rPr>
    </w:lvl>
  </w:abstractNum>
  <w:abstractNum w:abstractNumId="8">
    <w:nsid w:val="1B3C78B8"/>
    <w:multiLevelType w:val="multilevel"/>
    <w:tmpl w:val="2ED4F4D0"/>
    <w:name w:val="Point"/>
    <w:lvl w:ilvl="0">
      <w:start w:val="1"/>
      <w:numFmt w:val="decimal"/>
      <w:lvlRestart w:val="0"/>
      <w:pStyle w:val="Point0number"/>
      <w:lvlText w:val="(%1)"/>
      <w:lvlJc w:val="left"/>
      <w:pPr>
        <w:tabs>
          <w:tab w:val="num" w:pos="850"/>
        </w:tabs>
        <w:ind w:left="850" w:hanging="850"/>
      </w:pPr>
    </w:lvl>
    <w:lvl w:ilvl="1">
      <w:start w:val="1"/>
      <w:numFmt w:val="lowerLetter"/>
      <w:pStyle w:val="Point0letter"/>
      <w:lvlText w:val="(%2)"/>
      <w:lvlJc w:val="left"/>
      <w:pPr>
        <w:tabs>
          <w:tab w:val="num" w:pos="850"/>
        </w:tabs>
        <w:ind w:left="850" w:hanging="850"/>
      </w:pPr>
    </w:lvl>
    <w:lvl w:ilvl="2">
      <w:start w:val="1"/>
      <w:numFmt w:val="decimal"/>
      <w:pStyle w:val="Point1number"/>
      <w:lvlText w:val="(%3)"/>
      <w:lvlJc w:val="left"/>
      <w:pPr>
        <w:tabs>
          <w:tab w:val="num" w:pos="1417"/>
        </w:tabs>
        <w:ind w:left="1417" w:hanging="567"/>
      </w:pPr>
    </w:lvl>
    <w:lvl w:ilvl="3">
      <w:start w:val="1"/>
      <w:numFmt w:val="lowerLetter"/>
      <w:pStyle w:val="Point1letter"/>
      <w:lvlText w:val="(%4)"/>
      <w:lvlJc w:val="left"/>
      <w:pPr>
        <w:tabs>
          <w:tab w:val="num" w:pos="1417"/>
        </w:tabs>
        <w:ind w:left="1417" w:hanging="567"/>
      </w:pPr>
    </w:lvl>
    <w:lvl w:ilvl="4">
      <w:start w:val="1"/>
      <w:numFmt w:val="decimal"/>
      <w:pStyle w:val="Point2number"/>
      <w:lvlText w:val="(%5)"/>
      <w:lvlJc w:val="left"/>
      <w:pPr>
        <w:tabs>
          <w:tab w:val="num" w:pos="1984"/>
        </w:tabs>
        <w:ind w:left="1984" w:hanging="567"/>
      </w:pPr>
    </w:lvl>
    <w:lvl w:ilvl="5">
      <w:start w:val="1"/>
      <w:numFmt w:val="lowerLetter"/>
      <w:pStyle w:val="Point2letter"/>
      <w:lvlText w:val="(%6)"/>
      <w:lvlJc w:val="left"/>
      <w:pPr>
        <w:tabs>
          <w:tab w:val="num" w:pos="1984"/>
        </w:tabs>
        <w:ind w:left="1984" w:hanging="567"/>
      </w:pPr>
    </w:lvl>
    <w:lvl w:ilvl="6">
      <w:start w:val="1"/>
      <w:numFmt w:val="decimal"/>
      <w:pStyle w:val="Point3number"/>
      <w:lvlText w:val="(%7)"/>
      <w:lvlJc w:val="left"/>
      <w:pPr>
        <w:tabs>
          <w:tab w:val="num" w:pos="2551"/>
        </w:tabs>
        <w:ind w:left="2551" w:hanging="567"/>
      </w:pPr>
    </w:lvl>
    <w:lvl w:ilvl="7">
      <w:start w:val="1"/>
      <w:numFmt w:val="lowerLetter"/>
      <w:pStyle w:val="Point3letter"/>
      <w:lvlText w:val="(%8)"/>
      <w:lvlJc w:val="left"/>
      <w:pPr>
        <w:tabs>
          <w:tab w:val="num" w:pos="2551"/>
        </w:tabs>
        <w:ind w:left="2551" w:hanging="567"/>
      </w:pPr>
    </w:lvl>
    <w:lvl w:ilvl="8">
      <w:start w:val="1"/>
      <w:numFmt w:val="lowerLetter"/>
      <w:pStyle w:val="Point4letter"/>
      <w:lvlText w:val="(%9)"/>
      <w:lvlJc w:val="left"/>
      <w:pPr>
        <w:tabs>
          <w:tab w:val="num" w:pos="3118"/>
        </w:tabs>
        <w:ind w:left="3118" w:hanging="567"/>
      </w:pPr>
    </w:lvl>
  </w:abstractNum>
  <w:abstractNum w:abstractNumId="9">
    <w:nsid w:val="22E44180"/>
    <w:multiLevelType w:val="multilevel"/>
    <w:tmpl w:val="DFC88CEC"/>
    <w:name w:val="NumPar"/>
    <w:lvl w:ilvl="0">
      <w:start w:val="1"/>
      <w:numFmt w:val="decimal"/>
      <w:lvlRestart w:val="0"/>
      <w:pStyle w:val="NumPar1"/>
      <w:lvlText w:val="%1."/>
      <w:lvlJc w:val="left"/>
      <w:pPr>
        <w:tabs>
          <w:tab w:val="num" w:pos="850"/>
        </w:tabs>
        <w:ind w:left="850" w:hanging="850"/>
      </w:pPr>
    </w:lvl>
    <w:lvl w:ilvl="1">
      <w:start w:val="1"/>
      <w:numFmt w:val="decimal"/>
      <w:pStyle w:val="NumPar2"/>
      <w:lvlText w:val="%1.%2."/>
      <w:lvlJc w:val="left"/>
      <w:pPr>
        <w:tabs>
          <w:tab w:val="num" w:pos="850"/>
        </w:tabs>
        <w:ind w:left="850" w:hanging="850"/>
      </w:pPr>
    </w:lvl>
    <w:lvl w:ilvl="2">
      <w:start w:val="1"/>
      <w:numFmt w:val="decimal"/>
      <w:pStyle w:val="NumPar3"/>
      <w:lvlText w:val="%1.%2.%3."/>
      <w:lvlJc w:val="left"/>
      <w:pPr>
        <w:tabs>
          <w:tab w:val="num" w:pos="850"/>
        </w:tabs>
        <w:ind w:left="850" w:hanging="850"/>
      </w:pPr>
    </w:lvl>
    <w:lvl w:ilvl="3">
      <w:start w:val="1"/>
      <w:numFmt w:val="decimal"/>
      <w:pStyle w:val="NumPar4"/>
      <w:lvlText w:val="%1.%2.%3.%4."/>
      <w:lvlJc w:val="left"/>
      <w:pPr>
        <w:tabs>
          <w:tab w:val="num" w:pos="850"/>
        </w:tabs>
        <w:ind w:left="850" w:hanging="85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
    <w:nsid w:val="2CB72C6E"/>
    <w:multiLevelType w:val="singleLevel"/>
    <w:tmpl w:val="10ACD464"/>
    <w:name w:val="Bullet 3"/>
    <w:lvl w:ilvl="0">
      <w:start w:val="1"/>
      <w:numFmt w:val="bullet"/>
      <w:lvlRestart w:val="0"/>
      <w:pStyle w:val="Bullet3"/>
      <w:lvlText w:val=""/>
      <w:lvlJc w:val="left"/>
      <w:pPr>
        <w:tabs>
          <w:tab w:val="num" w:pos="2551"/>
        </w:tabs>
        <w:ind w:left="2551" w:hanging="567"/>
      </w:pPr>
      <w:rPr>
        <w:rFonts w:ascii="Symbol" w:hAnsi="Symbol" w:hint="default"/>
      </w:rPr>
    </w:lvl>
  </w:abstractNum>
  <w:abstractNum w:abstractNumId="11">
    <w:nsid w:val="2CE9221F"/>
    <w:multiLevelType w:val="singleLevel"/>
    <w:tmpl w:val="9B4AFB48"/>
    <w:name w:val="Tiret 3"/>
    <w:lvl w:ilvl="0">
      <w:start w:val="1"/>
      <w:numFmt w:val="bullet"/>
      <w:lvlRestart w:val="0"/>
      <w:pStyle w:val="Tiret3"/>
      <w:lvlText w:val="–"/>
      <w:lvlJc w:val="left"/>
      <w:pPr>
        <w:tabs>
          <w:tab w:val="num" w:pos="2551"/>
        </w:tabs>
        <w:ind w:left="2551" w:hanging="567"/>
      </w:pPr>
    </w:lvl>
  </w:abstractNum>
  <w:abstractNum w:abstractNumId="12">
    <w:nsid w:val="42713452"/>
    <w:multiLevelType w:val="singleLevel"/>
    <w:tmpl w:val="3B8CC7EA"/>
    <w:name w:val="Tiret 1"/>
    <w:lvl w:ilvl="0">
      <w:start w:val="1"/>
      <w:numFmt w:val="bullet"/>
      <w:lvlRestart w:val="0"/>
      <w:pStyle w:val="Tiret1"/>
      <w:lvlText w:val="–"/>
      <w:lvlJc w:val="left"/>
      <w:pPr>
        <w:tabs>
          <w:tab w:val="num" w:pos="1417"/>
        </w:tabs>
        <w:ind w:left="1417" w:hanging="567"/>
      </w:pPr>
    </w:lvl>
  </w:abstractNum>
  <w:abstractNum w:abstractNumId="13">
    <w:nsid w:val="42FC0772"/>
    <w:multiLevelType w:val="singleLevel"/>
    <w:tmpl w:val="4128FCF8"/>
    <w:name w:val="Tiret 4"/>
    <w:lvl w:ilvl="0">
      <w:start w:val="1"/>
      <w:numFmt w:val="bullet"/>
      <w:lvlRestart w:val="0"/>
      <w:pStyle w:val="Tiret4"/>
      <w:lvlText w:val="–"/>
      <w:lvlJc w:val="left"/>
      <w:pPr>
        <w:tabs>
          <w:tab w:val="num" w:pos="3118"/>
        </w:tabs>
        <w:ind w:left="3118" w:hanging="567"/>
      </w:pPr>
    </w:lvl>
  </w:abstractNum>
  <w:abstractNum w:abstractNumId="14">
    <w:nsid w:val="4552127F"/>
    <w:multiLevelType w:val="singleLevel"/>
    <w:tmpl w:val="057A5296"/>
    <w:name w:val="Bullet 0"/>
    <w:lvl w:ilvl="0">
      <w:start w:val="1"/>
      <w:numFmt w:val="bullet"/>
      <w:lvlRestart w:val="0"/>
      <w:pStyle w:val="Bullet0"/>
      <w:lvlText w:val=""/>
      <w:lvlJc w:val="left"/>
      <w:pPr>
        <w:tabs>
          <w:tab w:val="num" w:pos="850"/>
        </w:tabs>
        <w:ind w:left="850" w:hanging="850"/>
      </w:pPr>
      <w:rPr>
        <w:rFonts w:ascii="Symbol" w:hAnsi="Symbol" w:hint="default"/>
      </w:rPr>
    </w:lvl>
  </w:abstractNum>
  <w:abstractNum w:abstractNumId="15">
    <w:nsid w:val="556E1D63"/>
    <w:multiLevelType w:val="singleLevel"/>
    <w:tmpl w:val="493AAFF0"/>
    <w:name w:val="Bullet 4"/>
    <w:lvl w:ilvl="0">
      <w:start w:val="1"/>
      <w:numFmt w:val="bullet"/>
      <w:lvlRestart w:val="0"/>
      <w:pStyle w:val="Bullet4"/>
      <w:lvlText w:val=""/>
      <w:lvlJc w:val="left"/>
      <w:pPr>
        <w:tabs>
          <w:tab w:val="num" w:pos="3118"/>
        </w:tabs>
        <w:ind w:left="3118" w:hanging="567"/>
      </w:pPr>
      <w:rPr>
        <w:rFonts w:ascii="Symbol" w:hAnsi="Symbol" w:hint="default"/>
      </w:rPr>
    </w:lvl>
  </w:abstractNum>
  <w:abstractNum w:abstractNumId="16">
    <w:nsid w:val="5B395AAA"/>
    <w:multiLevelType w:val="singleLevel"/>
    <w:tmpl w:val="96D02E8A"/>
    <w:name w:val="Bullet 1"/>
    <w:lvl w:ilvl="0">
      <w:start w:val="1"/>
      <w:numFmt w:val="bullet"/>
      <w:lvlRestart w:val="0"/>
      <w:pStyle w:val="Bullet1"/>
      <w:lvlText w:val=""/>
      <w:lvlJc w:val="left"/>
      <w:pPr>
        <w:tabs>
          <w:tab w:val="num" w:pos="1417"/>
        </w:tabs>
        <w:ind w:left="1417" w:hanging="567"/>
      </w:pPr>
      <w:rPr>
        <w:rFonts w:ascii="Symbol" w:hAnsi="Symbol" w:hint="default"/>
      </w:rPr>
    </w:lvl>
  </w:abstractNum>
  <w:abstractNum w:abstractNumId="17">
    <w:nsid w:val="5C056EE5"/>
    <w:multiLevelType w:val="singleLevel"/>
    <w:tmpl w:val="3378D27C"/>
    <w:name w:val="Bullet 2"/>
    <w:lvl w:ilvl="0">
      <w:start w:val="1"/>
      <w:numFmt w:val="bullet"/>
      <w:lvlRestart w:val="0"/>
      <w:pStyle w:val="Bullet2"/>
      <w:lvlText w:val=""/>
      <w:lvlJc w:val="left"/>
      <w:pPr>
        <w:tabs>
          <w:tab w:val="num" w:pos="1984"/>
        </w:tabs>
        <w:ind w:left="1984" w:hanging="567"/>
      </w:pPr>
      <w:rPr>
        <w:rFonts w:ascii="Symbol" w:hAnsi="Symbol" w:hint="default"/>
      </w:rPr>
    </w:lvl>
  </w:abstractNum>
  <w:abstractNum w:abstractNumId="18">
    <w:nsid w:val="5CA31A15"/>
    <w:multiLevelType w:val="singleLevel"/>
    <w:tmpl w:val="CB981644"/>
    <w:name w:val="Tiret 0"/>
    <w:lvl w:ilvl="0">
      <w:start w:val="1"/>
      <w:numFmt w:val="bullet"/>
      <w:lvlRestart w:val="0"/>
      <w:pStyle w:val="Tiret0"/>
      <w:lvlText w:val="–"/>
      <w:lvlJc w:val="left"/>
      <w:pPr>
        <w:tabs>
          <w:tab w:val="num" w:pos="850"/>
        </w:tabs>
        <w:ind w:left="850" w:hanging="850"/>
      </w:pPr>
    </w:lvl>
  </w:abstractNum>
  <w:abstractNum w:abstractNumId="19">
    <w:nsid w:val="64A12FA4"/>
    <w:multiLevelType w:val="multilevel"/>
    <w:tmpl w:val="428ECF3E"/>
    <w:name w:val="Heading"/>
    <w:lvl w:ilvl="0">
      <w:start w:val="1"/>
      <w:numFmt w:val="decimal"/>
      <w:lvlRestart w:val="0"/>
      <w:pStyle w:val="Heading1"/>
      <w:lvlText w:val="%1."/>
      <w:lvlJc w:val="left"/>
      <w:pPr>
        <w:tabs>
          <w:tab w:val="num" w:pos="850"/>
        </w:tabs>
        <w:ind w:left="850" w:hanging="850"/>
      </w:pPr>
    </w:lvl>
    <w:lvl w:ilvl="1">
      <w:start w:val="1"/>
      <w:numFmt w:val="decimal"/>
      <w:pStyle w:val="Heading2"/>
      <w:lvlText w:val="%1.%2."/>
      <w:lvlJc w:val="left"/>
      <w:pPr>
        <w:tabs>
          <w:tab w:val="num" w:pos="850"/>
        </w:tabs>
        <w:ind w:left="850" w:hanging="850"/>
      </w:pPr>
    </w:lvl>
    <w:lvl w:ilvl="2">
      <w:start w:val="1"/>
      <w:numFmt w:val="decimal"/>
      <w:pStyle w:val="Heading3"/>
      <w:lvlText w:val="%1.%2.%3."/>
      <w:lvlJc w:val="left"/>
      <w:pPr>
        <w:tabs>
          <w:tab w:val="num" w:pos="850"/>
        </w:tabs>
        <w:ind w:left="850" w:hanging="850"/>
      </w:pPr>
    </w:lvl>
    <w:lvl w:ilvl="3">
      <w:start w:val="1"/>
      <w:numFmt w:val="decimal"/>
      <w:pStyle w:val="Heading4"/>
      <w:lvlText w:val="%1.%2.%3.%4."/>
      <w:lvlJc w:val="left"/>
      <w:pPr>
        <w:tabs>
          <w:tab w:val="num" w:pos="850"/>
        </w:tabs>
        <w:ind w:left="850" w:hanging="85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0">
    <w:nsid w:val="67B856F6"/>
    <w:multiLevelType w:val="singleLevel"/>
    <w:tmpl w:val="0AB28E9C"/>
    <w:name w:val="Tiret 2"/>
    <w:lvl w:ilvl="0">
      <w:start w:val="1"/>
      <w:numFmt w:val="bullet"/>
      <w:lvlRestart w:val="0"/>
      <w:pStyle w:val="Tiret2"/>
      <w:lvlText w:val="–"/>
      <w:lvlJc w:val="left"/>
      <w:pPr>
        <w:tabs>
          <w:tab w:val="num" w:pos="1984"/>
        </w:tabs>
        <w:ind w:left="1984" w:hanging="567"/>
      </w:pPr>
    </w:lvl>
  </w:abstractNum>
  <w:abstractNum w:abstractNumId="21">
    <w:nsid w:val="7CBE4812"/>
    <w:multiLevelType w:val="singleLevel"/>
    <w:tmpl w:val="23C821E4"/>
    <w:name w:val="Considérant"/>
    <w:lvl w:ilvl="0">
      <w:start w:val="1"/>
      <w:numFmt w:val="decimal"/>
      <w:lvlRestart w:val="0"/>
      <w:pStyle w:val="Considrant"/>
      <w:lvlText w:val="(%1)"/>
      <w:lvlJc w:val="left"/>
      <w:pPr>
        <w:tabs>
          <w:tab w:val="num" w:pos="709"/>
        </w:tabs>
        <w:ind w:left="709" w:hanging="709"/>
      </w:pPr>
    </w:lvl>
  </w:abstractNum>
  <w:num w:numId="1">
    <w:abstractNumId w:val="18"/>
    <w:lvlOverride w:ilvl="0">
      <w:startOverride w:val="1"/>
    </w:lvlOverride>
  </w:num>
  <w:num w:numId="2">
    <w:abstractNumId w:val="6"/>
  </w:num>
  <w:num w:numId="3">
    <w:abstractNumId w:val="1"/>
  </w:num>
  <w:num w:numId="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7"/>
  </w:num>
  <w:num w:numId="6">
    <w:abstractNumId w:val="5"/>
  </w:num>
  <w:num w:numId="7">
    <w:abstractNumId w:val="4"/>
  </w:num>
  <w:num w:numId="8">
    <w:abstractNumId w:val="3"/>
  </w:num>
  <w:num w:numId="9">
    <w:abstractNumId w:val="2"/>
  </w:num>
  <w:num w:numId="10">
    <w:abstractNumId w:val="0"/>
  </w:num>
  <w:num w:numId="11">
    <w:abstractNumId w:val="18"/>
  </w:num>
  <w:num w:numId="12">
    <w:abstractNumId w:val="8"/>
  </w:num>
  <w:num w:numId="13">
    <w:abstractNumId w:val="21"/>
    <w:lvlOverride w:ilvl="0">
      <w:startOverride w:val="1"/>
    </w:lvlOverride>
  </w:num>
  <w:num w:numId="1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8"/>
  </w:num>
  <w:num w:numId="16">
    <w:abstractNumId w:val="12"/>
  </w:num>
  <w:num w:numId="17">
    <w:abstractNumId w:val="20"/>
  </w:num>
  <w:num w:numId="18">
    <w:abstractNumId w:val="11"/>
  </w:num>
  <w:num w:numId="19">
    <w:abstractNumId w:val="13"/>
  </w:num>
  <w:num w:numId="20">
    <w:abstractNumId w:val="9"/>
  </w:num>
  <w:num w:numId="21">
    <w:abstractNumId w:val="19"/>
  </w:num>
  <w:num w:numId="22">
    <w:abstractNumId w:val="8"/>
  </w:num>
  <w:num w:numId="23">
    <w:abstractNumId w:val="14"/>
  </w:num>
  <w:num w:numId="24">
    <w:abstractNumId w:val="16"/>
  </w:num>
  <w:num w:numId="25">
    <w:abstractNumId w:val="17"/>
  </w:num>
  <w:num w:numId="26">
    <w:abstractNumId w:val="10"/>
  </w:num>
  <w:num w:numId="27">
    <w:abstractNumId w:val="15"/>
  </w:num>
  <w:num w:numId="28">
    <w:abstractNumId w:val="21"/>
  </w:num>
  <w:num w:numId="29">
    <w:abstractNumId w:val="18"/>
  </w:num>
  <w:num w:numId="30">
    <w:abstractNumId w:val="12"/>
  </w:num>
  <w:num w:numId="31">
    <w:abstractNumId w:val="20"/>
  </w:num>
  <w:num w:numId="32">
    <w:abstractNumId w:val="11"/>
  </w:num>
  <w:num w:numId="33">
    <w:abstractNumId w:val="13"/>
  </w:num>
  <w:num w:numId="34">
    <w:abstractNumId w:val="9"/>
  </w:num>
  <w:num w:numId="35">
    <w:abstractNumId w:val="19"/>
  </w:num>
  <w:num w:numId="36">
    <w:abstractNumId w:val="8"/>
  </w:num>
  <w:num w:numId="37">
    <w:abstractNumId w:val="14"/>
  </w:num>
  <w:num w:numId="38">
    <w:abstractNumId w:val="16"/>
  </w:num>
  <w:num w:numId="39">
    <w:abstractNumId w:val="17"/>
  </w:num>
  <w:num w:numId="40">
    <w:abstractNumId w:val="10"/>
  </w:num>
  <w:num w:numId="41">
    <w:abstractNumId w:val="15"/>
  </w:num>
  <w:num w:numId="42">
    <w:abstractNumId w:val="21"/>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30"/>
  <w:hideSpellingErrors/>
  <w:hideGrammaticalErrors/>
  <w:attachedTemplate r:id="rId1"/>
  <w:revisionView w:markup="0"/>
  <w:doNotTrackMoves/>
  <w:defaultTabStop w:val="720"/>
  <w:hyphenationZone w:val="425"/>
  <w:characterSpacingControl w:val="doNotCompress"/>
  <w:hdrShapeDefaults>
    <o:shapedefaults v:ext="edit" spidmax="33793"/>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overrideTableStyleFontSizeAndJustification" w:uri="http://schemas.microsoft.com/office/word" w:val="1"/>
  </w:compat>
  <w:docVars>
    <w:docVar w:name="COVERPAGE_EXISTS" w:val="True"/>
    <w:docVar w:name="DQCDateTime" w:val="2016-07-18 16:03:26"/>
    <w:docVar w:name="DQCResult_Distribution" w:val="0;1"/>
    <w:docVar w:name="DQCResult_DocumentContent" w:val="0;0"/>
    <w:docVar w:name="DQCResult_DocumentSize" w:val="0;0"/>
    <w:docVar w:name="DQCResult_DocumentVersions" w:val="0;0"/>
    <w:docVar w:name="DQCResult_ExistenceOfMacros" w:val="0;0"/>
    <w:docVar w:name="DQCResult_InvalidFootnotes" w:val="0;0"/>
    <w:docVar w:name="DQCResult_LinkedStyles" w:val="0;0"/>
    <w:docVar w:name="DQCResult_ModifiedMargins" w:val="0;25"/>
    <w:docVar w:name="DQCResult_ModifiedMarkers" w:val="0;0"/>
    <w:docVar w:name="DQCResult_ModifiedNumbering" w:val="0;0"/>
    <w:docVar w:name="DQCResult_Objects" w:val="0;0"/>
    <w:docVar w:name="DQCResult_Sections" w:val="0;0"/>
    <w:docVar w:name="DQCResult_StructureCheck" w:val="0;0"/>
    <w:docVar w:name="DQCResult_SuperfluousWhitespace" w:val="0;3"/>
    <w:docVar w:name="DQCResult_UnknownFonts" w:val="0;0"/>
    <w:docVar w:name="DQCResult_UnknownStyles" w:val="0;0"/>
    <w:docVar w:name="DQCStatus" w:val="Green"/>
    <w:docVar w:name="DQCVersion" w:val="3"/>
    <w:docVar w:name="DQCWithWarnings" w:val="0"/>
    <w:docVar w:name="LW_CONFIDENCE" w:val=" "/>
    <w:docVar w:name="LW_CONST_RESTREINT_UE" w:val="RESTREINT UE"/>
    <w:docVar w:name="LW_CORRIGENDUM" w:val="&lt;UNUSED&gt;"/>
    <w:docVar w:name="LW_COVERPAGE_GUID" w:val="393031746745493697474D67A3A39890"/>
    <w:docVar w:name="LW_CROSSREFERENCE" w:val="{SWD(2016) 228 final}_x000b_{SWD(2016) 229 final}"/>
    <w:docVar w:name="LW_DocType" w:val="COM"/>
    <w:docVar w:name="LW_EMISSION" w:val="14.7.2016"/>
    <w:docVar w:name="LW_EMISSION_ISODATE" w:val="2016-07-14"/>
    <w:docVar w:name="LW_EMISSION_LOCATION" w:val="BRX"/>
    <w:docVar w:name="LW_EMISSION_PREFIX" w:val="Брюксел, "/>
    <w:docVar w:name="LW_EMISSION_SUFFIX" w:val=" \u1075?."/>
    <w:docVar w:name="LW_ID_DOCMODEL" w:val="SJ-023"/>
    <w:docVar w:name="LW_ID_DOCSIGNATURE" w:val="SJ-023"/>
    <w:docVar w:name="LW_ID_DOCSTRUCTURE" w:val="COM/PL/ORG"/>
    <w:docVar w:name="LW_ID_DOCTYPE" w:val="SJ-023"/>
    <w:docVar w:name="LW_ID_STATUT" w:val="SJ-023"/>
    <w:docVar w:name="LW_INTERETEEE.CP" w:val=" (\u1090?\u1077?\u1082?\u1089?\u1090? \u1086?\u1090? \u1079?\u1085?\u1072?\u1095?\u1077?\u1085?\u1080?\u1077? \u1079?\u1072? \u1045?\u1048?\u1055?)"/>
    <w:docVar w:name="LW_LANGUE" w:val="BG"/>
    <w:docVar w:name="LW_MARKING" w:val="&lt;UNUSED&gt;"/>
    <w:docVar w:name="LW_NOM.INST" w:val="\u1045?\u1042?\u1056?\u1054?\u1055?\u1045?\u1049?\u1057?\u1050?\u1040? \u1050?\u1054?\u1052?\u1048?\u1057?\u1048?\u1071?"/>
    <w:docVar w:name="LW_NOM.INST_JOINTDOC" w:val="&lt;EMPTY&gt;"/>
    <w:docVar w:name="LW_PART_NBR" w:val="1"/>
    <w:docVar w:name="LW_PART_NBR_TOTAL" w:val="1"/>
    <w:docVar w:name="LW_REF.II.NEW.CP" w:val="COD"/>
    <w:docVar w:name="LW_REF.II.NEW.CP_NUMBER" w:val="0221"/>
    <w:docVar w:name="LW_REF.II.NEW.CP_YEAR" w:val="2016"/>
    <w:docVar w:name="LW_REF.INST.NEW" w:val="COM"/>
    <w:docVar w:name="LW_REF.INST.NEW_ADOPTED" w:val="final"/>
    <w:docVar w:name="LW_REF.INST.NEW_TEXT" w:val="(2016) 461"/>
    <w:docVar w:name="LW_REF.INTERNE" w:val="&lt;UNUSED&gt;"/>
    <w:docVar w:name="LW_SOUS.TITRE.OBJ.CP" w:val="&lt;UNUSED&gt;"/>
    <w:docVar w:name="LW_STATUT.CP" w:val="\u1055?\u1088?\u1077?\u1076?\u1083?\u1086?\u1078?\u1077?\u1085?\u1080?\u1077? \u1079?\u1072?"/>
    <w:docVar w:name="LW_SUPERTITRE" w:val="&lt;UNUSED&gt;"/>
    <w:docVar w:name="LW_TITRE.OBJ.CP" w:val="\u1079?\u1072? \u1080?\u1079?\u1084?\u1077?\u1085?\u1077?\u1085?\u1080?\u1077? \u1085?\u1072? \u1056?\u1077?\u1075?\u1083?\u1072?\u1084?\u1077?\u1085?\u1090? (\u1045?\u1057?) \u8470? 345/2013 \u1086?\u1090?\u1085?\u1086?\u1089?\u1085?\u1086? \u1077?\u1074?\u1088?\u1086?\u1087?\u1077?\u1081?\u1089?\u1082?\u1080?\u1090?\u1077? \u1092?\u1086?\u1085?\u1076?\u1086?\u1074?\u1077? \u1079?\u1072? \u1088?\u1080?\u1089?\u1082?\u1086?\u1074? \u1082?\u1072?\u1087?\u1080?\u1090?\u1072?\u1083? \u1080? \u1056?\u1077?\u1075?\u1083?\u1072?\u1084?\u1077?\u1085?\u1090? (\u1045?\u1057?) \u8470? 346/2013 \u1086?\u1090?\u1085?\u1086?\u1089?\u1085?\u1086? \u1077?\u1074?\u1088?\u1086?\u1087?\u1077?\u1081?\u1089?\u1082?\u1080? \u1092?\u1086?\u1085?\u1076?\u1086?\u1074?\u1077? \u1079?\u1072? \u1089?\u1086?\u1094?\u1080?\u1072?\u1083?\u1085?\u1086? \u1087?\u1088?\u1077?\u1076?\u1087?\u1088?\u1080?\u1077?\u1084?\u1072?\u1095?\u1077?\u1089?\u1090?\u1074?\u1086?"/>
    <w:docVar w:name="LW_TYPE.DOC.CP" w:val="\u1056?\u1045?\u1043?\u1051?\u1040?\u1052?\u1045?\u1053?\u1058? \u1053?\u1040? \u1045?\u1042?\u1056?\u1054?\u1055?\u1045?\u1049?\u1057?\u1050?\u1048?\u1071? \u1055?\u1040?\u1056?\u1051?\u1040?\u1052?\u1045?\u1053?\u1058? \u1048? \u1053?\u1040? \u1057?\u1066?\u1042?\u1045?\u1058?\u1040?"/>
  </w:docVar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33793"/>
    <o:shapelayout v:ext="edit">
      <o:idmap v:ext="edit" data="1"/>
    </o:shapelayout>
  </w:shapeDefaults>
  <w:decimalSymbol w:val=","/>
  <w:listSeparator w:val=";"/>
  <w14:defaultImageDpi w14:val="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imes New Roman" w:hAnsi="Calibri" w:cs="Times New Roman"/>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35" w:qFormat="1"/>
    <w:lsdException w:name="footnote reference"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before="120" w:after="120" w:line="240" w:lineRule="auto"/>
      <w:jc w:val="both"/>
    </w:pPr>
    <w:rPr>
      <w:rFonts w:ascii="Times New Roman" w:hAnsi="Times New Roman"/>
      <w:sz w:val="24"/>
      <w:lang w:val="bg-BG"/>
    </w:rPr>
  </w:style>
  <w:style w:type="paragraph" w:styleId="Heading1">
    <w:name w:val="heading 1"/>
    <w:basedOn w:val="Normal"/>
    <w:next w:val="Text1"/>
    <w:link w:val="Heading1Char"/>
    <w:uiPriority w:val="9"/>
    <w:qFormat/>
    <w:pPr>
      <w:keepNext/>
      <w:numPr>
        <w:numId w:val="35"/>
      </w:numPr>
      <w:spacing w:before="360"/>
      <w:outlineLvl w:val="0"/>
    </w:pPr>
    <w:rPr>
      <w:rFonts w:eastAsiaTheme="majorEastAsia"/>
      <w:b/>
      <w:bCs/>
      <w:smallCaps/>
      <w:szCs w:val="28"/>
    </w:rPr>
  </w:style>
  <w:style w:type="paragraph" w:styleId="Heading2">
    <w:name w:val="heading 2"/>
    <w:basedOn w:val="Normal"/>
    <w:next w:val="Text1"/>
    <w:link w:val="Heading2Char"/>
    <w:uiPriority w:val="9"/>
    <w:semiHidden/>
    <w:unhideWhenUsed/>
    <w:qFormat/>
    <w:pPr>
      <w:keepNext/>
      <w:numPr>
        <w:ilvl w:val="1"/>
        <w:numId w:val="35"/>
      </w:numPr>
      <w:outlineLvl w:val="1"/>
    </w:pPr>
    <w:rPr>
      <w:rFonts w:eastAsiaTheme="majorEastAsia"/>
      <w:b/>
      <w:bCs/>
      <w:szCs w:val="26"/>
    </w:rPr>
  </w:style>
  <w:style w:type="paragraph" w:styleId="Heading3">
    <w:name w:val="heading 3"/>
    <w:basedOn w:val="Normal"/>
    <w:next w:val="Text1"/>
    <w:link w:val="Heading3Char"/>
    <w:uiPriority w:val="9"/>
    <w:semiHidden/>
    <w:unhideWhenUsed/>
    <w:qFormat/>
    <w:pPr>
      <w:keepNext/>
      <w:numPr>
        <w:ilvl w:val="2"/>
        <w:numId w:val="35"/>
      </w:numPr>
      <w:outlineLvl w:val="2"/>
    </w:pPr>
    <w:rPr>
      <w:rFonts w:eastAsiaTheme="majorEastAsia"/>
      <w:bCs/>
      <w:i/>
    </w:rPr>
  </w:style>
  <w:style w:type="paragraph" w:styleId="Heading4">
    <w:name w:val="heading 4"/>
    <w:basedOn w:val="Normal"/>
    <w:next w:val="Text1"/>
    <w:link w:val="Heading4Char"/>
    <w:uiPriority w:val="9"/>
    <w:semiHidden/>
    <w:unhideWhenUsed/>
    <w:qFormat/>
    <w:pPr>
      <w:keepNext/>
      <w:numPr>
        <w:ilvl w:val="3"/>
        <w:numId w:val="35"/>
      </w:numPr>
      <w:outlineLvl w:val="3"/>
    </w:pPr>
    <w:rPr>
      <w:rFonts w:eastAsiaTheme="majorEastAsia"/>
      <w:bCs/>
      <w:iC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uiPriority w:val="99"/>
    <w:semiHidden/>
    <w:unhideWhenUsed/>
    <w:rPr>
      <w:sz w:val="16"/>
    </w:rPr>
  </w:style>
  <w:style w:type="paragraph" w:styleId="ListNumber">
    <w:name w:val="List Number"/>
    <w:basedOn w:val="Normal"/>
    <w:uiPriority w:val="99"/>
    <w:semiHidden/>
    <w:unhideWhenUsed/>
    <w:pPr>
      <w:numPr>
        <w:numId w:val="2"/>
      </w:numPr>
      <w:contextualSpacing/>
    </w:pPr>
  </w:style>
  <w:style w:type="paragraph" w:styleId="ListNumber3">
    <w:name w:val="List Number 3"/>
    <w:basedOn w:val="Normal"/>
    <w:uiPriority w:val="99"/>
    <w:semiHidden/>
    <w:unhideWhenUsed/>
    <w:pPr>
      <w:numPr>
        <w:numId w:val="3"/>
      </w:numPr>
      <w:contextualSpacing/>
    </w:pPr>
  </w:style>
  <w:style w:type="paragraph" w:styleId="BalloonText">
    <w:name w:val="Balloon Text"/>
    <w:basedOn w:val="Normal"/>
    <w:link w:val="BalloonTextChar"/>
    <w:uiPriority w:val="99"/>
    <w:semiHidden/>
    <w:unhideWhenUsed/>
    <w:pPr>
      <w:spacing w:before="0" w:after="0"/>
    </w:pPr>
    <w:rPr>
      <w:rFonts w:ascii="Tahoma" w:hAnsi="Tahoma" w:cs="Tahoma"/>
      <w:sz w:val="16"/>
      <w:szCs w:val="16"/>
    </w:rPr>
  </w:style>
  <w:style w:type="character" w:customStyle="1" w:styleId="BalloonTextChar">
    <w:name w:val="Balloon Text Char"/>
    <w:link w:val="BalloonText"/>
    <w:uiPriority w:val="99"/>
    <w:semiHidden/>
    <w:locked/>
    <w:rPr>
      <w:rFonts w:ascii="Tahoma" w:hAnsi="Tahoma"/>
      <w:sz w:val="16"/>
      <w:lang w:val="x-none" w:eastAsia="en-US"/>
    </w:rPr>
  </w:style>
  <w:style w:type="paragraph" w:styleId="ListBullet">
    <w:name w:val="List Bullet"/>
    <w:basedOn w:val="Normal"/>
    <w:uiPriority w:val="99"/>
    <w:semiHidden/>
    <w:unhideWhenUsed/>
    <w:pPr>
      <w:numPr>
        <w:numId w:val="5"/>
      </w:numPr>
      <w:contextualSpacing/>
    </w:pPr>
  </w:style>
  <w:style w:type="paragraph" w:styleId="ListBullet2">
    <w:name w:val="List Bullet 2"/>
    <w:basedOn w:val="Normal"/>
    <w:uiPriority w:val="99"/>
    <w:semiHidden/>
    <w:unhideWhenUsed/>
    <w:pPr>
      <w:numPr>
        <w:numId w:val="6"/>
      </w:numPr>
      <w:contextualSpacing/>
    </w:pPr>
  </w:style>
  <w:style w:type="paragraph" w:styleId="ListBullet3">
    <w:name w:val="List Bullet 3"/>
    <w:basedOn w:val="Normal"/>
    <w:uiPriority w:val="99"/>
    <w:semiHidden/>
    <w:unhideWhenUsed/>
    <w:pPr>
      <w:numPr>
        <w:numId w:val="7"/>
      </w:numPr>
      <w:contextualSpacing/>
    </w:pPr>
  </w:style>
  <w:style w:type="paragraph" w:styleId="ListBullet4">
    <w:name w:val="List Bullet 4"/>
    <w:basedOn w:val="Normal"/>
    <w:uiPriority w:val="99"/>
    <w:semiHidden/>
    <w:unhideWhenUsed/>
    <w:pPr>
      <w:numPr>
        <w:numId w:val="8"/>
      </w:numPr>
      <w:contextualSpacing/>
    </w:pPr>
  </w:style>
  <w:style w:type="paragraph" w:styleId="NormalWeb">
    <w:name w:val="Normal (Web)"/>
    <w:basedOn w:val="Normal"/>
    <w:uiPriority w:val="99"/>
    <w:semiHidden/>
    <w:unhideWhenUsed/>
    <w:pPr>
      <w:spacing w:before="100" w:beforeAutospacing="1" w:after="100" w:afterAutospacing="1"/>
      <w:jc w:val="left"/>
    </w:pPr>
    <w:rPr>
      <w:szCs w:val="24"/>
    </w:rPr>
  </w:style>
  <w:style w:type="paragraph" w:styleId="Caption">
    <w:name w:val="caption"/>
    <w:basedOn w:val="Normal"/>
    <w:next w:val="Normal"/>
    <w:uiPriority w:val="35"/>
    <w:semiHidden/>
    <w:unhideWhenUsed/>
    <w:qFormat/>
    <w:rPr>
      <w:b/>
      <w:bCs/>
      <w:sz w:val="20"/>
      <w:szCs w:val="20"/>
    </w:rPr>
  </w:style>
  <w:style w:type="paragraph" w:styleId="TableofFigures">
    <w:name w:val="table of figures"/>
    <w:basedOn w:val="Normal"/>
    <w:next w:val="Normal"/>
    <w:uiPriority w:val="99"/>
    <w:semiHidden/>
    <w:unhideWhenUsed/>
  </w:style>
  <w:style w:type="paragraph" w:styleId="ListNumber2">
    <w:name w:val="List Number 2"/>
    <w:basedOn w:val="Normal"/>
    <w:uiPriority w:val="99"/>
    <w:semiHidden/>
    <w:unhideWhenUsed/>
    <w:pPr>
      <w:numPr>
        <w:numId w:val="9"/>
      </w:numPr>
      <w:contextualSpacing/>
    </w:pPr>
  </w:style>
  <w:style w:type="paragraph" w:styleId="ListNumber4">
    <w:name w:val="List Number 4"/>
    <w:basedOn w:val="Normal"/>
    <w:uiPriority w:val="99"/>
    <w:semiHidden/>
    <w:unhideWhenUsed/>
    <w:pPr>
      <w:numPr>
        <w:numId w:val="10"/>
      </w:numPr>
      <w:contextualSpacing/>
    </w:pPr>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link w:val="CommentText"/>
    <w:uiPriority w:val="99"/>
    <w:semiHidden/>
    <w:locked/>
    <w:rPr>
      <w:rFonts w:ascii="Times New Roman" w:hAnsi="Times New Roman"/>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link w:val="CommentSubject"/>
    <w:uiPriority w:val="99"/>
    <w:semiHidden/>
    <w:locked/>
    <w:rPr>
      <w:rFonts w:ascii="Times New Roman" w:hAnsi="Times New Roman"/>
      <w:b/>
    </w:rPr>
  </w:style>
  <w:style w:type="character" w:styleId="Hyperlink">
    <w:name w:val="Hyperlink"/>
    <w:uiPriority w:val="99"/>
    <w:unhideWhenUsed/>
    <w:rPr>
      <w:color w:val="0000FF"/>
      <w:u w:val="single"/>
    </w:rPr>
  </w:style>
  <w:style w:type="paragraph" w:customStyle="1" w:styleId="16Point">
    <w:name w:val="16 Point"/>
    <w:aliases w:val="Superscript 6 Point,Times 10 Point,Exposant 3 Point,Footnote reference number,Odwołanie przypisu,number,Ref,de nota al pie,footnote ref,2001+ Fußnotenzeichen"/>
    <w:basedOn w:val="Normal"/>
    <w:uiPriority w:val="99"/>
    <w:pPr>
      <w:spacing w:before="0" w:after="160" w:line="240" w:lineRule="exact"/>
      <w:jc w:val="left"/>
    </w:pPr>
    <w:rPr>
      <w:rFonts w:ascii="Calibri" w:hAnsi="Calibri"/>
      <w:sz w:val="20"/>
      <w:szCs w:val="20"/>
      <w:vertAlign w:val="superscript"/>
    </w:rPr>
  </w:style>
  <w:style w:type="paragraph" w:styleId="Revision">
    <w:name w:val="Revision"/>
    <w:hidden/>
    <w:uiPriority w:val="99"/>
    <w:semiHidden/>
    <w:rPr>
      <w:rFonts w:ascii="Times New Roman" w:hAnsi="Times New Roman"/>
      <w:sz w:val="24"/>
      <w:lang w:val="en-GB" w:eastAsia="en-GB"/>
    </w:rPr>
  </w:style>
  <w:style w:type="paragraph" w:styleId="Header">
    <w:name w:val="header"/>
    <w:basedOn w:val="Normal"/>
    <w:link w:val="HeaderChar"/>
    <w:uiPriority w:val="99"/>
    <w:unhideWhenUsed/>
    <w:pPr>
      <w:tabs>
        <w:tab w:val="center" w:pos="4535"/>
        <w:tab w:val="right" w:pos="9071"/>
      </w:tabs>
      <w:spacing w:before="0"/>
    </w:pPr>
    <w:rPr>
      <w:rFonts w:eastAsia="Calibri"/>
    </w:rPr>
  </w:style>
  <w:style w:type="character" w:customStyle="1" w:styleId="HeaderChar">
    <w:name w:val="Header Char"/>
    <w:link w:val="Header"/>
    <w:uiPriority w:val="99"/>
    <w:rPr>
      <w:rFonts w:ascii="Times New Roman" w:eastAsia="Calibri" w:hAnsi="Times New Roman"/>
      <w:sz w:val="24"/>
      <w:lang w:val="bg-BG"/>
    </w:rPr>
  </w:style>
  <w:style w:type="paragraph" w:styleId="Footer">
    <w:name w:val="footer"/>
    <w:basedOn w:val="Normal"/>
    <w:link w:val="FooterChar"/>
    <w:uiPriority w:val="99"/>
    <w:unhideWhenUsed/>
    <w:pPr>
      <w:tabs>
        <w:tab w:val="center" w:pos="4535"/>
        <w:tab w:val="right" w:pos="9071"/>
        <w:tab w:val="right" w:pos="9921"/>
      </w:tabs>
      <w:spacing w:before="360" w:after="0"/>
      <w:ind w:left="-850" w:right="-850"/>
      <w:jc w:val="left"/>
    </w:pPr>
  </w:style>
  <w:style w:type="character" w:customStyle="1" w:styleId="FooterChar">
    <w:name w:val="Footer Char"/>
    <w:basedOn w:val="DefaultParagraphFont"/>
    <w:link w:val="Footer"/>
    <w:uiPriority w:val="99"/>
    <w:rPr>
      <w:rFonts w:ascii="Times New Roman" w:hAnsi="Times New Roman" w:cs="Times New Roman"/>
      <w:sz w:val="24"/>
      <w:shd w:val="clear" w:color="auto" w:fill="auto"/>
      <w:lang w:val="en-GB"/>
    </w:rPr>
  </w:style>
  <w:style w:type="paragraph" w:styleId="FootnoteText">
    <w:name w:val="footnote text"/>
    <w:basedOn w:val="Normal"/>
    <w:link w:val="FootnoteTextChar"/>
    <w:uiPriority w:val="99"/>
    <w:semiHidden/>
    <w:unhideWhenUsed/>
    <w:pPr>
      <w:spacing w:before="0" w:after="0"/>
      <w:ind w:left="720" w:hanging="720"/>
    </w:pPr>
    <w:rPr>
      <w:sz w:val="20"/>
      <w:szCs w:val="20"/>
    </w:rPr>
  </w:style>
  <w:style w:type="character" w:customStyle="1" w:styleId="FootnoteTextChar">
    <w:name w:val="Footnote Text Char"/>
    <w:basedOn w:val="DefaultParagraphFont"/>
    <w:link w:val="FootnoteText"/>
    <w:uiPriority w:val="99"/>
    <w:semiHidden/>
    <w:rPr>
      <w:rFonts w:ascii="Times New Roman" w:hAnsi="Times New Roman" w:cs="Times New Roman"/>
      <w:sz w:val="20"/>
      <w:szCs w:val="20"/>
      <w:shd w:val="clear" w:color="auto" w:fill="auto"/>
      <w:lang w:val="en-GB"/>
    </w:rPr>
  </w:style>
  <w:style w:type="character" w:customStyle="1" w:styleId="Heading1Char">
    <w:name w:val="Heading 1 Char"/>
    <w:basedOn w:val="DefaultParagraphFont"/>
    <w:link w:val="Heading1"/>
    <w:uiPriority w:val="9"/>
    <w:rPr>
      <w:rFonts w:ascii="Times New Roman" w:eastAsiaTheme="majorEastAsia" w:hAnsi="Times New Roman" w:cs="Times New Roman"/>
      <w:b/>
      <w:bCs/>
      <w:smallCaps/>
      <w:sz w:val="24"/>
      <w:szCs w:val="28"/>
      <w:shd w:val="clear" w:color="auto" w:fill="auto"/>
      <w:lang w:val="en-GB"/>
    </w:rPr>
  </w:style>
  <w:style w:type="character" w:customStyle="1" w:styleId="Heading2Char">
    <w:name w:val="Heading 2 Char"/>
    <w:basedOn w:val="DefaultParagraphFont"/>
    <w:link w:val="Heading2"/>
    <w:uiPriority w:val="9"/>
    <w:semiHidden/>
    <w:rPr>
      <w:rFonts w:ascii="Times New Roman" w:eastAsiaTheme="majorEastAsia" w:hAnsi="Times New Roman" w:cs="Times New Roman"/>
      <w:b/>
      <w:bCs/>
      <w:sz w:val="24"/>
      <w:szCs w:val="26"/>
      <w:shd w:val="clear" w:color="auto" w:fill="auto"/>
      <w:lang w:val="en-GB"/>
    </w:rPr>
  </w:style>
  <w:style w:type="character" w:customStyle="1" w:styleId="Heading3Char">
    <w:name w:val="Heading 3 Char"/>
    <w:basedOn w:val="DefaultParagraphFont"/>
    <w:link w:val="Heading3"/>
    <w:uiPriority w:val="9"/>
    <w:semiHidden/>
    <w:rPr>
      <w:rFonts w:ascii="Times New Roman" w:eastAsiaTheme="majorEastAsia" w:hAnsi="Times New Roman" w:cs="Times New Roman"/>
      <w:bCs/>
      <w:i/>
      <w:sz w:val="24"/>
      <w:shd w:val="clear" w:color="auto" w:fill="auto"/>
      <w:lang w:val="en-GB"/>
    </w:rPr>
  </w:style>
  <w:style w:type="character" w:customStyle="1" w:styleId="Heading4Char">
    <w:name w:val="Heading 4 Char"/>
    <w:basedOn w:val="DefaultParagraphFont"/>
    <w:link w:val="Heading4"/>
    <w:uiPriority w:val="9"/>
    <w:semiHidden/>
    <w:rPr>
      <w:rFonts w:ascii="Times New Roman" w:eastAsiaTheme="majorEastAsia" w:hAnsi="Times New Roman" w:cs="Times New Roman"/>
      <w:bCs/>
      <w:iCs/>
      <w:sz w:val="24"/>
      <w:shd w:val="clear" w:color="auto" w:fill="auto"/>
      <w:lang w:val="en-GB"/>
    </w:rPr>
  </w:style>
  <w:style w:type="paragraph" w:styleId="TOCHeading">
    <w:name w:val="TOC Heading"/>
    <w:basedOn w:val="Normal"/>
    <w:next w:val="Normal"/>
    <w:uiPriority w:val="39"/>
    <w:semiHidden/>
    <w:unhideWhenUsed/>
    <w:qFormat/>
    <w:pPr>
      <w:spacing w:after="240"/>
      <w:jc w:val="center"/>
    </w:pPr>
    <w:rPr>
      <w:b/>
      <w:sz w:val="28"/>
    </w:rPr>
  </w:style>
  <w:style w:type="paragraph" w:styleId="TOC1">
    <w:name w:val="toc 1"/>
    <w:basedOn w:val="Normal"/>
    <w:next w:val="Normal"/>
    <w:uiPriority w:val="39"/>
    <w:semiHidden/>
    <w:unhideWhenUsed/>
    <w:pPr>
      <w:tabs>
        <w:tab w:val="right" w:leader="dot" w:pos="9071"/>
      </w:tabs>
      <w:spacing w:before="60"/>
      <w:ind w:left="850" w:hanging="850"/>
      <w:jc w:val="left"/>
    </w:pPr>
  </w:style>
  <w:style w:type="paragraph" w:styleId="TOC2">
    <w:name w:val="toc 2"/>
    <w:basedOn w:val="Normal"/>
    <w:next w:val="Normal"/>
    <w:uiPriority w:val="39"/>
    <w:semiHidden/>
    <w:unhideWhenUsed/>
    <w:pPr>
      <w:tabs>
        <w:tab w:val="right" w:leader="dot" w:pos="9071"/>
      </w:tabs>
      <w:spacing w:before="60"/>
      <w:ind w:left="850" w:hanging="850"/>
      <w:jc w:val="left"/>
    </w:pPr>
  </w:style>
  <w:style w:type="paragraph" w:styleId="TOC3">
    <w:name w:val="toc 3"/>
    <w:basedOn w:val="Normal"/>
    <w:next w:val="Normal"/>
    <w:uiPriority w:val="39"/>
    <w:semiHidden/>
    <w:unhideWhenUsed/>
    <w:pPr>
      <w:tabs>
        <w:tab w:val="right" w:leader="dot" w:pos="9071"/>
      </w:tabs>
      <w:spacing w:before="60"/>
      <w:ind w:left="850" w:hanging="850"/>
      <w:jc w:val="left"/>
    </w:pPr>
  </w:style>
  <w:style w:type="paragraph" w:styleId="TOC4">
    <w:name w:val="toc 4"/>
    <w:basedOn w:val="Normal"/>
    <w:next w:val="Normal"/>
    <w:uiPriority w:val="39"/>
    <w:semiHidden/>
    <w:unhideWhenUsed/>
    <w:pPr>
      <w:tabs>
        <w:tab w:val="right" w:leader="dot" w:pos="9071"/>
      </w:tabs>
      <w:spacing w:before="60"/>
      <w:ind w:left="850" w:hanging="850"/>
      <w:jc w:val="left"/>
    </w:pPr>
  </w:style>
  <w:style w:type="paragraph" w:styleId="TOC5">
    <w:name w:val="toc 5"/>
    <w:basedOn w:val="Normal"/>
    <w:next w:val="Normal"/>
    <w:uiPriority w:val="39"/>
    <w:semiHidden/>
    <w:unhideWhenUsed/>
    <w:pPr>
      <w:tabs>
        <w:tab w:val="right" w:leader="dot" w:pos="9071"/>
      </w:tabs>
      <w:spacing w:before="300"/>
      <w:jc w:val="left"/>
    </w:pPr>
  </w:style>
  <w:style w:type="paragraph" w:styleId="TOC6">
    <w:name w:val="toc 6"/>
    <w:basedOn w:val="Normal"/>
    <w:next w:val="Normal"/>
    <w:uiPriority w:val="39"/>
    <w:semiHidden/>
    <w:unhideWhenUsed/>
    <w:pPr>
      <w:tabs>
        <w:tab w:val="right" w:leader="dot" w:pos="9071"/>
      </w:tabs>
      <w:spacing w:before="240"/>
      <w:jc w:val="left"/>
    </w:pPr>
  </w:style>
  <w:style w:type="paragraph" w:styleId="TOC7">
    <w:name w:val="toc 7"/>
    <w:basedOn w:val="Normal"/>
    <w:next w:val="Normal"/>
    <w:uiPriority w:val="39"/>
    <w:semiHidden/>
    <w:unhideWhenUsed/>
    <w:pPr>
      <w:tabs>
        <w:tab w:val="right" w:leader="dot" w:pos="9071"/>
      </w:tabs>
      <w:spacing w:before="180"/>
      <w:jc w:val="left"/>
    </w:pPr>
  </w:style>
  <w:style w:type="paragraph" w:styleId="TOC8">
    <w:name w:val="toc 8"/>
    <w:basedOn w:val="Normal"/>
    <w:next w:val="Normal"/>
    <w:uiPriority w:val="39"/>
    <w:semiHidden/>
    <w:unhideWhenUsed/>
    <w:pPr>
      <w:tabs>
        <w:tab w:val="right" w:leader="dot" w:pos="9071"/>
      </w:tabs>
      <w:jc w:val="left"/>
    </w:pPr>
  </w:style>
  <w:style w:type="paragraph" w:styleId="TOC9">
    <w:name w:val="toc 9"/>
    <w:basedOn w:val="Normal"/>
    <w:next w:val="Normal"/>
    <w:uiPriority w:val="39"/>
    <w:semiHidden/>
    <w:unhideWhenUsed/>
    <w:pPr>
      <w:tabs>
        <w:tab w:val="right" w:leader="dot" w:pos="9071"/>
      </w:tabs>
    </w:pPr>
  </w:style>
  <w:style w:type="paragraph" w:customStyle="1" w:styleId="HeaderLandscape">
    <w:name w:val="HeaderLandscape"/>
    <w:basedOn w:val="Normal"/>
    <w:pPr>
      <w:tabs>
        <w:tab w:val="center" w:pos="7285"/>
        <w:tab w:val="right" w:pos="14003"/>
      </w:tabs>
      <w:spacing w:before="0"/>
    </w:pPr>
    <w:rPr>
      <w:rFonts w:eastAsia="Calibri"/>
    </w:rPr>
  </w:style>
  <w:style w:type="paragraph" w:customStyle="1" w:styleId="FooterLandscape">
    <w:name w:val="FooterLandscape"/>
    <w:basedOn w:val="Normal"/>
    <w:pPr>
      <w:tabs>
        <w:tab w:val="center" w:pos="7285"/>
        <w:tab w:val="center" w:pos="10913"/>
        <w:tab w:val="right" w:pos="15137"/>
      </w:tabs>
      <w:spacing w:before="360" w:after="0"/>
      <w:ind w:left="-567" w:right="-567"/>
      <w:jc w:val="left"/>
    </w:pPr>
  </w:style>
  <w:style w:type="character" w:styleId="FootnoteReference">
    <w:name w:val="footnote reference"/>
    <w:basedOn w:val="DefaultParagraphFont"/>
    <w:uiPriority w:val="99"/>
    <w:semiHidden/>
    <w:unhideWhenUsed/>
    <w:rPr>
      <w:shd w:val="clear" w:color="auto" w:fill="auto"/>
      <w:vertAlign w:val="superscript"/>
    </w:rPr>
  </w:style>
  <w:style w:type="paragraph" w:customStyle="1" w:styleId="Text1">
    <w:name w:val="Text 1"/>
    <w:basedOn w:val="Normal"/>
    <w:pPr>
      <w:ind w:left="850"/>
    </w:pPr>
  </w:style>
  <w:style w:type="paragraph" w:customStyle="1" w:styleId="Text2">
    <w:name w:val="Text 2"/>
    <w:basedOn w:val="Normal"/>
    <w:pPr>
      <w:ind w:left="1417"/>
    </w:pPr>
  </w:style>
  <w:style w:type="paragraph" w:customStyle="1" w:styleId="Text3">
    <w:name w:val="Text 3"/>
    <w:basedOn w:val="Normal"/>
    <w:pPr>
      <w:ind w:left="1984"/>
    </w:pPr>
  </w:style>
  <w:style w:type="paragraph" w:customStyle="1" w:styleId="Text4">
    <w:name w:val="Text 4"/>
    <w:basedOn w:val="Normal"/>
    <w:pPr>
      <w:ind w:left="2551"/>
    </w:pPr>
  </w:style>
  <w:style w:type="paragraph" w:customStyle="1" w:styleId="NormalCentered">
    <w:name w:val="Normal Centered"/>
    <w:basedOn w:val="Normal"/>
    <w:pPr>
      <w:jc w:val="center"/>
    </w:pPr>
  </w:style>
  <w:style w:type="paragraph" w:customStyle="1" w:styleId="NormalLeft">
    <w:name w:val="Normal Left"/>
    <w:basedOn w:val="Normal"/>
    <w:pPr>
      <w:jc w:val="left"/>
    </w:pPr>
  </w:style>
  <w:style w:type="paragraph" w:customStyle="1" w:styleId="NormalRight">
    <w:name w:val="Normal Right"/>
    <w:basedOn w:val="Normal"/>
    <w:pPr>
      <w:jc w:val="right"/>
    </w:pPr>
  </w:style>
  <w:style w:type="paragraph" w:customStyle="1" w:styleId="QuotedText">
    <w:name w:val="Quoted Text"/>
    <w:basedOn w:val="Normal"/>
    <w:pPr>
      <w:ind w:left="1417"/>
    </w:pPr>
  </w:style>
  <w:style w:type="paragraph" w:customStyle="1" w:styleId="Point0">
    <w:name w:val="Point 0"/>
    <w:basedOn w:val="Normal"/>
    <w:pPr>
      <w:ind w:left="850" w:hanging="850"/>
    </w:pPr>
  </w:style>
  <w:style w:type="paragraph" w:customStyle="1" w:styleId="Point1">
    <w:name w:val="Point 1"/>
    <w:basedOn w:val="Normal"/>
    <w:pPr>
      <w:ind w:left="1417" w:hanging="567"/>
    </w:pPr>
  </w:style>
  <w:style w:type="paragraph" w:customStyle="1" w:styleId="Point2">
    <w:name w:val="Point 2"/>
    <w:basedOn w:val="Normal"/>
    <w:pPr>
      <w:ind w:left="1984" w:hanging="567"/>
    </w:pPr>
  </w:style>
  <w:style w:type="paragraph" w:customStyle="1" w:styleId="Point3">
    <w:name w:val="Point 3"/>
    <w:basedOn w:val="Normal"/>
    <w:pPr>
      <w:ind w:left="2551" w:hanging="567"/>
    </w:pPr>
  </w:style>
  <w:style w:type="paragraph" w:customStyle="1" w:styleId="Point4">
    <w:name w:val="Point 4"/>
    <w:basedOn w:val="Normal"/>
    <w:pPr>
      <w:ind w:left="3118" w:hanging="567"/>
    </w:pPr>
  </w:style>
  <w:style w:type="paragraph" w:customStyle="1" w:styleId="Tiret0">
    <w:name w:val="Tiret 0"/>
    <w:basedOn w:val="Point0"/>
    <w:pPr>
      <w:numPr>
        <w:numId w:val="29"/>
      </w:numPr>
    </w:pPr>
  </w:style>
  <w:style w:type="paragraph" w:customStyle="1" w:styleId="Tiret1">
    <w:name w:val="Tiret 1"/>
    <w:basedOn w:val="Point1"/>
    <w:pPr>
      <w:numPr>
        <w:numId w:val="30"/>
      </w:numPr>
    </w:pPr>
  </w:style>
  <w:style w:type="paragraph" w:customStyle="1" w:styleId="Tiret2">
    <w:name w:val="Tiret 2"/>
    <w:basedOn w:val="Point2"/>
    <w:pPr>
      <w:numPr>
        <w:numId w:val="31"/>
      </w:numPr>
    </w:pPr>
  </w:style>
  <w:style w:type="paragraph" w:customStyle="1" w:styleId="Tiret3">
    <w:name w:val="Tiret 3"/>
    <w:basedOn w:val="Point3"/>
    <w:pPr>
      <w:numPr>
        <w:numId w:val="32"/>
      </w:numPr>
    </w:pPr>
  </w:style>
  <w:style w:type="paragraph" w:customStyle="1" w:styleId="Tiret4">
    <w:name w:val="Tiret 4"/>
    <w:basedOn w:val="Point4"/>
    <w:pPr>
      <w:numPr>
        <w:numId w:val="33"/>
      </w:numPr>
    </w:pPr>
  </w:style>
  <w:style w:type="paragraph" w:customStyle="1" w:styleId="PointDouble0">
    <w:name w:val="PointDouble 0"/>
    <w:basedOn w:val="Normal"/>
    <w:pPr>
      <w:tabs>
        <w:tab w:val="left" w:pos="850"/>
      </w:tabs>
      <w:ind w:left="1417" w:hanging="1417"/>
    </w:pPr>
  </w:style>
  <w:style w:type="paragraph" w:customStyle="1" w:styleId="PointDouble1">
    <w:name w:val="PointDouble 1"/>
    <w:basedOn w:val="Normal"/>
    <w:pPr>
      <w:tabs>
        <w:tab w:val="left" w:pos="1417"/>
      </w:tabs>
      <w:ind w:left="1984" w:hanging="1134"/>
    </w:pPr>
  </w:style>
  <w:style w:type="paragraph" w:customStyle="1" w:styleId="PointDouble2">
    <w:name w:val="PointDouble 2"/>
    <w:basedOn w:val="Normal"/>
    <w:pPr>
      <w:tabs>
        <w:tab w:val="left" w:pos="1984"/>
      </w:tabs>
      <w:ind w:left="2551" w:hanging="1134"/>
    </w:pPr>
  </w:style>
  <w:style w:type="paragraph" w:customStyle="1" w:styleId="PointDouble3">
    <w:name w:val="PointDouble 3"/>
    <w:basedOn w:val="Normal"/>
    <w:pPr>
      <w:tabs>
        <w:tab w:val="left" w:pos="2551"/>
      </w:tabs>
      <w:ind w:left="3118" w:hanging="1134"/>
    </w:pPr>
  </w:style>
  <w:style w:type="paragraph" w:customStyle="1" w:styleId="PointDouble4">
    <w:name w:val="PointDouble 4"/>
    <w:basedOn w:val="Normal"/>
    <w:pPr>
      <w:tabs>
        <w:tab w:val="left" w:pos="3118"/>
      </w:tabs>
      <w:ind w:left="3685" w:hanging="1134"/>
    </w:pPr>
  </w:style>
  <w:style w:type="paragraph" w:customStyle="1" w:styleId="PointTriple0">
    <w:name w:val="PointTriple 0"/>
    <w:basedOn w:val="Normal"/>
    <w:pPr>
      <w:tabs>
        <w:tab w:val="left" w:pos="850"/>
        <w:tab w:val="left" w:pos="1417"/>
      </w:tabs>
      <w:ind w:left="1984" w:hanging="1984"/>
    </w:pPr>
  </w:style>
  <w:style w:type="paragraph" w:customStyle="1" w:styleId="PointTriple1">
    <w:name w:val="PointTriple 1"/>
    <w:basedOn w:val="Normal"/>
    <w:pPr>
      <w:tabs>
        <w:tab w:val="left" w:pos="1417"/>
        <w:tab w:val="left" w:pos="1984"/>
      </w:tabs>
      <w:ind w:left="2551" w:hanging="1701"/>
    </w:pPr>
  </w:style>
  <w:style w:type="paragraph" w:customStyle="1" w:styleId="PointTriple2">
    <w:name w:val="PointTriple 2"/>
    <w:basedOn w:val="Normal"/>
    <w:pPr>
      <w:tabs>
        <w:tab w:val="left" w:pos="1984"/>
        <w:tab w:val="left" w:pos="2551"/>
      </w:tabs>
      <w:ind w:left="3118" w:hanging="1701"/>
    </w:pPr>
  </w:style>
  <w:style w:type="paragraph" w:customStyle="1" w:styleId="PointTriple3">
    <w:name w:val="PointTriple 3"/>
    <w:basedOn w:val="Normal"/>
    <w:pPr>
      <w:tabs>
        <w:tab w:val="left" w:pos="2551"/>
        <w:tab w:val="left" w:pos="3118"/>
      </w:tabs>
      <w:ind w:left="3685" w:hanging="1701"/>
    </w:pPr>
  </w:style>
  <w:style w:type="paragraph" w:customStyle="1" w:styleId="PointTriple4">
    <w:name w:val="PointTriple 4"/>
    <w:basedOn w:val="Normal"/>
    <w:pPr>
      <w:tabs>
        <w:tab w:val="left" w:pos="3118"/>
        <w:tab w:val="left" w:pos="3685"/>
      </w:tabs>
      <w:ind w:left="4252" w:hanging="1701"/>
    </w:pPr>
  </w:style>
  <w:style w:type="paragraph" w:customStyle="1" w:styleId="NumPar1">
    <w:name w:val="NumPar 1"/>
    <w:basedOn w:val="Normal"/>
    <w:next w:val="Text1"/>
    <w:pPr>
      <w:numPr>
        <w:numId w:val="34"/>
      </w:numPr>
    </w:pPr>
  </w:style>
  <w:style w:type="paragraph" w:customStyle="1" w:styleId="NumPar2">
    <w:name w:val="NumPar 2"/>
    <w:basedOn w:val="Normal"/>
    <w:next w:val="Text1"/>
    <w:pPr>
      <w:numPr>
        <w:ilvl w:val="1"/>
        <w:numId w:val="34"/>
      </w:numPr>
    </w:pPr>
  </w:style>
  <w:style w:type="paragraph" w:customStyle="1" w:styleId="NumPar3">
    <w:name w:val="NumPar 3"/>
    <w:basedOn w:val="Normal"/>
    <w:next w:val="Text1"/>
    <w:pPr>
      <w:numPr>
        <w:ilvl w:val="2"/>
        <w:numId w:val="34"/>
      </w:numPr>
    </w:pPr>
  </w:style>
  <w:style w:type="paragraph" w:customStyle="1" w:styleId="NumPar4">
    <w:name w:val="NumPar 4"/>
    <w:basedOn w:val="Normal"/>
    <w:next w:val="Text1"/>
    <w:pPr>
      <w:numPr>
        <w:ilvl w:val="3"/>
        <w:numId w:val="34"/>
      </w:numPr>
    </w:pPr>
  </w:style>
  <w:style w:type="paragraph" w:customStyle="1" w:styleId="ManualNumPar1">
    <w:name w:val="Manual NumPar 1"/>
    <w:basedOn w:val="Normal"/>
    <w:next w:val="Text1"/>
    <w:pPr>
      <w:ind w:left="850" w:hanging="850"/>
    </w:pPr>
  </w:style>
  <w:style w:type="paragraph" w:customStyle="1" w:styleId="ManualNumPar2">
    <w:name w:val="Manual NumPar 2"/>
    <w:basedOn w:val="Normal"/>
    <w:next w:val="Text1"/>
    <w:pPr>
      <w:ind w:left="850" w:hanging="850"/>
    </w:pPr>
  </w:style>
  <w:style w:type="paragraph" w:customStyle="1" w:styleId="ManualNumPar3">
    <w:name w:val="Manual NumPar 3"/>
    <w:basedOn w:val="Normal"/>
    <w:next w:val="Text1"/>
    <w:pPr>
      <w:ind w:left="850" w:hanging="850"/>
    </w:pPr>
  </w:style>
  <w:style w:type="paragraph" w:customStyle="1" w:styleId="ManualNumPar4">
    <w:name w:val="Manual NumPar 4"/>
    <w:basedOn w:val="Normal"/>
    <w:next w:val="Text1"/>
    <w:pPr>
      <w:ind w:left="850" w:hanging="850"/>
    </w:pPr>
  </w:style>
  <w:style w:type="paragraph" w:customStyle="1" w:styleId="QuotedNumPar">
    <w:name w:val="Quoted NumPar"/>
    <w:basedOn w:val="Normal"/>
    <w:pPr>
      <w:ind w:left="1417" w:hanging="567"/>
    </w:pPr>
  </w:style>
  <w:style w:type="paragraph" w:customStyle="1" w:styleId="ManualHeading1">
    <w:name w:val="Manual Heading 1"/>
    <w:basedOn w:val="Normal"/>
    <w:next w:val="Text1"/>
    <w:pPr>
      <w:keepNext/>
      <w:tabs>
        <w:tab w:val="left" w:pos="850"/>
      </w:tabs>
      <w:spacing w:before="360"/>
      <w:ind w:left="850" w:hanging="850"/>
      <w:outlineLvl w:val="0"/>
    </w:pPr>
    <w:rPr>
      <w:b/>
      <w:smallCaps/>
    </w:rPr>
  </w:style>
  <w:style w:type="paragraph" w:customStyle="1" w:styleId="ManualHeading2">
    <w:name w:val="Manual Heading 2"/>
    <w:basedOn w:val="Normal"/>
    <w:next w:val="Text1"/>
    <w:pPr>
      <w:keepNext/>
      <w:tabs>
        <w:tab w:val="left" w:pos="850"/>
      </w:tabs>
      <w:ind w:left="850" w:hanging="850"/>
      <w:outlineLvl w:val="1"/>
    </w:pPr>
    <w:rPr>
      <w:b/>
    </w:rPr>
  </w:style>
  <w:style w:type="paragraph" w:customStyle="1" w:styleId="ManualHeading3">
    <w:name w:val="Manual Heading 3"/>
    <w:basedOn w:val="Normal"/>
    <w:next w:val="Text1"/>
    <w:pPr>
      <w:keepNext/>
      <w:tabs>
        <w:tab w:val="left" w:pos="850"/>
      </w:tabs>
      <w:ind w:left="850" w:hanging="850"/>
      <w:outlineLvl w:val="2"/>
    </w:pPr>
    <w:rPr>
      <w:i/>
    </w:rPr>
  </w:style>
  <w:style w:type="paragraph" w:customStyle="1" w:styleId="ManualHeading4">
    <w:name w:val="Manual Heading 4"/>
    <w:basedOn w:val="Normal"/>
    <w:next w:val="Text1"/>
    <w:pPr>
      <w:keepNext/>
      <w:tabs>
        <w:tab w:val="left" w:pos="850"/>
      </w:tabs>
      <w:ind w:left="850" w:hanging="850"/>
      <w:outlineLvl w:val="3"/>
    </w:pPr>
  </w:style>
  <w:style w:type="paragraph" w:customStyle="1" w:styleId="ChapterTitle">
    <w:name w:val="ChapterTitle"/>
    <w:basedOn w:val="Normal"/>
    <w:next w:val="Normal"/>
    <w:pPr>
      <w:keepNext/>
      <w:spacing w:after="360"/>
      <w:jc w:val="center"/>
    </w:pPr>
    <w:rPr>
      <w:b/>
      <w:sz w:val="32"/>
    </w:rPr>
  </w:style>
  <w:style w:type="paragraph" w:customStyle="1" w:styleId="PartTitle">
    <w:name w:val="PartTitle"/>
    <w:basedOn w:val="Normal"/>
    <w:next w:val="ChapterTitle"/>
    <w:pPr>
      <w:keepNext/>
      <w:pageBreakBefore/>
      <w:spacing w:after="360"/>
      <w:jc w:val="center"/>
    </w:pPr>
    <w:rPr>
      <w:b/>
      <w:sz w:val="36"/>
    </w:rPr>
  </w:style>
  <w:style w:type="paragraph" w:customStyle="1" w:styleId="SectionTitle">
    <w:name w:val="SectionTitle"/>
    <w:basedOn w:val="Normal"/>
    <w:next w:val="Heading1"/>
    <w:pPr>
      <w:keepNext/>
      <w:spacing w:after="360"/>
      <w:jc w:val="center"/>
    </w:pPr>
    <w:rPr>
      <w:b/>
      <w:smallCaps/>
      <w:sz w:val="28"/>
    </w:rPr>
  </w:style>
  <w:style w:type="paragraph" w:customStyle="1" w:styleId="TableTitle">
    <w:name w:val="Table Title"/>
    <w:basedOn w:val="Normal"/>
    <w:next w:val="Normal"/>
    <w:pPr>
      <w:jc w:val="center"/>
    </w:pPr>
    <w:rPr>
      <w:b/>
    </w:rPr>
  </w:style>
  <w:style w:type="character" w:customStyle="1" w:styleId="Marker">
    <w:name w:val="Marker"/>
    <w:basedOn w:val="DefaultParagraphFont"/>
    <w:rPr>
      <w:color w:val="0000FF"/>
      <w:shd w:val="clear" w:color="auto" w:fill="auto"/>
    </w:rPr>
  </w:style>
  <w:style w:type="character" w:customStyle="1" w:styleId="Marker1">
    <w:name w:val="Marker1"/>
    <w:basedOn w:val="DefaultParagraphFont"/>
    <w:rPr>
      <w:color w:val="008000"/>
      <w:shd w:val="clear" w:color="auto" w:fill="auto"/>
    </w:rPr>
  </w:style>
  <w:style w:type="character" w:customStyle="1" w:styleId="Marker2">
    <w:name w:val="Marker2"/>
    <w:basedOn w:val="DefaultParagraphFont"/>
    <w:rPr>
      <w:color w:val="FF0000"/>
      <w:shd w:val="clear" w:color="auto" w:fill="auto"/>
    </w:rPr>
  </w:style>
  <w:style w:type="paragraph" w:customStyle="1" w:styleId="Point0number">
    <w:name w:val="Point 0 (number)"/>
    <w:basedOn w:val="Normal"/>
    <w:pPr>
      <w:numPr>
        <w:numId w:val="36"/>
      </w:numPr>
    </w:pPr>
  </w:style>
  <w:style w:type="paragraph" w:customStyle="1" w:styleId="Point1number">
    <w:name w:val="Point 1 (number)"/>
    <w:basedOn w:val="Normal"/>
    <w:pPr>
      <w:numPr>
        <w:ilvl w:val="2"/>
        <w:numId w:val="36"/>
      </w:numPr>
    </w:pPr>
  </w:style>
  <w:style w:type="paragraph" w:customStyle="1" w:styleId="Point2number">
    <w:name w:val="Point 2 (number)"/>
    <w:basedOn w:val="Normal"/>
    <w:pPr>
      <w:numPr>
        <w:ilvl w:val="4"/>
        <w:numId w:val="36"/>
      </w:numPr>
    </w:pPr>
  </w:style>
  <w:style w:type="paragraph" w:customStyle="1" w:styleId="Point3number">
    <w:name w:val="Point 3 (number)"/>
    <w:basedOn w:val="Normal"/>
    <w:pPr>
      <w:numPr>
        <w:ilvl w:val="6"/>
        <w:numId w:val="36"/>
      </w:numPr>
    </w:pPr>
  </w:style>
  <w:style w:type="paragraph" w:customStyle="1" w:styleId="Point0letter">
    <w:name w:val="Point 0 (letter)"/>
    <w:basedOn w:val="Normal"/>
    <w:pPr>
      <w:numPr>
        <w:ilvl w:val="1"/>
        <w:numId w:val="36"/>
      </w:numPr>
    </w:pPr>
  </w:style>
  <w:style w:type="paragraph" w:customStyle="1" w:styleId="Point1letter">
    <w:name w:val="Point 1 (letter)"/>
    <w:basedOn w:val="Normal"/>
    <w:pPr>
      <w:numPr>
        <w:ilvl w:val="3"/>
        <w:numId w:val="36"/>
      </w:numPr>
    </w:pPr>
  </w:style>
  <w:style w:type="paragraph" w:customStyle="1" w:styleId="Point2letter">
    <w:name w:val="Point 2 (letter)"/>
    <w:basedOn w:val="Normal"/>
    <w:pPr>
      <w:numPr>
        <w:ilvl w:val="5"/>
        <w:numId w:val="36"/>
      </w:numPr>
    </w:pPr>
  </w:style>
  <w:style w:type="paragraph" w:customStyle="1" w:styleId="Point3letter">
    <w:name w:val="Point 3 (letter)"/>
    <w:basedOn w:val="Normal"/>
    <w:pPr>
      <w:numPr>
        <w:ilvl w:val="7"/>
        <w:numId w:val="36"/>
      </w:numPr>
    </w:pPr>
  </w:style>
  <w:style w:type="paragraph" w:customStyle="1" w:styleId="Point4letter">
    <w:name w:val="Point 4 (letter)"/>
    <w:basedOn w:val="Normal"/>
    <w:pPr>
      <w:numPr>
        <w:ilvl w:val="8"/>
        <w:numId w:val="36"/>
      </w:numPr>
    </w:pPr>
  </w:style>
  <w:style w:type="paragraph" w:customStyle="1" w:styleId="Bullet0">
    <w:name w:val="Bullet 0"/>
    <w:basedOn w:val="Normal"/>
    <w:pPr>
      <w:numPr>
        <w:numId w:val="37"/>
      </w:numPr>
    </w:pPr>
  </w:style>
  <w:style w:type="paragraph" w:customStyle="1" w:styleId="Bullet1">
    <w:name w:val="Bullet 1"/>
    <w:basedOn w:val="Normal"/>
    <w:pPr>
      <w:numPr>
        <w:numId w:val="38"/>
      </w:numPr>
    </w:pPr>
  </w:style>
  <w:style w:type="paragraph" w:customStyle="1" w:styleId="Bullet2">
    <w:name w:val="Bullet 2"/>
    <w:basedOn w:val="Normal"/>
    <w:pPr>
      <w:numPr>
        <w:numId w:val="39"/>
      </w:numPr>
    </w:pPr>
  </w:style>
  <w:style w:type="paragraph" w:customStyle="1" w:styleId="Bullet3">
    <w:name w:val="Bullet 3"/>
    <w:basedOn w:val="Normal"/>
    <w:pPr>
      <w:numPr>
        <w:numId w:val="40"/>
      </w:numPr>
    </w:pPr>
  </w:style>
  <w:style w:type="paragraph" w:customStyle="1" w:styleId="Bullet4">
    <w:name w:val="Bullet 4"/>
    <w:basedOn w:val="Normal"/>
    <w:pPr>
      <w:numPr>
        <w:numId w:val="41"/>
      </w:numPr>
    </w:pPr>
  </w:style>
  <w:style w:type="paragraph" w:customStyle="1" w:styleId="Annexetitreexpos">
    <w:name w:val="Annexe titre (exposé)"/>
    <w:basedOn w:val="Normal"/>
    <w:next w:val="Normal"/>
    <w:pPr>
      <w:jc w:val="center"/>
    </w:pPr>
    <w:rPr>
      <w:b/>
      <w:u w:val="single"/>
    </w:rPr>
  </w:style>
  <w:style w:type="paragraph" w:customStyle="1" w:styleId="Annexetitre">
    <w:name w:val="Annexe titre"/>
    <w:basedOn w:val="Normal"/>
    <w:next w:val="Normal"/>
    <w:pPr>
      <w:jc w:val="center"/>
    </w:pPr>
    <w:rPr>
      <w:b/>
      <w:u w:val="single"/>
    </w:rPr>
  </w:style>
  <w:style w:type="paragraph" w:customStyle="1" w:styleId="Annexetitrefichefinancire">
    <w:name w:val="Annexe titre (fiche financière)"/>
    <w:basedOn w:val="Normal"/>
    <w:next w:val="Normal"/>
    <w:pPr>
      <w:jc w:val="center"/>
    </w:pPr>
    <w:rPr>
      <w:b/>
      <w:u w:val="single"/>
    </w:rPr>
  </w:style>
  <w:style w:type="paragraph" w:customStyle="1" w:styleId="Applicationdirecte">
    <w:name w:val="Application directe"/>
    <w:basedOn w:val="Normal"/>
    <w:next w:val="Fait"/>
    <w:pPr>
      <w:spacing w:before="480"/>
    </w:pPr>
  </w:style>
  <w:style w:type="paragraph" w:customStyle="1" w:styleId="Avertissementtitre">
    <w:name w:val="Avertissement titre"/>
    <w:basedOn w:val="Normal"/>
    <w:next w:val="Normal"/>
    <w:pPr>
      <w:keepNext/>
      <w:spacing w:before="480"/>
    </w:pPr>
    <w:rPr>
      <w:u w:val="single"/>
    </w:rPr>
  </w:style>
  <w:style w:type="paragraph" w:customStyle="1" w:styleId="Confidence">
    <w:name w:val="Confidence"/>
    <w:basedOn w:val="Normal"/>
    <w:next w:val="Normal"/>
    <w:pPr>
      <w:spacing w:before="360"/>
      <w:jc w:val="center"/>
    </w:pPr>
  </w:style>
  <w:style w:type="paragraph" w:customStyle="1" w:styleId="Confidentialit">
    <w:name w:val="Confidentialité"/>
    <w:basedOn w:val="Normal"/>
    <w:next w:val="TypedudocumentPagedecouverture"/>
    <w:pPr>
      <w:spacing w:before="240" w:after="240"/>
      <w:ind w:left="5103"/>
      <w:jc w:val="left"/>
    </w:pPr>
    <w:rPr>
      <w:i/>
      <w:sz w:val="32"/>
    </w:rPr>
  </w:style>
  <w:style w:type="paragraph" w:customStyle="1" w:styleId="Considrant">
    <w:name w:val="Considérant"/>
    <w:basedOn w:val="Normal"/>
    <w:pPr>
      <w:numPr>
        <w:numId w:val="42"/>
      </w:numPr>
    </w:pPr>
  </w:style>
  <w:style w:type="paragraph" w:customStyle="1" w:styleId="Corrigendum">
    <w:name w:val="Corrigendum"/>
    <w:basedOn w:val="Normal"/>
    <w:next w:val="Normal"/>
    <w:pPr>
      <w:spacing w:before="0" w:after="240"/>
      <w:jc w:val="left"/>
    </w:pPr>
  </w:style>
  <w:style w:type="paragraph" w:customStyle="1" w:styleId="Datedadoption">
    <w:name w:val="Date d'adoption"/>
    <w:basedOn w:val="Normal"/>
    <w:next w:val="Titreobjet"/>
    <w:pPr>
      <w:spacing w:before="360" w:after="0"/>
      <w:jc w:val="center"/>
    </w:pPr>
    <w:rPr>
      <w:b/>
    </w:rPr>
  </w:style>
  <w:style w:type="paragraph" w:customStyle="1" w:styleId="Emission">
    <w:name w:val="Emission"/>
    <w:basedOn w:val="Normal"/>
    <w:next w:val="Rfrenceinstitutionnelle"/>
    <w:pPr>
      <w:spacing w:before="0" w:after="0"/>
      <w:ind w:left="5103"/>
      <w:jc w:val="left"/>
    </w:pPr>
  </w:style>
  <w:style w:type="paragraph" w:customStyle="1" w:styleId="Exposdesmotifstitre">
    <w:name w:val="Exposé des motifs titre"/>
    <w:basedOn w:val="Normal"/>
    <w:next w:val="Normal"/>
    <w:pPr>
      <w:jc w:val="center"/>
    </w:pPr>
    <w:rPr>
      <w:b/>
      <w:u w:val="single"/>
    </w:rPr>
  </w:style>
  <w:style w:type="paragraph" w:customStyle="1" w:styleId="Fait">
    <w:name w:val="Fait à"/>
    <w:basedOn w:val="Normal"/>
    <w:next w:val="Institutionquisigne"/>
    <w:pPr>
      <w:keepNext/>
      <w:spacing w:after="0"/>
    </w:pPr>
  </w:style>
  <w:style w:type="paragraph" w:customStyle="1" w:styleId="Formuledadoption">
    <w:name w:val="Formule d'adoption"/>
    <w:basedOn w:val="Normal"/>
    <w:next w:val="Titrearticle"/>
    <w:pPr>
      <w:keepNext/>
    </w:pPr>
  </w:style>
  <w:style w:type="paragraph" w:customStyle="1" w:styleId="Institutionquiagit">
    <w:name w:val="Institution qui agit"/>
    <w:basedOn w:val="Normal"/>
    <w:next w:val="Normal"/>
    <w:pPr>
      <w:keepNext/>
      <w:spacing w:before="600"/>
    </w:pPr>
  </w:style>
  <w:style w:type="paragraph" w:customStyle="1" w:styleId="Institutionquisigne">
    <w:name w:val="Institution qui signe"/>
    <w:basedOn w:val="Normal"/>
    <w:next w:val="Personnequisigne"/>
    <w:pPr>
      <w:keepNext/>
      <w:tabs>
        <w:tab w:val="left" w:pos="4252"/>
      </w:tabs>
      <w:spacing w:before="720" w:after="0"/>
    </w:pPr>
    <w:rPr>
      <w:i/>
    </w:rPr>
  </w:style>
  <w:style w:type="paragraph" w:customStyle="1" w:styleId="Langue">
    <w:name w:val="Langue"/>
    <w:basedOn w:val="Normal"/>
    <w:next w:val="Rfrenceinterne"/>
    <w:pPr>
      <w:framePr w:wrap="around" w:vAnchor="page" w:hAnchor="text" w:xAlign="center" w:y="14741"/>
      <w:spacing w:before="0" w:after="600"/>
      <w:jc w:val="center"/>
    </w:pPr>
    <w:rPr>
      <w:b/>
      <w:caps/>
    </w:rPr>
  </w:style>
  <w:style w:type="paragraph" w:customStyle="1" w:styleId="ManualConsidrant">
    <w:name w:val="Manual Considérant"/>
    <w:basedOn w:val="Normal"/>
    <w:pPr>
      <w:ind w:left="709" w:hanging="709"/>
    </w:pPr>
  </w:style>
  <w:style w:type="paragraph" w:customStyle="1" w:styleId="Nomdelinstitution">
    <w:name w:val="Nom de l'institution"/>
    <w:basedOn w:val="Normal"/>
    <w:next w:val="Emission"/>
    <w:pPr>
      <w:spacing w:before="0" w:after="0"/>
      <w:jc w:val="left"/>
    </w:pPr>
    <w:rPr>
      <w:rFonts w:ascii="Arial" w:hAnsi="Arial" w:cs="Arial"/>
    </w:rPr>
  </w:style>
  <w:style w:type="paragraph" w:customStyle="1" w:styleId="Personnequisigne">
    <w:name w:val="Personne qui signe"/>
    <w:basedOn w:val="Normal"/>
    <w:next w:val="Institutionquisigne"/>
    <w:pPr>
      <w:tabs>
        <w:tab w:val="left" w:pos="4252"/>
      </w:tabs>
      <w:spacing w:before="0" w:after="0"/>
      <w:jc w:val="left"/>
    </w:pPr>
    <w:rPr>
      <w:i/>
    </w:rPr>
  </w:style>
  <w:style w:type="paragraph" w:customStyle="1" w:styleId="Rfrenceinstitutionnelle">
    <w:name w:val="Référence institutionnelle"/>
    <w:basedOn w:val="Normal"/>
    <w:next w:val="Confidentialit"/>
    <w:pPr>
      <w:spacing w:before="0" w:after="240"/>
      <w:ind w:left="5103"/>
      <w:jc w:val="left"/>
    </w:pPr>
  </w:style>
  <w:style w:type="paragraph" w:customStyle="1" w:styleId="Rfrenceinterinstitutionnelle">
    <w:name w:val="Référence interinstitutionnelle"/>
    <w:basedOn w:val="Normal"/>
    <w:next w:val="Statut"/>
    <w:pPr>
      <w:spacing w:before="0" w:after="0"/>
      <w:ind w:left="5103"/>
      <w:jc w:val="left"/>
    </w:pPr>
  </w:style>
  <w:style w:type="paragraph" w:customStyle="1" w:styleId="Rfrenceinterne">
    <w:name w:val="Référence interne"/>
    <w:basedOn w:val="Normal"/>
    <w:next w:val="Rfrenceinterinstitutionnelle"/>
    <w:pPr>
      <w:spacing w:before="0" w:after="0"/>
      <w:ind w:left="5103"/>
      <w:jc w:val="left"/>
    </w:pPr>
  </w:style>
  <w:style w:type="paragraph" w:customStyle="1" w:styleId="Sous-titreobjet">
    <w:name w:val="Sous-titre objet"/>
    <w:basedOn w:val="Normal"/>
    <w:pPr>
      <w:spacing w:before="0" w:after="0"/>
      <w:jc w:val="center"/>
    </w:pPr>
    <w:rPr>
      <w:b/>
    </w:rPr>
  </w:style>
  <w:style w:type="paragraph" w:customStyle="1" w:styleId="Statut">
    <w:name w:val="Statut"/>
    <w:basedOn w:val="Normal"/>
    <w:next w:val="Typedudocument"/>
    <w:pPr>
      <w:spacing w:before="360" w:after="0"/>
      <w:jc w:val="center"/>
    </w:pPr>
  </w:style>
  <w:style w:type="paragraph" w:customStyle="1" w:styleId="Titrearticle">
    <w:name w:val="Titre article"/>
    <w:basedOn w:val="Normal"/>
    <w:next w:val="Normal"/>
    <w:pPr>
      <w:keepNext/>
      <w:spacing w:before="360"/>
      <w:jc w:val="center"/>
    </w:pPr>
    <w:rPr>
      <w:i/>
    </w:rPr>
  </w:style>
  <w:style w:type="paragraph" w:customStyle="1" w:styleId="Titreobjet">
    <w:name w:val="Titre objet"/>
    <w:basedOn w:val="Normal"/>
    <w:next w:val="Sous-titreobjet"/>
    <w:pPr>
      <w:spacing w:before="360" w:after="360"/>
      <w:jc w:val="center"/>
    </w:pPr>
    <w:rPr>
      <w:b/>
    </w:rPr>
  </w:style>
  <w:style w:type="paragraph" w:customStyle="1" w:styleId="Typedudocument">
    <w:name w:val="Type du document"/>
    <w:basedOn w:val="Normal"/>
    <w:next w:val="Titreobjet"/>
    <w:pPr>
      <w:spacing w:before="360" w:after="0"/>
      <w:jc w:val="center"/>
    </w:pPr>
    <w:rPr>
      <w:b/>
    </w:rPr>
  </w:style>
  <w:style w:type="character" w:customStyle="1" w:styleId="Added">
    <w:name w:val="Added"/>
    <w:basedOn w:val="DefaultParagraphFont"/>
    <w:rPr>
      <w:b/>
      <w:u w:val="single"/>
      <w:shd w:val="clear" w:color="auto" w:fill="auto"/>
    </w:rPr>
  </w:style>
  <w:style w:type="character" w:customStyle="1" w:styleId="Deleted">
    <w:name w:val="Deleted"/>
    <w:basedOn w:val="DefaultParagraphFont"/>
    <w:rPr>
      <w:strike/>
      <w:dstrike w:val="0"/>
      <w:shd w:val="clear" w:color="auto" w:fill="auto"/>
    </w:rPr>
  </w:style>
  <w:style w:type="paragraph" w:customStyle="1" w:styleId="Address">
    <w:name w:val="Address"/>
    <w:basedOn w:val="Normal"/>
    <w:next w:val="Normal"/>
    <w:pPr>
      <w:keepLines/>
      <w:spacing w:line="360" w:lineRule="auto"/>
      <w:ind w:left="3402"/>
      <w:jc w:val="left"/>
    </w:pPr>
  </w:style>
  <w:style w:type="paragraph" w:customStyle="1" w:styleId="Objetexterne">
    <w:name w:val="Objet externe"/>
    <w:basedOn w:val="Normal"/>
    <w:next w:val="Normal"/>
    <w:rPr>
      <w:i/>
      <w:caps/>
    </w:rPr>
  </w:style>
  <w:style w:type="paragraph" w:customStyle="1" w:styleId="Pagedecouverture">
    <w:name w:val="Page de couverture"/>
    <w:basedOn w:val="Normal"/>
    <w:next w:val="Normal"/>
    <w:pPr>
      <w:spacing w:before="0" w:after="0"/>
    </w:pPr>
  </w:style>
  <w:style w:type="paragraph" w:customStyle="1" w:styleId="Supertitre">
    <w:name w:val="Supertitre"/>
    <w:basedOn w:val="Normal"/>
    <w:next w:val="Normal"/>
    <w:pPr>
      <w:spacing w:before="0" w:after="600"/>
      <w:jc w:val="center"/>
    </w:pPr>
    <w:rPr>
      <w:b/>
    </w:rPr>
  </w:style>
  <w:style w:type="paragraph" w:customStyle="1" w:styleId="Languesfaisantfoi">
    <w:name w:val="Langues faisant foi"/>
    <w:basedOn w:val="Normal"/>
    <w:next w:val="Normal"/>
    <w:pPr>
      <w:spacing w:before="360" w:after="0"/>
      <w:jc w:val="center"/>
    </w:pPr>
  </w:style>
  <w:style w:type="paragraph" w:customStyle="1" w:styleId="Rfrencecroise">
    <w:name w:val="Référence croisée"/>
    <w:basedOn w:val="Normal"/>
    <w:pPr>
      <w:spacing w:before="0" w:after="0"/>
      <w:jc w:val="center"/>
    </w:pPr>
  </w:style>
  <w:style w:type="paragraph" w:customStyle="1" w:styleId="Fichefinanciretitre">
    <w:name w:val="Fiche financière titre"/>
    <w:basedOn w:val="Normal"/>
    <w:next w:val="Normal"/>
    <w:pPr>
      <w:jc w:val="center"/>
    </w:pPr>
    <w:rPr>
      <w:b/>
      <w:u w:val="single"/>
    </w:rPr>
  </w:style>
  <w:style w:type="paragraph" w:customStyle="1" w:styleId="DatedadoptionPagedecouverture">
    <w:name w:val="Date d'adoption (Page de couverture)"/>
    <w:basedOn w:val="Datedadoption"/>
    <w:next w:val="TitreobjetPagedecouverture"/>
  </w:style>
  <w:style w:type="paragraph" w:customStyle="1" w:styleId="RfrenceinterinstitutionnellePagedecouverture">
    <w:name w:val="Référence interinstitutionnelle (Page de couverture)"/>
    <w:basedOn w:val="Rfrenceinterinstitutionnelle"/>
    <w:next w:val="Confidentialit"/>
  </w:style>
  <w:style w:type="paragraph" w:customStyle="1" w:styleId="Sous-titreobjetPagedecouverture">
    <w:name w:val="Sous-titre objet (Page de couverture)"/>
    <w:basedOn w:val="Sous-titreobjet"/>
  </w:style>
  <w:style w:type="paragraph" w:customStyle="1" w:styleId="StatutPagedecouverture">
    <w:name w:val="Statut (Page de couverture)"/>
    <w:basedOn w:val="Statut"/>
    <w:next w:val="TypedudocumentPagedecouverture"/>
  </w:style>
  <w:style w:type="paragraph" w:customStyle="1" w:styleId="TitreobjetPagedecouverture">
    <w:name w:val="Titre objet (Page de couverture)"/>
    <w:basedOn w:val="Titreobjet"/>
    <w:next w:val="Sous-titreobjetPagedecouverture"/>
  </w:style>
  <w:style w:type="paragraph" w:customStyle="1" w:styleId="TypedudocumentPagedecouverture">
    <w:name w:val="Type du document (Page de couverture)"/>
    <w:basedOn w:val="Typedudocument"/>
    <w:next w:val="TitreobjetPagedecouverture"/>
  </w:style>
  <w:style w:type="paragraph" w:customStyle="1" w:styleId="Volume">
    <w:name w:val="Volume"/>
    <w:basedOn w:val="Normal"/>
    <w:next w:val="Confidentialit"/>
    <w:pPr>
      <w:spacing w:before="0" w:after="240"/>
      <w:ind w:left="5103"/>
      <w:jc w:val="left"/>
    </w:pPr>
  </w:style>
  <w:style w:type="paragraph" w:customStyle="1" w:styleId="IntrtEEE">
    <w:name w:val="Intérêt EEE"/>
    <w:basedOn w:val="Languesfaisantfoi"/>
    <w:next w:val="Normal"/>
    <w:pPr>
      <w:spacing w:after="240"/>
    </w:pPr>
  </w:style>
  <w:style w:type="paragraph" w:customStyle="1" w:styleId="Accompagnant">
    <w:name w:val="Accompagnant"/>
    <w:basedOn w:val="Normal"/>
    <w:next w:val="Typeacteprincipal"/>
    <w:pPr>
      <w:spacing w:before="0" w:after="240"/>
      <w:jc w:val="center"/>
    </w:pPr>
    <w:rPr>
      <w:b/>
      <w:i/>
    </w:rPr>
  </w:style>
  <w:style w:type="paragraph" w:customStyle="1" w:styleId="Typeacteprincipal">
    <w:name w:val="Type acte principal"/>
    <w:basedOn w:val="Normal"/>
    <w:next w:val="Objetacteprincipal"/>
    <w:pPr>
      <w:spacing w:before="0" w:after="240"/>
      <w:jc w:val="center"/>
    </w:pPr>
    <w:rPr>
      <w:b/>
    </w:rPr>
  </w:style>
  <w:style w:type="paragraph" w:customStyle="1" w:styleId="Objetacteprincipal">
    <w:name w:val="Objet acte principal"/>
    <w:basedOn w:val="Normal"/>
    <w:next w:val="Titrearticle"/>
    <w:pPr>
      <w:spacing w:before="0" w:after="360"/>
      <w:jc w:val="center"/>
    </w:pPr>
    <w:rPr>
      <w:b/>
    </w:rPr>
  </w:style>
  <w:style w:type="paragraph" w:customStyle="1" w:styleId="IntrtEEEPagedecouverture">
    <w:name w:val="Intérêt EEE (Page de couverture)"/>
    <w:basedOn w:val="IntrtEEE"/>
    <w:next w:val="Rfrencecroise"/>
  </w:style>
  <w:style w:type="paragraph" w:customStyle="1" w:styleId="AccompagnantPagedecouverture">
    <w:name w:val="Accompagnant (Page de couverture)"/>
    <w:basedOn w:val="Accompagnant"/>
    <w:next w:val="TypeacteprincipalPagedecouverture"/>
  </w:style>
  <w:style w:type="paragraph" w:customStyle="1" w:styleId="TypeacteprincipalPagedecouverture">
    <w:name w:val="Type acte principal (Page de couverture)"/>
    <w:basedOn w:val="Typeacteprincipal"/>
    <w:next w:val="ObjetacteprincipalPagedecouverture"/>
  </w:style>
  <w:style w:type="paragraph" w:customStyle="1" w:styleId="ObjetacteprincipalPagedecouverture">
    <w:name w:val="Objet acte principal (Page de couverture)"/>
    <w:basedOn w:val="Objetacteprincipal"/>
    <w:next w:val="Rfrencecroise"/>
  </w:style>
  <w:style w:type="paragraph" w:customStyle="1" w:styleId="LanguesfaisantfoiPagedecouverture">
    <w:name w:val="Langues faisant foi (Page de couverture)"/>
    <w:basedOn w:val="Normal"/>
    <w:next w:val="Normal"/>
    <w:pPr>
      <w:spacing w:before="360" w:after="0"/>
      <w:jc w:val="center"/>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73083167">
      <w:marLeft w:val="0"/>
      <w:marRight w:val="0"/>
      <w:marTop w:val="0"/>
      <w:marBottom w:val="0"/>
      <w:divBdr>
        <w:top w:val="none" w:sz="0" w:space="0" w:color="auto"/>
        <w:left w:val="none" w:sz="0" w:space="0" w:color="auto"/>
        <w:bottom w:val="none" w:sz="0" w:space="0" w:color="auto"/>
        <w:right w:val="none" w:sz="0" w:space="0" w:color="auto"/>
      </w:divBdr>
    </w:div>
    <w:div w:id="1573083172">
      <w:marLeft w:val="0"/>
      <w:marRight w:val="0"/>
      <w:marTop w:val="0"/>
      <w:marBottom w:val="0"/>
      <w:divBdr>
        <w:top w:val="none" w:sz="0" w:space="0" w:color="auto"/>
        <w:left w:val="none" w:sz="0" w:space="0" w:color="auto"/>
        <w:bottom w:val="none" w:sz="0" w:space="0" w:color="auto"/>
        <w:right w:val="none" w:sz="0" w:space="0" w:color="auto"/>
      </w:divBdr>
    </w:div>
    <w:div w:id="1573083173">
      <w:marLeft w:val="0"/>
      <w:marRight w:val="0"/>
      <w:marTop w:val="0"/>
      <w:marBottom w:val="0"/>
      <w:divBdr>
        <w:top w:val="none" w:sz="0" w:space="0" w:color="auto"/>
        <w:left w:val="none" w:sz="0" w:space="0" w:color="auto"/>
        <w:bottom w:val="none" w:sz="0" w:space="0" w:color="auto"/>
        <w:right w:val="none" w:sz="0" w:space="0" w:color="auto"/>
      </w:divBdr>
    </w:div>
    <w:div w:id="1573083176">
      <w:marLeft w:val="0"/>
      <w:marRight w:val="0"/>
      <w:marTop w:val="0"/>
      <w:marBottom w:val="0"/>
      <w:divBdr>
        <w:top w:val="none" w:sz="0" w:space="0" w:color="auto"/>
        <w:left w:val="none" w:sz="0" w:space="0" w:color="auto"/>
        <w:bottom w:val="none" w:sz="0" w:space="0" w:color="auto"/>
        <w:right w:val="none" w:sz="0" w:space="0" w:color="auto"/>
      </w:divBdr>
      <w:divsChild>
        <w:div w:id="1573083166">
          <w:marLeft w:val="0"/>
          <w:marRight w:val="0"/>
          <w:marTop w:val="0"/>
          <w:marBottom w:val="0"/>
          <w:divBdr>
            <w:top w:val="none" w:sz="0" w:space="0" w:color="auto"/>
            <w:left w:val="none" w:sz="0" w:space="0" w:color="auto"/>
            <w:bottom w:val="none" w:sz="0" w:space="0" w:color="auto"/>
            <w:right w:val="none" w:sz="0" w:space="0" w:color="auto"/>
          </w:divBdr>
        </w:div>
        <w:div w:id="1573083168">
          <w:marLeft w:val="0"/>
          <w:marRight w:val="0"/>
          <w:marTop w:val="0"/>
          <w:marBottom w:val="0"/>
          <w:divBdr>
            <w:top w:val="none" w:sz="0" w:space="0" w:color="auto"/>
            <w:left w:val="none" w:sz="0" w:space="0" w:color="auto"/>
            <w:bottom w:val="none" w:sz="0" w:space="0" w:color="auto"/>
            <w:right w:val="none" w:sz="0" w:space="0" w:color="auto"/>
          </w:divBdr>
        </w:div>
        <w:div w:id="1573083169">
          <w:marLeft w:val="0"/>
          <w:marRight w:val="0"/>
          <w:marTop w:val="0"/>
          <w:marBottom w:val="0"/>
          <w:divBdr>
            <w:top w:val="none" w:sz="0" w:space="0" w:color="auto"/>
            <w:left w:val="none" w:sz="0" w:space="0" w:color="auto"/>
            <w:bottom w:val="none" w:sz="0" w:space="0" w:color="auto"/>
            <w:right w:val="none" w:sz="0" w:space="0" w:color="auto"/>
          </w:divBdr>
        </w:div>
        <w:div w:id="1573083170">
          <w:marLeft w:val="0"/>
          <w:marRight w:val="0"/>
          <w:marTop w:val="0"/>
          <w:marBottom w:val="0"/>
          <w:divBdr>
            <w:top w:val="none" w:sz="0" w:space="0" w:color="auto"/>
            <w:left w:val="none" w:sz="0" w:space="0" w:color="auto"/>
            <w:bottom w:val="none" w:sz="0" w:space="0" w:color="auto"/>
            <w:right w:val="none" w:sz="0" w:space="0" w:color="auto"/>
          </w:divBdr>
        </w:div>
        <w:div w:id="1573083171">
          <w:marLeft w:val="0"/>
          <w:marRight w:val="0"/>
          <w:marTop w:val="0"/>
          <w:marBottom w:val="0"/>
          <w:divBdr>
            <w:top w:val="none" w:sz="0" w:space="0" w:color="auto"/>
            <w:left w:val="none" w:sz="0" w:space="0" w:color="auto"/>
            <w:bottom w:val="none" w:sz="0" w:space="0" w:color="auto"/>
            <w:right w:val="none" w:sz="0" w:space="0" w:color="auto"/>
          </w:divBdr>
        </w:div>
        <w:div w:id="1573083175">
          <w:marLeft w:val="0"/>
          <w:marRight w:val="0"/>
          <w:marTop w:val="0"/>
          <w:marBottom w:val="0"/>
          <w:divBdr>
            <w:top w:val="none" w:sz="0" w:space="0" w:color="auto"/>
            <w:left w:val="none" w:sz="0" w:space="0" w:color="auto"/>
            <w:bottom w:val="none" w:sz="0" w:space="0" w:color="auto"/>
            <w:right w:val="none" w:sz="0" w:space="0" w:color="auto"/>
          </w:divBdr>
        </w:div>
        <w:div w:id="1573083177">
          <w:marLeft w:val="0"/>
          <w:marRight w:val="0"/>
          <w:marTop w:val="0"/>
          <w:marBottom w:val="0"/>
          <w:divBdr>
            <w:top w:val="none" w:sz="0" w:space="0" w:color="auto"/>
            <w:left w:val="none" w:sz="0" w:space="0" w:color="auto"/>
            <w:bottom w:val="none" w:sz="0" w:space="0" w:color="auto"/>
            <w:right w:val="none" w:sz="0" w:space="0" w:color="auto"/>
          </w:divBdr>
        </w:div>
        <w:div w:id="1573083178">
          <w:marLeft w:val="0"/>
          <w:marRight w:val="0"/>
          <w:marTop w:val="0"/>
          <w:marBottom w:val="0"/>
          <w:divBdr>
            <w:top w:val="none" w:sz="0" w:space="0" w:color="auto"/>
            <w:left w:val="none" w:sz="0" w:space="0" w:color="auto"/>
            <w:bottom w:val="none" w:sz="0" w:space="0" w:color="auto"/>
            <w:right w:val="none" w:sz="0" w:space="0" w:color="auto"/>
          </w:divBdr>
        </w:div>
        <w:div w:id="1573083179">
          <w:marLeft w:val="0"/>
          <w:marRight w:val="0"/>
          <w:marTop w:val="0"/>
          <w:marBottom w:val="0"/>
          <w:divBdr>
            <w:top w:val="none" w:sz="0" w:space="0" w:color="auto"/>
            <w:left w:val="none" w:sz="0" w:space="0" w:color="auto"/>
            <w:bottom w:val="none" w:sz="0" w:space="0" w:color="auto"/>
            <w:right w:val="none" w:sz="0" w:space="0" w:color="auto"/>
          </w:divBdr>
        </w:div>
      </w:divsChild>
    </w:div>
    <w:div w:id="1573083180">
      <w:marLeft w:val="0"/>
      <w:marRight w:val="0"/>
      <w:marTop w:val="0"/>
      <w:marBottom w:val="0"/>
      <w:divBdr>
        <w:top w:val="none" w:sz="0" w:space="0" w:color="auto"/>
        <w:left w:val="none" w:sz="0" w:space="0" w:color="auto"/>
        <w:bottom w:val="none" w:sz="0" w:space="0" w:color="auto"/>
        <w:right w:val="none" w:sz="0" w:space="0" w:color="auto"/>
      </w:divBdr>
      <w:divsChild>
        <w:div w:id="1573083174">
          <w:marLeft w:val="0"/>
          <w:marRight w:val="0"/>
          <w:marTop w:val="0"/>
          <w:marBottom w:val="0"/>
          <w:divBdr>
            <w:top w:val="none" w:sz="0" w:space="0" w:color="auto"/>
            <w:left w:val="none" w:sz="0" w:space="0" w:color="auto"/>
            <w:bottom w:val="none" w:sz="0" w:space="0" w:color="auto"/>
            <w:right w:val="none" w:sz="0" w:space="0" w:color="auto"/>
          </w:divBdr>
        </w:div>
      </w:divsChild>
    </w:div>
    <w:div w:id="20332591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ublic\Documents\Templates\COM.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COM.dotm</Template>
  <TotalTime>1</TotalTime>
  <Pages>26</Pages>
  <Words>9591</Words>
  <Characters>55154</Characters>
  <Application>Microsoft Office Word</Application>
  <DocSecurity>0</DocSecurity>
  <Lines>1125</Lines>
  <Paragraphs>291</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64454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DIGIT/A3</cp:lastModifiedBy>
  <cp:revision>19</cp:revision>
  <cp:lastPrinted>2016-07-06T13:36:00Z</cp:lastPrinted>
  <dcterms:created xsi:type="dcterms:W3CDTF">2016-07-15T12:40:00Z</dcterms:created>
  <dcterms:modified xsi:type="dcterms:W3CDTF">2016-07-18T14:03:00Z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ategory">
    <vt:lpwstr>COM/PL/ORG</vt:lpwstr>
  </property>
  <property fmtid="{D5CDD505-2E9C-101B-9397-08002B2CF9AE}" pid="3" name="Classification">
    <vt:lpwstr> </vt:lpwstr>
  </property>
  <property fmtid="{D5CDD505-2E9C-101B-9397-08002B2CF9AE}" pid="4" name="Version">
    <vt:lpwstr>5.84.2.0</vt:lpwstr>
  </property>
  <property fmtid="{D5CDD505-2E9C-101B-9397-08002B2CF9AE}" pid="5" name="Last edited using">
    <vt:lpwstr>LW 5.8.4, Build 20150407</vt:lpwstr>
  </property>
  <property fmtid="{D5CDD505-2E9C-101B-9397-08002B2CF9AE}" pid="6" name="Created using">
    <vt:lpwstr>LW 5.8.4, Build 20150407</vt:lpwstr>
  </property>
  <property fmtid="{D5CDD505-2E9C-101B-9397-08002B2CF9AE}" pid="7" name="Part">
    <vt:lpwstr>1</vt:lpwstr>
  </property>
  <property fmtid="{D5CDD505-2E9C-101B-9397-08002B2CF9AE}" pid="8" name="Total parts">
    <vt:lpwstr>1</vt:lpwstr>
  </property>
  <property fmtid="{D5CDD505-2E9C-101B-9397-08002B2CF9AE}" pid="9" name="LWTemplateID">
    <vt:lpwstr>SJ-023</vt:lpwstr>
  </property>
  <property fmtid="{D5CDD505-2E9C-101B-9397-08002B2CF9AE}" pid="10" name="DQCStatus">
    <vt:lpwstr>Green (DQC version 03)</vt:lpwstr>
  </property>
</Properties>
</file>