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1129A71EA64EC6804E3478187F9E15" style="width:450.75pt;height:334.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bookmarkStart w:id="1" w:name="_Toc444787675"/>
      <w:bookmarkStart w:id="2" w:name="_GoBack"/>
      <w:bookmarkEnd w:id="2"/>
      <w:r>
        <w:rPr>
          <w:rFonts w:ascii="Times New Roman" w:eastAsia="Times New Roman" w:hAnsi="Times New Roman" w:cs="Times New Roman"/>
          <w:b/>
          <w:bCs/>
          <w:smallCaps/>
          <w:noProof/>
          <w:color w:val="0F243E" w:themeColor="text2" w:themeShade="80"/>
          <w:sz w:val="24"/>
          <w:szCs w:val="24"/>
          <w:lang w:val="bg-BG" w:eastAsia="en-GB"/>
        </w:rPr>
        <w:lastRenderedPageBreak/>
        <w:t xml:space="preserve">1. </w:t>
      </w:r>
      <w:bookmarkEnd w:id="1"/>
      <w:r>
        <w:rPr>
          <w:rFonts w:ascii="Times New Roman" w:eastAsia="Times New Roman" w:hAnsi="Times New Roman" w:cs="Times New Roman"/>
          <w:b/>
          <w:bCs/>
          <w:smallCaps/>
          <w:noProof/>
          <w:color w:val="0F243E" w:themeColor="text2" w:themeShade="80"/>
          <w:sz w:val="24"/>
          <w:szCs w:val="24"/>
          <w:lang w:val="bg-BG" w:eastAsia="en-GB"/>
        </w:rPr>
        <w:t>ВЪВЕДЕНИЕ</w:t>
      </w:r>
    </w:p>
    <w:p>
      <w:pPr>
        <w:spacing w:after="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Настоящият доклад е вторият доклад</w:t>
      </w:r>
      <w:r>
        <w:rPr>
          <w:rStyle w:val="FootnoteReference"/>
          <w:rFonts w:ascii="Times New Roman" w:hAnsi="Times New Roman" w:cs="Times New Roman"/>
          <w:noProof/>
          <w:color w:val="0F243E" w:themeColor="text2" w:themeShade="80"/>
          <w:sz w:val="24"/>
          <w:szCs w:val="24"/>
          <w:lang w:val="bg-BG"/>
        </w:rPr>
        <w:footnoteReference w:id="1"/>
      </w:r>
      <w:r>
        <w:rPr>
          <w:rFonts w:ascii="Times New Roman" w:hAnsi="Times New Roman" w:cs="Times New Roman"/>
          <w:noProof/>
          <w:color w:val="0F243E" w:themeColor="text2" w:themeShade="80"/>
          <w:sz w:val="24"/>
          <w:szCs w:val="24"/>
          <w:lang w:val="bg-BG"/>
        </w:rPr>
        <w:t xml:space="preserve"> за напредъка по постигане на целите на „рамката на политиката на ЕС за подпомагане на развиващите се страни за справяне с предизвикателствата, свързани със сигурността на прехраната“, която беше приета през 2010 г.</w:t>
      </w:r>
      <w:r>
        <w:rPr>
          <w:rStyle w:val="FootnoteReference"/>
          <w:rFonts w:ascii="Times New Roman" w:hAnsi="Times New Roman" w:cs="Times New Roman"/>
          <w:noProof/>
          <w:color w:val="0F243E" w:themeColor="text2" w:themeShade="80"/>
          <w:sz w:val="24"/>
          <w:szCs w:val="24"/>
          <w:lang w:val="bg-BG"/>
        </w:rPr>
        <w:footnoteReference w:id="2"/>
      </w:r>
      <w:r>
        <w:rPr>
          <w:rFonts w:ascii="Times New Roman" w:eastAsia="Calibri" w:hAnsi="Times New Roman" w:cs="Times New Roman"/>
          <w:noProof/>
          <w:color w:val="0F243E" w:themeColor="text2" w:themeShade="80"/>
          <w:sz w:val="24"/>
          <w:szCs w:val="24"/>
          <w:lang w:val="bg-BG"/>
        </w:rPr>
        <w:t xml:space="preserve"> Оттогава насам с цел засилване на приоритетите, определени през 2010</w:t>
      </w:r>
      <w:r>
        <w:rPr>
          <w:rFonts w:ascii="Times New Roman" w:eastAsia="Calibri" w:hAnsi="Times New Roman" w:cs="Times New Roman"/>
          <w:noProof/>
          <w:color w:val="0F243E" w:themeColor="text2" w:themeShade="80"/>
          <w:sz w:val="24"/>
          <w:szCs w:val="24"/>
        </w:rPr>
        <w:t> </w:t>
      </w:r>
      <w:r>
        <w:rPr>
          <w:rFonts w:ascii="Times New Roman" w:eastAsia="Calibri" w:hAnsi="Times New Roman" w:cs="Times New Roman"/>
          <w:noProof/>
          <w:color w:val="0F243E" w:themeColor="text2" w:themeShade="80"/>
          <w:sz w:val="24"/>
          <w:szCs w:val="24"/>
          <w:lang w:val="bg-BG"/>
        </w:rPr>
        <w:t>г., бяха поети допълнителни ангажименти в областта на политиката на ЕС за развитие. Беше изготвен план за изпълнение</w:t>
      </w:r>
      <w:r>
        <w:rPr>
          <w:rStyle w:val="FootnoteReference"/>
          <w:rFonts w:ascii="Times New Roman" w:eastAsia="Calibri" w:hAnsi="Times New Roman" w:cs="Times New Roman"/>
          <w:noProof/>
          <w:color w:val="0F243E" w:themeColor="text2" w:themeShade="80"/>
          <w:sz w:val="24"/>
          <w:szCs w:val="24"/>
          <w:lang w:val="bg-BG"/>
        </w:rPr>
        <w:footnoteReference w:id="3"/>
      </w:r>
      <w:r>
        <w:rPr>
          <w:rFonts w:ascii="Times New Roman" w:eastAsia="Calibri" w:hAnsi="Times New Roman" w:cs="Times New Roman"/>
          <w:noProof/>
          <w:color w:val="0F243E" w:themeColor="text2" w:themeShade="80"/>
          <w:sz w:val="24"/>
          <w:szCs w:val="24"/>
          <w:lang w:val="bg-BG"/>
        </w:rPr>
        <w:t xml:space="preserve"> и обсъден от Съвета през април 2013 г.</w:t>
      </w:r>
      <w:r>
        <w:rPr>
          <w:rFonts w:ascii="Times New Roman" w:hAnsi="Times New Roman" w:cs="Times New Roman"/>
          <w:noProof/>
          <w:color w:val="0F243E" w:themeColor="text2" w:themeShade="80"/>
          <w:sz w:val="24"/>
          <w:szCs w:val="24"/>
          <w:lang w:val="bg-BG"/>
        </w:rPr>
        <w:t>, който поиска от Европейската комисия от 2014</w:t>
      </w:r>
      <w:r>
        <w:rPr>
          <w:rFonts w:ascii="Times New Roman" w:hAnsi="Times New Roman" w:cs="Times New Roman"/>
          <w:noProof/>
          <w:color w:val="0F243E" w:themeColor="text2" w:themeShade="80"/>
          <w:sz w:val="24"/>
          <w:szCs w:val="24"/>
        </w:rPr>
        <w:t> </w:t>
      </w:r>
      <w:r>
        <w:rPr>
          <w:rFonts w:ascii="Times New Roman" w:hAnsi="Times New Roman" w:cs="Times New Roman"/>
          <w:noProof/>
          <w:color w:val="0F243E" w:themeColor="text2" w:themeShade="80"/>
          <w:sz w:val="24"/>
          <w:szCs w:val="24"/>
          <w:lang w:val="bg-BG"/>
        </w:rPr>
        <w:t xml:space="preserve">г. нататък да изготвя, съвместно с държавите членки, консолидирани двугодишни доклади за напредъка на целия ЕС. </w:t>
      </w:r>
    </w:p>
    <w:p>
      <w:pPr>
        <w:autoSpaceDE w:val="0"/>
        <w:autoSpaceDN w:val="0"/>
        <w:adjustRightInd w:val="0"/>
        <w:spacing w:before="120" w:after="120" w:line="240" w:lineRule="auto"/>
        <w:jc w:val="both"/>
        <w:rPr>
          <w:rFonts w:ascii="Times New Roman" w:eastAsia="Calibri" w:hAnsi="Times New Roman" w:cs="Times New Roman"/>
          <w:noProof/>
          <w:color w:val="0F243E" w:themeColor="text2" w:themeShade="80"/>
          <w:sz w:val="24"/>
          <w:szCs w:val="24"/>
          <w:lang w:val="bg-BG"/>
        </w:rPr>
      </w:pPr>
      <w:r>
        <w:rPr>
          <w:rFonts w:ascii="Times New Roman" w:eastAsia="Calibri" w:hAnsi="Times New Roman" w:cs="Times New Roman"/>
          <w:noProof/>
          <w:color w:val="0F243E" w:themeColor="text2" w:themeShade="80"/>
          <w:sz w:val="24"/>
          <w:szCs w:val="24"/>
          <w:lang w:val="bg-BG"/>
        </w:rPr>
        <w:t>Поради това и в съответствие с член 210, параграф 2 от ДФЕС</w:t>
      </w:r>
      <w:r>
        <w:rPr>
          <w:rStyle w:val="FootnoteReference"/>
          <w:rFonts w:ascii="Times New Roman" w:eastAsia="Calibri" w:hAnsi="Times New Roman" w:cs="Times New Roman"/>
          <w:noProof/>
          <w:color w:val="0F243E" w:themeColor="text2" w:themeShade="80"/>
          <w:sz w:val="24"/>
          <w:szCs w:val="24"/>
          <w:lang w:val="bg-BG"/>
        </w:rPr>
        <w:footnoteReference w:id="4"/>
      </w:r>
      <w:r>
        <w:rPr>
          <w:rFonts w:ascii="Times New Roman" w:eastAsia="Calibri" w:hAnsi="Times New Roman" w:cs="Times New Roman"/>
          <w:noProof/>
          <w:color w:val="0F243E" w:themeColor="text2" w:themeShade="80"/>
          <w:sz w:val="24"/>
          <w:szCs w:val="24"/>
          <w:lang w:val="bg-BG"/>
        </w:rPr>
        <w:t xml:space="preserve"> Комисията координира настоящия втори доклад с подкрепата, предоставена от следните държави членки: Австрия, Белгия, Германия,</w:t>
      </w:r>
      <w:r>
        <w:rPr>
          <w:noProof/>
          <w:lang w:val="bg-BG"/>
        </w:rPr>
        <w:t xml:space="preserve"> </w:t>
      </w:r>
      <w:r>
        <w:rPr>
          <w:rFonts w:ascii="Times New Roman" w:eastAsia="Calibri" w:hAnsi="Times New Roman" w:cs="Times New Roman"/>
          <w:noProof/>
          <w:color w:val="0F243E" w:themeColor="text2" w:themeShade="80"/>
          <w:sz w:val="24"/>
          <w:szCs w:val="24"/>
          <w:lang w:val="bg-BG"/>
        </w:rPr>
        <w:t xml:space="preserve">Ирландия, Испания, Италия, Нидерландия, Обединеното кралство, Финландия и Франция. В настоящия доклад е представено как ЕС и неговите държави членки изпълняват приетите през 2013 г. приоритети на политиката за сигурност в областта на продоволствието и изхранването. Докладът е придружен от Работен документ на службите на Комисията, с който се предоставя информация относно методиката и подробни проучвания на конкретни случаи. </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bookmarkStart w:id="3" w:name="_Toc444787676"/>
      <w:r>
        <w:rPr>
          <w:rFonts w:ascii="Times New Roman" w:eastAsia="Times New Roman" w:hAnsi="Times New Roman" w:cs="Times New Roman"/>
          <w:b/>
          <w:bCs/>
          <w:smallCaps/>
          <w:noProof/>
          <w:color w:val="0F243E" w:themeColor="text2" w:themeShade="80"/>
          <w:sz w:val="24"/>
          <w:szCs w:val="24"/>
          <w:lang w:val="bg-BG" w:eastAsia="en-GB"/>
        </w:rPr>
        <w:t xml:space="preserve">2. </w:t>
      </w:r>
      <w:bookmarkEnd w:id="3"/>
      <w:r>
        <w:rPr>
          <w:rFonts w:ascii="Times New Roman" w:eastAsia="Times New Roman" w:hAnsi="Times New Roman" w:cs="Times New Roman"/>
          <w:b/>
          <w:bCs/>
          <w:smallCaps/>
          <w:noProof/>
          <w:color w:val="0F243E" w:themeColor="text2" w:themeShade="80"/>
          <w:sz w:val="24"/>
          <w:szCs w:val="24"/>
          <w:lang w:val="bg-BG" w:eastAsia="en-GB"/>
        </w:rPr>
        <w:t>РАЗВИТИЕ НА ПОЛИТИКАТА НА СВЕТОВНО И ЕВРОПЕЙСКО РАВНИЩЕ</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Понастоящем се реализира значителен напредък в подобряване на сигурността в областта на продоволствието в световен план. Глобалният индекс на глада показва, че от 2000 г. нивото на глада в развиващите се страни се е понижило с 27 %. Въпреки това общият брой на хронично недохранваните хора е 795 милиона. Изменението на климата, прекомерното използване на природните ресурси, рисковете от заболявания, колебанията в цените на храните/инфлацията, променящите се хранителни режими и въоръжените конфликти продължават да са големи рискове за сигурността в областта на продоволствието и изхранването, като към тях се присъединяват събития, създаващи кризисни сценарии и/или риск от тях на национално, регионално или световно равнище. Освен това се наблюдава значително задълбочаване на социално-икономическото неравенство в рамките на държавите, което се отразява върху сигурността в областта на продоволствието и изхранването.</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На този фон през периода 2014</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 xml:space="preserve">2015 г. бяха сключени редица важни международни споразумения и поети ангажименти, благодарение на които световната динамика и политическата воля за сигурност в областта на продоволствието и изхранването бяха запазени и в които ЕС и неговите държави членки изиграха основна роля. Важен факт е, че премахването на глада е определено като втората цел на Програмата до 2030 г. </w:t>
      </w:r>
      <w:r>
        <w:rPr>
          <w:rFonts w:ascii="Times New Roman" w:eastAsia="Times New Roman" w:hAnsi="Times New Roman" w:cs="Times New Roman"/>
          <w:noProof/>
          <w:color w:val="0F243E" w:themeColor="text2" w:themeShade="80"/>
          <w:sz w:val="24"/>
          <w:szCs w:val="24"/>
          <w:lang w:val="bg-BG" w:eastAsia="en-GB"/>
        </w:rPr>
        <w:lastRenderedPageBreak/>
        <w:t>„Преобразуване на нашия свят“</w:t>
      </w:r>
      <w:r>
        <w:rPr>
          <w:rStyle w:val="FootnoteReference"/>
          <w:rFonts w:ascii="Times New Roman" w:eastAsia="Times New Roman" w:hAnsi="Times New Roman" w:cs="Times New Roman"/>
          <w:noProof/>
          <w:color w:val="0F243E" w:themeColor="text2" w:themeShade="80"/>
          <w:sz w:val="24"/>
          <w:szCs w:val="24"/>
          <w:lang w:val="bg-BG" w:eastAsia="en-GB"/>
        </w:rPr>
        <w:footnoteReference w:id="5"/>
      </w:r>
      <w:r>
        <w:rPr>
          <w:rFonts w:ascii="Times New Roman" w:eastAsia="Times New Roman" w:hAnsi="Times New Roman" w:cs="Times New Roman"/>
          <w:noProof/>
          <w:color w:val="0F243E" w:themeColor="text2" w:themeShade="80"/>
          <w:sz w:val="24"/>
          <w:szCs w:val="24"/>
          <w:lang w:val="bg-BG" w:eastAsia="en-GB"/>
        </w:rPr>
        <w:t>. ЕС активно подпомагаше Комитета по световната продоволствена сигурност, в това число одобряването на принципите за отговорни инвестиции в селското стопанство</w:t>
      </w:r>
      <w:r>
        <w:rPr>
          <w:rStyle w:val="FootnoteReference"/>
          <w:rFonts w:ascii="Times New Roman" w:eastAsia="Times New Roman" w:hAnsi="Times New Roman" w:cs="Times New Roman"/>
          <w:noProof/>
          <w:color w:val="0F243E" w:themeColor="text2" w:themeShade="80"/>
          <w:sz w:val="24"/>
          <w:szCs w:val="24"/>
          <w:lang w:val="bg-BG" w:eastAsia="en-GB"/>
        </w:rPr>
        <w:footnoteReference w:id="6"/>
      </w:r>
      <w:r>
        <w:rPr>
          <w:rFonts w:ascii="Times New Roman" w:eastAsia="Times New Roman" w:hAnsi="Times New Roman" w:cs="Times New Roman"/>
          <w:noProof/>
          <w:color w:val="0F243E" w:themeColor="text2" w:themeShade="80"/>
          <w:sz w:val="24"/>
          <w:szCs w:val="24"/>
          <w:lang w:val="bg-BG" w:eastAsia="en-GB"/>
        </w:rPr>
        <w:t>.</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Освен това през 2015 г. лидерите от Г-7 поеха ангажимент да помогнат на 500 милиона души да се избавят от глада и недохранването до 2030 г. През 2014 г. Г-20 прие дългосрочна Рамка за сигурност в областта на продоволствието и изхранването, последвана от План за действие през 2015 г.</w:t>
      </w:r>
      <w:r>
        <w:rPr>
          <w:rStyle w:val="FootnoteReference"/>
          <w:rFonts w:ascii="Times New Roman" w:eastAsia="Times New Roman" w:hAnsi="Times New Roman" w:cs="Times New Roman"/>
          <w:noProof/>
          <w:color w:val="0F243E" w:themeColor="text2" w:themeShade="80"/>
          <w:sz w:val="24"/>
          <w:szCs w:val="24"/>
          <w:lang w:val="bg-BG" w:eastAsia="en-GB"/>
        </w:rPr>
        <w:footnoteReference w:id="7"/>
      </w:r>
      <w:r>
        <w:rPr>
          <w:rFonts w:ascii="Times New Roman" w:eastAsia="Times New Roman" w:hAnsi="Times New Roman" w:cs="Times New Roman"/>
          <w:noProof/>
          <w:color w:val="0F243E" w:themeColor="text2" w:themeShade="80"/>
          <w:sz w:val="24"/>
          <w:szCs w:val="24"/>
          <w:lang w:val="bg-BG" w:eastAsia="en-GB"/>
        </w:rPr>
        <w:t> Тези действия са подкрепени от Програмата за действие от Адис Абеба</w:t>
      </w:r>
      <w:r>
        <w:rPr>
          <w:rStyle w:val="FootnoteReference"/>
          <w:rFonts w:ascii="Times New Roman" w:eastAsia="Times New Roman" w:hAnsi="Times New Roman" w:cs="Times New Roman"/>
          <w:noProof/>
          <w:color w:val="0F243E" w:themeColor="text2" w:themeShade="80"/>
          <w:sz w:val="24"/>
          <w:szCs w:val="24"/>
          <w:lang w:val="bg-BG" w:eastAsia="en-GB"/>
        </w:rPr>
        <w:footnoteReference w:id="8"/>
      </w:r>
      <w:r>
        <w:rPr>
          <w:rFonts w:ascii="Times New Roman" w:eastAsia="Times New Roman" w:hAnsi="Times New Roman" w:cs="Times New Roman"/>
          <w:noProof/>
          <w:color w:val="0F243E" w:themeColor="text2" w:themeShade="80"/>
          <w:sz w:val="24"/>
          <w:szCs w:val="24"/>
          <w:lang w:val="bg-BG" w:eastAsia="en-GB"/>
        </w:rPr>
        <w:t>, в която беше препотвърден политическият ангажимент за подпомагане на финансирането на устойчивото развитие чрез иновативни източници.</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 xml:space="preserve">През декември 2015 г. страните по Рамковата конвенция на ООН по изменение на климата подписаха Споразумението от Париж, с което начертаха нов амбициозен курс за световните усилия за справяне с изменението на климата. То има съществени последици за </w:t>
      </w:r>
      <w:r>
        <w:rPr>
          <w:rFonts w:ascii="Times New Roman" w:hAnsi="Times New Roman" w:cs="Times New Roman"/>
          <w:noProof/>
          <w:color w:val="0F243E" w:themeColor="text2" w:themeShade="80"/>
          <w:sz w:val="24"/>
          <w:szCs w:val="24"/>
          <w:lang w:val="bg-BG"/>
        </w:rPr>
        <w:t>сигурността в областта на продоволствието и изхранването. По време на Експо Милано през 2015 г., домакинствано от Италия, бяха проведени различни мероприятия, съсредоточени върху сигурността в областта на продоволствието в световен план</w:t>
      </w:r>
      <w:r>
        <w:rPr>
          <w:rFonts w:ascii="Times New Roman" w:eastAsia="Times New Roman" w:hAnsi="Times New Roman" w:cs="Times New Roman"/>
          <w:noProof/>
          <w:color w:val="0F243E" w:themeColor="text2" w:themeShade="80"/>
          <w:sz w:val="24"/>
          <w:szCs w:val="24"/>
          <w:lang w:val="bg-BG" w:eastAsia="en-GB"/>
        </w:rPr>
        <w:t>.</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Донорите признават важността на отговорните инвестиции от частния сектор в селското стопанство, в това число устойчивия риболов и аквакултури, както и че селскостопанският сектор по-специално е основен фактор за приобщаващия растеж и създаването на работни места в селските райони.</w:t>
      </w:r>
    </w:p>
    <w:p>
      <w:pPr>
        <w:spacing w:before="120" w:after="120" w:line="240" w:lineRule="auto"/>
        <w:jc w:val="both"/>
        <w:rPr>
          <w:rFonts w:ascii="Times New Roman" w:hAnsi="Times New Roman" w:cs="Times New Roman"/>
          <w:noProof/>
          <w:color w:val="0F243E" w:themeColor="text2" w:themeShade="80"/>
          <w:lang w:val="bg-BG"/>
        </w:rPr>
      </w:pPr>
      <w:r>
        <w:rPr>
          <w:rFonts w:ascii="Times New Roman" w:eastAsia="Times New Roman" w:hAnsi="Times New Roman" w:cs="Times New Roman"/>
          <w:noProof/>
          <w:color w:val="0F243E" w:themeColor="text2" w:themeShade="80"/>
          <w:sz w:val="24"/>
          <w:szCs w:val="24"/>
          <w:lang w:val="bg-BG" w:eastAsia="en-GB"/>
        </w:rPr>
        <w:t>Всеобщо призната от донорите от ЕС е изключително важната роля, изпълнявана от жените в селското стопанство и сигурността в областта на продоволствието и изхранването.</w:t>
      </w:r>
      <w:r>
        <w:rPr>
          <w:rFonts w:ascii="Times New Roman" w:hAnsi="Times New Roman" w:cs="Times New Roman"/>
          <w:noProof/>
          <w:color w:val="0F243E" w:themeColor="text2" w:themeShade="80"/>
          <w:lang w:val="bg-BG"/>
        </w:rPr>
        <w:t xml:space="preserve"> </w:t>
      </w:r>
      <w:r>
        <w:rPr>
          <w:rFonts w:ascii="Times New Roman" w:eastAsia="Times New Roman" w:hAnsi="Times New Roman" w:cs="Times New Roman"/>
          <w:noProof/>
          <w:color w:val="0F243E" w:themeColor="text2" w:themeShade="80"/>
          <w:sz w:val="24"/>
          <w:szCs w:val="24"/>
          <w:lang w:val="bg-BG" w:eastAsia="en-GB"/>
        </w:rPr>
        <w:t>В плана за действие на ЕС за равенство между половете за периода 2016</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2020 г.</w:t>
      </w:r>
      <w:r>
        <w:rPr>
          <w:rStyle w:val="FootnoteReference"/>
          <w:rFonts w:ascii="Times New Roman" w:eastAsia="Times New Roman" w:hAnsi="Times New Roman" w:cs="Times New Roman"/>
          <w:noProof/>
          <w:color w:val="0F243E" w:themeColor="text2" w:themeShade="80"/>
          <w:sz w:val="24"/>
          <w:szCs w:val="24"/>
          <w:lang w:val="bg-BG" w:eastAsia="en-GB"/>
        </w:rPr>
        <w:footnoteReference w:id="9"/>
      </w:r>
      <w:r>
        <w:rPr>
          <w:rFonts w:ascii="Times New Roman" w:eastAsia="Times New Roman" w:hAnsi="Times New Roman" w:cs="Times New Roman"/>
          <w:noProof/>
          <w:color w:val="0F243E" w:themeColor="text2" w:themeShade="80"/>
          <w:sz w:val="24"/>
          <w:szCs w:val="24"/>
          <w:lang w:val="bg-BG" w:eastAsia="en-GB"/>
        </w:rPr>
        <w:t xml:space="preserve"> ЕС и неговите държави членки поемат задължението да гарантират зачитането на икономическите и социалните права на момичетата и жените и възможността им да участват справедливо и активно в икономиката.</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Средствата за препитание в селското стопанство и сигурността в областта на продоволствието и изхранването са важни фактори, които засягат политическата стабилност, сигурността и миграцията. „</w:t>
      </w:r>
      <w:r>
        <w:rPr>
          <w:rFonts w:ascii="Times New Roman" w:eastAsia="Times New Roman" w:hAnsi="Times New Roman" w:cs="Times New Roman"/>
          <w:i/>
          <w:iCs/>
          <w:noProof/>
          <w:color w:val="0F243E" w:themeColor="text2" w:themeShade="80"/>
          <w:sz w:val="24"/>
          <w:szCs w:val="24"/>
          <w:lang w:val="bg-BG" w:eastAsia="en-GB"/>
        </w:rPr>
        <w:t>Извънредният доверителен фонд на ЕС за стабилност и преодоляване на първопричините за незаконната миграция и разселването на хора в Африка</w:t>
      </w:r>
      <w:r>
        <w:rPr>
          <w:rFonts w:ascii="Times New Roman" w:hAnsi="Times New Roman" w:cs="Times New Roman"/>
          <w:iCs/>
          <w:noProof/>
          <w:color w:val="0F243E" w:themeColor="text2" w:themeShade="80"/>
          <w:sz w:val="24"/>
          <w:szCs w:val="24"/>
          <w:lang w:val="bg-BG"/>
        </w:rPr>
        <w:t>“</w:t>
      </w:r>
      <w:r>
        <w:rPr>
          <w:rStyle w:val="FootnoteReference"/>
          <w:rFonts w:ascii="Times New Roman" w:hAnsi="Times New Roman" w:cs="Times New Roman"/>
          <w:iCs/>
          <w:noProof/>
          <w:color w:val="0F243E" w:themeColor="text2" w:themeShade="80"/>
          <w:sz w:val="24"/>
          <w:szCs w:val="24"/>
          <w:lang w:val="bg-BG"/>
        </w:rPr>
        <w:footnoteReference w:id="10"/>
      </w:r>
      <w:r>
        <w:rPr>
          <w:rFonts w:ascii="Times New Roman" w:eastAsia="Times New Roman" w:hAnsi="Times New Roman" w:cs="Times New Roman"/>
          <w:noProof/>
          <w:color w:val="0F243E" w:themeColor="text2" w:themeShade="80"/>
          <w:sz w:val="20"/>
          <w:szCs w:val="20"/>
          <w:lang w:val="bg-BG" w:eastAsia="en-GB"/>
        </w:rPr>
        <w:t xml:space="preserve"> </w:t>
      </w:r>
      <w:r>
        <w:rPr>
          <w:rFonts w:ascii="Times New Roman" w:eastAsia="Times New Roman" w:hAnsi="Times New Roman" w:cs="Times New Roman"/>
          <w:noProof/>
          <w:color w:val="0F243E" w:themeColor="text2" w:themeShade="80"/>
          <w:sz w:val="24"/>
          <w:szCs w:val="24"/>
          <w:lang w:val="bg-BG" w:eastAsia="en-GB"/>
        </w:rPr>
        <w:t xml:space="preserve">в размер на 1,9 млрд. евро </w:t>
      </w:r>
      <w:r>
        <w:rPr>
          <w:rFonts w:ascii="Times New Roman" w:hAnsi="Times New Roman" w:cs="Times New Roman"/>
          <w:iCs/>
          <w:noProof/>
          <w:color w:val="0F243E" w:themeColor="text2" w:themeShade="80"/>
          <w:sz w:val="24"/>
          <w:szCs w:val="24"/>
          <w:lang w:val="bg-BG"/>
        </w:rPr>
        <w:t xml:space="preserve">ще спомогне за създаването на възможности за заетост, главно за младите хора и жените в селските </w:t>
      </w:r>
      <w:r>
        <w:rPr>
          <w:rFonts w:ascii="Times New Roman" w:hAnsi="Times New Roman" w:cs="Times New Roman"/>
          <w:iCs/>
          <w:noProof/>
          <w:color w:val="0F243E" w:themeColor="text2" w:themeShade="80"/>
          <w:sz w:val="24"/>
          <w:szCs w:val="24"/>
          <w:lang w:val="bg-BG"/>
        </w:rPr>
        <w:lastRenderedPageBreak/>
        <w:t>райони</w:t>
      </w:r>
      <w:r>
        <w:rPr>
          <w:rFonts w:ascii="Times New Roman" w:eastAsia="Times New Roman" w:hAnsi="Times New Roman" w:cs="Times New Roman"/>
          <w:noProof/>
          <w:color w:val="0F243E" w:themeColor="text2" w:themeShade="80"/>
          <w:sz w:val="24"/>
          <w:szCs w:val="24"/>
          <w:lang w:val="bg-BG" w:eastAsia="en-GB"/>
        </w:rPr>
        <w:t>. Той ще допринесе също така за постигането на устойчивост, така че да се подобри сигурността в областта на продоволствието и изхранването, като по този начин ще даде своя принос за преодоляването на първопричините за миграцията.</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 xml:space="preserve">Комисията е ангажирана с икономика на знанието и признава съществено важната роля на научните изследвания и иновациите в сигурността в областта на продоволствието и изхранването. През 2014 г., в рамките на съвместната стратегия ЕС </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 xml:space="preserve"> Африка, държавните ръководители от ЕС и Африка утвърдиха създаването на съвместно финансирано Партньорство за научни изследвания и иновации ЕС </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 xml:space="preserve"> Африка</w:t>
      </w:r>
      <w:r>
        <w:rPr>
          <w:rStyle w:val="FootnoteReference"/>
          <w:rFonts w:ascii="Times New Roman" w:eastAsia="Times New Roman" w:hAnsi="Times New Roman" w:cs="Times New Roman"/>
          <w:noProof/>
          <w:color w:val="0F243E" w:themeColor="text2" w:themeShade="80"/>
          <w:sz w:val="24"/>
          <w:szCs w:val="24"/>
          <w:lang w:val="bg-BG" w:eastAsia="en-GB"/>
        </w:rPr>
        <w:footnoteReference w:id="11"/>
      </w:r>
      <w:r>
        <w:rPr>
          <w:rFonts w:ascii="Times New Roman" w:eastAsia="Times New Roman" w:hAnsi="Times New Roman" w:cs="Times New Roman"/>
          <w:noProof/>
          <w:color w:val="0F243E" w:themeColor="text2" w:themeShade="80"/>
          <w:sz w:val="24"/>
          <w:szCs w:val="24"/>
          <w:lang w:val="bg-BG" w:eastAsia="en-GB"/>
        </w:rPr>
        <w:t>, в което за основен приоритет бяха определени сигурността в областта на продоволствието и изхранването и устойчивото селско стопанство.</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Следователно рамката на политиките на ЕС продължава да бъде напълно релевантна. Както е видно от настоящия доклад, ЕС и неговите държави членки поддържат своя силен ангажимент за подкрепа, а някои от държавите членки значително увеличиха тази своя подкрепа</w:t>
      </w:r>
      <w:r>
        <w:rPr>
          <w:rStyle w:val="FootnoteReference"/>
          <w:rFonts w:ascii="Times New Roman" w:eastAsia="Times New Roman" w:hAnsi="Times New Roman" w:cs="Times New Roman"/>
          <w:noProof/>
          <w:color w:val="0F243E" w:themeColor="text2" w:themeShade="80"/>
          <w:sz w:val="24"/>
          <w:szCs w:val="24"/>
          <w:lang w:val="bg-BG" w:eastAsia="en-GB"/>
        </w:rPr>
        <w:footnoteReference w:id="12"/>
      </w:r>
      <w:r>
        <w:rPr>
          <w:rFonts w:ascii="Times New Roman" w:eastAsia="Times New Roman" w:hAnsi="Times New Roman" w:cs="Times New Roman"/>
          <w:noProof/>
          <w:color w:val="0F243E" w:themeColor="text2" w:themeShade="80"/>
          <w:sz w:val="24"/>
          <w:szCs w:val="24"/>
          <w:lang w:val="bg-BG" w:eastAsia="en-GB"/>
        </w:rPr>
        <w:t>.</w:t>
      </w:r>
    </w:p>
    <w:p>
      <w:pPr>
        <w:spacing w:before="48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bookmarkStart w:id="4" w:name="_Toc444787677"/>
      <w:r>
        <w:rPr>
          <w:rFonts w:ascii="Times New Roman" w:eastAsia="Times New Roman" w:hAnsi="Times New Roman" w:cs="Times New Roman"/>
          <w:b/>
          <w:bCs/>
          <w:smallCaps/>
          <w:noProof/>
          <w:color w:val="0F243E" w:themeColor="text2" w:themeShade="80"/>
          <w:sz w:val="24"/>
          <w:szCs w:val="24"/>
          <w:lang w:val="bg-BG" w:eastAsia="en-GB"/>
        </w:rPr>
        <w:t xml:space="preserve">3. </w:t>
      </w:r>
      <w:bookmarkEnd w:id="4"/>
      <w:r>
        <w:rPr>
          <w:rFonts w:ascii="Times New Roman" w:eastAsia="Times New Roman" w:hAnsi="Times New Roman" w:cs="Times New Roman"/>
          <w:b/>
          <w:bCs/>
          <w:smallCaps/>
          <w:noProof/>
          <w:color w:val="0F243E" w:themeColor="text2" w:themeShade="80"/>
          <w:sz w:val="24"/>
          <w:szCs w:val="24"/>
          <w:lang w:val="bg-BG" w:eastAsia="en-GB"/>
        </w:rPr>
        <w:t>ДОКЛАДВАНЕ И НАПРЕДЪК</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В настоящия раздел е представен отчет относно изплатените суми за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и за постигнатия напредък по критериите за изпълнение на приоритетите на политиката след първия доклад от 2014 г.</w:t>
      </w:r>
    </w:p>
    <w:p>
      <w:pPr>
        <w:pStyle w:val="Heading2"/>
        <w:spacing w:before="360" w:after="200"/>
        <w:ind w:left="851" w:firstLine="0"/>
        <w:rPr>
          <w:i/>
          <w:noProof/>
          <w:color w:val="0F243E" w:themeColor="text2" w:themeShade="80"/>
          <w:lang w:val="bg-BG"/>
        </w:rPr>
      </w:pPr>
      <w:r>
        <w:rPr>
          <w:i/>
          <w:noProof/>
          <w:color w:val="0F243E" w:themeColor="text2" w:themeShade="80"/>
          <w:lang w:val="bg-BG"/>
        </w:rPr>
        <w:t>Изплатени суми</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Сравнени със сумите в първия доклад, разходите на ЕС и неговите държави членки за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 xml:space="preserve">са нараснали с 9 %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от 3 365 млн. евро на 3 659 млн. евро</w:t>
      </w:r>
      <w:r>
        <w:rPr>
          <w:rStyle w:val="FootnoteReference"/>
          <w:rFonts w:ascii="Times New Roman" w:hAnsi="Times New Roman" w:cs="Times New Roman"/>
          <w:noProof/>
          <w:color w:val="0F243E" w:themeColor="text2" w:themeShade="80"/>
          <w:sz w:val="24"/>
          <w:szCs w:val="24"/>
          <w:lang w:val="bg-BG"/>
        </w:rPr>
        <w:footnoteReference w:id="13"/>
      </w:r>
      <w:r>
        <w:rPr>
          <w:rFonts w:ascii="Times New Roman" w:hAnsi="Times New Roman" w:cs="Times New Roman"/>
          <w:noProof/>
          <w:color w:val="0F243E" w:themeColor="text2" w:themeShade="80"/>
          <w:sz w:val="24"/>
          <w:szCs w:val="24"/>
          <w:lang w:val="bg-BG"/>
        </w:rPr>
        <w:t>, което представлява 8 % от общия размер на официалната помощ за развитие (ОПР)</w:t>
      </w:r>
      <w:r>
        <w:rPr>
          <w:rStyle w:val="FootnoteReference"/>
          <w:rFonts w:ascii="Times New Roman" w:hAnsi="Times New Roman" w:cs="Times New Roman"/>
          <w:noProof/>
          <w:color w:val="0F243E" w:themeColor="text2" w:themeShade="80"/>
          <w:sz w:val="24"/>
          <w:szCs w:val="24"/>
          <w:lang w:val="bg-BG"/>
        </w:rPr>
        <w:footnoteReference w:id="14"/>
      </w:r>
      <w:r>
        <w:rPr>
          <w:rFonts w:ascii="Times New Roman" w:hAnsi="Times New Roman" w:cs="Times New Roman"/>
          <w:noProof/>
          <w:color w:val="0F243E" w:themeColor="text2" w:themeShade="80"/>
          <w:sz w:val="24"/>
          <w:szCs w:val="24"/>
          <w:lang w:val="bg-BG"/>
        </w:rPr>
        <w:t>.</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Тези изплатени суми от ЕС и неговите държави членки отразяват разнообразен портфейл за подкрепа на ключови приоритети на световно, регионално и национално ниво за постигането на сигурност в областта на продоволствието и изхранването. Интервенциите на ниво държава представляват две трети от общите инвестиции. През 2014 г. 25 % от помощта е изплатена на световно ниво, 9 %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на регионално ниво и 66 %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на национално ниво.</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От таблица 1 е видно, че Африка продължава да бъде най-големият бенефициер на ОПР, предоставяна от ЕС и неговите държави членки за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с дял от </w:t>
      </w:r>
      <w:r>
        <w:rPr>
          <w:rFonts w:ascii="Times New Roman" w:hAnsi="Times New Roman" w:cs="Times New Roman"/>
          <w:noProof/>
          <w:color w:val="0F243E" w:themeColor="text2" w:themeShade="80"/>
          <w:sz w:val="24"/>
          <w:szCs w:val="24"/>
          <w:lang w:val="bg-BG"/>
        </w:rPr>
        <w:t xml:space="preserve">45 % или съответно </w:t>
      </w:r>
      <w:r>
        <w:rPr>
          <w:rFonts w:ascii="Times New Roman" w:eastAsia="Times New Roman" w:hAnsi="Times New Roman" w:cs="Times New Roman"/>
          <w:noProof/>
          <w:color w:val="0F243E" w:themeColor="text2" w:themeShade="80"/>
          <w:sz w:val="24"/>
          <w:szCs w:val="24"/>
          <w:lang w:val="bg-BG" w:eastAsia="en-GB"/>
        </w:rPr>
        <w:t>1 663 млн. евро</w:t>
      </w:r>
      <w:r>
        <w:rPr>
          <w:rFonts w:ascii="Times New Roman" w:hAnsi="Times New Roman" w:cs="Times New Roman"/>
          <w:noProof/>
          <w:color w:val="0F243E" w:themeColor="text2" w:themeShade="80"/>
          <w:sz w:val="24"/>
          <w:szCs w:val="24"/>
          <w:lang w:val="bg-BG"/>
        </w:rPr>
        <w:t>. Като цяло, географското разпределение на инвестициите остава до голяма степен сходно с това от 2012 г.</w:t>
      </w:r>
    </w:p>
    <w:p>
      <w:pPr>
        <w:pStyle w:val="ListParagraph"/>
        <w:spacing w:before="720" w:after="40" w:line="240" w:lineRule="auto"/>
        <w:ind w:left="0"/>
        <w:contextualSpacing w:val="0"/>
        <w:jc w:val="both"/>
        <w:rPr>
          <w:rFonts w:ascii="Times New Roman" w:hAnsi="Times New Roman" w:cs="Times New Roman"/>
          <w:b/>
          <w:bCs/>
          <w:noProof/>
          <w:color w:val="0F243E" w:themeColor="text2" w:themeShade="80"/>
          <w:spacing w:val="-6"/>
          <w:sz w:val="24"/>
          <w:szCs w:val="24"/>
          <w:lang w:val="bg-BG"/>
        </w:rPr>
      </w:pPr>
      <w:r>
        <w:rPr>
          <w:rFonts w:ascii="Times New Roman" w:hAnsi="Times New Roman" w:cs="Times New Roman"/>
          <w:b/>
          <w:noProof/>
          <w:color w:val="0F243E" w:themeColor="text2" w:themeShade="80"/>
          <w:spacing w:val="-6"/>
          <w:sz w:val="24"/>
          <w:szCs w:val="24"/>
          <w:lang w:val="bg-BG"/>
        </w:rPr>
        <w:lastRenderedPageBreak/>
        <w:t xml:space="preserve">Таблица 1. </w:t>
      </w:r>
      <w:r>
        <w:rPr>
          <w:rFonts w:ascii="Times New Roman" w:hAnsi="Times New Roman" w:cs="Times New Roman"/>
          <w:b/>
          <w:bCs/>
          <w:noProof/>
          <w:color w:val="0F243E" w:themeColor="text2" w:themeShade="80"/>
          <w:spacing w:val="-6"/>
          <w:sz w:val="24"/>
          <w:szCs w:val="24"/>
          <w:lang w:val="bg-BG"/>
        </w:rPr>
        <w:t>Географско разпределение на изплатените суми през 2012 г. и 2014 г. по континенти</w:t>
      </w:r>
    </w:p>
    <w:tbl>
      <w:tblPr>
        <w:tblW w:w="6794"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5"/>
        <w:gridCol w:w="1322"/>
        <w:gridCol w:w="866"/>
        <w:gridCol w:w="950"/>
        <w:gridCol w:w="866"/>
      </w:tblGrid>
      <w:tr>
        <w:trPr>
          <w:trHeight w:val="280"/>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 xml:space="preserve">Континент </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 xml:space="preserve">2012 г. </w:t>
            </w:r>
            <w:r>
              <w:rPr>
                <w:rFonts w:ascii="Times New Roman" w:eastAsia="Times New Roman" w:hAnsi="Times New Roman" w:cs="Times New Roman"/>
                <w:b/>
                <w:noProof/>
                <w:color w:val="0F243E" w:themeColor="text2" w:themeShade="80"/>
                <w:lang w:val="bg-BG" w:eastAsia="en-GB"/>
              </w:rPr>
              <w:br/>
              <w:t>(млн. евро)</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2012 г.</w:t>
            </w:r>
          </w:p>
          <w:p>
            <w:pPr>
              <w:spacing w:after="0" w:line="240" w:lineRule="auto"/>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 xml:space="preserve">2014 г. </w:t>
            </w:r>
            <w:r>
              <w:rPr>
                <w:rFonts w:ascii="Times New Roman" w:eastAsia="Times New Roman" w:hAnsi="Times New Roman" w:cs="Times New Roman"/>
                <w:b/>
                <w:noProof/>
                <w:color w:val="0F243E" w:themeColor="text2" w:themeShade="80"/>
                <w:lang w:val="bg-BG" w:eastAsia="en-GB"/>
              </w:rPr>
              <w:br/>
              <w:t>(млн. евро)</w:t>
            </w:r>
          </w:p>
        </w:tc>
        <w:tc>
          <w:tcPr>
            <w:tcW w:w="785"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2014 г.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 xml:space="preserve">Африка </w:t>
            </w:r>
            <w:r>
              <w:rPr>
                <w:rFonts w:ascii="Calibri" w:eastAsia="Times New Roman" w:hAnsi="Calibri" w:cs="Times New Roman"/>
                <w:noProof/>
                <w:color w:val="0F243E" w:themeColor="text2" w:themeShade="80"/>
                <w:lang w:val="bg-BG" w:eastAsia="en-GB"/>
              </w:rPr>
              <w:t>—</w:t>
            </w:r>
            <w:r>
              <w:rPr>
                <w:rFonts w:ascii="Times New Roman" w:eastAsia="Times New Roman" w:hAnsi="Times New Roman" w:cs="Times New Roman"/>
                <w:noProof/>
                <w:color w:val="0F243E" w:themeColor="text2" w:themeShade="80"/>
                <w:lang w:val="bg-BG" w:eastAsia="en-GB"/>
              </w:rPr>
              <w:t xml:space="preserve"> на юг от Сахара</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1 439</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1 663</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В световен мащаб</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958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899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Азия</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593</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539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Латинска Америка и Карибския басейн</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231</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7 %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225</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 xml:space="preserve">Съседни държави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88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231</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Други</w:t>
            </w:r>
            <w:r>
              <w:rPr>
                <w:rStyle w:val="FootnoteReference"/>
                <w:rFonts w:ascii="Times New Roman" w:eastAsia="Times New Roman" w:hAnsi="Times New Roman" w:cs="Times New Roman"/>
                <w:noProof/>
                <w:color w:val="0F243E" w:themeColor="text2" w:themeShade="80"/>
                <w:lang w:val="bg-BG" w:eastAsia="en-GB"/>
              </w:rPr>
              <w:footnoteReference w:id="15"/>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56</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102</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3 %</w:t>
            </w:r>
          </w:p>
        </w:tc>
      </w:tr>
      <w:tr>
        <w:trPr>
          <w:trHeight w:val="324"/>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Общо</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3 366</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100 %</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3 659</w:t>
            </w:r>
          </w:p>
        </w:tc>
        <w:tc>
          <w:tcPr>
            <w:tcW w:w="785" w:type="dxa"/>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t>100 </w:t>
            </w:r>
            <w:r>
              <w:rPr>
                <w:rFonts w:ascii="Times New Roman" w:eastAsia="Times New Roman" w:hAnsi="Times New Roman" w:cs="Times New Roman"/>
                <w:noProof/>
                <w:color w:val="0F243E" w:themeColor="text2" w:themeShade="80"/>
                <w:lang w:val="bg-BG" w:eastAsia="en-GB"/>
              </w:rPr>
              <w:t>%</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Това е положението, независимо че редица държави членки са подложени на натиск за намаляване на изплатените суми за ОПР. Тези непрекъснати значителни инвестиции, заедно с нови политики и програми, отразяват ангажимента на ЕС и на неговите държави членки за изпълнение на политиката на ЕС за </w:t>
      </w:r>
      <w:r>
        <w:rPr>
          <w:rFonts w:ascii="Times New Roman" w:eastAsia="Times New Roman" w:hAnsi="Times New Roman" w:cs="Times New Roman"/>
          <w:noProof/>
          <w:color w:val="0F243E" w:themeColor="text2" w:themeShade="80"/>
          <w:sz w:val="24"/>
          <w:szCs w:val="24"/>
          <w:lang w:val="bg-BG" w:eastAsia="en-GB"/>
        </w:rPr>
        <w:t>сигурност в областта на продоволствието и изхранването</w:t>
      </w:r>
      <w:r>
        <w:rPr>
          <w:rFonts w:ascii="Times New Roman" w:hAnsi="Times New Roman" w:cs="Times New Roman"/>
          <w:noProof/>
          <w:color w:val="0F243E" w:themeColor="text2" w:themeShade="80"/>
          <w:sz w:val="24"/>
          <w:szCs w:val="24"/>
          <w:lang w:val="bg-BG"/>
        </w:rPr>
        <w:t>.</w:t>
      </w:r>
    </w:p>
    <w:p>
      <w:pPr>
        <w:pStyle w:val="Heading2"/>
        <w:spacing w:before="200"/>
        <w:ind w:left="851" w:firstLine="0"/>
        <w:rPr>
          <w:i/>
          <w:noProof/>
          <w:color w:val="0F243E" w:themeColor="text2" w:themeShade="80"/>
          <w:lang w:val="bg-BG"/>
        </w:rPr>
      </w:pPr>
      <w:r>
        <w:rPr>
          <w:i/>
          <w:noProof/>
          <w:color w:val="0F243E" w:themeColor="text2" w:themeShade="80"/>
          <w:lang w:val="bg-BG"/>
        </w:rPr>
        <w:t>Напредък по изпълнението на приоритетите на политиката и критерии за изпълнение</w:t>
      </w:r>
    </w:p>
    <w:p>
      <w:pPr>
        <w:keepNext/>
        <w:spacing w:before="120" w:after="4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Таблица 2. Напредък по критериите за изпълнение</w:t>
      </w:r>
    </w:p>
    <w:tbl>
      <w:tblPr>
        <w:tblW w:w="5000" w:type="pct"/>
        <w:tblLook w:val="04A0" w:firstRow="1" w:lastRow="0" w:firstColumn="1" w:lastColumn="0" w:noHBand="0" w:noVBand="1"/>
      </w:tblPr>
      <w:tblGrid>
        <w:gridCol w:w="3949"/>
        <w:gridCol w:w="916"/>
        <w:gridCol w:w="917"/>
        <w:gridCol w:w="887"/>
        <w:gridCol w:w="887"/>
        <w:gridCol w:w="866"/>
        <w:gridCol w:w="866"/>
      </w:tblGrid>
      <w:tr>
        <w:trPr>
          <w:trHeight w:val="576"/>
        </w:trPr>
        <w:tc>
          <w:tcPr>
            <w:tcW w:w="2134" w:type="pct"/>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Приоритети на политиката</w:t>
            </w:r>
          </w:p>
        </w:tc>
        <w:tc>
          <w:tcPr>
            <w:tcW w:w="1002"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Брой програми</w:t>
            </w:r>
          </w:p>
        </w:tc>
        <w:tc>
          <w:tcPr>
            <w:tcW w:w="970"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 xml:space="preserve">Получено подпомагане </w:t>
            </w:r>
            <w:r>
              <w:rPr>
                <w:rFonts w:ascii="Times New Roman" w:eastAsia="Times New Roman" w:hAnsi="Times New Roman" w:cs="Times New Roman"/>
                <w:b/>
                <w:bCs/>
                <w:noProof/>
                <w:color w:val="0F243E" w:themeColor="text2" w:themeShade="80"/>
                <w:lang w:val="bg-BG" w:eastAsia="en-GB"/>
              </w:rPr>
              <w:br/>
              <w:t xml:space="preserve">(млн. евро) </w:t>
            </w:r>
          </w:p>
        </w:tc>
        <w:tc>
          <w:tcPr>
            <w:tcW w:w="894"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Брой държави</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 xml:space="preserve">Година </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2012 г.</w:t>
            </w:r>
          </w:p>
        </w:tc>
        <w:tc>
          <w:tcPr>
            <w:tcW w:w="501" w:type="pct"/>
            <w:tcBorders>
              <w:top w:val="nil"/>
              <w:left w:val="nil"/>
              <w:bottom w:val="single" w:sz="4" w:space="0" w:color="auto"/>
              <w:right w:val="single" w:sz="12"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2014 г.</w:t>
            </w:r>
          </w:p>
        </w:tc>
        <w:tc>
          <w:tcPr>
            <w:tcW w:w="485"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2012 г.</w:t>
            </w:r>
          </w:p>
        </w:tc>
        <w:tc>
          <w:tcPr>
            <w:tcW w:w="485"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2014 г.</w:t>
            </w:r>
          </w:p>
        </w:tc>
        <w:tc>
          <w:tcPr>
            <w:tcW w:w="447"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2012 г.</w:t>
            </w:r>
          </w:p>
        </w:tc>
        <w:tc>
          <w:tcPr>
            <w:tcW w:w="447"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2014 г.</w:t>
            </w:r>
          </w:p>
        </w:tc>
      </w:tr>
      <w:tr>
        <w:trPr>
          <w:trHeight w:val="597"/>
        </w:trPr>
        <w:tc>
          <w:tcPr>
            <w:tcW w:w="2134" w:type="pct"/>
            <w:tcBorders>
              <w:top w:val="nil"/>
              <w:left w:val="single" w:sz="12" w:space="0" w:color="auto"/>
              <w:bottom w:val="dotted"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 xml:space="preserve">1. Подобряване на устойчивостта и поминъка на дребните производители </w:t>
            </w:r>
          </w:p>
        </w:tc>
        <w:tc>
          <w:tcPr>
            <w:tcW w:w="501" w:type="pct"/>
            <w:tcBorders>
              <w:top w:val="nil"/>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1 560</w:t>
            </w:r>
          </w:p>
        </w:tc>
        <w:tc>
          <w:tcPr>
            <w:tcW w:w="501" w:type="pct"/>
            <w:tcBorders>
              <w:top w:val="nil"/>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1 822</w:t>
            </w:r>
          </w:p>
        </w:tc>
        <w:tc>
          <w:tcPr>
            <w:tcW w:w="485" w:type="pct"/>
            <w:tcBorders>
              <w:top w:val="nil"/>
              <w:left w:val="single" w:sz="12" w:space="0" w:color="auto"/>
              <w:bottom w:val="dotted"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2 022</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60 %</w:t>
            </w:r>
          </w:p>
        </w:tc>
        <w:tc>
          <w:tcPr>
            <w:tcW w:w="485" w:type="pct"/>
            <w:tcBorders>
              <w:top w:val="nil"/>
              <w:left w:val="nil"/>
              <w:bottom w:val="dotted"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2 137</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58 %</w:t>
            </w:r>
          </w:p>
        </w:tc>
        <w:tc>
          <w:tcPr>
            <w:tcW w:w="447" w:type="pct"/>
            <w:tcBorders>
              <w:top w:val="single" w:sz="4" w:space="0" w:color="auto"/>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108</w:t>
            </w:r>
          </w:p>
        </w:tc>
        <w:tc>
          <w:tcPr>
            <w:tcW w:w="447" w:type="pct"/>
            <w:tcBorders>
              <w:top w:val="single" w:sz="4" w:space="0" w:color="auto"/>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103</w:t>
            </w:r>
          </w:p>
        </w:tc>
      </w:tr>
      <w:tr>
        <w:trPr>
          <w:trHeight w:val="320"/>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i/>
                <w:iCs/>
                <w:noProof/>
                <w:color w:val="0F243E" w:themeColor="text2" w:themeShade="80"/>
                <w:lang w:val="bg-BG" w:eastAsia="en-GB"/>
              </w:rPr>
            </w:pPr>
            <w:r>
              <w:rPr>
                <w:rFonts w:ascii="Times New Roman" w:eastAsia="Times New Roman" w:hAnsi="Times New Roman" w:cs="Times New Roman"/>
                <w:i/>
                <w:iCs/>
                <w:noProof/>
                <w:color w:val="0F243E" w:themeColor="text2" w:themeShade="80"/>
                <w:lang w:val="bg-BG" w:eastAsia="en-GB"/>
              </w:rPr>
              <w:t xml:space="preserve"> от които научноизследователски програми</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val="bg-BG" w:eastAsia="en-GB"/>
              </w:rPr>
            </w:pPr>
            <w:r>
              <w:rPr>
                <w:rFonts w:ascii="Times New Roman" w:eastAsia="Times New Roman" w:hAnsi="Times New Roman" w:cs="Times New Roman"/>
                <w:i/>
                <w:iCs/>
                <w:noProof/>
                <w:color w:val="0F243E" w:themeColor="text2" w:themeShade="80"/>
                <w:lang w:val="bg-BG" w:eastAsia="en-GB"/>
              </w:rPr>
              <w:t>149</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val="bg-BG" w:eastAsia="en-GB"/>
              </w:rPr>
            </w:pPr>
            <w:r>
              <w:rPr>
                <w:rFonts w:ascii="Times New Roman" w:eastAsia="Times New Roman" w:hAnsi="Times New Roman" w:cs="Times New Roman"/>
                <w:i/>
                <w:iCs/>
                <w:noProof/>
                <w:color w:val="0F243E" w:themeColor="text2" w:themeShade="80"/>
                <w:lang w:val="bg-BG" w:eastAsia="en-GB"/>
              </w:rPr>
              <w:t>154</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val="bg-BG" w:eastAsia="en-GB"/>
              </w:rPr>
            </w:pPr>
            <w:r>
              <w:rPr>
                <w:rFonts w:ascii="Times New Roman" w:eastAsia="Times New Roman" w:hAnsi="Times New Roman" w:cs="Times New Roman"/>
                <w:i/>
                <w:iCs/>
                <w:noProof/>
                <w:color w:val="0F243E" w:themeColor="text2" w:themeShade="80"/>
                <w:lang w:val="bg-BG" w:eastAsia="en-GB"/>
              </w:rPr>
              <w:t>379</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val="bg-BG" w:eastAsia="en-GB"/>
              </w:rPr>
            </w:pPr>
            <w:r>
              <w:rPr>
                <w:rFonts w:ascii="Times New Roman" w:eastAsia="Times New Roman" w:hAnsi="Times New Roman" w:cs="Times New Roman"/>
                <w:i/>
                <w:iCs/>
                <w:noProof/>
                <w:color w:val="0F243E" w:themeColor="text2" w:themeShade="80"/>
                <w:lang w:val="bg-BG" w:eastAsia="en-GB"/>
              </w:rPr>
              <w:t>300</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p>
        </w:tc>
      </w:tr>
      <w:tr>
        <w:trPr>
          <w:trHeight w:val="26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 Подкрепа за ефективно управление</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410</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395</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12 %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535</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84</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92</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 Подкрепа на регионалното селско стопанство и сигурността в областта на продоволствието и изхранването</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98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151</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191</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p>
        </w:tc>
      </w:tr>
      <w:tr>
        <w:trPr>
          <w:trHeight w:val="552"/>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cs="Times New Roman"/>
                <w:i/>
                <w:iCs/>
                <w:noProof/>
                <w:color w:val="0F243E" w:themeColor="text2" w:themeShade="80"/>
                <w:sz w:val="20"/>
                <w:szCs w:val="20"/>
                <w:lang w:val="bg-BG" w:eastAsia="en-GB"/>
              </w:rPr>
            </w:pPr>
            <w:r>
              <w:rPr>
                <w:rFonts w:ascii="Times New Roman" w:eastAsia="Times New Roman" w:hAnsi="Times New Roman" w:cs="Times New Roman"/>
                <w:noProof/>
                <w:color w:val="0F243E" w:themeColor="text2" w:themeShade="80"/>
                <w:lang w:val="bg-BG" w:eastAsia="en-GB"/>
              </w:rPr>
              <w:t xml:space="preserve">4. </w:t>
            </w:r>
            <w:r>
              <w:rPr>
                <w:rFonts w:ascii="Times New Roman" w:hAnsi="Times New Roman" w:cs="Times New Roman"/>
                <w:noProof/>
                <w:color w:val="0F243E" w:themeColor="text2" w:themeShade="80"/>
                <w:lang w:val="bg-BG"/>
              </w:rPr>
              <w:t>Укрепване на механизмите за социална защита с цел сигурност в областта на продоволствието и изхранването</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94</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102</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209</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133</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40</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40</w:t>
            </w:r>
          </w:p>
        </w:tc>
      </w:tr>
      <w:tr>
        <w:trPr>
          <w:trHeight w:val="37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 Подобряване на изхранването</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278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341</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467</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504</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63</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64</w:t>
            </w:r>
          </w:p>
        </w:tc>
      </w:tr>
      <w:tr>
        <w:trPr>
          <w:trHeight w:val="564"/>
        </w:trPr>
        <w:tc>
          <w:tcPr>
            <w:tcW w:w="2134" w:type="pct"/>
            <w:tcBorders>
              <w:top w:val="nil"/>
              <w:left w:val="single" w:sz="12" w:space="0" w:color="auto"/>
              <w:bottom w:val="single" w:sz="8"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 Подобряване на координацията на действащите лица в областта на хуманитарната помощ и развитието с цел повишаване на устойчивостта</w:t>
            </w:r>
          </w:p>
        </w:tc>
        <w:tc>
          <w:tcPr>
            <w:tcW w:w="501"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63</w:t>
            </w:r>
          </w:p>
        </w:tc>
        <w:tc>
          <w:tcPr>
            <w:tcW w:w="501"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148</w:t>
            </w:r>
          </w:p>
        </w:tc>
        <w:tc>
          <w:tcPr>
            <w:tcW w:w="485" w:type="pct"/>
            <w:tcBorders>
              <w:top w:val="nil"/>
              <w:left w:val="single" w:sz="12" w:space="0" w:color="auto"/>
              <w:bottom w:val="single" w:sz="8"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122</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4 %</w:t>
            </w:r>
          </w:p>
        </w:tc>
        <w:tc>
          <w:tcPr>
            <w:tcW w:w="485" w:type="pct"/>
            <w:tcBorders>
              <w:top w:val="nil"/>
              <w:left w:val="nil"/>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159</w:t>
            </w:r>
          </w:p>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4 %</w:t>
            </w:r>
          </w:p>
        </w:tc>
        <w:tc>
          <w:tcPr>
            <w:tcW w:w="447"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18</w:t>
            </w:r>
          </w:p>
        </w:tc>
        <w:tc>
          <w:tcPr>
            <w:tcW w:w="447"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37</w:t>
            </w:r>
          </w:p>
        </w:tc>
      </w:tr>
      <w:tr>
        <w:trPr>
          <w:trHeight w:val="288"/>
        </w:trPr>
        <w:tc>
          <w:tcPr>
            <w:tcW w:w="2134" w:type="pct"/>
            <w:tcBorders>
              <w:top w:val="single" w:sz="8" w:space="0" w:color="auto"/>
              <w:left w:val="single" w:sz="12" w:space="0" w:color="auto"/>
              <w:bottom w:val="single" w:sz="12" w:space="0" w:color="auto"/>
              <w:right w:val="single" w:sz="12" w:space="0" w:color="auto"/>
            </w:tcBorders>
            <w:shd w:val="clear" w:color="auto" w:fill="C6D9F1" w:themeFill="text2" w:themeFillTint="33"/>
            <w:vAlign w:val="bottom"/>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Общо</w:t>
            </w:r>
          </w:p>
        </w:tc>
        <w:tc>
          <w:tcPr>
            <w:tcW w:w="501"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2 503</w:t>
            </w:r>
          </w:p>
        </w:tc>
        <w:tc>
          <w:tcPr>
            <w:tcW w:w="501"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3 343</w:t>
            </w:r>
          </w:p>
        </w:tc>
        <w:tc>
          <w:tcPr>
            <w:tcW w:w="485"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3 366</w:t>
            </w:r>
          </w:p>
        </w:tc>
        <w:tc>
          <w:tcPr>
            <w:tcW w:w="485"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3 659</w:t>
            </w:r>
          </w:p>
        </w:tc>
        <w:tc>
          <w:tcPr>
            <w:tcW w:w="447"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 </w:t>
            </w:r>
          </w:p>
        </w:tc>
        <w:tc>
          <w:tcPr>
            <w:tcW w:w="447" w:type="pct"/>
            <w:tcBorders>
              <w:top w:val="single" w:sz="8" w:space="0" w:color="auto"/>
              <w:left w:val="dotted" w:sz="4" w:space="0" w:color="auto"/>
              <w:bottom w:val="single" w:sz="12" w:space="0" w:color="auto"/>
              <w:right w:val="single" w:sz="12"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lang w:val="bg-BG" w:eastAsia="en-GB"/>
              </w:rPr>
            </w:pPr>
            <w:r>
              <w:rPr>
                <w:rFonts w:ascii="Times New Roman" w:eastAsia="Times New Roman" w:hAnsi="Times New Roman" w:cs="Times New Roman"/>
                <w:b/>
                <w:bCs/>
                <w:noProof/>
                <w:color w:val="0F243E" w:themeColor="text2" w:themeShade="80"/>
                <w:lang w:val="bg-BG" w:eastAsia="en-GB"/>
              </w:rPr>
              <w:t> </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lastRenderedPageBreak/>
        <w:t>В таблица 2 са представени изплатените суми и броят на програмите, по които е получено финансиране по приоритет на политиката. Финансирането, определено за приоритет 1 на политиката, по който е получено 60 % от финансирането, остана непроменено, но се наблюдава значително увеличаване на броя на програмите. Броят на програмите и изплатените суми по приоритет 6 на политиката са се увеличили значително. Като цяло, резултатите предполагат устойчив и непрекъснат напредък по всички критерии.</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Приоритет 1 на политиката</w:t>
      </w:r>
      <w:r>
        <w:rPr>
          <w:rFonts w:ascii="Times New Roman" w:hAnsi="Times New Roman" w:cs="Times New Roman"/>
          <w:noProof/>
          <w:color w:val="0F243E" w:themeColor="text2" w:themeShade="80"/>
          <w:sz w:val="24"/>
          <w:szCs w:val="24"/>
          <w:lang w:val="bg-BG"/>
        </w:rPr>
        <w:t xml:space="preserve"> представлява основният фокус на ЕС и неговите държави членки. По този приоритет са включени мерки за подкрепа на дребните производители за устойчива интензификация, подобряване на предоставянето на услуги, насърчаване на ориентирани към бедните научни изследвания и иновации, предоставяне на възможности за трудова заетост извън стопанството и за свързване на дребните производители с пазара чрез развитие на веригата за създаване на стойност. </w:t>
      </w:r>
      <w:r>
        <w:rPr>
          <w:rFonts w:ascii="Times New Roman" w:eastAsia="Times New Roman" w:hAnsi="Times New Roman" w:cs="Times New Roman"/>
          <w:noProof/>
          <w:color w:val="0F243E" w:themeColor="text2" w:themeShade="80"/>
          <w:sz w:val="24"/>
          <w:szCs w:val="24"/>
          <w:lang w:val="bg-BG"/>
        </w:rPr>
        <w:t xml:space="preserve">Европа запази лидерските си позиции в подпомагането на научните изследвания и иновациите, включително за Фонда на Консултативна група за международни научни изследвания в селското стопанство (CGIAR) (169 млн. евро), и беше важен двустранен донор (69 млн. евро) за институциите в рамките на CGIAR. </w:t>
      </w:r>
      <w:r>
        <w:rPr>
          <w:rFonts w:ascii="Times New Roman" w:hAnsi="Times New Roman" w:cs="Times New Roman"/>
          <w:noProof/>
          <w:color w:val="0F243E" w:themeColor="text2" w:themeShade="80"/>
          <w:sz w:val="24"/>
          <w:szCs w:val="24"/>
          <w:lang w:val="bg-BG"/>
        </w:rPr>
        <w:t>Европейската инициатива за научни изследвания за развитие на селското стопанство продължава да служи като ефективна платформа за координиране на донорите и осигурява силни позиции за Европа във връзка с реформата на CGIAR.</w:t>
      </w:r>
    </w:p>
    <w:tbl>
      <w:tblPr>
        <w:tblStyle w:val="TableGrid"/>
        <w:tblW w:w="0" w:type="auto"/>
        <w:tblLook w:val="04A0" w:firstRow="1" w:lastRow="0" w:firstColumn="1" w:lastColumn="0" w:noHBand="0" w:noVBand="1"/>
      </w:tblPr>
      <w:tblGrid>
        <w:gridCol w:w="9288"/>
      </w:tblGrid>
      <w:tr>
        <w:tc>
          <w:tcPr>
            <w:tcW w:w="928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pPr>
              <w:spacing w:before="120" w:after="120"/>
              <w:jc w:val="center"/>
              <w:rPr>
                <w:rFonts w:ascii="Times New Roman" w:hAnsi="Times New Roman" w:cs="Times New Roman"/>
                <w:b/>
                <w:noProof/>
                <w:color w:val="0F243E" w:themeColor="text2" w:themeShade="80"/>
                <w:lang w:val="bg-BG"/>
              </w:rPr>
            </w:pPr>
            <w:r>
              <w:rPr>
                <w:rFonts w:ascii="Times New Roman" w:hAnsi="Times New Roman" w:cs="Times New Roman"/>
                <w:b/>
                <w:noProof/>
                <w:color w:val="0F243E" w:themeColor="text2" w:themeShade="80"/>
                <w:lang w:val="bg-BG"/>
              </w:rPr>
              <w:t>Каре 1: Интегрирани научни изследвания в областта на селското стопанство за развитие (IAR4D)</w:t>
            </w:r>
          </w:p>
          <w:p>
            <w:pPr>
              <w:pStyle w:val="ListParagraph"/>
              <w:spacing w:before="120" w:after="120"/>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lang w:val="bg-BG"/>
              </w:rPr>
              <w:t xml:space="preserve">Мотивационната програма за Африка на юг от Сахара, водена от Форума за научни изследвания в областта на селското стопанство в Африка и подкрепена от ЕС и различни държави членки, е доказателство, че IAR4D представляват добър и ефективен подход към научните изследвания в областта на селското стопанство в отговор на нуждите на земеделските стопани. Физическите лица, които участват в платформите за иновации в рамките на IAR4D, реализираха среден доход от 99 EUR на година </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 xml:space="preserve"> 231 % над базовото ниво от 44 EUR на година. </w:t>
            </w:r>
          </w:p>
        </w:tc>
      </w:tr>
    </w:tbl>
    <w:p>
      <w:pPr>
        <w:spacing w:before="120" w:after="120" w:line="240" w:lineRule="auto"/>
        <w:jc w:val="both"/>
        <w:rPr>
          <w:rFonts w:ascii="Times New Roman" w:hAnsi="Times New Roman" w:cs="Times New Roman"/>
          <w:iCs/>
          <w:noProof/>
          <w:color w:val="0F243E" w:themeColor="text2" w:themeShade="80"/>
          <w:sz w:val="24"/>
          <w:szCs w:val="24"/>
          <w:lang w:val="bg-BG"/>
        </w:rPr>
      </w:pPr>
      <w:r>
        <w:rPr>
          <w:rFonts w:ascii="Times New Roman" w:hAnsi="Times New Roman" w:cs="Times New Roman"/>
          <w:iCs/>
          <w:noProof/>
          <w:color w:val="0F243E" w:themeColor="text2" w:themeShade="80"/>
          <w:sz w:val="24"/>
          <w:szCs w:val="24"/>
          <w:lang w:val="bg-BG"/>
        </w:rPr>
        <w:t xml:space="preserve">По </w:t>
      </w:r>
      <w:r>
        <w:rPr>
          <w:rFonts w:ascii="Times New Roman" w:hAnsi="Times New Roman" w:cs="Times New Roman"/>
          <w:b/>
          <w:iCs/>
          <w:noProof/>
          <w:color w:val="0F243E" w:themeColor="text2" w:themeShade="80"/>
          <w:sz w:val="24"/>
          <w:szCs w:val="24"/>
          <w:lang w:val="bg-BG"/>
        </w:rPr>
        <w:t>приоритет 2 на политиката</w:t>
      </w:r>
      <w:r>
        <w:rPr>
          <w:rFonts w:ascii="Times New Roman" w:hAnsi="Times New Roman" w:cs="Times New Roman"/>
          <w:iCs/>
          <w:noProof/>
          <w:color w:val="0F243E" w:themeColor="text2" w:themeShade="80"/>
          <w:sz w:val="24"/>
          <w:szCs w:val="24"/>
          <w:lang w:val="bg-BG"/>
        </w:rPr>
        <w:t xml:space="preserve"> ЕС и неговите държави членки активно подкрепяха политики на регионално и национално ниво. На общоафриканско ниво те в значителна степен продължиха да подкрепят процеса на Всеобхватната програма за развитие на селското стопанство в Африка. Освен това ЕС и различни държави членки подпомагаха процесите на децентрализация, които са от решаващо значение за преобразуването на селските райони, и подкрепиха прилагането на Доброволните насоки за отговорно управление на</w:t>
      </w:r>
      <w:r>
        <w:rPr>
          <w:rFonts w:ascii="Times New Roman" w:hAnsi="Times New Roman" w:cs="Times New Roman"/>
          <w:noProof/>
          <w:color w:val="0F243E" w:themeColor="text2" w:themeShade="80"/>
          <w:sz w:val="24"/>
          <w:szCs w:val="24"/>
          <w:lang w:val="bg-BG"/>
        </w:rPr>
        <w:t xml:space="preserve"> владението на земя, </w:t>
      </w:r>
      <w:r>
        <w:rPr>
          <w:rFonts w:ascii="Times New Roman" w:hAnsi="Times New Roman" w:cs="Times New Roman"/>
          <w:iCs/>
          <w:noProof/>
          <w:color w:val="0F243E" w:themeColor="text2" w:themeShade="80"/>
          <w:sz w:val="24"/>
          <w:szCs w:val="24"/>
          <w:lang w:val="bg-BG"/>
        </w:rPr>
        <w:t>рибарството и горите.</w:t>
      </w:r>
    </w:p>
    <w:p>
      <w:pPr>
        <w:spacing w:before="120" w:after="120" w:line="240" w:lineRule="auto"/>
        <w:jc w:val="both"/>
        <w:rPr>
          <w:rFonts w:ascii="Times New Roman" w:hAnsi="Times New Roman" w:cs="Times New Roman"/>
          <w:iCs/>
          <w:noProof/>
          <w:color w:val="0F243E" w:themeColor="text2" w:themeShade="80"/>
          <w:sz w:val="24"/>
          <w:szCs w:val="24"/>
          <w:lang w:val="bg-BG"/>
        </w:rPr>
      </w:pPr>
      <w:r>
        <w:rPr>
          <w:rFonts w:ascii="Times New Roman" w:hAnsi="Times New Roman" w:cs="Times New Roman"/>
          <w:iCs/>
          <w:noProof/>
          <w:color w:val="0F243E" w:themeColor="text2" w:themeShade="80"/>
          <w:sz w:val="24"/>
          <w:szCs w:val="24"/>
          <w:lang w:val="bg-BG"/>
        </w:rPr>
        <w:t>ЕС и неговите държави членки продължават да гарантират сближаване на политиките за развитие в сферата на сигурността в областта на продоволствието и изхранването. В Доклада на ЕС за 2015 г. относно съгласуваността на политиките за развитие</w:t>
      </w:r>
      <w:r>
        <w:rPr>
          <w:rStyle w:val="FootnoteReference"/>
          <w:rFonts w:ascii="Times New Roman" w:hAnsi="Times New Roman" w:cs="Times New Roman"/>
          <w:iCs/>
          <w:noProof/>
          <w:color w:val="0F243E" w:themeColor="text2" w:themeShade="80"/>
          <w:sz w:val="24"/>
          <w:szCs w:val="24"/>
          <w:lang w:val="bg-BG"/>
        </w:rPr>
        <w:footnoteReference w:id="16"/>
      </w:r>
      <w:r>
        <w:rPr>
          <w:rFonts w:ascii="Times New Roman" w:hAnsi="Times New Roman" w:cs="Times New Roman"/>
          <w:iCs/>
          <w:noProof/>
          <w:color w:val="0F243E" w:themeColor="text2" w:themeShade="80"/>
          <w:sz w:val="24"/>
          <w:szCs w:val="24"/>
          <w:lang w:val="bg-BG"/>
        </w:rPr>
        <w:t xml:space="preserve"> е направен подробен преглед на инициативите в рамките на политиките в селското стопанство и рибарството на ЕС и държавите членки, за да се установи тяхното въздействие върху развиващите се държави, и е обобщен постигнатият устойчив напредък от 2013 г. насам.</w:t>
      </w:r>
    </w:p>
    <w:p>
      <w:pPr>
        <w:spacing w:before="120" w:after="120" w:line="240" w:lineRule="auto"/>
        <w:jc w:val="both"/>
        <w:rPr>
          <w:rFonts w:ascii="Times New Roman" w:hAnsi="Times New Roman" w:cs="Times New Roman"/>
          <w:b/>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По </w:t>
      </w:r>
      <w:r>
        <w:rPr>
          <w:rFonts w:ascii="Times New Roman" w:hAnsi="Times New Roman" w:cs="Times New Roman"/>
          <w:b/>
          <w:noProof/>
          <w:color w:val="0F243E" w:themeColor="text2" w:themeShade="80"/>
          <w:sz w:val="24"/>
          <w:szCs w:val="24"/>
          <w:lang w:val="bg-BG"/>
        </w:rPr>
        <w:t xml:space="preserve">приоритет 3 на политиката </w:t>
      </w:r>
      <w:r>
        <w:rPr>
          <w:rFonts w:ascii="Times New Roman" w:hAnsi="Times New Roman" w:cs="Times New Roman"/>
          <w:iCs/>
          <w:noProof/>
          <w:color w:val="0F243E" w:themeColor="text2" w:themeShade="80"/>
          <w:sz w:val="24"/>
          <w:szCs w:val="24"/>
          <w:lang w:val="bg-BG"/>
        </w:rPr>
        <w:t xml:space="preserve">продължава подкрепата за регионални програми, насочени към търговски, санитарни и фитосанитарни мерки и регионално сътрудничество за сигурност в областта на продоволствието и управление на </w:t>
      </w:r>
      <w:r>
        <w:rPr>
          <w:rFonts w:ascii="Times New Roman" w:hAnsi="Times New Roman" w:cs="Times New Roman"/>
          <w:iCs/>
          <w:noProof/>
          <w:color w:val="0F243E" w:themeColor="text2" w:themeShade="80"/>
          <w:sz w:val="24"/>
          <w:szCs w:val="24"/>
          <w:lang w:val="bg-BG"/>
        </w:rPr>
        <w:lastRenderedPageBreak/>
        <w:t>рибарството, като финансирането беше леко увеличено, а броят на програмите беше почти удвоен.</w:t>
      </w:r>
    </w:p>
    <w:p>
      <w:pPr>
        <w:pStyle w:val="ListParagraph"/>
        <w:spacing w:before="120" w:after="120" w:line="240" w:lineRule="auto"/>
        <w:ind w:left="0"/>
        <w:contextualSpacing w:val="0"/>
        <w:jc w:val="both"/>
        <w:rPr>
          <w:rFonts w:ascii="Times New Roman" w:hAnsi="Times New Roman" w:cs="Times New Roman"/>
          <w:iCs/>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По</w:t>
      </w:r>
      <w:r>
        <w:rPr>
          <w:rFonts w:ascii="Times New Roman" w:hAnsi="Times New Roman" w:cs="Times New Roman"/>
          <w:b/>
          <w:noProof/>
          <w:color w:val="0F243E" w:themeColor="text2" w:themeShade="80"/>
          <w:sz w:val="24"/>
          <w:szCs w:val="24"/>
          <w:lang w:val="bg-BG"/>
        </w:rPr>
        <w:t xml:space="preserve"> приоритет 4 на политиката </w:t>
      </w:r>
      <w:r>
        <w:rPr>
          <w:rFonts w:ascii="Times New Roman" w:hAnsi="Times New Roman" w:cs="Times New Roman"/>
          <w:noProof/>
          <w:color w:val="0F243E" w:themeColor="text2" w:themeShade="80"/>
          <w:sz w:val="24"/>
          <w:szCs w:val="24"/>
          <w:lang w:val="bg-BG"/>
        </w:rPr>
        <w:t>беше отбелязано намаляване на изплатените суми от</w:t>
      </w:r>
      <w:r>
        <w:rPr>
          <w:rFonts w:ascii="Times New Roman" w:hAnsi="Times New Roman" w:cs="Times New Roman"/>
          <w:iCs/>
          <w:noProof/>
          <w:color w:val="0F243E" w:themeColor="text2" w:themeShade="80"/>
          <w:sz w:val="24"/>
          <w:szCs w:val="24"/>
          <w:lang w:val="bg-BG"/>
        </w:rPr>
        <w:t xml:space="preserve"> 209 млн. евро на 133 млн. евро. Въпреки това 102 програми за социална закрила </w:t>
      </w:r>
      <w:r>
        <w:rPr>
          <w:rFonts w:ascii="Calibri" w:hAnsi="Calibri" w:cs="Times New Roman"/>
          <w:iCs/>
          <w:noProof/>
          <w:color w:val="0F243E" w:themeColor="text2" w:themeShade="80"/>
          <w:sz w:val="24"/>
          <w:szCs w:val="24"/>
          <w:lang w:val="bg-BG"/>
        </w:rPr>
        <w:t>—</w:t>
      </w:r>
      <w:r>
        <w:rPr>
          <w:rFonts w:ascii="Times New Roman" w:hAnsi="Times New Roman" w:cs="Times New Roman"/>
          <w:iCs/>
          <w:noProof/>
          <w:color w:val="0F243E" w:themeColor="text2" w:themeShade="80"/>
          <w:sz w:val="24"/>
          <w:szCs w:val="24"/>
          <w:lang w:val="bg-BG"/>
        </w:rPr>
        <w:t xml:space="preserve"> с 8 повече в сравнение с предходния доклад </w:t>
      </w:r>
      <w:r>
        <w:rPr>
          <w:rFonts w:ascii="Calibri" w:hAnsi="Calibri" w:cs="Times New Roman"/>
          <w:iCs/>
          <w:noProof/>
          <w:color w:val="0F243E" w:themeColor="text2" w:themeShade="80"/>
          <w:sz w:val="24"/>
          <w:szCs w:val="24"/>
          <w:lang w:val="bg-BG"/>
        </w:rPr>
        <w:t>—</w:t>
      </w:r>
      <w:r>
        <w:rPr>
          <w:rFonts w:ascii="Times New Roman" w:hAnsi="Times New Roman" w:cs="Times New Roman"/>
          <w:iCs/>
          <w:noProof/>
          <w:color w:val="0F243E" w:themeColor="text2" w:themeShade="80"/>
          <w:sz w:val="24"/>
          <w:szCs w:val="24"/>
          <w:lang w:val="bg-BG"/>
        </w:rPr>
        <w:t xml:space="preserve"> все още се изпълняват в 40 държави.</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По </w:t>
      </w:r>
      <w:r>
        <w:rPr>
          <w:rFonts w:ascii="Times New Roman" w:hAnsi="Times New Roman" w:cs="Times New Roman"/>
          <w:b/>
          <w:noProof/>
          <w:color w:val="0F243E" w:themeColor="text2" w:themeShade="80"/>
          <w:sz w:val="24"/>
          <w:szCs w:val="24"/>
          <w:lang w:val="bg-BG"/>
        </w:rPr>
        <w:t xml:space="preserve">приоритет 5 на политиката </w:t>
      </w:r>
      <w:r>
        <w:rPr>
          <w:rFonts w:ascii="Times New Roman" w:hAnsi="Times New Roman" w:cs="Times New Roman"/>
          <w:noProof/>
          <w:color w:val="0F243E" w:themeColor="text2" w:themeShade="80"/>
          <w:sz w:val="24"/>
          <w:szCs w:val="24"/>
          <w:lang w:val="bg-BG"/>
        </w:rPr>
        <w:t>ЕС и неговите държави членки</w:t>
      </w:r>
      <w:r>
        <w:rPr>
          <w:rFonts w:ascii="Times New Roman" w:hAnsi="Times New Roman" w:cs="Times New Roman"/>
          <w:b/>
          <w:noProof/>
          <w:color w:val="0F243E" w:themeColor="text2" w:themeShade="80"/>
          <w:sz w:val="24"/>
          <w:szCs w:val="24"/>
          <w:lang w:val="bg-BG"/>
        </w:rPr>
        <w:t xml:space="preserve"> </w:t>
      </w:r>
      <w:r>
        <w:rPr>
          <w:rFonts w:ascii="Times New Roman" w:hAnsi="Times New Roman" w:cs="Times New Roman"/>
          <w:noProof/>
          <w:color w:val="0F243E" w:themeColor="text2" w:themeShade="80"/>
          <w:sz w:val="24"/>
          <w:szCs w:val="24"/>
          <w:lang w:val="bg-BG"/>
        </w:rPr>
        <w:t>притежават значителни портфейли с 341 програми в 64 държави. Напредъкът в тази област на политиката е представен в раздел 5.</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По</w:t>
      </w:r>
      <w:r>
        <w:rPr>
          <w:rFonts w:ascii="Times New Roman" w:hAnsi="Times New Roman" w:cs="Times New Roman"/>
          <w:b/>
          <w:noProof/>
          <w:color w:val="0F243E" w:themeColor="text2" w:themeShade="80"/>
          <w:sz w:val="24"/>
          <w:szCs w:val="24"/>
          <w:lang w:val="bg-BG"/>
        </w:rPr>
        <w:t xml:space="preserve"> приоритет 6 на политиката </w:t>
      </w:r>
      <w:r>
        <w:rPr>
          <w:rFonts w:ascii="Times New Roman" w:hAnsi="Times New Roman" w:cs="Times New Roman"/>
          <w:noProof/>
          <w:color w:val="0F243E" w:themeColor="text2" w:themeShade="80"/>
          <w:sz w:val="24"/>
          <w:szCs w:val="24"/>
          <w:lang w:val="bg-BG"/>
        </w:rPr>
        <w:t>беше поставен много по-силен акцент върху програми за насърчаване на устойчивостта, осъществявани в Сахел и Африканския рог, за да се подпомогнат програмите за устойчивост на държавите и на регионалните организации. В Западна Африка ЕС и неговите държави членки са силно ангажирани с преодоляването на първопричините за продоволствените кризи посредством работата им със Световния алианс за инициативата за устойчивост (AGIR) и Сахелския клуб. Освен това, на своето 42-ро заседание, Комитетът по световната продоволствена сигурност одобри „Рамка за действие за сигурност в областта на продоволствието и изхранването при продължителни кризи“</w:t>
      </w:r>
      <w:r>
        <w:rPr>
          <w:rStyle w:val="FootnoteReference"/>
          <w:rFonts w:ascii="Times New Roman" w:hAnsi="Times New Roman" w:cs="Times New Roman"/>
          <w:noProof/>
          <w:color w:val="0F243E" w:themeColor="text2" w:themeShade="80"/>
          <w:sz w:val="24"/>
          <w:szCs w:val="24"/>
          <w:lang w:val="bg-BG"/>
        </w:rPr>
        <w:footnoteReference w:id="17"/>
      </w:r>
      <w:r>
        <w:rPr>
          <w:rFonts w:ascii="Times New Roman" w:hAnsi="Times New Roman" w:cs="Times New Roman"/>
          <w:noProof/>
          <w:color w:val="0F243E" w:themeColor="text2" w:themeShade="80"/>
          <w:sz w:val="24"/>
          <w:szCs w:val="24"/>
          <w:lang w:val="bg-BG"/>
        </w:rPr>
        <w:t>.</w:t>
      </w:r>
    </w:p>
    <w:p>
      <w:pPr>
        <w:pStyle w:val="Heading2"/>
        <w:spacing w:before="200" w:after="200"/>
        <w:ind w:left="851" w:firstLine="0"/>
        <w:rPr>
          <w:i/>
          <w:noProof/>
          <w:color w:val="0F243E" w:themeColor="text2" w:themeShade="80"/>
          <w:lang w:val="bg-BG"/>
        </w:rPr>
      </w:pPr>
      <w:bookmarkStart w:id="5" w:name="_Toc444787680"/>
      <w:r>
        <w:rPr>
          <w:i/>
          <w:noProof/>
          <w:color w:val="0F243E" w:themeColor="text2" w:themeShade="80"/>
          <w:lang w:val="bg-BG"/>
        </w:rPr>
        <w:t xml:space="preserve">Координация, взаимно допълване и съгласуваност </w:t>
      </w:r>
      <w:bookmarkEnd w:id="5"/>
      <w:r>
        <w:rPr>
          <w:i/>
          <w:noProof/>
          <w:color w:val="0F243E" w:themeColor="text2" w:themeShade="80"/>
          <w:lang w:val="bg-BG"/>
        </w:rPr>
        <w:t>(трите „С“, т.е. Coordination, Complementarity, Coherence)</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Координацията продължава да изпълнява важна роля за осигуряване на ефективността на помощта от ЕС и неговите държави членки на ниво държава, защото в 45 държави се предоставя помощ от пет или повече донора. Броят на докладваните проекти се е увеличил значително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от 2 503 през 2012 г. на 3 343 през 2014 г. Като цяло, 109 държави получават подпомагане. Тридесет и пет държави получават почти 80 % от финансирането.</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ЕС и неговите държави членки са ангажирани с подход за развитие, съобразен със спецификите на отделните държави, и съгласуват своите стратегии и инвестиционни планове с тези на партньорските държави. Държавите членки и ЕС участват активно в дейности по координиране и диалози на секторно ниво</w:t>
      </w:r>
      <w:r>
        <w:rPr>
          <w:rFonts w:ascii="Times New Roman" w:eastAsia="Times New Roman" w:hAnsi="Times New Roman" w:cs="Times New Roman"/>
          <w:noProof/>
          <w:color w:val="0F243E" w:themeColor="text2" w:themeShade="80"/>
          <w:sz w:val="24"/>
          <w:szCs w:val="24"/>
          <w:lang w:val="bg-BG"/>
        </w:rPr>
        <w:t>. Съществуват много примери за това как ЕС и неговите държави членки съфинансират програми и извършват съвместни дейности за анализ, мониторинг и оценка. На общоафриканско ниво ЕС и неговите държави членки участват в екипа от партньори за развитие на Всеобхватната програма за развитие на селското стопанство в Африка, като през 2016 г. Германия поема председателството от Комисията.</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rPr>
      </w:pPr>
      <w:r>
        <w:rPr>
          <w:rFonts w:ascii="Times New Roman" w:eastAsia="Times New Roman" w:hAnsi="Times New Roman" w:cs="Times New Roman"/>
          <w:noProof/>
          <w:color w:val="0F243E" w:themeColor="text2" w:themeShade="80"/>
          <w:sz w:val="24"/>
          <w:szCs w:val="24"/>
          <w:lang w:val="bg-BG"/>
        </w:rPr>
        <w:t>От 2014 г. насам съвместното програмиране се е увеличило, като 14 държави вече имат нова съвместна стратегия. ЕС и неговите държави членки постигат значителни резултати заедно с Етиопия, която е водещ пример за съвместен анализ на контекста за програмите и съвместното им изготвяне.</w:t>
      </w:r>
    </w:p>
    <w:tbl>
      <w:tblPr>
        <w:tblStyle w:val="TableGrid"/>
        <w:tblW w:w="0" w:type="auto"/>
        <w:tblInd w:w="250"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038"/>
      </w:tblGrid>
      <w:tr>
        <w:trPr>
          <w:trHeight w:val="283"/>
        </w:trPr>
        <w:tc>
          <w:tcPr>
            <w:tcW w:w="9038" w:type="dxa"/>
          </w:tcPr>
          <w:p>
            <w:pPr>
              <w:keepNext/>
              <w:spacing w:before="120" w:after="120"/>
              <w:jc w:val="center"/>
              <w:rPr>
                <w:rFonts w:ascii="Times New Roman" w:eastAsia="Times New Roman" w:hAnsi="Times New Roman" w:cs="Times New Roman"/>
                <w:b/>
                <w:noProof/>
                <w:color w:val="0F243E" w:themeColor="text2" w:themeShade="80"/>
                <w:lang w:val="bg-BG" w:eastAsia="en-GB"/>
              </w:rPr>
            </w:pPr>
            <w:r>
              <w:rPr>
                <w:rFonts w:ascii="Times New Roman" w:eastAsia="Times New Roman" w:hAnsi="Times New Roman" w:cs="Times New Roman"/>
                <w:b/>
                <w:noProof/>
                <w:color w:val="0F243E" w:themeColor="text2" w:themeShade="80"/>
                <w:lang w:val="bg-BG" w:eastAsia="en-GB"/>
              </w:rPr>
              <w:lastRenderedPageBreak/>
              <w:t>Каре 2: Съвместно програмиране на ЕС в сектора на изхранването в Етиопия</w:t>
            </w:r>
          </w:p>
          <w:p>
            <w:pPr>
              <w:keepNext/>
              <w:spacing w:before="120" w:after="120"/>
              <w:jc w:val="both"/>
              <w:rPr>
                <w:rFonts w:ascii="Times New Roman" w:hAnsi="Times New Roman" w:cs="Times New Roman"/>
                <w:noProof/>
                <w:color w:val="0F243E" w:themeColor="text2" w:themeShade="80"/>
                <w:lang w:val="bg-BG"/>
              </w:rPr>
            </w:pPr>
            <w:r>
              <w:rPr>
                <w:rFonts w:ascii="Times New Roman" w:hAnsi="Times New Roman" w:cs="Times New Roman"/>
                <w:noProof/>
                <w:color w:val="0F243E" w:themeColor="text2" w:themeShade="80"/>
                <w:lang w:val="bg-BG"/>
              </w:rPr>
              <w:t xml:space="preserve">В началото на 2013 г. ЕС и 20-те държави </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 xml:space="preserve"> членки на ЕС, представени в Етиопия, плюс Норвегия (ЕС+) подкрепиха Съвместната стратегия за сътрудничество на ЕС+ и Етиопия. Целта на тази стратегия е да се гарантира съгласуван и последователен отговор на предизвикателствата пред развитието на Етиопия, да се подобри съгласуването на подкрепата за политиките на етиопското правителство в областта на изхранването, да се подобри хармонизацията, базираният на резултатите подход, предвидимостта и прозрачността, като същевременно се избягват припокриващи се или фрагментирани интервенции.</w:t>
            </w:r>
          </w:p>
          <w:p>
            <w:pPr>
              <w:spacing w:before="120" w:after="120"/>
              <w:jc w:val="both"/>
              <w:rPr>
                <w:rFonts w:ascii="Times New Roman" w:hAnsi="Times New Roman" w:cs="Times New Roman"/>
                <w:noProof/>
                <w:color w:val="0F243E" w:themeColor="text2" w:themeShade="80"/>
                <w:lang w:val="bg-BG"/>
              </w:rPr>
            </w:pPr>
            <w:r>
              <w:rPr>
                <w:rFonts w:ascii="Times New Roman" w:hAnsi="Times New Roman" w:cs="Times New Roman"/>
                <w:noProof/>
                <w:color w:val="0F243E" w:themeColor="text2" w:themeShade="80"/>
                <w:lang w:val="bg-BG"/>
              </w:rPr>
              <w:t>ЕС създаде основна група от седем държави членки, които да се занимават с преодоляването на проблема с недохранването. Групата създаде пътна карта, приключи картографирането на интервенциите в областта на изхранването, възложи и завърши „Ситуационен анализ на сектора на изхранването в Етиопия за периода 2000</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2015 г.“ (SITAN) и разработи стратегията на ЕС+ в областта на изхранването. Констатациите на SITAN се използват от всички партньори за развитие.</w:t>
            </w:r>
          </w:p>
          <w:p>
            <w:pPr>
              <w:spacing w:before="120" w:after="12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lang w:val="bg-BG"/>
              </w:rPr>
              <w:t>Това е отличен пример как Съвместната стратегия за сътрудничество на ЕС+ е хармонизирана с цел да се подкрепи политиката и планирането на Етиопия в областта на изхранването. Чрез стратегията държавите членки изразяват еднакво мнение, когато демонстрират действия във връзка с ангажименти за ефективност на помощта.</w:t>
            </w:r>
          </w:p>
        </w:tc>
      </w:tr>
    </w:tbl>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bookmarkStart w:id="6" w:name="_Toc444787681"/>
      <w:r>
        <w:rPr>
          <w:rFonts w:ascii="Times New Roman" w:eastAsia="Times New Roman" w:hAnsi="Times New Roman" w:cs="Times New Roman"/>
          <w:b/>
          <w:bCs/>
          <w:smallCaps/>
          <w:noProof/>
          <w:color w:val="0F243E" w:themeColor="text2" w:themeShade="80"/>
          <w:sz w:val="24"/>
          <w:szCs w:val="24"/>
          <w:lang w:val="bg-BG" w:eastAsia="en-GB"/>
        </w:rPr>
        <w:t xml:space="preserve">4. </w:t>
      </w:r>
      <w:bookmarkEnd w:id="6"/>
      <w:r>
        <w:rPr>
          <w:rFonts w:ascii="Times New Roman" w:eastAsia="Times New Roman" w:hAnsi="Times New Roman" w:cs="Times New Roman"/>
          <w:b/>
          <w:bCs/>
          <w:smallCaps/>
          <w:noProof/>
          <w:color w:val="0F243E" w:themeColor="text2" w:themeShade="80"/>
          <w:sz w:val="24"/>
          <w:szCs w:val="24"/>
          <w:lang w:val="bg-BG" w:eastAsia="en-GB"/>
        </w:rPr>
        <w:t>ДОКЛАДВАНЕ НА РЕЗУЛТАТИТЕ</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Една от важните забележки на Съвета по отношение на първия двугодишен доклад</w:t>
      </w:r>
      <w:r>
        <w:rPr>
          <w:rStyle w:val="FootnoteReference"/>
          <w:rFonts w:ascii="Times New Roman" w:hAnsi="Times New Roman" w:cs="Times New Roman"/>
          <w:noProof/>
          <w:color w:val="0F243E" w:themeColor="text2" w:themeShade="80"/>
          <w:sz w:val="24"/>
          <w:szCs w:val="24"/>
          <w:lang w:val="bg-BG"/>
        </w:rPr>
        <w:footnoteReference w:id="18"/>
      </w:r>
      <w:r>
        <w:rPr>
          <w:rFonts w:ascii="Times New Roman" w:hAnsi="Times New Roman" w:cs="Times New Roman"/>
          <w:noProof/>
          <w:color w:val="0F243E" w:themeColor="text2" w:themeShade="80"/>
          <w:sz w:val="24"/>
          <w:szCs w:val="24"/>
          <w:lang w:val="bg-BG"/>
        </w:rPr>
        <w:t xml:space="preserve"> беше „значението на разработването и хармонизирането на мерки за проследяване на напредъка по изпълнение на ангажиментите за сигурност в областта на продоволствието и изхранването. </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Обединеното кралство, Нидерландия, Франция и Комисията</w:t>
      </w:r>
      <w:r>
        <w:rPr>
          <w:rStyle w:val="FootnoteReference"/>
          <w:rFonts w:ascii="Times New Roman" w:hAnsi="Times New Roman" w:cs="Times New Roman"/>
          <w:noProof/>
          <w:color w:val="0F243E" w:themeColor="text2" w:themeShade="80"/>
          <w:sz w:val="24"/>
          <w:szCs w:val="24"/>
        </w:rPr>
        <w:footnoteReference w:id="19"/>
      </w:r>
      <w:r>
        <w:rPr>
          <w:rFonts w:ascii="Times New Roman" w:hAnsi="Times New Roman" w:cs="Times New Roman"/>
          <w:noProof/>
          <w:color w:val="0F243E" w:themeColor="text2" w:themeShade="80"/>
          <w:sz w:val="24"/>
          <w:szCs w:val="24"/>
          <w:lang w:val="bg-BG"/>
        </w:rPr>
        <w:t xml:space="preserve"> успяха да предоставят агрегирани данни за всички техни програми (таблица 4). Използват се обаче различни методики, което затруднява съпоставянето и агрегирането на констатациите. </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Съществуват също така много примери за резултати, които се докладват по конкретни програми и интервенции. В таблица 5 са представени три от тях.</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От тези таблици е виден също така видът на измерванията, които може да се използват за подобряване на начина на докладването на резултатите. </w:t>
      </w:r>
    </w:p>
    <w:p>
      <w:pPr>
        <w:pStyle w:val="ListParagraph"/>
        <w:spacing w:before="120" w:after="120" w:line="240" w:lineRule="auto"/>
        <w:ind w:left="0"/>
        <w:contextualSpacing w:val="0"/>
        <w:jc w:val="both"/>
        <w:rPr>
          <w:rFonts w:ascii="Times New Roman" w:hAnsi="Times New Roman" w:cs="Times New Roman"/>
          <w:b/>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Таблица 4: Докладване на корпоративни резултати</w:t>
      </w:r>
    </w:p>
    <w:tbl>
      <w:tblPr>
        <w:tblStyle w:val="TableGrid"/>
        <w:tblW w:w="9146"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1961"/>
        <w:gridCol w:w="2434"/>
        <w:gridCol w:w="2693"/>
        <w:gridCol w:w="2058"/>
      </w:tblGrid>
      <w:tr>
        <w:tc>
          <w:tcPr>
            <w:tcW w:w="1961" w:type="dxa"/>
            <w:shd w:val="clear" w:color="auto" w:fill="FFFFFF" w:themeFill="background1"/>
          </w:tcPr>
          <w:p>
            <w:pPr>
              <w:rPr>
                <w:rFonts w:ascii="Times New Roman" w:eastAsia="Times New Roman" w:hAnsi="Times New Roman" w:cs="Times New Roman"/>
                <w:b/>
                <w:noProof/>
                <w:color w:val="0F243E" w:themeColor="text2" w:themeShade="80"/>
                <w:lang w:val="bg-BG" w:eastAsia="en-GB"/>
              </w:rPr>
            </w:pPr>
            <w:r>
              <w:rPr>
                <w:rFonts w:ascii="Times New Roman" w:hAnsi="Times New Roman" w:cs="Times New Roman"/>
                <w:b/>
                <w:iCs/>
                <w:noProof/>
                <w:color w:val="0F243E" w:themeColor="text2" w:themeShade="80"/>
                <w:lang w:val="bg-BG"/>
              </w:rPr>
              <w:t>Обединено кралство</w:t>
            </w:r>
          </w:p>
          <w:p>
            <w:pP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Осигурена беше сигурност в областта на продоволствието за</w:t>
            </w:r>
            <w:r>
              <w:rPr>
                <w:rFonts w:ascii="Times New Roman" w:eastAsia="Times New Roman" w:hAnsi="Times New Roman" w:cs="Times New Roman"/>
                <w:b/>
                <w:noProof/>
                <w:color w:val="0F243E" w:themeColor="text2" w:themeShade="80"/>
                <w:lang w:val="bg-BG" w:eastAsia="en-GB"/>
              </w:rPr>
              <w:t xml:space="preserve"> 3 500 000</w:t>
            </w:r>
            <w:r>
              <w:rPr>
                <w:rFonts w:ascii="Times New Roman" w:eastAsia="Times New Roman" w:hAnsi="Times New Roman" w:cs="Times New Roman"/>
                <w:noProof/>
                <w:color w:val="0F243E" w:themeColor="text2" w:themeShade="80"/>
                <w:lang w:val="bg-BG" w:eastAsia="en-GB"/>
              </w:rPr>
              <w:t xml:space="preserve"> души, </w:t>
            </w:r>
            <w:r>
              <w:rPr>
                <w:rFonts w:ascii="Times New Roman" w:hAnsi="Times New Roman" w:cs="Times New Roman"/>
                <w:noProof/>
                <w:color w:val="0F243E" w:themeColor="text2" w:themeShade="80"/>
                <w:lang w:val="bg-BG"/>
              </w:rPr>
              <w:t xml:space="preserve">в това число </w:t>
            </w:r>
            <w:r>
              <w:rPr>
                <w:rFonts w:ascii="Times New Roman" w:hAnsi="Times New Roman" w:cs="Times New Roman"/>
                <w:b/>
                <w:noProof/>
                <w:color w:val="0F243E" w:themeColor="text2" w:themeShade="80"/>
                <w:lang w:val="bg-BG"/>
              </w:rPr>
              <w:t>1 800 000</w:t>
            </w:r>
            <w:r>
              <w:rPr>
                <w:rFonts w:ascii="Times New Roman" w:hAnsi="Times New Roman" w:cs="Times New Roman"/>
                <w:noProof/>
                <w:color w:val="0F243E" w:themeColor="text2" w:themeShade="80"/>
                <w:lang w:val="bg-BG"/>
              </w:rPr>
              <w:t> жени;</w:t>
            </w:r>
          </w:p>
          <w:p>
            <w:pP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lastRenderedPageBreak/>
              <w:t>програмите за изхранване достигнаха до</w:t>
            </w:r>
            <w:r>
              <w:rPr>
                <w:rFonts w:ascii="Times New Roman" w:eastAsia="Times New Roman" w:hAnsi="Times New Roman" w:cs="Times New Roman"/>
                <w:b/>
                <w:noProof/>
                <w:color w:val="0F243E" w:themeColor="text2" w:themeShade="80"/>
                <w:lang w:val="bg-BG" w:eastAsia="en-GB"/>
              </w:rPr>
              <w:t xml:space="preserve"> 28 500 000 </w:t>
            </w:r>
            <w:r>
              <w:rPr>
                <w:rFonts w:ascii="Times New Roman" w:eastAsia="Times New Roman" w:hAnsi="Times New Roman" w:cs="Times New Roman"/>
                <w:noProof/>
                <w:color w:val="0F243E" w:themeColor="text2" w:themeShade="80"/>
                <w:lang w:val="bg-BG" w:eastAsia="en-GB"/>
              </w:rPr>
              <w:t>деца под 5 години, кърмачки и бременни жени;</w:t>
            </w:r>
          </w:p>
          <w:p>
            <w:pPr>
              <w:rPr>
                <w:rFonts w:ascii="Times New Roman" w:eastAsia="Times New Roman" w:hAnsi="Times New Roman" w:cs="Times New Roman"/>
                <w:noProof/>
                <w:color w:val="0F243E" w:themeColor="text2" w:themeShade="80"/>
                <w:lang w:val="bg-BG" w:eastAsia="en-GB"/>
              </w:rPr>
            </w:pPr>
            <w:r>
              <w:rPr>
                <w:rFonts w:ascii="Times New Roman" w:eastAsia="Times New Roman" w:hAnsi="Times New Roman" w:cs="Times New Roman"/>
                <w:noProof/>
                <w:color w:val="0F243E" w:themeColor="text2" w:themeShade="80"/>
                <w:lang w:val="bg-BG" w:eastAsia="en-GB"/>
              </w:rPr>
              <w:t>подобриха се поземлените права на</w:t>
            </w:r>
            <w:r>
              <w:rPr>
                <w:rFonts w:ascii="Times New Roman" w:eastAsia="Times New Roman" w:hAnsi="Times New Roman" w:cs="Times New Roman"/>
                <w:b/>
                <w:noProof/>
                <w:color w:val="0F243E" w:themeColor="text2" w:themeShade="80"/>
                <w:lang w:val="bg-BG" w:eastAsia="en-GB"/>
              </w:rPr>
              <w:t xml:space="preserve"> 5 800 000 </w:t>
            </w:r>
            <w:r>
              <w:rPr>
                <w:rFonts w:ascii="Times New Roman" w:eastAsia="Times New Roman" w:hAnsi="Times New Roman" w:cs="Times New Roman"/>
                <w:noProof/>
                <w:color w:val="0F243E" w:themeColor="text2" w:themeShade="80"/>
                <w:lang w:val="bg-BG" w:eastAsia="en-GB"/>
              </w:rPr>
              <w:t>души.</w:t>
            </w:r>
          </w:p>
        </w:tc>
        <w:tc>
          <w:tcPr>
            <w:tcW w:w="2434" w:type="dxa"/>
            <w:shd w:val="clear" w:color="auto" w:fill="FFFFFF" w:themeFill="background1"/>
          </w:tcPr>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lastRenderedPageBreak/>
              <w:t>Нидерландия</w:t>
            </w:r>
          </w:p>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noProof/>
                <w:color w:val="0F243E" w:themeColor="text2" w:themeShade="80"/>
                <w:lang w:val="bg-BG"/>
              </w:rPr>
              <w:t>Помощ получиха</w:t>
            </w:r>
            <w:r>
              <w:rPr>
                <w:rFonts w:ascii="Times New Roman" w:eastAsia="Calibri" w:hAnsi="Times New Roman" w:cs="Times New Roman"/>
                <w:b/>
                <w:noProof/>
                <w:color w:val="0F243E" w:themeColor="text2" w:themeShade="80"/>
                <w:lang w:val="bg-BG"/>
              </w:rPr>
              <w:t xml:space="preserve"> 8 000 000 </w:t>
            </w:r>
            <w:r>
              <w:rPr>
                <w:rFonts w:ascii="Times New Roman" w:eastAsia="Calibri" w:hAnsi="Times New Roman" w:cs="Times New Roman"/>
                <w:noProof/>
                <w:color w:val="0F243E" w:themeColor="text2" w:themeShade="80"/>
                <w:lang w:val="bg-BG"/>
              </w:rPr>
              <w:t>недохранени по целия свят;</w:t>
            </w:r>
          </w:p>
          <w:p>
            <w:pPr>
              <w:rPr>
                <w:rFonts w:ascii="Times New Roman" w:eastAsia="Calibri" w:hAnsi="Times New Roman" w:cs="Times New Roman"/>
                <w:noProof/>
                <w:color w:val="0F243E" w:themeColor="text2" w:themeShade="80"/>
                <w:lang w:val="bg-BG"/>
              </w:rPr>
            </w:pPr>
            <w:r>
              <w:rPr>
                <w:rFonts w:ascii="Times New Roman" w:eastAsia="Calibri" w:hAnsi="Times New Roman" w:cs="Times New Roman"/>
                <w:noProof/>
                <w:color w:val="0F243E" w:themeColor="text2" w:themeShade="80"/>
                <w:lang w:val="bg-BG"/>
              </w:rPr>
              <w:t>производството и достъпът до пазари на</w:t>
            </w:r>
            <w:r>
              <w:rPr>
                <w:rFonts w:ascii="Times New Roman" w:eastAsia="Calibri" w:hAnsi="Times New Roman" w:cs="Times New Roman"/>
                <w:b/>
                <w:noProof/>
                <w:color w:val="0F243E" w:themeColor="text2" w:themeShade="80"/>
                <w:lang w:val="bg-BG"/>
              </w:rPr>
              <w:t xml:space="preserve"> 4 500 000 </w:t>
            </w:r>
            <w:r>
              <w:rPr>
                <w:rFonts w:ascii="Times New Roman" w:eastAsia="Calibri" w:hAnsi="Times New Roman" w:cs="Times New Roman"/>
                <w:noProof/>
                <w:color w:val="0F243E" w:themeColor="text2" w:themeShade="80"/>
                <w:lang w:val="bg-BG"/>
              </w:rPr>
              <w:t>дребни земеделски стопани бяха подобрени;</w:t>
            </w:r>
          </w:p>
          <w:p>
            <w:pPr>
              <w:rPr>
                <w:rFonts w:ascii="Times New Roman" w:eastAsia="Calibri" w:hAnsi="Times New Roman" w:cs="Times New Roman"/>
                <w:noProof/>
                <w:color w:val="0F243E" w:themeColor="text2" w:themeShade="80"/>
                <w:lang w:val="bg-BG"/>
              </w:rPr>
            </w:pPr>
            <w:r>
              <w:rPr>
                <w:rFonts w:ascii="Times New Roman" w:eastAsia="Calibri" w:hAnsi="Times New Roman" w:cs="Times New Roman"/>
                <w:noProof/>
                <w:color w:val="0F243E" w:themeColor="text2" w:themeShade="80"/>
                <w:lang w:val="bg-BG"/>
              </w:rPr>
              <w:lastRenderedPageBreak/>
              <w:t xml:space="preserve">бяха обезпечени права върху </w:t>
            </w:r>
            <w:r>
              <w:rPr>
                <w:rFonts w:ascii="Times New Roman" w:eastAsia="Calibri" w:hAnsi="Times New Roman" w:cs="Times New Roman"/>
                <w:b/>
                <w:noProof/>
                <w:color w:val="0F243E" w:themeColor="text2" w:themeShade="80"/>
                <w:lang w:val="bg-BG"/>
              </w:rPr>
              <w:t>1 400 000 </w:t>
            </w:r>
            <w:r>
              <w:rPr>
                <w:rFonts w:ascii="Times New Roman" w:eastAsia="Calibri" w:hAnsi="Times New Roman" w:cs="Times New Roman"/>
                <w:noProof/>
                <w:color w:val="0F243E" w:themeColor="text2" w:themeShade="80"/>
                <w:lang w:val="bg-BG"/>
              </w:rPr>
              <w:t>хектара земя по целия свят, като половината от документите за право на собственост са издадени на жени.</w:t>
            </w:r>
          </w:p>
          <w:p>
            <w:pPr>
              <w:rPr>
                <w:noProof/>
                <w:color w:val="0F243E" w:themeColor="text2" w:themeShade="80"/>
                <w:lang w:val="bg-BG"/>
              </w:rPr>
            </w:pPr>
          </w:p>
        </w:tc>
        <w:tc>
          <w:tcPr>
            <w:tcW w:w="2693" w:type="dxa"/>
            <w:shd w:val="clear" w:color="auto" w:fill="FFFFFF" w:themeFill="background1"/>
          </w:tcPr>
          <w:p>
            <w:pPr>
              <w:ind w:left="176" w:hanging="176"/>
              <w:rPr>
                <w:rFonts w:ascii="Times New Roman" w:eastAsia="Calibri" w:hAnsi="Times New Roman" w:cs="Times New Roman"/>
                <w:noProof/>
                <w:color w:val="0F243E" w:themeColor="text2" w:themeShade="80"/>
                <w:lang w:val="bg-BG"/>
              </w:rPr>
            </w:pPr>
            <w:r>
              <w:rPr>
                <w:rFonts w:ascii="Times New Roman" w:eastAsia="Calibri" w:hAnsi="Times New Roman" w:cs="Times New Roman"/>
                <w:b/>
                <w:noProof/>
                <w:color w:val="0F243E" w:themeColor="text2" w:themeShade="80"/>
                <w:lang w:val="bg-BG"/>
              </w:rPr>
              <w:lastRenderedPageBreak/>
              <w:t>Комисия</w:t>
            </w:r>
          </w:p>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4 544 000 </w:t>
            </w:r>
            <w:r>
              <w:rPr>
                <w:rFonts w:ascii="Times New Roman" w:eastAsia="Calibri" w:hAnsi="Times New Roman" w:cs="Times New Roman"/>
                <w:noProof/>
                <w:color w:val="0F243E" w:themeColor="text2" w:themeShade="80"/>
                <w:lang w:val="bg-BG"/>
              </w:rPr>
              <w:t>жени и деца се възползваха от програми в областта на изхранването;</w:t>
            </w:r>
          </w:p>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51 000 </w:t>
            </w:r>
            <w:r>
              <w:rPr>
                <w:rFonts w:ascii="Times New Roman" w:eastAsia="Calibri" w:hAnsi="Times New Roman" w:cs="Times New Roman"/>
                <w:noProof/>
                <w:color w:val="0F243E" w:themeColor="text2" w:themeShade="80"/>
                <w:lang w:val="bg-BG"/>
              </w:rPr>
              <w:t>души имат сигурно владение на земя;</w:t>
            </w:r>
          </w:p>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528 000 </w:t>
            </w:r>
            <w:r>
              <w:rPr>
                <w:rFonts w:ascii="Times New Roman" w:eastAsia="Calibri" w:hAnsi="Times New Roman" w:cs="Times New Roman"/>
                <w:noProof/>
                <w:color w:val="0F243E" w:themeColor="text2" w:themeShade="80"/>
                <w:lang w:val="bg-BG"/>
              </w:rPr>
              <w:t>души получиха консултантски услуги:</w:t>
            </w:r>
          </w:p>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lastRenderedPageBreak/>
              <w:t>2 883 000 </w:t>
            </w:r>
            <w:r>
              <w:rPr>
                <w:rFonts w:ascii="Times New Roman" w:eastAsia="Calibri" w:hAnsi="Times New Roman" w:cs="Times New Roman"/>
                <w:noProof/>
                <w:color w:val="0F243E" w:themeColor="text2" w:themeShade="80"/>
                <w:lang w:val="bg-BG"/>
              </w:rPr>
              <w:t>хектара земеделски и пасищни екосистеми с подобрени практики за управление на земята;</w:t>
            </w:r>
          </w:p>
          <w:p>
            <w:pPr>
              <w:rPr>
                <w:rFonts w:ascii="Times New Roman" w:hAnsi="Times New Roman" w:cs="Times New Roman"/>
                <w:noProof/>
                <w:color w:val="0F243E" w:themeColor="text2" w:themeShade="80"/>
                <w:lang w:val="bg-BG"/>
              </w:rPr>
            </w:pPr>
            <w:r>
              <w:rPr>
                <w:rFonts w:ascii="Times New Roman" w:eastAsia="Calibri" w:hAnsi="Times New Roman" w:cs="Times New Roman"/>
                <w:b/>
                <w:noProof/>
                <w:color w:val="0F243E" w:themeColor="text2" w:themeShade="80"/>
                <w:lang w:val="bg-BG"/>
              </w:rPr>
              <w:t>988 000 </w:t>
            </w:r>
            <w:r>
              <w:rPr>
                <w:rFonts w:ascii="Times New Roman" w:hAnsi="Times New Roman" w:cs="Times New Roman"/>
                <w:noProof/>
                <w:color w:val="0F243E" w:themeColor="text2" w:themeShade="80"/>
                <w:lang w:val="bg-BG"/>
              </w:rPr>
              <w:t>души в положение на продоволствена несигурност получиха помощ чрез социални трансфери.</w:t>
            </w:r>
          </w:p>
        </w:tc>
        <w:tc>
          <w:tcPr>
            <w:tcW w:w="2058" w:type="dxa"/>
            <w:shd w:val="clear" w:color="auto" w:fill="FFFFFF" w:themeFill="background1"/>
          </w:tcPr>
          <w:p>
            <w:pPr>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lastRenderedPageBreak/>
              <w:t>Франция</w:t>
            </w:r>
          </w:p>
          <w:p>
            <w:pPr>
              <w:rPr>
                <w:rFonts w:ascii="Times New Roman" w:eastAsia="Calibri" w:hAnsi="Times New Roman" w:cs="Times New Roman"/>
                <w:noProof/>
                <w:color w:val="0F243E" w:themeColor="text2" w:themeShade="80"/>
                <w:lang w:val="bg-BG"/>
              </w:rPr>
            </w:pPr>
            <w:r>
              <w:rPr>
                <w:rFonts w:ascii="Times New Roman" w:eastAsia="Calibri" w:hAnsi="Times New Roman" w:cs="Times New Roman"/>
                <w:b/>
                <w:noProof/>
                <w:color w:val="0F243E" w:themeColor="text2" w:themeShade="80"/>
                <w:lang w:val="bg-BG"/>
              </w:rPr>
              <w:t>800 000 </w:t>
            </w:r>
            <w:r>
              <w:rPr>
                <w:rFonts w:ascii="Times New Roman" w:eastAsia="Calibri" w:hAnsi="Times New Roman" w:cs="Times New Roman"/>
                <w:noProof/>
                <w:color w:val="0F243E" w:themeColor="text2" w:themeShade="80"/>
                <w:lang w:val="bg-BG"/>
              </w:rPr>
              <w:t>семейни стопанства се възползваха от проекти в Африка на юг от Сахара.</w:t>
            </w:r>
          </w:p>
          <w:p>
            <w:pPr>
              <w:ind w:left="34" w:hanging="176"/>
              <w:rPr>
                <w:rFonts w:ascii="Times New Roman" w:eastAsia="Calibri" w:hAnsi="Times New Roman" w:cs="Times New Roman"/>
                <w:b/>
                <w:noProof/>
                <w:color w:val="0F243E" w:themeColor="text2" w:themeShade="80"/>
                <w:lang w:val="bg-BG"/>
              </w:rPr>
            </w:pPr>
          </w:p>
        </w:tc>
      </w:tr>
    </w:tbl>
    <w:p>
      <w:pPr>
        <w:keepNext/>
        <w:keepLines/>
        <w:spacing w:before="120" w:after="120" w:line="240" w:lineRule="auto"/>
        <w:rPr>
          <w:rFonts w:ascii="Times New Roman" w:hAnsi="Times New Roman" w:cs="Times New Roman"/>
          <w:b/>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lastRenderedPageBreak/>
        <w:t xml:space="preserve">Таблица 5: Докладване на резултатите </w:t>
      </w:r>
      <w:r>
        <w:rPr>
          <w:rFonts w:ascii="Calibri" w:hAnsi="Calibri" w:cs="Times New Roman"/>
          <w:b/>
          <w:noProof/>
          <w:color w:val="0F243E" w:themeColor="text2" w:themeShade="80"/>
          <w:sz w:val="24"/>
          <w:szCs w:val="24"/>
          <w:lang w:val="bg-BG"/>
        </w:rPr>
        <w:t>—</w:t>
      </w:r>
      <w:r>
        <w:rPr>
          <w:rFonts w:ascii="Times New Roman" w:hAnsi="Times New Roman" w:cs="Times New Roman"/>
          <w:b/>
          <w:noProof/>
          <w:color w:val="0F243E" w:themeColor="text2" w:themeShade="80"/>
          <w:sz w:val="24"/>
          <w:szCs w:val="24"/>
          <w:lang w:val="bg-BG"/>
        </w:rPr>
        <w:t xml:space="preserve"> конкретни примери за интервенции</w:t>
      </w:r>
    </w:p>
    <w:tbl>
      <w:tblPr>
        <w:tblStyle w:val="TableGrid"/>
        <w:tblW w:w="9213"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2694"/>
        <w:gridCol w:w="3543"/>
        <w:gridCol w:w="2976"/>
      </w:tblGrid>
      <w:tr>
        <w:tc>
          <w:tcPr>
            <w:tcW w:w="2694" w:type="dxa"/>
            <w:shd w:val="clear" w:color="auto" w:fill="FFFFFF" w:themeFill="background1"/>
          </w:tcPr>
          <w:p>
            <w:pPr>
              <w:keepNext/>
              <w:keepLines/>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Австрия</w:t>
            </w:r>
          </w:p>
          <w:p>
            <w:pPr>
              <w:keepNext/>
              <w:keepLines/>
              <w:rPr>
                <w:rFonts w:ascii="Times New Roman" w:eastAsia="Calibri" w:hAnsi="Times New Roman" w:cs="Times New Roman"/>
                <w:noProof/>
                <w:color w:val="0F243E" w:themeColor="text2" w:themeShade="80"/>
                <w:lang w:val="bg-BG"/>
              </w:rPr>
            </w:pPr>
            <w:r>
              <w:rPr>
                <w:rFonts w:ascii="Times New Roman" w:eastAsia="Calibri" w:hAnsi="Times New Roman" w:cs="Times New Roman"/>
                <w:noProof/>
                <w:color w:val="0F243E" w:themeColor="text2" w:themeShade="80"/>
                <w:lang w:val="bg-BG"/>
              </w:rPr>
              <w:t xml:space="preserve">В Армения </w:t>
            </w:r>
            <w:r>
              <w:rPr>
                <w:rFonts w:ascii="Times New Roman" w:eastAsia="Calibri" w:hAnsi="Times New Roman" w:cs="Times New Roman"/>
                <w:b/>
                <w:noProof/>
                <w:color w:val="0F243E" w:themeColor="text2" w:themeShade="80"/>
                <w:lang w:val="bg-BG"/>
              </w:rPr>
              <w:t>1 400</w:t>
            </w:r>
            <w:r>
              <w:rPr>
                <w:rFonts w:ascii="Times New Roman" w:eastAsia="Calibri" w:hAnsi="Times New Roman" w:cs="Times New Roman"/>
                <w:noProof/>
                <w:color w:val="0F243E" w:themeColor="text2" w:themeShade="80"/>
                <w:lang w:val="bg-BG"/>
              </w:rPr>
              <w:t> дребни земеделски стопани бяха свързани с кооперативни дейности, което доведе до създаването на дребномащабни преработвателни предприятия и 33 % увеличение на жените — членки на кооперативни съвети.</w:t>
            </w:r>
          </w:p>
        </w:tc>
        <w:tc>
          <w:tcPr>
            <w:tcW w:w="3543" w:type="dxa"/>
            <w:shd w:val="clear" w:color="auto" w:fill="FFFFFF" w:themeFill="background1"/>
          </w:tcPr>
          <w:p>
            <w:pPr>
              <w:keepNext/>
              <w:keepLines/>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Ирландия</w:t>
            </w:r>
          </w:p>
          <w:p>
            <w:pPr>
              <w:keepNext/>
              <w:keepLines/>
              <w:rPr>
                <w:rFonts w:ascii="Times New Roman" w:eastAsia="Calibri" w:hAnsi="Times New Roman" w:cs="Times New Roman"/>
                <w:noProof/>
                <w:color w:val="0F243E" w:themeColor="text2" w:themeShade="80"/>
                <w:lang w:val="bg-BG"/>
              </w:rPr>
            </w:pPr>
            <w:r>
              <w:rPr>
                <w:rFonts w:ascii="Times New Roman" w:hAnsi="Times New Roman"/>
                <w:noProof/>
                <w:color w:val="0F243E" w:themeColor="text2" w:themeShade="80"/>
                <w:lang w:val="bg-BG" w:eastAsia="x-none"/>
              </w:rPr>
              <w:t xml:space="preserve">В Малави бяха продадени над </w:t>
            </w:r>
            <w:r>
              <w:rPr>
                <w:rFonts w:ascii="Times New Roman" w:hAnsi="Times New Roman"/>
                <w:b/>
                <w:noProof/>
                <w:color w:val="0F243E" w:themeColor="text2" w:themeShade="80"/>
                <w:lang w:val="bg-BG" w:eastAsia="x-none"/>
              </w:rPr>
              <w:t xml:space="preserve">13 000 000 </w:t>
            </w:r>
            <w:r>
              <w:rPr>
                <w:rFonts w:ascii="Times New Roman" w:hAnsi="Times New Roman"/>
                <w:noProof/>
                <w:color w:val="0F243E" w:themeColor="text2" w:themeShade="80"/>
                <w:lang w:val="bg-BG" w:eastAsia="x-none"/>
              </w:rPr>
              <w:t xml:space="preserve">стъбла разсад на сладки картофи с оранжева месеста част на 44 200 домакинства, като отделни мултипликатори спечелиха средно по 118 EUR от продажбата на стъбла разсад. Реалните доходи на домакинствата се увеличиха повече от два пъти </w:t>
            </w:r>
            <w:r>
              <w:rPr>
                <w:rFonts w:ascii="Times New Roman" w:hAnsi="Times New Roman" w:cs="Times New Roman"/>
                <w:noProof/>
                <w:color w:val="0F243E" w:themeColor="text2" w:themeShade="80"/>
                <w:lang w:val="bg-BG" w:eastAsia="x-none"/>
              </w:rPr>
              <w:t>—</w:t>
            </w:r>
            <w:r>
              <w:rPr>
                <w:rFonts w:ascii="Times New Roman" w:hAnsi="Times New Roman"/>
                <w:noProof/>
                <w:color w:val="0F243E" w:themeColor="text2" w:themeShade="80"/>
                <w:lang w:val="bg-BG" w:eastAsia="x-none"/>
              </w:rPr>
              <w:t xml:space="preserve"> от 199 EUR през 2010 г. на 384 EUR през 2014 г. Интервенциите допринесоха също така за намаляване на недохранването от средно 47 % през 2010 г. на 42 % през 2014 г.</w:t>
            </w:r>
          </w:p>
        </w:tc>
        <w:tc>
          <w:tcPr>
            <w:tcW w:w="2976" w:type="dxa"/>
            <w:shd w:val="clear" w:color="auto" w:fill="FFFFFF" w:themeFill="background1"/>
          </w:tcPr>
          <w:p>
            <w:pPr>
              <w:keepNext/>
              <w:keepLines/>
              <w:rPr>
                <w:rFonts w:ascii="Times New Roman" w:eastAsia="Calibri" w:hAnsi="Times New Roman" w:cs="Times New Roman"/>
                <w:b/>
                <w:noProof/>
                <w:color w:val="0F243E" w:themeColor="text2" w:themeShade="80"/>
                <w:lang w:val="bg-BG"/>
              </w:rPr>
            </w:pPr>
            <w:r>
              <w:rPr>
                <w:rFonts w:ascii="Times New Roman" w:eastAsia="Calibri" w:hAnsi="Times New Roman" w:cs="Times New Roman"/>
                <w:b/>
                <w:noProof/>
                <w:color w:val="0F243E" w:themeColor="text2" w:themeShade="80"/>
                <w:lang w:val="bg-BG"/>
              </w:rPr>
              <w:t>Испания</w:t>
            </w:r>
          </w:p>
          <w:p>
            <w:pPr>
              <w:keepNext/>
              <w:keepLines/>
              <w:rPr>
                <w:rFonts w:ascii="Times New Roman" w:eastAsia="Calibri" w:hAnsi="Times New Roman" w:cs="Times New Roman"/>
                <w:noProof/>
                <w:color w:val="0F243E" w:themeColor="text2" w:themeShade="80"/>
                <w:lang w:val="bg-BG"/>
              </w:rPr>
            </w:pPr>
            <w:r>
              <w:rPr>
                <w:rFonts w:ascii="Times New Roman" w:eastAsia="Calibri" w:hAnsi="Times New Roman" w:cs="Times New Roman"/>
                <w:noProof/>
                <w:color w:val="0F243E" w:themeColor="text2" w:themeShade="80"/>
                <w:lang w:val="bg-BG"/>
              </w:rPr>
              <w:t>В рамките на програма в областта на изхранването в Мали</w:t>
            </w:r>
            <w:r>
              <w:rPr>
                <w:rFonts w:ascii="Times New Roman" w:eastAsia="Calibri" w:hAnsi="Times New Roman" w:cs="Times New Roman"/>
                <w:b/>
                <w:noProof/>
                <w:color w:val="0F243E" w:themeColor="text2" w:themeShade="80"/>
                <w:lang w:val="bg-BG"/>
              </w:rPr>
              <w:t xml:space="preserve"> 56 000 </w:t>
            </w:r>
            <w:r>
              <w:rPr>
                <w:rFonts w:ascii="Times New Roman" w:eastAsia="Calibri" w:hAnsi="Times New Roman" w:cs="Times New Roman"/>
                <w:noProof/>
                <w:color w:val="0F243E" w:themeColor="text2" w:themeShade="80"/>
                <w:lang w:val="bg-BG"/>
              </w:rPr>
              <w:t xml:space="preserve">деца получиха добавки с витамин А и обезпаразитяване, </w:t>
            </w:r>
            <w:r>
              <w:rPr>
                <w:rFonts w:ascii="Times New Roman" w:eastAsia="Calibri" w:hAnsi="Times New Roman" w:cs="Times New Roman"/>
                <w:b/>
                <w:noProof/>
                <w:color w:val="0F243E" w:themeColor="text2" w:themeShade="80"/>
                <w:lang w:val="bg-BG"/>
              </w:rPr>
              <w:t>520 </w:t>
            </w:r>
            <w:r>
              <w:rPr>
                <w:rFonts w:ascii="Times New Roman" w:eastAsia="Calibri" w:hAnsi="Times New Roman" w:cs="Times New Roman"/>
                <w:noProof/>
                <w:color w:val="0F243E" w:themeColor="text2" w:themeShade="80"/>
                <w:lang w:val="bg-BG"/>
              </w:rPr>
              <w:t>жени бяха подпомогнати за започване на земеделска работа, отчитаща аспектите на изхранването, а за 12 села беше осигурена функциониращ източник на вода.</w:t>
            </w:r>
          </w:p>
        </w:tc>
      </w:tr>
    </w:tbl>
    <w:p>
      <w:pPr>
        <w:spacing w:before="120" w:after="120" w:line="240" w:lineRule="auto"/>
        <w:jc w:val="both"/>
        <w:rPr>
          <w:rFonts w:ascii="Times New Roman" w:hAnsi="Times New Roman" w:cs="Times New Roman"/>
          <w:noProof/>
          <w:color w:val="0F243E" w:themeColor="text2" w:themeShade="80"/>
          <w:sz w:val="24"/>
          <w:szCs w:val="24"/>
          <w:lang w:val="bg-BG"/>
        </w:rPr>
      </w:pPr>
      <w:bookmarkStart w:id="7" w:name="_Toc444787682"/>
      <w:r>
        <w:rPr>
          <w:rFonts w:ascii="Times New Roman" w:hAnsi="Times New Roman" w:cs="Times New Roman"/>
          <w:noProof/>
          <w:color w:val="0F243E" w:themeColor="text2" w:themeShade="80"/>
          <w:sz w:val="24"/>
          <w:szCs w:val="24"/>
          <w:lang w:val="bg-BG"/>
        </w:rPr>
        <w:t>ЕС и неговите държави членки са напълно наясно с необходимостта от подобряване на начина на докладване на резултатите и работят за засилване на възможностите и системите за генериране на данни, показващи резултати в рамките на техните програми и с партньорски институции. Въпреки това всички донори отбелязват трудностите при агрегирането и синтезирането на данните за резултатите в рамките на разнообразен и комплексен пакет от интервенции. Необходимо е засилване на сътрудничеството между ЕС и неговите държави членки, за да се усъвършенства една стабилна и реалистична рамка за докладване.</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r>
        <w:rPr>
          <w:rFonts w:ascii="Times New Roman" w:eastAsia="Times New Roman" w:hAnsi="Times New Roman" w:cs="Times New Roman"/>
          <w:b/>
          <w:bCs/>
          <w:smallCaps/>
          <w:noProof/>
          <w:color w:val="0F243E" w:themeColor="text2" w:themeShade="80"/>
          <w:sz w:val="24"/>
          <w:szCs w:val="24"/>
          <w:lang w:val="bg-BG" w:eastAsia="en-GB"/>
        </w:rPr>
        <w:t xml:space="preserve">5. </w:t>
      </w:r>
      <w:bookmarkEnd w:id="7"/>
      <w:r>
        <w:rPr>
          <w:rFonts w:ascii="Times New Roman" w:eastAsia="Times New Roman" w:hAnsi="Times New Roman" w:cs="Times New Roman"/>
          <w:b/>
          <w:bCs/>
          <w:smallCaps/>
          <w:noProof/>
          <w:color w:val="0F243E" w:themeColor="text2" w:themeShade="80"/>
          <w:sz w:val="24"/>
          <w:szCs w:val="24"/>
          <w:lang w:val="bg-BG" w:eastAsia="en-GB"/>
        </w:rPr>
        <w:t>ТЕМАТИЧЕН ФОКУС</w:t>
      </w:r>
    </w:p>
    <w:p>
      <w:pPr>
        <w:spacing w:before="120" w:after="120" w:line="240" w:lineRule="auto"/>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Както беше поискано от Съвета, в настоящия доклад по-подробно са разгледани две теми: подобряване на изхранването и приобщаващи вериги и системи в хранително-вкусовата промишленост.</w:t>
      </w:r>
    </w:p>
    <w:p>
      <w:pPr>
        <w:pStyle w:val="Heading2"/>
        <w:spacing w:before="200" w:after="200"/>
        <w:ind w:left="851" w:firstLine="0"/>
        <w:rPr>
          <w:i/>
          <w:noProof/>
          <w:color w:val="0F243E" w:themeColor="text2" w:themeShade="80"/>
          <w:lang w:val="bg-BG"/>
        </w:rPr>
      </w:pPr>
      <w:r>
        <w:rPr>
          <w:i/>
          <w:noProof/>
          <w:color w:val="0F243E" w:themeColor="text2" w:themeShade="80"/>
          <w:lang w:val="bg-BG"/>
        </w:rPr>
        <w:t>Подобряване на изхранването</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Не е достатъчно само да се осигури повече производство и наличие на храна: тези аспекти трябва да бъдат неразривно свързани с осигуряването на достъп до и консумирането на безопасна и пълноценна храна, която е на приемливи цени. Недохранването е главната причина за смъртта на повече от 3,1 милиона деца всяка година. Докладвано беше, че през 2015 г. има над 159 милиона деца със забавен растеж.</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lastRenderedPageBreak/>
        <w:t>С инициативата „Изхранване за растеж“ през 2013 г. по време на председателството на Обединеното кралство на Г-8 се обърна по-голямо вниманието върху изхранването и в резултат бяха поети ангажименти за по-големи инвестиции. Важността на изхранването беше подкрепена от Римската декларация относно изхранването, приета на Втората международна конференция по въпросите на изхранването през 2014 г. и в Рамката на Г-20 за сигурност в областта на продоволствието и изхранването през 2014 г. Впоследствие премахването на глада се превърна във втората от целите на ООН за устойчиво развитие, като се поставя задача да се прекратят всички форми на недохранване до 2030 г.</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Държавите членки и ЕС са водещи в популяризирането и финансирането на световната програма за подобряване на изхранването. ЕС се ангажира да помага на партньорските държави за намаляване на забавения растеж на 7 милиона деца до 2025 г. и отпусна 3,5 млрд. евро за периода 2014</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 xml:space="preserve">2020 г. за постигане на тази амбициозна цел. Правителството на Обединеното кралство се ангажира до 2020 г. да подобри изхранването на 50 милиона души, които в противен случай биха гладували, както и да предприеме мерки, заедно с всички подписали инициативата „Изхранване за растеж“, за предотвратяване на забавения растеж на 20 милиона деца до 2020 г. </w:t>
      </w:r>
    </w:p>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 xml:space="preserve">През 2014 г. германското правителство обяви сигурността в областта на продоволствието и изхранването за основен приоритет и стартира специалната инициатива „Един свят </w:t>
      </w:r>
      <w:r>
        <w:rPr>
          <w:rFonts w:ascii="Calibri" w:eastAsia="Times New Roman" w:hAnsi="Calibri" w:cs="Times New Roman"/>
          <w:noProof/>
          <w:color w:val="0F243E" w:themeColor="text2" w:themeShade="80"/>
          <w:sz w:val="24"/>
          <w:szCs w:val="24"/>
          <w:lang w:val="bg-BG" w:eastAsia="en-GB"/>
        </w:rPr>
        <w:t>—</w:t>
      </w:r>
      <w:r>
        <w:rPr>
          <w:rFonts w:ascii="Times New Roman" w:eastAsia="Times New Roman" w:hAnsi="Times New Roman" w:cs="Times New Roman"/>
          <w:noProof/>
          <w:color w:val="0F243E" w:themeColor="text2" w:themeShade="80"/>
          <w:sz w:val="24"/>
          <w:szCs w:val="24"/>
          <w:lang w:val="bg-BG" w:eastAsia="en-GB"/>
        </w:rPr>
        <w:t xml:space="preserve"> без глад“. Нидерландия определи изкореняването на глада и недохранването за първия от нейните три приоритета на политиката за сигурност в областта на продоволствието и изхранването</w:t>
      </w:r>
      <w:r>
        <w:rPr>
          <w:rStyle w:val="FootnoteReference"/>
          <w:rFonts w:ascii="Times New Roman" w:eastAsia="Times New Roman" w:hAnsi="Times New Roman" w:cs="Times New Roman"/>
          <w:noProof/>
          <w:color w:val="0F243E" w:themeColor="text2" w:themeShade="80"/>
          <w:sz w:val="24"/>
          <w:szCs w:val="24"/>
          <w:lang w:val="bg-BG" w:eastAsia="en-GB"/>
        </w:rPr>
        <w:footnoteReference w:id="20"/>
      </w:r>
      <w:r>
        <w:rPr>
          <w:rFonts w:ascii="Times New Roman" w:eastAsia="Times New Roman" w:hAnsi="Times New Roman" w:cs="Times New Roman"/>
          <w:noProof/>
          <w:color w:val="0F243E" w:themeColor="text2" w:themeShade="80"/>
          <w:sz w:val="24"/>
          <w:szCs w:val="24"/>
          <w:lang w:val="bg-BG" w:eastAsia="en-GB"/>
        </w:rPr>
        <w:t xml:space="preserve"> и засили дейността си в областта на изхранването. Ирландия определи предприемането на мерки за изхранване на майките и децата като приоритет в доклада от 2008 г. на нейната работна група по въпросите на глада и продължава да изпълнява ангажиментите, поети през 2013 г., за удвояване на ирландската помощ за инвестиции в изхранването до 2020 г.</w:t>
      </w:r>
    </w:p>
    <w:p>
      <w:pPr>
        <w:spacing w:before="120" w:after="120" w:line="240" w:lineRule="auto"/>
        <w:jc w:val="both"/>
        <w:rPr>
          <w:noProof/>
          <w:color w:val="0F243E" w:themeColor="text2" w:themeShade="80"/>
          <w:lang w:val="bg-BG"/>
        </w:rPr>
      </w:pPr>
      <w:r>
        <w:rPr>
          <w:rFonts w:ascii="Times New Roman" w:hAnsi="Times New Roman" w:cs="Times New Roman"/>
          <w:noProof/>
          <w:color w:val="0F243E" w:themeColor="text2" w:themeShade="80"/>
          <w:sz w:val="24"/>
          <w:szCs w:val="24"/>
          <w:lang w:val="bg-BG"/>
        </w:rPr>
        <w:t>ЕС и неговите държави членки прилагат мултисекторен подход за справяне с недохранването, който включва работа в посока гарантиране, че селското стопанство във все по-голяма степен допринася за подобряване на изхранването.</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lang w:val="bg-BG"/>
              </w:rPr>
            </w:pPr>
            <w:r>
              <w:rPr>
                <w:rFonts w:ascii="Times New Roman" w:hAnsi="Times New Roman" w:cs="Times New Roman"/>
                <w:b/>
                <w:noProof/>
                <w:color w:val="0F243E" w:themeColor="text2" w:themeShade="80"/>
                <w:lang w:val="bg-BG"/>
              </w:rPr>
              <w:t>Каре 3. Интегриране на образованието в областта на селското стопанство и изхранването с цел подобряване на храненето на малките деца</w:t>
            </w:r>
          </w:p>
          <w:p>
            <w:pPr>
              <w:spacing w:before="120" w:after="120"/>
              <w:jc w:val="both"/>
              <w:rPr>
                <w:noProof/>
                <w:color w:val="0F243E" w:themeColor="text2" w:themeShade="80"/>
                <w:lang w:val="bg-BG"/>
              </w:rPr>
            </w:pPr>
            <w:r>
              <w:rPr>
                <w:rFonts w:ascii="Times New Roman" w:hAnsi="Times New Roman" w:cs="Times New Roman"/>
                <w:noProof/>
                <w:color w:val="0F243E" w:themeColor="text2" w:themeShade="80"/>
                <w:lang w:val="bg-BG"/>
              </w:rPr>
              <w:t xml:space="preserve">Интервенциите, насочени към сигурност в областта на продоволствието, и колективното обучение по рационално хранене значително подобряват хранителния режим на децата и могат да окажат въздействие върху забавения растеж. Организацията на ООН за прехрана и земеделие </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 xml:space="preserve"> с финансовата подкрепа на Белгия, ЕС и Германия </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 xml:space="preserve"> осъществи проекти в Малави и Камбоджа, благодарение на които се подобриха сигурността в областта на продоволствието, хранителният режим и хранителният статус на 49 500 уязвими семейства и 11 100 малки деца на възраст 6</w:t>
            </w:r>
            <w:r>
              <w:rPr>
                <w:rFonts w:ascii="Calibri" w:hAnsi="Calibri" w:cs="Times New Roman"/>
                <w:noProof/>
                <w:color w:val="0F243E" w:themeColor="text2" w:themeShade="80"/>
                <w:lang w:val="bg-BG"/>
              </w:rPr>
              <w:t>—</w:t>
            </w:r>
            <w:r>
              <w:rPr>
                <w:rFonts w:ascii="Times New Roman" w:hAnsi="Times New Roman" w:cs="Times New Roman"/>
                <w:noProof/>
                <w:color w:val="0F243E" w:themeColor="text2" w:themeShade="80"/>
                <w:lang w:val="bg-BG"/>
              </w:rPr>
              <w:t>23 месеца. В подхода бяха съчетани диверсифицирането на местното селско стопанство и хранителни системи и предоставянето на образование във връзка с практики за хранене на бебета и малки деца, благодарение на което бяха разработени програмни уроци.</w:t>
            </w:r>
          </w:p>
        </w:tc>
      </w:tr>
    </w:tbl>
    <w:p>
      <w:pPr>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 xml:space="preserve">Държавите членки постигат добър напредък в подкрепата на програми за изхранване в партньорски държави. Испания и Белгия подкрепят програми за изхранване в Мали. Нидерландия, Обединеното кралство, Франция, Германия, Ирландия и ЕС активно подкрепят движението за подобряване на храненето </w:t>
      </w:r>
      <w:r>
        <w:rPr>
          <w:rFonts w:ascii="Times New Roman" w:hAnsi="Times New Roman" w:cs="Times New Roman"/>
          <w:noProof/>
          <w:color w:val="0F243E" w:themeColor="text2" w:themeShade="80"/>
          <w:sz w:val="24"/>
          <w:szCs w:val="24"/>
          <w:lang w:val="bg-BG"/>
        </w:rPr>
        <w:t xml:space="preserve">(SUN) и осигуряват публичната </w:t>
      </w:r>
      <w:r>
        <w:rPr>
          <w:rFonts w:ascii="Times New Roman" w:hAnsi="Times New Roman" w:cs="Times New Roman"/>
          <w:noProof/>
          <w:color w:val="0F243E" w:themeColor="text2" w:themeShade="80"/>
          <w:sz w:val="24"/>
          <w:szCs w:val="24"/>
          <w:lang w:val="bg-BG"/>
        </w:rPr>
        <w:lastRenderedPageBreak/>
        <w:t xml:space="preserve">видимост на инвестициите в областта на изхранването чрез движението </w:t>
      </w:r>
      <w:r>
        <w:rPr>
          <w:rFonts w:ascii="Times New Roman" w:eastAsia="Times New Roman" w:hAnsi="Times New Roman" w:cs="Times New Roman"/>
          <w:noProof/>
          <w:color w:val="0F243E" w:themeColor="text2" w:themeShade="80"/>
          <w:sz w:val="24"/>
          <w:szCs w:val="24"/>
          <w:lang w:val="bg-BG" w:eastAsia="en-GB"/>
        </w:rPr>
        <w:t>SUN и глобалния доклад за изхранването.</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eastAsia="Times New Roman" w:hAnsi="Times New Roman" w:cs="Times New Roman"/>
          <w:noProof/>
          <w:color w:val="0F243E" w:themeColor="text2" w:themeShade="80"/>
          <w:sz w:val="24"/>
          <w:szCs w:val="24"/>
          <w:lang w:val="bg-BG" w:eastAsia="en-GB"/>
        </w:rPr>
        <w:t>Комисията разработи солидна рамка на политиката</w:t>
      </w:r>
      <w:r>
        <w:rPr>
          <w:rStyle w:val="FootnoteReference"/>
          <w:rFonts w:ascii="Times New Roman" w:eastAsia="Times New Roman" w:hAnsi="Times New Roman" w:cs="Times New Roman"/>
          <w:noProof/>
          <w:color w:val="0F243E" w:themeColor="text2" w:themeShade="80"/>
          <w:sz w:val="24"/>
          <w:szCs w:val="24"/>
          <w:lang w:val="bg-BG" w:eastAsia="en-GB"/>
        </w:rPr>
        <w:footnoteReference w:id="21"/>
      </w:r>
      <w:r>
        <w:rPr>
          <w:rFonts w:ascii="Times New Roman" w:eastAsia="Times New Roman" w:hAnsi="Times New Roman" w:cs="Times New Roman"/>
          <w:noProof/>
          <w:color w:val="0F243E" w:themeColor="text2" w:themeShade="80"/>
          <w:sz w:val="24"/>
          <w:szCs w:val="24"/>
          <w:lang w:val="bg-BG" w:eastAsia="en-GB"/>
        </w:rPr>
        <w:t xml:space="preserve"> и План за действие в областта на изхранването</w:t>
      </w:r>
      <w:r>
        <w:rPr>
          <w:rStyle w:val="FootnoteReference"/>
          <w:rFonts w:ascii="Times New Roman" w:eastAsia="Times New Roman" w:hAnsi="Times New Roman" w:cs="Times New Roman"/>
          <w:noProof/>
          <w:color w:val="0F243E" w:themeColor="text2" w:themeShade="80"/>
          <w:sz w:val="24"/>
          <w:szCs w:val="24"/>
          <w:lang w:val="bg-BG" w:eastAsia="en-GB"/>
        </w:rPr>
        <w:footnoteReference w:id="22"/>
      </w:r>
      <w:r>
        <w:rPr>
          <w:rFonts w:ascii="Times New Roman" w:eastAsia="Times New Roman" w:hAnsi="Times New Roman" w:cs="Times New Roman"/>
          <w:noProof/>
          <w:color w:val="0F243E" w:themeColor="text2" w:themeShade="80"/>
          <w:sz w:val="24"/>
          <w:szCs w:val="24"/>
          <w:lang w:val="bg-BG" w:eastAsia="en-GB"/>
        </w:rPr>
        <w:t xml:space="preserve"> в изпълнение на поетия ангажимент през 2012 г. за преодоляване на забавянето в детския растеж и обещаната подкрепа от 2013 г. за подобряване на изхранването. След стартирането на плана 40 делегации на ЕС набелязаха изхранването като цел на своята подкрепа към партньорските държави в редица основни сектори, а именно селското стопанство/развитието на селските райони и здравеопазването.</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lang w:val="bg-BG" w:eastAsia="en-GB"/>
        </w:rPr>
      </w:pPr>
      <w:r>
        <w:rPr>
          <w:rFonts w:ascii="Times New Roman" w:hAnsi="Times New Roman" w:cs="Times New Roman"/>
          <w:noProof/>
          <w:color w:val="0F243E" w:themeColor="text2" w:themeShade="80"/>
          <w:sz w:val="24"/>
          <w:szCs w:val="24"/>
          <w:lang w:val="bg-BG"/>
        </w:rPr>
        <w:t>ЕС и неговите държави членки признават, че повишаването на затлъстяването, включително в развиващите се държави, във все по-голяма степен представлява двойна тежест за въпросните държави</w:t>
      </w:r>
      <w:r>
        <w:rPr>
          <w:noProof/>
          <w:color w:val="0F243E" w:themeColor="text2" w:themeShade="80"/>
          <w:lang w:val="bg-BG"/>
        </w:rPr>
        <w:t>.</w:t>
      </w:r>
    </w:p>
    <w:p>
      <w:pPr>
        <w:pStyle w:val="Heading2"/>
        <w:spacing w:before="200" w:after="200"/>
        <w:ind w:left="851" w:firstLine="0"/>
        <w:rPr>
          <w:i/>
          <w:noProof/>
          <w:color w:val="0F243E" w:themeColor="text2" w:themeShade="80"/>
          <w:lang w:val="bg-BG"/>
        </w:rPr>
      </w:pPr>
      <w:r>
        <w:rPr>
          <w:i/>
          <w:noProof/>
          <w:color w:val="0F243E" w:themeColor="text2" w:themeShade="80"/>
          <w:lang w:val="bg-BG"/>
        </w:rPr>
        <w:t>Приобщаващи вериги и системи в хранително-вкусовата промишленост</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ЕС и неговите държави членки признават, че недостатъчната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 xml:space="preserve">са обусловени най-вече от бедността и по тази причина подобряването на достъпа до храна чрез по-високи доходи е един от приоритетите на политиката. Както например беше отбелязано от Обединеното кралство, </w:t>
      </w:r>
      <w:r>
        <w:rPr>
          <w:rFonts w:ascii="Times New Roman" w:eastAsia="Times New Roman" w:hAnsi="Times New Roman" w:cs="Times New Roman"/>
          <w:noProof/>
          <w:color w:val="0F243E" w:themeColor="text2" w:themeShade="80"/>
          <w:sz w:val="24"/>
          <w:szCs w:val="24"/>
          <w:lang w:val="bg-BG" w:eastAsia="en-GB"/>
        </w:rPr>
        <w:t>решаването на проблема с глада в голяма степен ще зависи от приобщаващия икономически растеж, по-специално в селскостопанския сектор. Тази насока съвпада с Декларацията от Малабо на Африканския съюз,</w:t>
      </w:r>
      <w:r>
        <w:rPr>
          <w:rFonts w:ascii="Times New Roman" w:hAnsi="Times New Roman" w:cs="Times New Roman"/>
          <w:noProof/>
          <w:color w:val="0F243E" w:themeColor="text2" w:themeShade="80"/>
          <w:sz w:val="24"/>
          <w:szCs w:val="24"/>
          <w:lang w:val="bg-BG"/>
        </w:rPr>
        <w:t xml:space="preserve"> в която селскостопанският растеж и преобразуване се признават като решаващи фактори за постигането на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и на просперитет на селските райони.</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lang w:val="bg-BG"/>
              </w:rPr>
            </w:pPr>
            <w:r>
              <w:rPr>
                <w:rFonts w:ascii="Times New Roman" w:hAnsi="Times New Roman" w:cs="Times New Roman"/>
                <w:b/>
                <w:noProof/>
                <w:color w:val="0F243E" w:themeColor="text2" w:themeShade="80"/>
                <w:lang w:val="bg-BG"/>
              </w:rPr>
              <w:t>Каре 4: Програма за връзка на устойчиви дейности за производство на какао и съдържащи какао храни</w:t>
            </w:r>
          </w:p>
          <w:p>
            <w:pPr>
              <w:spacing w:before="120" w:after="12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lang w:val="bg-BG"/>
              </w:rPr>
              <w:t>В Западна Африка, където какаото е източник на доходи за 3 милиона семейства дребни производители, ЕС и Германия съфинансираха предназначена за дребни производители програма „</w:t>
            </w:r>
            <w:r>
              <w:rPr>
                <w:rFonts w:ascii="Times New Roman" w:hAnsi="Times New Roman" w:cs="Times New Roman"/>
                <w:noProof/>
                <w:color w:val="0F243E" w:themeColor="text2" w:themeShade="80"/>
              </w:rPr>
              <w:t>Sustainable</w:t>
            </w:r>
            <w:r>
              <w:rPr>
                <w:rFonts w:ascii="Times New Roman" w:hAnsi="Times New Roman" w:cs="Times New Roman"/>
                <w:noProof/>
                <w:color w:val="0F243E" w:themeColor="text2" w:themeShade="80"/>
                <w:lang w:val="bg-BG"/>
              </w:rPr>
              <w:t xml:space="preserve"> </w:t>
            </w:r>
            <w:r>
              <w:rPr>
                <w:rFonts w:ascii="Times New Roman" w:hAnsi="Times New Roman" w:cs="Times New Roman"/>
                <w:noProof/>
                <w:color w:val="0F243E" w:themeColor="text2" w:themeShade="80"/>
              </w:rPr>
              <w:t>Smallholder</w:t>
            </w:r>
            <w:r>
              <w:rPr>
                <w:rFonts w:ascii="Times New Roman" w:hAnsi="Times New Roman" w:cs="Times New Roman"/>
                <w:noProof/>
                <w:color w:val="0F243E" w:themeColor="text2" w:themeShade="80"/>
                <w:lang w:val="bg-BG"/>
              </w:rPr>
              <w:t xml:space="preserve"> </w:t>
            </w:r>
            <w:r>
              <w:rPr>
                <w:rFonts w:ascii="Times New Roman" w:hAnsi="Times New Roman" w:cs="Times New Roman"/>
                <w:noProof/>
                <w:color w:val="0F243E" w:themeColor="text2" w:themeShade="80"/>
              </w:rPr>
              <w:t>Agri</w:t>
            </w:r>
            <w:r>
              <w:rPr>
                <w:rFonts w:ascii="Times New Roman" w:hAnsi="Times New Roman" w:cs="Times New Roman"/>
                <w:noProof/>
                <w:color w:val="0F243E" w:themeColor="text2" w:themeShade="80"/>
                <w:lang w:val="bg-BG"/>
              </w:rPr>
              <w:t>-</w:t>
            </w:r>
            <w:r>
              <w:rPr>
                <w:rFonts w:ascii="Times New Roman" w:hAnsi="Times New Roman" w:cs="Times New Roman"/>
                <w:noProof/>
                <w:color w:val="0F243E" w:themeColor="text2" w:themeShade="80"/>
              </w:rPr>
              <w:t>Business</w:t>
            </w:r>
            <w:r>
              <w:rPr>
                <w:rFonts w:ascii="Times New Roman" w:hAnsi="Times New Roman" w:cs="Times New Roman"/>
                <w:noProof/>
                <w:color w:val="0F243E" w:themeColor="text2" w:themeShade="80"/>
                <w:lang w:val="bg-BG"/>
              </w:rPr>
              <w:t xml:space="preserve"> </w:t>
            </w:r>
            <w:r>
              <w:rPr>
                <w:rFonts w:ascii="Times New Roman" w:hAnsi="Times New Roman" w:cs="Times New Roman"/>
                <w:noProof/>
                <w:color w:val="0F243E" w:themeColor="text2" w:themeShade="80"/>
              </w:rPr>
              <w:t>Cocoa</w:t>
            </w:r>
            <w:r>
              <w:rPr>
                <w:rFonts w:ascii="Times New Roman" w:hAnsi="Times New Roman" w:cs="Times New Roman"/>
                <w:noProof/>
                <w:color w:val="0F243E" w:themeColor="text2" w:themeShade="80"/>
                <w:lang w:val="bg-BG"/>
              </w:rPr>
              <w:t>-</w:t>
            </w:r>
            <w:r>
              <w:rPr>
                <w:rFonts w:ascii="Times New Roman" w:hAnsi="Times New Roman" w:cs="Times New Roman"/>
                <w:noProof/>
                <w:color w:val="0F243E" w:themeColor="text2" w:themeShade="80"/>
              </w:rPr>
              <w:t>Food</w:t>
            </w:r>
            <w:r>
              <w:rPr>
                <w:rFonts w:ascii="Times New Roman" w:hAnsi="Times New Roman" w:cs="Times New Roman"/>
                <w:noProof/>
                <w:color w:val="0F243E" w:themeColor="text2" w:themeShade="80"/>
                <w:lang w:val="bg-BG"/>
              </w:rPr>
              <w:t xml:space="preserve"> </w:t>
            </w:r>
            <w:r>
              <w:rPr>
                <w:rFonts w:ascii="Times New Roman" w:hAnsi="Times New Roman" w:cs="Times New Roman"/>
                <w:noProof/>
                <w:color w:val="0F243E" w:themeColor="text2" w:themeShade="80"/>
              </w:rPr>
              <w:t>Link</w:t>
            </w:r>
            <w:r>
              <w:rPr>
                <w:rFonts w:ascii="Times New Roman" w:hAnsi="Times New Roman" w:cs="Times New Roman"/>
                <w:noProof/>
                <w:color w:val="0F243E" w:themeColor="text2" w:themeShade="80"/>
                <w:lang w:val="bg-BG"/>
              </w:rPr>
              <w:t xml:space="preserve"> </w:t>
            </w:r>
            <w:r>
              <w:rPr>
                <w:rFonts w:ascii="Times New Roman" w:hAnsi="Times New Roman" w:cs="Times New Roman"/>
                <w:noProof/>
                <w:color w:val="0F243E" w:themeColor="text2" w:themeShade="80"/>
              </w:rPr>
              <w:t>Programme</w:t>
            </w:r>
            <w:r>
              <w:rPr>
                <w:rFonts w:ascii="Times New Roman" w:hAnsi="Times New Roman" w:cs="Times New Roman"/>
                <w:noProof/>
                <w:color w:val="0F243E" w:themeColor="text2" w:themeShade="80"/>
                <w:lang w:val="bg-BG"/>
              </w:rPr>
              <w:t>“ (SSAB). Те основаха земеделско бизнес училище за развиване на бизнес уменията на земеделските стопани и създадоха центрове за бизнес услуги, за да помогнат на земеделските стопани и дребните производители да получат достъп до технически съвети, пазарна информация и микрофинансиране. В бизнес училището са обучени 17 000 земеделски стопани, като 90 % от тях са увеличили своите добиви на какао с над 33 %.</w:t>
            </w:r>
          </w:p>
        </w:tc>
      </w:tr>
    </w:tbl>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eastAsia="Times New Roman" w:hAnsi="Times New Roman" w:cs="Times New Roman"/>
          <w:noProof/>
          <w:color w:val="0F243E" w:themeColor="text2" w:themeShade="80"/>
          <w:sz w:val="24"/>
          <w:szCs w:val="24"/>
          <w:lang w:val="bg-BG" w:eastAsia="en-GB"/>
        </w:rPr>
        <w:t>Германия гледа на приобщаващите вериги и системи в хранително-вкусовата промишленост по холистичен начин</w:t>
      </w:r>
      <w:r>
        <w:rPr>
          <w:rFonts w:ascii="Times New Roman" w:eastAsia="Times New Roman" w:hAnsi="Times New Roman" w:cs="Times New Roman"/>
          <w:noProof/>
          <w:color w:val="0F243E" w:themeColor="text2" w:themeShade="80"/>
          <w:sz w:val="24"/>
          <w:szCs w:val="24"/>
          <w:lang w:val="bg-BG" w:eastAsia="de-DE"/>
        </w:rPr>
        <w:t xml:space="preserve"> чрез четири от общо шестте приоритета в нейната специална инициатива „Един свят </w:t>
      </w:r>
      <w:r>
        <w:rPr>
          <w:rFonts w:ascii="Calibri" w:eastAsia="Times New Roman" w:hAnsi="Calibri" w:cs="Times New Roman"/>
          <w:noProof/>
          <w:color w:val="0F243E" w:themeColor="text2" w:themeShade="80"/>
          <w:sz w:val="24"/>
          <w:szCs w:val="24"/>
          <w:lang w:val="bg-BG" w:eastAsia="de-DE"/>
        </w:rPr>
        <w:t>—</w:t>
      </w:r>
      <w:r>
        <w:rPr>
          <w:rFonts w:ascii="Times New Roman" w:eastAsia="Times New Roman" w:hAnsi="Times New Roman" w:cs="Times New Roman"/>
          <w:noProof/>
          <w:color w:val="0F243E" w:themeColor="text2" w:themeShade="80"/>
          <w:sz w:val="24"/>
          <w:szCs w:val="24"/>
          <w:lang w:val="bg-BG" w:eastAsia="de-DE"/>
        </w:rPr>
        <w:t xml:space="preserve"> без глад“. Франция е определила високата трудова заетост и устойчивите селскостопански вериги за създаване на стойност като приоритетни области за интервенция в Африка на юг от Сахара</w:t>
      </w:r>
      <w:r>
        <w:rPr>
          <w:rFonts w:ascii="Times New Roman" w:hAnsi="Times New Roman" w:cs="Times New Roman"/>
          <w:noProof/>
          <w:color w:val="0F243E" w:themeColor="text2" w:themeShade="80"/>
          <w:sz w:val="24"/>
          <w:szCs w:val="24"/>
          <w:lang w:val="bg-BG"/>
        </w:rPr>
        <w:t xml:space="preserve">. Популяризирането на приобщаващ и устойчив растеж в селскостопанския сектор е вторият приоритет в политиката на Нидерландия за </w:t>
      </w:r>
      <w:r>
        <w:rPr>
          <w:rFonts w:ascii="Times New Roman" w:eastAsia="Times New Roman" w:hAnsi="Times New Roman" w:cs="Times New Roman"/>
          <w:noProof/>
          <w:color w:val="0F243E" w:themeColor="text2" w:themeShade="80"/>
          <w:sz w:val="24"/>
          <w:szCs w:val="24"/>
          <w:lang w:val="bg-BG" w:eastAsia="en-GB"/>
        </w:rPr>
        <w:t>сигурност в областта на продоволствието и изхранването</w:t>
      </w:r>
      <w:r>
        <w:rPr>
          <w:rFonts w:ascii="Times New Roman" w:hAnsi="Times New Roman" w:cs="Times New Roman"/>
          <w:noProof/>
          <w:color w:val="0F243E" w:themeColor="text2" w:themeShade="80"/>
          <w:sz w:val="24"/>
          <w:szCs w:val="24"/>
          <w:lang w:val="bg-BG"/>
        </w:rPr>
        <w:t xml:space="preserve">. Ирландия е включила по-добре функциониращите и устойчиви на изменението на климата хранителни системи и пазари като един от нейните десет най-важни резултата, а няколко държави членки подкрепят създаването на партньорства между своите хранително-вкусови сектори с тези в Африка. През 2015 г. ЕС стартира инициативата за финансиране на селското стопанство в отговор на липсата на </w:t>
      </w:r>
      <w:r>
        <w:rPr>
          <w:rFonts w:ascii="Times New Roman" w:hAnsi="Times New Roman" w:cs="Times New Roman"/>
          <w:noProof/>
          <w:color w:val="0F243E" w:themeColor="text2" w:themeShade="80"/>
          <w:sz w:val="24"/>
          <w:szCs w:val="24"/>
          <w:lang w:val="bg-BG"/>
        </w:rPr>
        <w:lastRenderedPageBreak/>
        <w:t>механизми за финансиране, които да са насочени към нуждите на земеделските стопани и предприемачите в областта на селското стопанство.</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С 1 822 програми по приоритет 1 на политиката донорите от ЕС и неговите държави членки разполагат със значителен пакет от дейности по веригата за създаване на стойност в хранително-вкусовата промишленост.</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lang w:val="bg-BG"/>
              </w:rPr>
            </w:pPr>
            <w:r>
              <w:rPr>
                <w:rFonts w:ascii="Times New Roman" w:hAnsi="Times New Roman" w:cs="Times New Roman"/>
                <w:b/>
                <w:noProof/>
                <w:color w:val="0F243E" w:themeColor="text2" w:themeShade="80"/>
                <w:lang w:val="bg-BG"/>
              </w:rPr>
              <w:t xml:space="preserve">Каре 5: Инициатива за устойчива търговия (IDH </w:t>
            </w:r>
            <w:r>
              <w:rPr>
                <w:rFonts w:ascii="Calibri" w:hAnsi="Calibri" w:cs="Times New Roman"/>
                <w:b/>
                <w:noProof/>
                <w:color w:val="0F243E" w:themeColor="text2" w:themeShade="80"/>
                <w:lang w:val="bg-BG"/>
              </w:rPr>
              <w:t>—</w:t>
            </w:r>
            <w:r>
              <w:rPr>
                <w:rFonts w:ascii="Times New Roman" w:hAnsi="Times New Roman" w:cs="Times New Roman"/>
                <w:b/>
                <w:noProof/>
                <w:color w:val="0F243E" w:themeColor="text2" w:themeShade="80"/>
                <w:lang w:val="bg-BG"/>
              </w:rPr>
              <w:t xml:space="preserve"> Initiatief Duurzame Handel)</w:t>
            </w:r>
          </w:p>
          <w:p>
            <w:pPr>
              <w:spacing w:before="120" w:after="120"/>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lang w:val="bg-BG"/>
              </w:rPr>
              <w:t>Подобряването на устойчивата търговия се ускорява с помощта на IDH чрез изграждането на обединения от водещи дружества, организации на гражданското общество, правителства и други заинтересовани страни. До края на 2013 г. IDH беше привлякла финансиране от частния сектор в размер на 56 милиона евро. IDH определено оказва въздействие. Например дребните земеделски стопани, отглеждащи чай в Кения, които бяха обучени по схемата Rainforest Alliance чрез интервенции по линия на IDH, увеличиха своите добиви средно с 30 %.</w:t>
            </w:r>
          </w:p>
        </w:tc>
      </w:tr>
    </w:tbl>
    <w:p>
      <w:pPr>
        <w:keepNext/>
        <w:spacing w:before="240" w:after="240" w:line="240" w:lineRule="auto"/>
        <w:jc w:val="both"/>
        <w:rPr>
          <w:rFonts w:ascii="Times New Roman" w:eastAsia="Times New Roman" w:hAnsi="Times New Roman" w:cs="Times New Roman"/>
          <w:b/>
          <w:bCs/>
          <w:smallCaps/>
          <w:noProof/>
          <w:color w:val="0F243E" w:themeColor="text2" w:themeShade="80"/>
          <w:sz w:val="24"/>
          <w:szCs w:val="24"/>
          <w:lang w:val="bg-BG" w:eastAsia="en-GB"/>
        </w:rPr>
      </w:pPr>
      <w:bookmarkStart w:id="8" w:name="_Toc444787686"/>
      <w:r>
        <w:rPr>
          <w:rFonts w:ascii="Times New Roman" w:eastAsia="Times New Roman" w:hAnsi="Times New Roman" w:cs="Times New Roman"/>
          <w:b/>
          <w:bCs/>
          <w:smallCaps/>
          <w:noProof/>
          <w:color w:val="0F243E" w:themeColor="text2" w:themeShade="80"/>
          <w:sz w:val="24"/>
          <w:szCs w:val="24"/>
          <w:lang w:val="bg-BG" w:eastAsia="en-GB"/>
        </w:rPr>
        <w:t xml:space="preserve">6. </w:t>
      </w:r>
      <w:bookmarkEnd w:id="8"/>
      <w:r>
        <w:rPr>
          <w:rFonts w:ascii="Times New Roman" w:eastAsia="Times New Roman" w:hAnsi="Times New Roman" w:cs="Times New Roman"/>
          <w:b/>
          <w:bCs/>
          <w:smallCaps/>
          <w:noProof/>
          <w:color w:val="0F243E" w:themeColor="text2" w:themeShade="80"/>
          <w:sz w:val="24"/>
          <w:szCs w:val="24"/>
          <w:lang w:val="bg-BG" w:eastAsia="en-GB"/>
        </w:rPr>
        <w:t>ОБЩИ КОНСТАТАЦИИ И ПРЕПОРЪКИ</w:t>
      </w:r>
    </w:p>
    <w:p>
      <w:pPr>
        <w:spacing w:before="120" w:after="120" w:line="240" w:lineRule="auto"/>
        <w:jc w:val="both"/>
        <w:rPr>
          <w:rFonts w:ascii="Times New Roman" w:hAnsi="Times New Roman" w:cs="Times New Roman"/>
          <w:noProof/>
          <w:color w:val="0F243E" w:themeColor="text2" w:themeShade="80"/>
          <w:sz w:val="24"/>
          <w:szCs w:val="24"/>
          <w:lang w:val="bg-BG"/>
        </w:rPr>
      </w:pPr>
      <w:r>
        <w:rPr>
          <w:rFonts w:ascii="Times New Roman" w:hAnsi="Times New Roman" w:cs="Times New Roman"/>
          <w:noProof/>
          <w:color w:val="0F243E" w:themeColor="text2" w:themeShade="80"/>
          <w:sz w:val="24"/>
          <w:szCs w:val="24"/>
          <w:lang w:val="bg-BG"/>
        </w:rPr>
        <w:t xml:space="preserve">От настоящия доклад е видно, че сътрудничеството за развитие има значителен принос за </w:t>
      </w:r>
      <w:r>
        <w:rPr>
          <w:rFonts w:ascii="Times New Roman" w:eastAsia="Times New Roman" w:hAnsi="Times New Roman" w:cs="Times New Roman"/>
          <w:noProof/>
          <w:color w:val="0F243E" w:themeColor="text2" w:themeShade="80"/>
          <w:sz w:val="24"/>
          <w:szCs w:val="24"/>
          <w:lang w:val="bg-BG" w:eastAsia="en-GB"/>
        </w:rPr>
        <w:t xml:space="preserve">сигурността в областта на продоволствието и изхранването в световен мащаб, благодарение на инвестициите </w:t>
      </w:r>
      <w:r>
        <w:rPr>
          <w:rFonts w:ascii="Times New Roman" w:hAnsi="Times New Roman" w:cs="Times New Roman"/>
          <w:noProof/>
          <w:color w:val="0F243E" w:themeColor="text2" w:themeShade="80"/>
          <w:sz w:val="24"/>
          <w:szCs w:val="24"/>
          <w:lang w:val="bg-BG"/>
        </w:rPr>
        <w:t xml:space="preserve">от страна на ЕС </w:t>
      </w:r>
      <w:r>
        <w:rPr>
          <w:rFonts w:ascii="Times New Roman" w:eastAsia="Times New Roman" w:hAnsi="Times New Roman" w:cs="Times New Roman"/>
          <w:noProof/>
          <w:color w:val="0F243E" w:themeColor="text2" w:themeShade="80"/>
          <w:sz w:val="24"/>
          <w:szCs w:val="24"/>
          <w:lang w:val="bg-BG" w:eastAsia="en-GB"/>
        </w:rPr>
        <w:t xml:space="preserve">в размер на </w:t>
      </w:r>
      <w:r>
        <w:rPr>
          <w:rFonts w:ascii="Times New Roman" w:hAnsi="Times New Roman" w:cs="Times New Roman"/>
          <w:noProof/>
          <w:color w:val="0F243E" w:themeColor="text2" w:themeShade="80"/>
          <w:sz w:val="24"/>
          <w:szCs w:val="24"/>
          <w:lang w:val="bg-BG"/>
        </w:rPr>
        <w:t xml:space="preserve">3,7 млрд. евро. ЕС и неговите държави членки бяха решаващ фактор, оказал влияние по отношение на основните световни споразумения и ангажименти, а чрез своите програми за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 xml:space="preserve">понастоящем могат да подпомагат тяхното изпълнение. Настоящият доклад показва значителната съгласуваност с рамката на политиката на ЕС. ЕС и неговите държави членки подновиха ангажиментите по отношение на политиката за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и в много случаи значително подобриха тяхната насоченост и финансиране.</w:t>
      </w:r>
    </w:p>
    <w:p>
      <w:pPr>
        <w:pStyle w:val="Heading2"/>
        <w:ind w:firstLine="1"/>
        <w:rPr>
          <w:i/>
          <w:noProof/>
          <w:color w:val="0F243E" w:themeColor="text2" w:themeShade="80"/>
          <w:lang w:val="bg-BG"/>
        </w:rPr>
      </w:pPr>
      <w:r>
        <w:rPr>
          <w:i/>
          <w:noProof/>
          <w:color w:val="0F243E" w:themeColor="text2" w:themeShade="80"/>
          <w:lang w:val="bg-BG"/>
        </w:rPr>
        <w:t>Препоръки за бъдещото развитие</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Запазване на сигурността в областта на продоволствието и изхранването на челно място в дневния ред на политиките на световно и национално равнище, за да се съдейства за изпълнението на целите за устойчиво развитие</w:t>
      </w:r>
      <w:r>
        <w:rPr>
          <w:rFonts w:ascii="Times New Roman" w:hAnsi="Times New Roman" w:cs="Times New Roman"/>
          <w:noProof/>
          <w:color w:val="0F243E" w:themeColor="text2" w:themeShade="80"/>
          <w:sz w:val="24"/>
          <w:szCs w:val="24"/>
          <w:lang w:val="bg-BG"/>
        </w:rPr>
        <w:t xml:space="preserve">. </w:t>
      </w:r>
      <w:r>
        <w:rPr>
          <w:rFonts w:ascii="Times New Roman" w:eastAsia="Times New Roman" w:hAnsi="Times New Roman" w:cs="Times New Roman"/>
          <w:noProof/>
          <w:color w:val="0F243E" w:themeColor="text2" w:themeShade="80"/>
          <w:sz w:val="24"/>
          <w:szCs w:val="24"/>
          <w:lang w:val="bg-BG" w:eastAsia="en-GB"/>
        </w:rPr>
        <w:t xml:space="preserve">Сигурността в областта на продоволствието и изхранването </w:t>
      </w:r>
      <w:r>
        <w:rPr>
          <w:rFonts w:ascii="Times New Roman" w:hAnsi="Times New Roman" w:cs="Times New Roman"/>
          <w:noProof/>
          <w:color w:val="0F243E" w:themeColor="text2" w:themeShade="80"/>
          <w:sz w:val="24"/>
          <w:szCs w:val="24"/>
          <w:lang w:val="bg-BG"/>
        </w:rPr>
        <w:t>е дългосрочен въпрос, който изисква трайно политическо внимание и инвестиции. Изработването на политиката и изготвянето на програми трябва да се основават на подход за продоволствената система и да отчитат връзките между изхранването, здравеопазването, създаването на работни места, растежа, устойчивото производство и социалната защита. Необходимо е непрекъснато внимание върху преобразуването на ролята на жените и върху постигането на устойчивост в уязвимите общности. ЕС и неговите държави членки трябва да работят проактивно с организациите на гражданското общество, частния сектор и други партньори за задържането на фокуса върху въпросите, свързани с икономиката и развитието, и с тяхното популяризиране с оглед на постигането на устойчиви инвестиции и трайни резултати.</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Засилване на съвместен мултисекторен подход за преодоляване на недохранването.</w:t>
      </w:r>
      <w:r>
        <w:rPr>
          <w:rFonts w:ascii="Times New Roman" w:hAnsi="Times New Roman" w:cs="Times New Roman"/>
          <w:noProof/>
          <w:color w:val="0F243E" w:themeColor="text2" w:themeShade="80"/>
          <w:sz w:val="24"/>
          <w:szCs w:val="24"/>
          <w:lang w:val="bg-BG"/>
        </w:rPr>
        <w:t xml:space="preserve"> С оглед повишаване ефективността на интервенциите в областта на изхранването, ЕС и неговите държави членки трябва да обръщат по-голямо внимание на координацията, когато влизат в диалог по политиката с партньорски правителства, за да се подобри изпълнението на инициативите за изхранване. За тази цел ЕС и неговите държави членки трябва да се ангажират с подобряването на разделението на труда в различните сектори.</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lastRenderedPageBreak/>
        <w:t xml:space="preserve">Обединяване на силите за подкрепа на партньорските държави с цел справяне с последиците от изменението на климата, </w:t>
      </w:r>
      <w:r>
        <w:rPr>
          <w:rFonts w:ascii="Times New Roman" w:hAnsi="Times New Roman" w:cs="Times New Roman"/>
          <w:noProof/>
          <w:color w:val="0F243E" w:themeColor="text2" w:themeShade="80"/>
          <w:sz w:val="24"/>
          <w:szCs w:val="24"/>
          <w:lang w:val="bg-BG"/>
        </w:rPr>
        <w:t xml:space="preserve">като в същото време се прилагат най-добрите варианти за намаляване на емисиите на парникови газове от селското стопанство и селските райони. ЕС и неговите държави членки ще подкрепят партньорските държави в проектирането, финансирането и изпълнението на устойчиви на изменението на климата </w:t>
      </w:r>
      <w:r>
        <w:rPr>
          <w:rFonts w:ascii="Times New Roman" w:eastAsia="Times New Roman" w:hAnsi="Times New Roman" w:cs="Times New Roman"/>
          <w:noProof/>
          <w:color w:val="0F243E" w:themeColor="text2" w:themeShade="80"/>
          <w:sz w:val="24"/>
          <w:szCs w:val="24"/>
          <w:lang w:val="bg-BG" w:eastAsia="en-GB"/>
        </w:rPr>
        <w:t xml:space="preserve">сигурност в областта на продоволствието и изхранването </w:t>
      </w:r>
      <w:r>
        <w:rPr>
          <w:rFonts w:ascii="Times New Roman" w:hAnsi="Times New Roman" w:cs="Times New Roman"/>
          <w:noProof/>
          <w:color w:val="0F243E" w:themeColor="text2" w:themeShade="80"/>
          <w:sz w:val="24"/>
          <w:szCs w:val="24"/>
          <w:lang w:val="bg-BG"/>
        </w:rPr>
        <w:t xml:space="preserve">и планове за действие в съответствие с техния принос, определен на национално ниво съгласно 21-вата Конференция на страните по Рамковата конвенция на ООН по изменение на климата. Ще се обръща необходимото внимание на програми, предоставящи множество ползи за дребномащабните земеделски стопани от семеен тип, що се отнася до </w:t>
      </w:r>
      <w:r>
        <w:rPr>
          <w:rFonts w:ascii="Times New Roman" w:eastAsia="Times New Roman" w:hAnsi="Times New Roman" w:cs="Times New Roman"/>
          <w:noProof/>
          <w:color w:val="0F243E" w:themeColor="text2" w:themeShade="80"/>
          <w:sz w:val="24"/>
          <w:szCs w:val="24"/>
          <w:lang w:val="bg-BG" w:eastAsia="en-GB"/>
        </w:rPr>
        <w:t xml:space="preserve">сигурността в областта на продоволствието и изхранването </w:t>
      </w:r>
      <w:r>
        <w:rPr>
          <w:rFonts w:ascii="Times New Roman" w:hAnsi="Times New Roman" w:cs="Times New Roman"/>
          <w:noProof/>
          <w:color w:val="0F243E" w:themeColor="text2" w:themeShade="80"/>
          <w:sz w:val="24"/>
          <w:szCs w:val="24"/>
          <w:lang w:val="bg-BG"/>
        </w:rPr>
        <w:t>и приспособяването към изменението на климата и смекчаването на последиците от него.</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Признаване на преобразуването на селските райони като съществено важен процес за създаването на работни места, повишаването на доходите и постигането на сигурност в областта на продоволствието и изхранването в дългосрочен план</w:t>
      </w:r>
      <w:r>
        <w:rPr>
          <w:rFonts w:ascii="Times New Roman" w:hAnsi="Times New Roman" w:cs="Times New Roman"/>
          <w:noProof/>
          <w:color w:val="0F243E" w:themeColor="text2" w:themeShade="80"/>
          <w:sz w:val="24"/>
          <w:szCs w:val="24"/>
          <w:lang w:val="bg-BG"/>
        </w:rPr>
        <w:t>. ЕС и неговите държави членки признават важността на икономическия растеж и създаването на достойни работни места в селските райони, особено за младите хора и жените. От голямо значение в тази връзка е справянето с икономическите неравенства и миграцията, които са основните фактори за несигурност в областта на продоволствието и липсата на стабилност. Необходими са повече усилия за създаването на условия за икономически инвестиции и развитие в селските райони, например чрез децентрализация, териториални подходи, изпълнение на политики и подобряване на инфраструктурата.</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Подобряване на механизмите за засилване на отговорна ангажираност на частния сектор и за учене от приобщаващите бизнес модели</w:t>
      </w:r>
      <w:r>
        <w:rPr>
          <w:rFonts w:ascii="Times New Roman" w:hAnsi="Times New Roman" w:cs="Times New Roman"/>
          <w:noProof/>
          <w:color w:val="0F243E" w:themeColor="text2" w:themeShade="80"/>
          <w:sz w:val="24"/>
          <w:szCs w:val="24"/>
          <w:lang w:val="bg-BG"/>
        </w:rPr>
        <w:t>. ЕС и неговите държави членки работят все по-усилено в партньорство с частния сектор за предприемането на значителни промени за дребномащабните семейни земеделски стопанства. Необходими са иновативни, приобщаващи финансови услуги, за да се осигурят подходящи инвестиции за местните заинтересовани страни. Остава да се свърши още много работа за създаването на ефективни публично-частни партньорства, гарантиращи механизми на управление, в рамките на които организациите на производителите и организациите на гражданското общество имат право на глас, за да се приложат принципите за отговорни инвестиции в селското стопанство и да се изпълнят Доброволните насоки за отговорно управление на владението на земя, рибарството и горите. Необходими са също така повече знания и споделяне относно ефективността на „приобщаващите бизнес“ подходи, за да се гарантира, че дребномащабните семейни земеделски стопанства ще могат да се ползват от местните, регионалните и световните вериги за създаване на стойност.</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lang w:val="bg-BG"/>
        </w:rPr>
      </w:pPr>
      <w:r>
        <w:rPr>
          <w:rFonts w:ascii="Times New Roman" w:hAnsi="Times New Roman" w:cs="Times New Roman"/>
          <w:b/>
          <w:noProof/>
          <w:color w:val="0F243E" w:themeColor="text2" w:themeShade="80"/>
          <w:sz w:val="24"/>
          <w:szCs w:val="24"/>
          <w:lang w:val="bg-BG"/>
        </w:rPr>
        <w:t xml:space="preserve">Осигуряване на постоянни инвестиции в научни изследвания и иновации и засилване на въздействието, което инвестициите оказват. </w:t>
      </w:r>
      <w:r>
        <w:rPr>
          <w:rFonts w:ascii="Times New Roman" w:hAnsi="Times New Roman" w:cs="Times New Roman"/>
          <w:noProof/>
          <w:color w:val="0F243E" w:themeColor="text2" w:themeShade="80"/>
          <w:sz w:val="24"/>
          <w:szCs w:val="24"/>
          <w:lang w:val="bg-BG"/>
        </w:rPr>
        <w:t xml:space="preserve">ЕС и неговите държави членки продължават да съсредоточават вниманието си върху ефективността на системите за научни изследвания и иновации на световно, регионално и най-вече национално ниво и предоставят инвестиции, които ги подобряват. В тази връзка е необходимо да се мобилизират европейските експертни и научноизследователски ресурси и да се засилят партньорствата между европейски и южни научноизследователски институции, включително чрез съвместно финансираното Партньорство за научни изследвания и иновации ЕС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Африка. Необходими са също така допълнителни усилия за по-доброто разбиране на бъдещите тенденции в </w:t>
      </w:r>
      <w:r>
        <w:rPr>
          <w:rFonts w:ascii="Times New Roman" w:eastAsia="Times New Roman" w:hAnsi="Times New Roman" w:cs="Times New Roman"/>
          <w:noProof/>
          <w:color w:val="0F243E" w:themeColor="text2" w:themeShade="80"/>
          <w:sz w:val="24"/>
          <w:szCs w:val="24"/>
          <w:lang w:val="bg-BG" w:eastAsia="en-GB"/>
        </w:rPr>
        <w:lastRenderedPageBreak/>
        <w:t>сигурността в областта на продоволствието и изхранването, както и на</w:t>
      </w:r>
      <w:r>
        <w:rPr>
          <w:rFonts w:ascii="Times New Roman" w:hAnsi="Times New Roman" w:cs="Times New Roman"/>
          <w:noProof/>
          <w:color w:val="0F243E" w:themeColor="text2" w:themeShade="80"/>
          <w:sz w:val="24"/>
          <w:szCs w:val="24"/>
          <w:lang w:val="bg-BG"/>
        </w:rPr>
        <w:t xml:space="preserve"> рисковете и възможните реакции в тази връзка.</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lang w:val="bg-BG"/>
        </w:rPr>
      </w:pPr>
      <w:r>
        <w:rPr>
          <w:rFonts w:ascii="Times New Roman" w:hAnsi="Times New Roman" w:cs="Times New Roman"/>
          <w:b/>
          <w:noProof/>
          <w:color w:val="0F243E" w:themeColor="text2" w:themeShade="80"/>
          <w:sz w:val="24"/>
          <w:szCs w:val="24"/>
          <w:lang w:val="bg-BG"/>
        </w:rPr>
        <w:t>Стабилизиране на докладването на резултатите</w:t>
      </w:r>
      <w:r>
        <w:rPr>
          <w:rFonts w:ascii="Times New Roman" w:hAnsi="Times New Roman" w:cs="Times New Roman"/>
          <w:noProof/>
          <w:color w:val="0F243E" w:themeColor="text2" w:themeShade="80"/>
          <w:sz w:val="24"/>
          <w:szCs w:val="24"/>
          <w:lang w:val="bg-BG"/>
        </w:rPr>
        <w:t xml:space="preserve">. След поемането на новите ангажименти по отношение на </w:t>
      </w:r>
      <w:r>
        <w:rPr>
          <w:rFonts w:ascii="Times New Roman" w:eastAsia="Times New Roman" w:hAnsi="Times New Roman" w:cs="Times New Roman"/>
          <w:noProof/>
          <w:color w:val="0F243E" w:themeColor="text2" w:themeShade="80"/>
          <w:sz w:val="24"/>
          <w:szCs w:val="24"/>
          <w:lang w:val="bg-BG" w:eastAsia="en-GB"/>
        </w:rPr>
        <w:t>сигурността в областта на продоволствието и изхранването</w:t>
      </w:r>
      <w:r>
        <w:rPr>
          <w:rFonts w:ascii="Times New Roman" w:hAnsi="Times New Roman" w:cs="Times New Roman"/>
          <w:noProof/>
          <w:color w:val="0F243E" w:themeColor="text2" w:themeShade="80"/>
          <w:sz w:val="24"/>
          <w:szCs w:val="24"/>
          <w:lang w:val="bg-BG"/>
        </w:rPr>
        <w:t xml:space="preserve">, вниманието трябва да бъде насочено към ефективното им изпълнение и постигането на реално въздействие на място. Това от своя страна изисква значително подобряване на механизмите за събиране на данни, мониторинг и оценка на въздействието на всички нива. Такова докладване обаче безспорно е сложно и трудно. Комисията ще се стреми да се координира с държавите </w:t>
      </w:r>
      <w:r>
        <w:rPr>
          <w:rFonts w:ascii="Calibri" w:hAnsi="Calibri" w:cs="Times New Roman"/>
          <w:noProof/>
          <w:color w:val="0F243E" w:themeColor="text2" w:themeShade="80"/>
          <w:sz w:val="24"/>
          <w:szCs w:val="24"/>
          <w:lang w:val="bg-BG"/>
        </w:rPr>
        <w:t>—</w:t>
      </w:r>
      <w:r>
        <w:rPr>
          <w:rFonts w:ascii="Times New Roman" w:hAnsi="Times New Roman" w:cs="Times New Roman"/>
          <w:noProof/>
          <w:color w:val="0F243E" w:themeColor="text2" w:themeShade="80"/>
          <w:sz w:val="24"/>
          <w:szCs w:val="24"/>
          <w:lang w:val="bg-BG"/>
        </w:rPr>
        <w:t xml:space="preserve"> членки на ЕС, създаването на общи показатели и разработването на методики, даващи възможност за по-лесното агрегиране на докладваните резултати на европейско ниво.</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lang w:val="bg-BG"/>
        </w:rPr>
      </w:pPr>
      <w:r>
        <w:rPr>
          <w:rFonts w:ascii="Times New Roman" w:hAnsi="Times New Roman" w:cs="Times New Roman"/>
          <w:b/>
          <w:noProof/>
          <w:color w:val="0F243E" w:themeColor="text2" w:themeShade="80"/>
          <w:sz w:val="24"/>
          <w:szCs w:val="24"/>
          <w:lang w:val="bg-BG"/>
        </w:rPr>
        <w:t>Засилване на съвместното програмиране.</w:t>
      </w:r>
      <w:r>
        <w:rPr>
          <w:rFonts w:ascii="Times New Roman" w:hAnsi="Times New Roman" w:cs="Times New Roman"/>
          <w:noProof/>
          <w:color w:val="0F243E" w:themeColor="text2" w:themeShade="80"/>
          <w:sz w:val="24"/>
          <w:szCs w:val="24"/>
          <w:lang w:val="bg-BG"/>
        </w:rPr>
        <w:t xml:space="preserve"> Непрекъснатото разпределяне на подпомагането в 109 държави, в съчетание с необходимостта от възприемането на междусекторен подход към продоволствените системи, прави съвместното програмиране важен приоритет както за ЕС и неговите държави членки, така и за съгласуваността в рамките на съответната държава. През следващия период на докладване най-малко в три държави трябва да се предприемат подобрени инициативи по съвместно програмиране.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8EEFF1" w15:done="0"/>
  <w15:commentEx w15:paraId="3197B603" w15:done="0"/>
  <w15:commentEx w15:paraId="2039C722" w15:done="0"/>
  <w15:commentEx w15:paraId="63991866" w15:done="0"/>
  <w15:commentEx w15:paraId="0349F1FA" w15:done="0"/>
  <w15:commentEx w15:paraId="67FEE200" w15:done="0"/>
  <w15:commentEx w15:paraId="3830FF87" w15:done="0"/>
  <w15:commentEx w15:paraId="433AA6D2" w15:done="0"/>
  <w15:commentEx w15:paraId="3C1E9FFB" w15:done="0"/>
  <w15:commentEx w15:paraId="7DEC23EA" w15:done="0"/>
  <w15:commentEx w15:paraId="672AD000" w15:done="0"/>
  <w15:commentEx w15:paraId="707A83E9" w15:done="0"/>
  <w15:commentEx w15:paraId="272381C6" w15:done="0"/>
  <w15:commentEx w15:paraId="183653C9" w15:done="0"/>
  <w15:commentEx w15:paraId="77390B1A" w15:done="0"/>
  <w15:commentEx w15:paraId="626BD06A" w15:done="0"/>
  <w15:commentEx w15:paraId="5D2768F8" w15:done="0"/>
  <w15:commentEx w15:paraId="4BF2D29A" w15:done="0"/>
  <w15:commentEx w15:paraId="3D8635FD" w15:done="0"/>
  <w15:commentEx w15:paraId="60D1EECB" w15:done="0"/>
  <w15:commentEx w15:paraId="70C2D150" w15:done="0"/>
  <w15:commentEx w15:paraId="7CE4D5A8" w15:done="0"/>
  <w15:commentEx w15:paraId="71E587F0" w15:done="0"/>
  <w15:commentEx w15:paraId="0D9CF069" w15:done="0"/>
  <w15:commentEx w15:paraId="58BFA71D" w15:done="0"/>
  <w15:commentEx w15:paraId="4B7ADB80" w15:done="0"/>
  <w15:commentEx w15:paraId="4343A0C8" w15:done="0"/>
  <w15:commentEx w15:paraId="147BE5FC" w15:done="0"/>
  <w15:commentEx w15:paraId="7032B967" w15:done="0"/>
  <w15:commentEx w15:paraId="64FFA1D9" w15:done="0"/>
  <w15:commentEx w15:paraId="3DF0DE5E" w15:done="0"/>
  <w15:commentEx w15:paraId="5C8FA280" w15:done="0"/>
  <w15:commentEx w15:paraId="0D59E6FD" w15:done="0"/>
  <w15:commentEx w15:paraId="4CFF2D42" w15:done="0"/>
  <w15:commentEx w15:paraId="74782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1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pPr>
      <w:pStyle w:val="Footer"/>
      <w:jc w:val="right"/>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color w:val="0F243E" w:themeColor="text2" w:themeShade="80"/>
          <w:lang w:val="bg-BG"/>
        </w:rPr>
      </w:pPr>
      <w:r>
        <w:rPr>
          <w:rStyle w:val="FootnoteReference"/>
          <w:rFonts w:ascii="Times New Roman" w:hAnsi="Times New Roman" w:cs="Times New Roman"/>
          <w:color w:val="0F243E" w:themeColor="text2" w:themeShade="80"/>
          <w:lang w:val="bg-BG"/>
        </w:rPr>
        <w:footnoteRef/>
      </w:r>
      <w:r>
        <w:rPr>
          <w:rFonts w:ascii="Times New Roman" w:hAnsi="Times New Roman" w:cs="Times New Roman"/>
          <w:color w:val="0F243E" w:themeColor="text2" w:themeShade="80"/>
          <w:lang w:val="bg-BG"/>
        </w:rPr>
        <w:t xml:space="preserve"> COM(2014) 712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Доклад на Комисията до Европейския парламент и Съвета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Изпълнение на ангажиментите на политиката на ЕС за сигурност в областта на продоволствието и изхранването: първи двугодишен доклад.</w:t>
      </w:r>
    </w:p>
  </w:footnote>
  <w:footnote w:id="2">
    <w:p>
      <w:pPr>
        <w:pStyle w:val="FootnoteText"/>
        <w:jc w:val="both"/>
        <w:rPr>
          <w:rFonts w:ascii="Times New Roman" w:hAnsi="Times New Roman" w:cs="Times New Roman"/>
          <w:color w:val="0F243E" w:themeColor="text2" w:themeShade="80"/>
          <w:lang w:val="bg-BG"/>
        </w:rPr>
      </w:pPr>
      <w:r>
        <w:rPr>
          <w:rStyle w:val="FootnoteReference"/>
          <w:rFonts w:ascii="Times New Roman" w:hAnsi="Times New Roman" w:cs="Times New Roman"/>
          <w:color w:val="0F243E" w:themeColor="text2" w:themeShade="80"/>
          <w:lang w:val="bg-BG"/>
        </w:rPr>
        <w:footnoteRef/>
      </w:r>
      <w:r>
        <w:rPr>
          <w:rFonts w:ascii="Times New Roman" w:hAnsi="Times New Roman" w:cs="Times New Roman"/>
          <w:color w:val="0F243E" w:themeColor="text2" w:themeShade="80"/>
          <w:lang w:val="bg-BG"/>
        </w:rPr>
        <w:t xml:space="preserve"> COM(2010) 127 окончателен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Доклад на Комисията до Съвета и Европейския парламент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Рамка за политиката на ЕС за подпомагане на развиващите се страни за справяне с предизвикателствата, свързани със сигурността на прехраната.</w:t>
      </w:r>
    </w:p>
  </w:footnote>
  <w:footnote w:id="3">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color w:val="0F243E" w:themeColor="text2" w:themeShade="80"/>
          <w:lang w:val="bg-BG"/>
        </w:rPr>
        <w:t>SWD (2013) 104 final „Повишаване на сигурността в областта на продоволствието и изхранването чрез действие на ЕС: прилагане на ангажиментите ни“.</w:t>
      </w:r>
      <w:r>
        <w:rPr>
          <w:rFonts w:ascii="Times New Roman" w:hAnsi="Times New Roman" w:cs="Times New Roman"/>
          <w:lang w:val="bg-BG"/>
        </w:rPr>
        <w:t xml:space="preserve"> </w:t>
      </w:r>
    </w:p>
  </w:footnote>
  <w:footnote w:id="4">
    <w:p>
      <w:pPr>
        <w:pStyle w:val="FootnoteText"/>
        <w:jc w:val="both"/>
        <w:rPr>
          <w:rFonts w:ascii="Times New Roman" w:hAnsi="Times New Roman" w:cs="Times New Roman"/>
          <w:color w:val="0F243E" w:themeColor="text2" w:themeShade="80"/>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color w:val="0F243E" w:themeColor="text2" w:themeShade="80"/>
          <w:lang w:val="bg-BG"/>
        </w:rPr>
        <w:t>Член 210, параграф 2 от ДФЕС гласи: „Комисията може да предприема всякаква полезна инициатива за поощряване на посочената в параграф 1 координация“.</w:t>
      </w:r>
    </w:p>
  </w:footnote>
  <w:footnote w:id="5">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Style w:val="FootnoteReference"/>
          <w:rFonts w:ascii="Times New Roman" w:hAnsi="Times New Roman" w:cs="Times New Roman"/>
          <w:lang w:val="bg-BG"/>
        </w:rPr>
        <w:t xml:space="preserve"> </w:t>
      </w:r>
      <w:r>
        <w:rPr>
          <w:rFonts w:ascii="Times New Roman" w:hAnsi="Times New Roman" w:cs="Times New Roman"/>
          <w:color w:val="0F243E" w:themeColor="text2" w:themeShade="80"/>
          <w:lang w:val="bg-BG"/>
        </w:rPr>
        <w:t xml:space="preserve">Преобразуване на нашия свят: програма за устойчиво развитие до 2030 г. </w:t>
      </w:r>
      <w:r>
        <w:rPr>
          <w:rFonts w:ascii="Times New Roman" w:hAnsi="Times New Roman" w:cs="Times New Roman"/>
          <w:lang w:val="bg-BG"/>
        </w:rPr>
        <w:t>(</w:t>
      </w:r>
      <w:r>
        <w:rPr>
          <w:rFonts w:ascii="Times New Roman" w:hAnsi="Times New Roman" w:cs="Times New Roman"/>
          <w:color w:val="0F243E" w:themeColor="text2" w:themeShade="80"/>
          <w:lang w:val="bg-BG"/>
        </w:rPr>
        <w:t xml:space="preserve">Transforming our world: the 2030 agenda for sustainable development), Организация на обединените нации. </w:t>
      </w:r>
    </w:p>
  </w:footnote>
  <w:footnote w:id="6">
    <w:p>
      <w:pPr>
        <w:spacing w:after="0"/>
        <w:jc w:val="both"/>
        <w:rPr>
          <w:rFonts w:ascii="Times New Roman" w:hAnsi="Times New Roman" w:cs="Times New Roman"/>
          <w:color w:val="0F243E" w:themeColor="text2" w:themeShade="80"/>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color w:val="0F243E" w:themeColor="text2" w:themeShade="80"/>
          <w:sz w:val="20"/>
          <w:szCs w:val="20"/>
          <w:lang w:val="bg-BG"/>
        </w:rPr>
        <w:t xml:space="preserve"> Насоки за отговорни вериги на доставки в селското стопанство, издадени през март 2016 г., подкрепени от ФАО-ОИСР.</w:t>
      </w:r>
    </w:p>
  </w:footnote>
  <w:footnote w:id="7">
    <w:p>
      <w:pPr>
        <w:pStyle w:val="FootnoteText"/>
        <w:jc w:val="both"/>
        <w:rPr>
          <w:rFonts w:ascii="Times New Roman" w:hAnsi="Times New Roman" w:cs="Times New Roman"/>
          <w:color w:val="0F243E" w:themeColor="text2" w:themeShade="80"/>
          <w:lang w:val="bg-BG"/>
        </w:rPr>
      </w:pPr>
      <w:r>
        <w:rPr>
          <w:rStyle w:val="FootnoteReference"/>
          <w:rFonts w:ascii="Times New Roman" w:hAnsi="Times New Roman" w:cs="Times New Roman"/>
          <w:color w:val="0F243E" w:themeColor="text2" w:themeShade="80"/>
          <w:lang w:val="bg-BG"/>
        </w:rPr>
        <w:footnoteRef/>
      </w:r>
      <w:r>
        <w:rPr>
          <w:rFonts w:ascii="Times New Roman" w:hAnsi="Times New Roman" w:cs="Times New Roman"/>
          <w:color w:val="0F243E" w:themeColor="text2" w:themeShade="80"/>
          <w:lang w:val="bg-BG"/>
        </w:rPr>
        <w:t xml:space="preserve"> Работна група на Г-20 за развитие на сигурността в областта на продоволствието и изхранването: План за прилагане на Рамката на Г-20 за </w:t>
      </w:r>
      <w:r>
        <w:rPr>
          <w:rFonts w:ascii="Times New Roman" w:eastAsia="Times New Roman" w:hAnsi="Times New Roman" w:cs="Times New Roman"/>
          <w:color w:val="0F243E" w:themeColor="text2" w:themeShade="80"/>
          <w:lang w:val="bg-BG" w:eastAsia="en-GB"/>
        </w:rPr>
        <w:t>сигурност в областта на продоволствието и изхранването.</w:t>
      </w:r>
      <w:r>
        <w:rPr>
          <w:rFonts w:ascii="Times New Roman" w:hAnsi="Times New Roman" w:cs="Times New Roman"/>
          <w:color w:val="0F243E" w:themeColor="text2" w:themeShade="80"/>
          <w:lang w:val="bg-BG"/>
        </w:rPr>
        <w:t xml:space="preserve"> </w:t>
      </w:r>
      <w:hyperlink w:history="1"/>
    </w:p>
  </w:footnote>
  <w:footnote w:id="8">
    <w:p>
      <w:pPr>
        <w:pStyle w:val="FootnoteText"/>
        <w:jc w:val="both"/>
        <w:rPr>
          <w:rFonts w:ascii="Times New Roman" w:hAnsi="Times New Roman" w:cs="Times New Roman"/>
          <w:color w:val="0F243E" w:themeColor="text2" w:themeShade="80"/>
          <w:lang w:val="bg-BG"/>
        </w:rPr>
      </w:pPr>
      <w:r>
        <w:rPr>
          <w:rStyle w:val="FootnoteReference"/>
          <w:rFonts w:ascii="Times New Roman" w:hAnsi="Times New Roman" w:cs="Times New Roman"/>
          <w:color w:val="0F243E" w:themeColor="text2" w:themeShade="80"/>
          <w:lang w:val="bg-BG"/>
        </w:rPr>
        <w:footnoteRef/>
      </w:r>
      <w:r>
        <w:rPr>
          <w:rFonts w:ascii="Times New Roman" w:hAnsi="Times New Roman" w:cs="Times New Roman"/>
          <w:color w:val="0F243E" w:themeColor="text2" w:themeShade="80"/>
          <w:lang w:val="bg-BG"/>
        </w:rPr>
        <w:t xml:space="preserve"> Програма за действие от Адис Абеба на Третата международна конференция за финансиране на развитието (Програма за действие от Адис Абеба). </w:t>
      </w:r>
    </w:p>
  </w:footnote>
  <w:footnote w:id="9">
    <w:p>
      <w:pPr>
        <w:pStyle w:val="FootnoteText"/>
        <w:jc w:val="both"/>
        <w:rPr>
          <w:rFonts w:ascii="Times New Roman" w:hAnsi="Times New Roman" w:cs="Times New Roman"/>
          <w:color w:val="0F243E" w:themeColor="text2" w:themeShade="80"/>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sz w:val="16"/>
          <w:szCs w:val="16"/>
          <w:lang w:val="bg-BG"/>
        </w:rPr>
        <w:t xml:space="preserve"> </w:t>
      </w:r>
      <w:r>
        <w:rPr>
          <w:rFonts w:ascii="Times New Roman" w:hAnsi="Times New Roman" w:cs="Times New Roman"/>
          <w:color w:val="0F243E" w:themeColor="text2" w:themeShade="80"/>
          <w:lang w:val="bg-BG"/>
        </w:rPr>
        <w:t xml:space="preserve">SWD(2015)182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Равенство между половете и овластяване на жените: трансформиране на живота на момичетата и жените чрез външните отношения на ЕС през периода 2016</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2020 г. и Заключения на Съвета относно Плана за действие в областта на равенството между половете за периода 2016</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2020 г., 26 октомври 2015 г.</w:t>
      </w:r>
    </w:p>
  </w:footnote>
  <w:footnote w:id="10">
    <w:p>
      <w:pPr>
        <w:pStyle w:val="FootnoteText"/>
        <w:jc w:val="both"/>
        <w:rPr>
          <w:rFonts w:ascii="Times New Roman" w:hAnsi="Times New Roman" w:cs="Times New Roman"/>
          <w:color w:val="0F243E" w:themeColor="text2" w:themeShade="80"/>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lang w:val="bg-BG"/>
        </w:rPr>
        <w:t xml:space="preserve"> C(2015) 7293 final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Решение на Комисията за създаване на Извънреден доверителен фонд на Европейския съюз за стабилност и преодоляване на първопричините за незаконната миграция и разселването на хора в Африка.</w:t>
      </w:r>
    </w:p>
  </w:footnote>
  <w:footnote w:id="11">
    <w:p>
      <w:pPr>
        <w:pStyle w:val="FootnoteText"/>
        <w:jc w:val="both"/>
        <w:rPr>
          <w:rFonts w:ascii="Times New Roman" w:hAnsi="Times New Roman" w:cs="Times New Roman"/>
          <w:color w:val="0F243E" w:themeColor="text2" w:themeShade="80"/>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lang w:val="bg-BG"/>
        </w:rPr>
        <w:t xml:space="preserve"> </w:t>
      </w:r>
      <w:hyperlink r:id="rId1" w:history="1">
        <w:r>
          <w:rPr>
            <w:rFonts w:ascii="Times New Roman" w:hAnsi="Times New Roman" w:cs="Times New Roman"/>
            <w:color w:val="0F243E" w:themeColor="text2" w:themeShade="80"/>
            <w:lang w:val="bg-BG"/>
          </w:rPr>
          <w:t>http://ec.europa.eu/research/iscp/index.cfm?pg=africa</w:t>
        </w:r>
      </w:hyperlink>
      <w:r>
        <w:rPr>
          <w:rFonts w:ascii="Times New Roman" w:hAnsi="Times New Roman" w:cs="Times New Roman"/>
          <w:color w:val="0F243E" w:themeColor="text2" w:themeShade="80"/>
          <w:lang w:val="bg-BG"/>
        </w:rPr>
        <w:t>.</w:t>
      </w:r>
    </w:p>
  </w:footnote>
  <w:footnote w:id="12">
    <w:p>
      <w:pPr>
        <w:pStyle w:val="FootnoteText"/>
        <w:jc w:val="both"/>
        <w:rPr>
          <w:rFonts w:ascii="Times New Roman" w:hAnsi="Times New Roman" w:cs="Times New Roman"/>
          <w:color w:val="0F243E" w:themeColor="text2" w:themeShade="80"/>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lang w:val="bg-BG"/>
        </w:rPr>
        <w:t xml:space="preserve"> Например Германия с нейната специална инициатива „Един свят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без глад“.</w:t>
      </w:r>
    </w:p>
  </w:footnote>
  <w:footnote w:id="13">
    <w:p>
      <w:pPr>
        <w:pStyle w:val="FootnoteText"/>
        <w:jc w:val="both"/>
        <w:rPr>
          <w:rFonts w:ascii="Times New Roman" w:hAnsi="Times New Roman" w:cs="Times New Roman"/>
          <w:color w:val="0F243E" w:themeColor="text2" w:themeShade="80"/>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lang w:val="bg-BG"/>
        </w:rPr>
        <w:t xml:space="preserve"> Испания започна да докладва от тази година и на нея се дължи 20 % от нарастването.</w:t>
      </w:r>
    </w:p>
  </w:footnote>
  <w:footnote w:id="14">
    <w:p>
      <w:pPr>
        <w:pStyle w:val="FootnoteText"/>
        <w:jc w:val="both"/>
        <w:rPr>
          <w:rFonts w:ascii="Times New Roman" w:hAnsi="Times New Roman" w:cs="Times New Roman"/>
          <w:color w:val="0F243E" w:themeColor="text2" w:themeShade="80"/>
          <w:sz w:val="16"/>
          <w:szCs w:val="16"/>
          <w:lang w:val="bg-BG"/>
        </w:rPr>
      </w:pPr>
      <w:r>
        <w:rPr>
          <w:rFonts w:ascii="Times New Roman" w:hAnsi="Times New Roman" w:cs="Times New Roman"/>
          <w:color w:val="0F243E" w:themeColor="text2" w:themeShade="80"/>
          <w:vertAlign w:val="superscript"/>
          <w:lang w:val="bg-BG"/>
        </w:rPr>
        <w:footnoteRef/>
      </w:r>
      <w:r>
        <w:rPr>
          <w:rFonts w:ascii="Times New Roman" w:hAnsi="Times New Roman" w:cs="Times New Roman"/>
          <w:color w:val="0F243E" w:themeColor="text2" w:themeShade="80"/>
          <w:lang w:val="bg-BG"/>
        </w:rPr>
        <w:t xml:space="preserve"> За настоящия втори доклад бяха използвани данни на ОИСР/КПР (Комитет за подпомагане на развитието), публикувани през декември 2014 г. Използваните кодекси на КПР са по-обширни от кодексите за селско стопанство и сигурност в областта на продоволствието. В оценката не е включена спешната и хуманитарната помощ, свързана със сигурността в областта на продоволствието.</w:t>
      </w:r>
    </w:p>
  </w:footnote>
  <w:footnote w:id="15">
    <w:p>
      <w:pPr>
        <w:pStyle w:val="FootnoteText"/>
        <w:rPr>
          <w:rFonts w:ascii="Times New Roman" w:hAnsi="Times New Roman" w:cs="Times New Roman"/>
          <w:lang w:val="bg-BG"/>
        </w:rPr>
      </w:pPr>
      <w:r>
        <w:rPr>
          <w:rStyle w:val="FootnoteReference"/>
          <w:rFonts w:ascii="Times New Roman" w:hAnsi="Times New Roman" w:cs="Times New Roman"/>
          <w:color w:val="17365D" w:themeColor="text2" w:themeShade="BF"/>
          <w:lang w:val="bg-BG"/>
        </w:rPr>
        <w:footnoteRef/>
      </w:r>
      <w:r>
        <w:rPr>
          <w:rFonts w:ascii="Times New Roman" w:hAnsi="Times New Roman" w:cs="Times New Roman"/>
          <w:color w:val="17365D" w:themeColor="text2" w:themeShade="BF"/>
          <w:lang w:val="bg-BG"/>
        </w:rPr>
        <w:t xml:space="preserve"> „Други“ обхваща програми в Близкия Изток, тихоокеанския регион и повече от един регион или континент.</w:t>
      </w:r>
    </w:p>
  </w:footnote>
  <w:footnote w:id="16">
    <w:p>
      <w:pPr>
        <w:pStyle w:val="FootnoteText"/>
        <w:rPr>
          <w:rFonts w:ascii="Times New Roman" w:hAnsi="Times New Roman" w:cs="Times New Roman"/>
          <w:color w:val="17365D" w:themeColor="text2" w:themeShade="BF"/>
          <w:lang w:val="bg-BG"/>
        </w:rPr>
      </w:pPr>
      <w:r>
        <w:rPr>
          <w:rStyle w:val="FootnoteReference"/>
          <w:rFonts w:ascii="Times New Roman" w:hAnsi="Times New Roman" w:cs="Times New Roman"/>
          <w:color w:val="17365D" w:themeColor="text2" w:themeShade="BF"/>
          <w:lang w:val="bg-BG"/>
        </w:rPr>
        <w:footnoteRef/>
      </w:r>
      <w:r>
        <w:rPr>
          <w:rFonts w:ascii="Times New Roman" w:hAnsi="Times New Roman" w:cs="Times New Roman"/>
          <w:color w:val="17365D" w:themeColor="text2" w:themeShade="BF"/>
          <w:lang w:val="bg-BG"/>
        </w:rPr>
        <w:t xml:space="preserve"> SWD (2015) 159 </w:t>
      </w:r>
      <w:r>
        <w:rPr>
          <w:rFonts w:ascii="Calibri" w:hAnsi="Calibri" w:cs="Times New Roman"/>
          <w:color w:val="17365D" w:themeColor="text2" w:themeShade="BF"/>
          <w:lang w:val="bg-BG"/>
        </w:rPr>
        <w:t>—</w:t>
      </w:r>
      <w:r>
        <w:rPr>
          <w:rFonts w:ascii="Times New Roman" w:hAnsi="Times New Roman" w:cs="Times New Roman"/>
          <w:color w:val="17365D" w:themeColor="text2" w:themeShade="BF"/>
          <w:lang w:val="bg-BG"/>
        </w:rPr>
        <w:t xml:space="preserve"> Съгласуваност на политиките за развитие </w:t>
      </w:r>
      <w:r>
        <w:rPr>
          <w:rFonts w:ascii="Calibri" w:hAnsi="Calibri" w:cs="Times New Roman"/>
          <w:color w:val="17365D" w:themeColor="text2" w:themeShade="BF"/>
          <w:lang w:val="bg-BG"/>
        </w:rPr>
        <w:t>—</w:t>
      </w:r>
      <w:r>
        <w:rPr>
          <w:rFonts w:ascii="Times New Roman" w:hAnsi="Times New Roman" w:cs="Times New Roman"/>
          <w:color w:val="17365D" w:themeColor="text2" w:themeShade="BF"/>
          <w:lang w:val="bg-BG"/>
        </w:rPr>
        <w:t xml:space="preserve"> Доклад на ЕС за 2015 г.</w:t>
      </w:r>
    </w:p>
  </w:footnote>
  <w:footnote w:id="17">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color w:val="17365D" w:themeColor="text2" w:themeShade="BF"/>
          <w:lang w:val="bg-BG"/>
        </w:rPr>
        <w:t>http://www.fao.org/fileadmin/templates/cfs/Docs1415/FFA/CFS_FFA_Final_Draft_Ver2_EN.pdf.</w:t>
      </w:r>
    </w:p>
  </w:footnote>
  <w:footnote w:id="18">
    <w:p>
      <w:pPr>
        <w:pStyle w:val="FootnoteText"/>
        <w:jc w:val="both"/>
        <w:rPr>
          <w:rFonts w:ascii="Times New Roman" w:hAnsi="Times New Roman" w:cs="Times New Roman"/>
          <w:bCs/>
          <w:color w:val="17365D" w:themeColor="text2" w:themeShade="BF"/>
          <w:highlight w:val="gree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color w:val="17365D" w:themeColor="text2" w:themeShade="BF"/>
          <w:lang w:val="bg-BG"/>
        </w:rPr>
        <w:t>COM</w:t>
      </w:r>
      <w:r>
        <w:rPr>
          <w:rFonts w:ascii="Times New Roman" w:hAnsi="Times New Roman" w:cs="Times New Roman"/>
          <w:color w:val="0F243E" w:themeColor="text2" w:themeShade="80"/>
          <w:lang w:val="bg-BG"/>
        </w:rPr>
        <w:t xml:space="preserve">(2014) </w:t>
      </w:r>
      <w:r>
        <w:rPr>
          <w:rFonts w:ascii="Times New Roman" w:hAnsi="Times New Roman" w:cs="Times New Roman"/>
          <w:color w:val="17365D" w:themeColor="text2" w:themeShade="BF"/>
          <w:lang w:val="bg-BG"/>
        </w:rPr>
        <w:t xml:space="preserve">712 </w:t>
      </w:r>
      <w:r>
        <w:rPr>
          <w:rFonts w:ascii="Calibri" w:hAnsi="Calibri" w:cs="Times New Roman"/>
          <w:color w:val="17365D" w:themeColor="text2" w:themeShade="BF"/>
          <w:lang w:val="bg-BG"/>
        </w:rPr>
        <w:t>—</w:t>
      </w:r>
      <w:r>
        <w:rPr>
          <w:rFonts w:ascii="Times New Roman" w:hAnsi="Times New Roman" w:cs="Times New Roman"/>
          <w:color w:val="17365D" w:themeColor="text2" w:themeShade="BF"/>
          <w:lang w:val="bg-BG"/>
        </w:rPr>
        <w:t xml:space="preserve"> Доклад на Комисията до Европейския парламент и Съвета </w:t>
      </w:r>
      <w:r>
        <w:rPr>
          <w:rFonts w:ascii="Calibri" w:hAnsi="Calibri" w:cs="Times New Roman"/>
          <w:color w:val="17365D" w:themeColor="text2" w:themeShade="BF"/>
          <w:lang w:val="bg-BG"/>
        </w:rPr>
        <w:t>—</w:t>
      </w:r>
      <w:r>
        <w:rPr>
          <w:rFonts w:ascii="Times New Roman" w:hAnsi="Times New Roman" w:cs="Times New Roman"/>
          <w:color w:val="17365D" w:themeColor="text2" w:themeShade="BF"/>
          <w:lang w:val="bg-BG"/>
        </w:rPr>
        <w:t xml:space="preserve"> </w:t>
      </w:r>
      <w:r>
        <w:rPr>
          <w:rFonts w:ascii="Times New Roman" w:hAnsi="Times New Roman" w:cs="Times New Roman"/>
          <w:bCs/>
          <w:color w:val="17365D" w:themeColor="text2" w:themeShade="BF"/>
          <w:lang w:val="bg-BG"/>
        </w:rPr>
        <w:t>Изпълнение на ангажиментите на политиката на ЕС за сигурност в областта на продоволствието и изхранването: първи двугодишен доклад</w:t>
      </w:r>
      <w:r>
        <w:rPr>
          <w:rFonts w:ascii="Times New Roman" w:hAnsi="Times New Roman" w:cs="Times New Roman"/>
          <w:color w:val="17365D" w:themeColor="text2" w:themeShade="BF"/>
          <w:lang w:val="bg-BG"/>
        </w:rPr>
        <w:t xml:space="preserve"> и Заключение на Съвета от 26 май.</w:t>
      </w:r>
      <w:r>
        <w:rPr>
          <w:rFonts w:ascii="Times New Roman" w:hAnsi="Times New Roman" w:cs="Times New Roman"/>
          <w:color w:val="17365D" w:themeColor="text2" w:themeShade="BF"/>
          <w:sz w:val="16"/>
          <w:szCs w:val="16"/>
          <w:lang w:val="bg-BG"/>
        </w:rPr>
        <w:t xml:space="preserve"> </w:t>
      </w:r>
    </w:p>
  </w:footnote>
  <w:footnote w:id="19">
    <w:p>
      <w:pPr>
        <w:pStyle w:val="FootnoteText"/>
        <w:rPr>
          <w:lang w:val="bg-BG"/>
        </w:rPr>
      </w:pPr>
      <w:r>
        <w:rPr>
          <w:rStyle w:val="FootnoteReference"/>
        </w:rPr>
        <w:footnoteRef/>
      </w:r>
      <w:r>
        <w:rPr>
          <w:lang w:val="bg-BG"/>
        </w:rPr>
        <w:t xml:space="preserve"> </w:t>
      </w:r>
      <w:r>
        <w:rPr>
          <w:rFonts w:ascii="Times New Roman" w:hAnsi="Times New Roman" w:cs="Times New Roman"/>
          <w:color w:val="17365D" w:themeColor="text2" w:themeShade="BF"/>
          <w:lang w:val="bg-BG"/>
        </w:rPr>
        <w:t xml:space="preserve">Агрегираните данни на Комисията се основават на Рамката на ЕС за резултатите в областта на международното сътрудничество и развитието </w:t>
      </w:r>
      <w:r>
        <w:rPr>
          <w:rFonts w:ascii="Times New Roman" w:hAnsi="Times New Roman" w:cs="Times New Roman"/>
          <w:color w:val="17365D" w:themeColor="text2" w:themeShade="BF"/>
        </w:rPr>
        <w:t>SWD</w:t>
      </w:r>
      <w:r>
        <w:rPr>
          <w:rFonts w:ascii="Times New Roman" w:hAnsi="Times New Roman" w:cs="Times New Roman"/>
          <w:color w:val="17365D" w:themeColor="text2" w:themeShade="BF"/>
          <w:lang w:val="bg-BG"/>
        </w:rPr>
        <w:t xml:space="preserve">(2015)80 </w:t>
      </w:r>
      <w:r>
        <w:rPr>
          <w:rFonts w:ascii="Times New Roman" w:hAnsi="Times New Roman" w:cs="Times New Roman"/>
          <w:color w:val="17365D" w:themeColor="text2" w:themeShade="BF"/>
        </w:rPr>
        <w:t>final</w:t>
      </w:r>
    </w:p>
  </w:footnote>
  <w:footnote w:id="20">
    <w:p>
      <w:pPr>
        <w:pStyle w:val="FootnoteText"/>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color w:val="0F243E" w:themeColor="text2" w:themeShade="80"/>
          <w:lang w:val="bg-BG"/>
        </w:rPr>
        <w:t>Писмо за изразяване на политика: Холандският принос за световната сигурност в областта на продоволствието, 18 декември 2014 г.</w:t>
      </w:r>
    </w:p>
  </w:footnote>
  <w:footnote w:id="21">
    <w:p>
      <w:pPr>
        <w:autoSpaceDE w:val="0"/>
        <w:autoSpaceDN w:val="0"/>
        <w:adjustRightInd w:val="0"/>
        <w:spacing w:after="0" w:line="240" w:lineRule="auto"/>
        <w:jc w:val="both"/>
        <w:rPr>
          <w:rFonts w:ascii="Times New Roman" w:hAnsi="Times New Roman" w:cs="Times New Roman"/>
          <w:color w:val="0F243E" w:themeColor="text2" w:themeShade="80"/>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color w:val="0F243E" w:themeColor="text2" w:themeShade="80"/>
          <w:sz w:val="20"/>
          <w:szCs w:val="20"/>
          <w:lang w:val="bg-BG"/>
        </w:rPr>
        <w:t xml:space="preserve">SWD(2013) 72 </w:t>
      </w:r>
      <w:r>
        <w:rPr>
          <w:rFonts w:ascii="Calibri" w:hAnsi="Calibri" w:cs="Times New Roman"/>
          <w:color w:val="0F243E" w:themeColor="text2" w:themeShade="80"/>
          <w:sz w:val="20"/>
          <w:szCs w:val="20"/>
          <w:lang w:val="bg-BG"/>
        </w:rPr>
        <w:t>—</w:t>
      </w:r>
      <w:r>
        <w:rPr>
          <w:rFonts w:ascii="Times New Roman" w:hAnsi="Times New Roman" w:cs="Times New Roman"/>
          <w:color w:val="0F243E" w:themeColor="text2" w:themeShade="80"/>
          <w:sz w:val="20"/>
          <w:szCs w:val="20"/>
          <w:lang w:val="bg-BG"/>
        </w:rPr>
        <w:t xml:space="preserve"> Подобряване на изхранването на майките и децата чрез външна помощ: рамка на политиката на ЕС.</w:t>
      </w:r>
    </w:p>
  </w:footnote>
  <w:footnote w:id="22">
    <w:p>
      <w:pPr>
        <w:pStyle w:val="FootnoteText"/>
        <w:jc w:val="both"/>
        <w:rPr>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color w:val="0F243E" w:themeColor="text2" w:themeShade="80"/>
          <w:lang w:val="bg-BG"/>
        </w:rPr>
        <w:t xml:space="preserve">SWD (2014) 234 </w:t>
      </w:r>
      <w:r>
        <w:rPr>
          <w:rFonts w:ascii="Calibri" w:hAnsi="Calibri" w:cs="Times New Roman"/>
          <w:color w:val="0F243E" w:themeColor="text2" w:themeShade="80"/>
          <w:lang w:val="bg-BG"/>
        </w:rPr>
        <w:t>—</w:t>
      </w:r>
      <w:r>
        <w:rPr>
          <w:rFonts w:ascii="Times New Roman" w:hAnsi="Times New Roman" w:cs="Times New Roman"/>
          <w:color w:val="0F243E" w:themeColor="text2" w:themeShade="80"/>
          <w:lang w:val="bg-BG"/>
        </w:rPr>
        <w:t xml:space="preserve"> План за действие в областта на изхранването.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57"/>
    <w:multiLevelType w:val="hybridMultilevel"/>
    <w:tmpl w:val="5B183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74C4C"/>
    <w:multiLevelType w:val="hybridMultilevel"/>
    <w:tmpl w:val="A3D6E418"/>
    <w:lvl w:ilvl="0" w:tplc="BEA0B9AC">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070612FB"/>
    <w:multiLevelType w:val="hybridMultilevel"/>
    <w:tmpl w:val="91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A4D10"/>
    <w:multiLevelType w:val="hybridMultilevel"/>
    <w:tmpl w:val="68061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83223F"/>
    <w:multiLevelType w:val="hybridMultilevel"/>
    <w:tmpl w:val="A3D0E8FC"/>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E690C"/>
    <w:multiLevelType w:val="hybridMultilevel"/>
    <w:tmpl w:val="607E4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05673"/>
    <w:multiLevelType w:val="hybridMultilevel"/>
    <w:tmpl w:val="93F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901AC"/>
    <w:multiLevelType w:val="hybridMultilevel"/>
    <w:tmpl w:val="B112A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D0910"/>
    <w:multiLevelType w:val="hybridMultilevel"/>
    <w:tmpl w:val="CA9E98A0"/>
    <w:lvl w:ilvl="0" w:tplc="BEA0B9AC">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836448"/>
    <w:multiLevelType w:val="hybridMultilevel"/>
    <w:tmpl w:val="B3A40FA8"/>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36707"/>
    <w:multiLevelType w:val="hybridMultilevel"/>
    <w:tmpl w:val="A804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E97662"/>
    <w:multiLevelType w:val="hybridMultilevel"/>
    <w:tmpl w:val="C1382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185D1F"/>
    <w:multiLevelType w:val="hybridMultilevel"/>
    <w:tmpl w:val="968C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85B99"/>
    <w:multiLevelType w:val="hybridMultilevel"/>
    <w:tmpl w:val="A8EE5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C15AEA"/>
    <w:multiLevelType w:val="hybridMultilevel"/>
    <w:tmpl w:val="046E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FA72DC"/>
    <w:multiLevelType w:val="hybridMultilevel"/>
    <w:tmpl w:val="7FA0931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7636A"/>
    <w:multiLevelType w:val="hybridMultilevel"/>
    <w:tmpl w:val="33189AA4"/>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D2837"/>
    <w:multiLevelType w:val="hybridMultilevel"/>
    <w:tmpl w:val="9490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0C5284"/>
    <w:multiLevelType w:val="hybridMultilevel"/>
    <w:tmpl w:val="9F5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04400"/>
    <w:multiLevelType w:val="hybridMultilevel"/>
    <w:tmpl w:val="FEA0D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F63002"/>
    <w:multiLevelType w:val="hybridMultilevel"/>
    <w:tmpl w:val="DA80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C72FDE"/>
    <w:multiLevelType w:val="hybridMultilevel"/>
    <w:tmpl w:val="383EE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BBC3D9D"/>
    <w:multiLevelType w:val="hybridMultilevel"/>
    <w:tmpl w:val="E4DA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E54737"/>
    <w:multiLevelType w:val="hybridMultilevel"/>
    <w:tmpl w:val="AC56F5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50004D7A"/>
    <w:multiLevelType w:val="hybridMultilevel"/>
    <w:tmpl w:val="E416E4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725F96"/>
    <w:multiLevelType w:val="hybridMultilevel"/>
    <w:tmpl w:val="B21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C208A"/>
    <w:multiLevelType w:val="hybridMultilevel"/>
    <w:tmpl w:val="94142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C6175"/>
    <w:multiLevelType w:val="hybridMultilevel"/>
    <w:tmpl w:val="2B16394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0239EC"/>
    <w:multiLevelType w:val="hybridMultilevel"/>
    <w:tmpl w:val="9322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A188A"/>
    <w:multiLevelType w:val="hybridMultilevel"/>
    <w:tmpl w:val="54D8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501385"/>
    <w:multiLevelType w:val="hybridMultilevel"/>
    <w:tmpl w:val="245C24A6"/>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3470A"/>
    <w:multiLevelType w:val="hybridMultilevel"/>
    <w:tmpl w:val="182E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B91E50"/>
    <w:multiLevelType w:val="hybridMultilevel"/>
    <w:tmpl w:val="F1226F5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7"/>
  </w:num>
  <w:num w:numId="4">
    <w:abstractNumId w:val="32"/>
  </w:num>
  <w:num w:numId="5">
    <w:abstractNumId w:val="9"/>
  </w:num>
  <w:num w:numId="6">
    <w:abstractNumId w:val="30"/>
  </w:num>
  <w:num w:numId="7">
    <w:abstractNumId w:val="1"/>
  </w:num>
  <w:num w:numId="8">
    <w:abstractNumId w:val="8"/>
  </w:num>
  <w:num w:numId="9">
    <w:abstractNumId w:val="16"/>
  </w:num>
  <w:num w:numId="10">
    <w:abstractNumId w:val="26"/>
  </w:num>
  <w:num w:numId="11">
    <w:abstractNumId w:val="11"/>
  </w:num>
  <w:num w:numId="12">
    <w:abstractNumId w:val="3"/>
  </w:num>
  <w:num w:numId="13">
    <w:abstractNumId w:val="13"/>
  </w:num>
  <w:num w:numId="14">
    <w:abstractNumId w:val="24"/>
  </w:num>
  <w:num w:numId="15">
    <w:abstractNumId w:val="21"/>
  </w:num>
  <w:num w:numId="16">
    <w:abstractNumId w:val="23"/>
  </w:num>
  <w:num w:numId="17">
    <w:abstractNumId w:val="12"/>
  </w:num>
  <w:num w:numId="18">
    <w:abstractNumId w:val="20"/>
  </w:num>
  <w:num w:numId="19">
    <w:abstractNumId w:val="18"/>
  </w:num>
  <w:num w:numId="20">
    <w:abstractNumId w:val="31"/>
  </w:num>
  <w:num w:numId="21">
    <w:abstractNumId w:val="5"/>
  </w:num>
  <w:num w:numId="22">
    <w:abstractNumId w:val="6"/>
  </w:num>
  <w:num w:numId="23">
    <w:abstractNumId w:val="10"/>
  </w:num>
  <w:num w:numId="24">
    <w:abstractNumId w:val="25"/>
  </w:num>
  <w:num w:numId="25">
    <w:abstractNumId w:val="2"/>
  </w:num>
  <w:num w:numId="26">
    <w:abstractNumId w:val="28"/>
  </w:num>
  <w:num w:numId="27">
    <w:abstractNumId w:val="0"/>
  </w:num>
  <w:num w:numId="28">
    <w:abstractNumId w:val="22"/>
  </w:num>
  <w:num w:numId="29">
    <w:abstractNumId w:val="7"/>
  </w:num>
  <w:num w:numId="30">
    <w:abstractNumId w:val="17"/>
  </w:num>
  <w:num w:numId="31">
    <w:abstractNumId w:val="15"/>
  </w:num>
  <w:num w:numId="32">
    <w:abstractNumId w:val="29"/>
  </w:num>
  <w:num w:numId="33">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Woodhill">
    <w15:presenceInfo w15:providerId="None" w15:userId="Jim Wood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A1129A71EA64EC6804E3478187F9E15"/>
    <w:docVar w:name="LW_CROSSREFERENCE" w:val="{SWD(2016) 155 final}"/>
    <w:docVar w:name="LW_DocType" w:val="NORMAL"/>
    <w:docVar w:name="LW_EMISSION" w:val="6.6.2016"/>
    <w:docVar w:name="LW_EMISSION_ISODATE" w:val="2016-06-0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44"/>
    <w:docVar w:name="LW_REF.INTERNE" w:val="&lt;UNUSED&gt;"/>
    <w:docVar w:name="LW_SOUS.TITRE.OBJ.CP" w:val="&lt;UNUSED&gt;"/>
    <w:docVar w:name="LW_SUPERTITRE" w:val="&lt;UNUSED&gt;"/>
    <w:docVar w:name="LW_TITRE.OBJ.CP" w:val="\u1048?\u1079?\u1087?\u1098?\u1083?\u1085?\u1077?\u1085?\u1080?\u1077? \u1085?\u1072? \u1072?\u1085?\u1075?\u1072?\u1078?\u1080?\u1084?\u1077?\u1085?\u1090?\u1080?\u1090?\u1077? \u1085?\u1072? \u1087?\u1086?\u1083?\u1080?\u1090?\u1080?\u1082?\u1072?\u1090?\u1072? \u1085?\u1072? \u1045?\u1057? \u1079?\u1072? \u1089?\u1080?\u1075?\u1091?\u1088?\u1085?\u1086?\u1089?\u1090? \u1074? \u1086?\u1073?\u1083?\u1072?\u1089?\u1090?\u1090?\u1072? \u1085?\u1072? \u1087?\u1088?\u1086?\u1076?\u1086?\u1074?\u1086?\u1083?\u1089?\u1090?\u1074?\u1080?\u1077?\u1090?\u1086? \u1080? \u1080?\u1079?\u1093?\u1088?\u1072?\u1085?\u1074?\u1072?\u1085?\u1077?\u1090?\u1086?: _x000b_\u1074?\u1090?\u1086?\u1088?\u1080? \u1076?\u1074?\u1091?\u1075?\u1086?\u1076?\u1080?\u1096?\u1077?\u1085? \u1076?\u1086?\u1082?\u1083?\u1072?\u1076?"/>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DEVCO\DEVCO-2016-00041\DEVCO-2016-00041-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649">
      <w:bodyDiv w:val="1"/>
      <w:marLeft w:val="0"/>
      <w:marRight w:val="0"/>
      <w:marTop w:val="0"/>
      <w:marBottom w:val="0"/>
      <w:divBdr>
        <w:top w:val="none" w:sz="0" w:space="0" w:color="auto"/>
        <w:left w:val="none" w:sz="0" w:space="0" w:color="auto"/>
        <w:bottom w:val="none" w:sz="0" w:space="0" w:color="auto"/>
        <w:right w:val="none" w:sz="0" w:space="0" w:color="auto"/>
      </w:divBdr>
    </w:div>
    <w:div w:id="408308103">
      <w:bodyDiv w:val="1"/>
      <w:marLeft w:val="0"/>
      <w:marRight w:val="0"/>
      <w:marTop w:val="0"/>
      <w:marBottom w:val="0"/>
      <w:divBdr>
        <w:top w:val="none" w:sz="0" w:space="0" w:color="auto"/>
        <w:left w:val="none" w:sz="0" w:space="0" w:color="auto"/>
        <w:bottom w:val="none" w:sz="0" w:space="0" w:color="auto"/>
        <w:right w:val="none" w:sz="0" w:space="0" w:color="auto"/>
      </w:divBdr>
    </w:div>
    <w:div w:id="455877833">
      <w:bodyDiv w:val="1"/>
      <w:marLeft w:val="0"/>
      <w:marRight w:val="0"/>
      <w:marTop w:val="0"/>
      <w:marBottom w:val="0"/>
      <w:divBdr>
        <w:top w:val="none" w:sz="0" w:space="0" w:color="auto"/>
        <w:left w:val="none" w:sz="0" w:space="0" w:color="auto"/>
        <w:bottom w:val="none" w:sz="0" w:space="0" w:color="auto"/>
        <w:right w:val="none" w:sz="0" w:space="0" w:color="auto"/>
      </w:divBdr>
      <w:divsChild>
        <w:div w:id="1689256083">
          <w:marLeft w:val="0"/>
          <w:marRight w:val="0"/>
          <w:marTop w:val="0"/>
          <w:marBottom w:val="0"/>
          <w:divBdr>
            <w:top w:val="none" w:sz="0" w:space="0" w:color="auto"/>
            <w:left w:val="none" w:sz="0" w:space="0" w:color="auto"/>
            <w:bottom w:val="none" w:sz="0" w:space="0" w:color="auto"/>
            <w:right w:val="none" w:sz="0" w:space="0" w:color="auto"/>
          </w:divBdr>
          <w:divsChild>
            <w:div w:id="698509175">
              <w:marLeft w:val="0"/>
              <w:marRight w:val="0"/>
              <w:marTop w:val="0"/>
              <w:marBottom w:val="0"/>
              <w:divBdr>
                <w:top w:val="none" w:sz="0" w:space="0" w:color="auto"/>
                <w:left w:val="none" w:sz="0" w:space="0" w:color="auto"/>
                <w:bottom w:val="none" w:sz="0" w:space="0" w:color="auto"/>
                <w:right w:val="none" w:sz="0" w:space="0" w:color="auto"/>
              </w:divBdr>
              <w:divsChild>
                <w:div w:id="745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8955">
      <w:bodyDiv w:val="1"/>
      <w:marLeft w:val="0"/>
      <w:marRight w:val="0"/>
      <w:marTop w:val="0"/>
      <w:marBottom w:val="0"/>
      <w:divBdr>
        <w:top w:val="none" w:sz="0" w:space="0" w:color="auto"/>
        <w:left w:val="none" w:sz="0" w:space="0" w:color="auto"/>
        <w:bottom w:val="none" w:sz="0" w:space="0" w:color="auto"/>
        <w:right w:val="none" w:sz="0" w:space="0" w:color="auto"/>
      </w:divBdr>
    </w:div>
    <w:div w:id="551617413">
      <w:bodyDiv w:val="1"/>
      <w:marLeft w:val="0"/>
      <w:marRight w:val="0"/>
      <w:marTop w:val="0"/>
      <w:marBottom w:val="0"/>
      <w:divBdr>
        <w:top w:val="none" w:sz="0" w:space="0" w:color="auto"/>
        <w:left w:val="none" w:sz="0" w:space="0" w:color="auto"/>
        <w:bottom w:val="none" w:sz="0" w:space="0" w:color="auto"/>
        <w:right w:val="none" w:sz="0" w:space="0" w:color="auto"/>
      </w:divBdr>
      <w:divsChild>
        <w:div w:id="1362438041">
          <w:marLeft w:val="0"/>
          <w:marRight w:val="0"/>
          <w:marTop w:val="0"/>
          <w:marBottom w:val="0"/>
          <w:divBdr>
            <w:top w:val="none" w:sz="0" w:space="0" w:color="auto"/>
            <w:left w:val="none" w:sz="0" w:space="0" w:color="auto"/>
            <w:bottom w:val="none" w:sz="0" w:space="0" w:color="auto"/>
            <w:right w:val="none" w:sz="0" w:space="0" w:color="auto"/>
          </w:divBdr>
          <w:divsChild>
            <w:div w:id="1493790369">
              <w:marLeft w:val="0"/>
              <w:marRight w:val="0"/>
              <w:marTop w:val="0"/>
              <w:marBottom w:val="0"/>
              <w:divBdr>
                <w:top w:val="none" w:sz="0" w:space="0" w:color="auto"/>
                <w:left w:val="none" w:sz="0" w:space="0" w:color="auto"/>
                <w:bottom w:val="none" w:sz="0" w:space="0" w:color="auto"/>
                <w:right w:val="none" w:sz="0" w:space="0" w:color="auto"/>
              </w:divBdr>
              <w:divsChild>
                <w:div w:id="1244757216">
                  <w:marLeft w:val="0"/>
                  <w:marRight w:val="0"/>
                  <w:marTop w:val="100"/>
                  <w:marBottom w:val="100"/>
                  <w:divBdr>
                    <w:top w:val="none" w:sz="0" w:space="0" w:color="auto"/>
                    <w:left w:val="none" w:sz="0" w:space="0" w:color="auto"/>
                    <w:bottom w:val="none" w:sz="0" w:space="0" w:color="auto"/>
                    <w:right w:val="none" w:sz="0" w:space="0" w:color="auto"/>
                  </w:divBdr>
                  <w:divsChild>
                    <w:div w:id="2138987178">
                      <w:marLeft w:val="0"/>
                      <w:marRight w:val="0"/>
                      <w:marTop w:val="0"/>
                      <w:marBottom w:val="0"/>
                      <w:divBdr>
                        <w:top w:val="none" w:sz="0" w:space="0" w:color="auto"/>
                        <w:left w:val="none" w:sz="0" w:space="0" w:color="auto"/>
                        <w:bottom w:val="none" w:sz="0" w:space="0" w:color="auto"/>
                        <w:right w:val="none" w:sz="0" w:space="0" w:color="auto"/>
                      </w:divBdr>
                      <w:divsChild>
                        <w:div w:id="1718236474">
                          <w:marLeft w:val="0"/>
                          <w:marRight w:val="0"/>
                          <w:marTop w:val="0"/>
                          <w:marBottom w:val="0"/>
                          <w:divBdr>
                            <w:top w:val="none" w:sz="0" w:space="0" w:color="auto"/>
                            <w:left w:val="none" w:sz="0" w:space="0" w:color="auto"/>
                            <w:bottom w:val="none" w:sz="0" w:space="0" w:color="auto"/>
                            <w:right w:val="none" w:sz="0" w:space="0" w:color="auto"/>
                          </w:divBdr>
                          <w:divsChild>
                            <w:div w:id="688141201">
                              <w:marLeft w:val="0"/>
                              <w:marRight w:val="0"/>
                              <w:marTop w:val="0"/>
                              <w:marBottom w:val="0"/>
                              <w:divBdr>
                                <w:top w:val="none" w:sz="0" w:space="0" w:color="auto"/>
                                <w:left w:val="none" w:sz="0" w:space="0" w:color="auto"/>
                                <w:bottom w:val="none" w:sz="0" w:space="0" w:color="auto"/>
                                <w:right w:val="none" w:sz="0" w:space="0" w:color="auto"/>
                              </w:divBdr>
                              <w:divsChild>
                                <w:div w:id="1297952195">
                                  <w:marLeft w:val="0"/>
                                  <w:marRight w:val="0"/>
                                  <w:marTop w:val="0"/>
                                  <w:marBottom w:val="0"/>
                                  <w:divBdr>
                                    <w:top w:val="none" w:sz="0" w:space="0" w:color="auto"/>
                                    <w:left w:val="none" w:sz="0" w:space="0" w:color="auto"/>
                                    <w:bottom w:val="none" w:sz="0" w:space="0" w:color="auto"/>
                                    <w:right w:val="none" w:sz="0" w:space="0" w:color="auto"/>
                                  </w:divBdr>
                                  <w:divsChild>
                                    <w:div w:id="1370493678">
                                      <w:marLeft w:val="0"/>
                                      <w:marRight w:val="0"/>
                                      <w:marTop w:val="0"/>
                                      <w:marBottom w:val="0"/>
                                      <w:divBdr>
                                        <w:top w:val="none" w:sz="0" w:space="0" w:color="auto"/>
                                        <w:left w:val="none" w:sz="0" w:space="0" w:color="auto"/>
                                        <w:bottom w:val="none" w:sz="0" w:space="0" w:color="auto"/>
                                        <w:right w:val="none" w:sz="0" w:space="0" w:color="auto"/>
                                      </w:divBdr>
                                      <w:divsChild>
                                        <w:div w:id="314144695">
                                          <w:marLeft w:val="0"/>
                                          <w:marRight w:val="0"/>
                                          <w:marTop w:val="0"/>
                                          <w:marBottom w:val="0"/>
                                          <w:divBdr>
                                            <w:top w:val="none" w:sz="0" w:space="0" w:color="auto"/>
                                            <w:left w:val="none" w:sz="0" w:space="0" w:color="auto"/>
                                            <w:bottom w:val="none" w:sz="0" w:space="0" w:color="auto"/>
                                            <w:right w:val="none" w:sz="0" w:space="0" w:color="auto"/>
                                          </w:divBdr>
                                          <w:divsChild>
                                            <w:div w:id="442697075">
                                              <w:marLeft w:val="0"/>
                                              <w:marRight w:val="0"/>
                                              <w:marTop w:val="0"/>
                                              <w:marBottom w:val="0"/>
                                              <w:divBdr>
                                                <w:top w:val="none" w:sz="0" w:space="0" w:color="auto"/>
                                                <w:left w:val="none" w:sz="0" w:space="0" w:color="auto"/>
                                                <w:bottom w:val="none" w:sz="0" w:space="0" w:color="auto"/>
                                                <w:right w:val="none" w:sz="0" w:space="0" w:color="auto"/>
                                              </w:divBdr>
                                              <w:divsChild>
                                                <w:div w:id="881987776">
                                                  <w:marLeft w:val="0"/>
                                                  <w:marRight w:val="300"/>
                                                  <w:marTop w:val="0"/>
                                                  <w:marBottom w:val="0"/>
                                                  <w:divBdr>
                                                    <w:top w:val="none" w:sz="0" w:space="0" w:color="auto"/>
                                                    <w:left w:val="none" w:sz="0" w:space="0" w:color="auto"/>
                                                    <w:bottom w:val="none" w:sz="0" w:space="0" w:color="auto"/>
                                                    <w:right w:val="none" w:sz="0" w:space="0" w:color="auto"/>
                                                  </w:divBdr>
                                                  <w:divsChild>
                                                    <w:div w:id="1075201300">
                                                      <w:marLeft w:val="0"/>
                                                      <w:marRight w:val="0"/>
                                                      <w:marTop w:val="0"/>
                                                      <w:marBottom w:val="0"/>
                                                      <w:divBdr>
                                                        <w:top w:val="none" w:sz="0" w:space="0" w:color="auto"/>
                                                        <w:left w:val="none" w:sz="0" w:space="0" w:color="auto"/>
                                                        <w:bottom w:val="none" w:sz="0" w:space="0" w:color="auto"/>
                                                        <w:right w:val="none" w:sz="0" w:space="0" w:color="auto"/>
                                                      </w:divBdr>
                                                      <w:divsChild>
                                                        <w:div w:id="1459647478">
                                                          <w:marLeft w:val="0"/>
                                                          <w:marRight w:val="0"/>
                                                          <w:marTop w:val="0"/>
                                                          <w:marBottom w:val="300"/>
                                                          <w:divBdr>
                                                            <w:top w:val="single" w:sz="6" w:space="0" w:color="CCCCCC"/>
                                                            <w:left w:val="none" w:sz="0" w:space="0" w:color="auto"/>
                                                            <w:bottom w:val="none" w:sz="0" w:space="0" w:color="auto"/>
                                                            <w:right w:val="none" w:sz="0" w:space="0" w:color="auto"/>
                                                          </w:divBdr>
                                                          <w:divsChild>
                                                            <w:div w:id="578561262">
                                                              <w:marLeft w:val="0"/>
                                                              <w:marRight w:val="0"/>
                                                              <w:marTop w:val="0"/>
                                                              <w:marBottom w:val="0"/>
                                                              <w:divBdr>
                                                                <w:top w:val="none" w:sz="0" w:space="0" w:color="auto"/>
                                                                <w:left w:val="none" w:sz="0" w:space="0" w:color="auto"/>
                                                                <w:bottom w:val="none" w:sz="0" w:space="0" w:color="auto"/>
                                                                <w:right w:val="none" w:sz="0" w:space="0" w:color="auto"/>
                                                              </w:divBdr>
                                                              <w:divsChild>
                                                                <w:div w:id="510026366">
                                                                  <w:marLeft w:val="0"/>
                                                                  <w:marRight w:val="0"/>
                                                                  <w:marTop w:val="0"/>
                                                                  <w:marBottom w:val="0"/>
                                                                  <w:divBdr>
                                                                    <w:top w:val="none" w:sz="0" w:space="0" w:color="auto"/>
                                                                    <w:left w:val="none" w:sz="0" w:space="0" w:color="auto"/>
                                                                    <w:bottom w:val="none" w:sz="0" w:space="0" w:color="auto"/>
                                                                    <w:right w:val="none" w:sz="0" w:space="0" w:color="auto"/>
                                                                  </w:divBdr>
                                                                  <w:divsChild>
                                                                    <w:div w:id="1522431275">
                                                                      <w:marLeft w:val="0"/>
                                                                      <w:marRight w:val="0"/>
                                                                      <w:marTop w:val="0"/>
                                                                      <w:marBottom w:val="0"/>
                                                                      <w:divBdr>
                                                                        <w:top w:val="none" w:sz="0" w:space="0" w:color="auto"/>
                                                                        <w:left w:val="none" w:sz="0" w:space="0" w:color="auto"/>
                                                                        <w:bottom w:val="none" w:sz="0" w:space="0" w:color="auto"/>
                                                                        <w:right w:val="none" w:sz="0" w:space="0" w:color="auto"/>
                                                                      </w:divBdr>
                                                                      <w:divsChild>
                                                                        <w:div w:id="1212232834">
                                                                          <w:marLeft w:val="0"/>
                                                                          <w:marRight w:val="0"/>
                                                                          <w:marTop w:val="0"/>
                                                                          <w:marBottom w:val="0"/>
                                                                          <w:divBdr>
                                                                            <w:top w:val="none" w:sz="0" w:space="0" w:color="auto"/>
                                                                            <w:left w:val="none" w:sz="0" w:space="0" w:color="auto"/>
                                                                            <w:bottom w:val="none" w:sz="0" w:space="0" w:color="auto"/>
                                                                            <w:right w:val="none" w:sz="0" w:space="0" w:color="auto"/>
                                                                          </w:divBdr>
                                                                        </w:div>
                                                                        <w:div w:id="18531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83004">
      <w:bodyDiv w:val="1"/>
      <w:marLeft w:val="0"/>
      <w:marRight w:val="0"/>
      <w:marTop w:val="0"/>
      <w:marBottom w:val="0"/>
      <w:divBdr>
        <w:top w:val="none" w:sz="0" w:space="0" w:color="auto"/>
        <w:left w:val="none" w:sz="0" w:space="0" w:color="auto"/>
        <w:bottom w:val="none" w:sz="0" w:space="0" w:color="auto"/>
        <w:right w:val="none" w:sz="0" w:space="0" w:color="auto"/>
      </w:divBdr>
    </w:div>
    <w:div w:id="851339335">
      <w:bodyDiv w:val="1"/>
      <w:marLeft w:val="0"/>
      <w:marRight w:val="0"/>
      <w:marTop w:val="0"/>
      <w:marBottom w:val="0"/>
      <w:divBdr>
        <w:top w:val="none" w:sz="0" w:space="0" w:color="auto"/>
        <w:left w:val="none" w:sz="0" w:space="0" w:color="auto"/>
        <w:bottom w:val="none" w:sz="0" w:space="0" w:color="auto"/>
        <w:right w:val="none" w:sz="0" w:space="0" w:color="auto"/>
      </w:divBdr>
    </w:div>
    <w:div w:id="965544784">
      <w:bodyDiv w:val="1"/>
      <w:marLeft w:val="0"/>
      <w:marRight w:val="0"/>
      <w:marTop w:val="0"/>
      <w:marBottom w:val="0"/>
      <w:divBdr>
        <w:top w:val="none" w:sz="0" w:space="0" w:color="auto"/>
        <w:left w:val="none" w:sz="0" w:space="0" w:color="auto"/>
        <w:bottom w:val="none" w:sz="0" w:space="0" w:color="auto"/>
        <w:right w:val="none" w:sz="0" w:space="0" w:color="auto"/>
      </w:divBdr>
    </w:div>
    <w:div w:id="1091123814">
      <w:bodyDiv w:val="1"/>
      <w:marLeft w:val="0"/>
      <w:marRight w:val="0"/>
      <w:marTop w:val="0"/>
      <w:marBottom w:val="0"/>
      <w:divBdr>
        <w:top w:val="none" w:sz="0" w:space="0" w:color="auto"/>
        <w:left w:val="none" w:sz="0" w:space="0" w:color="auto"/>
        <w:bottom w:val="none" w:sz="0" w:space="0" w:color="auto"/>
        <w:right w:val="none" w:sz="0" w:space="0" w:color="auto"/>
      </w:divBdr>
      <w:divsChild>
        <w:div w:id="538207284">
          <w:marLeft w:val="0"/>
          <w:marRight w:val="0"/>
          <w:marTop w:val="0"/>
          <w:marBottom w:val="0"/>
          <w:divBdr>
            <w:top w:val="none" w:sz="0" w:space="0" w:color="auto"/>
            <w:left w:val="none" w:sz="0" w:space="0" w:color="auto"/>
            <w:bottom w:val="none" w:sz="0" w:space="0" w:color="auto"/>
            <w:right w:val="none" w:sz="0" w:space="0" w:color="auto"/>
          </w:divBdr>
          <w:divsChild>
            <w:div w:id="1002203808">
              <w:marLeft w:val="0"/>
              <w:marRight w:val="0"/>
              <w:marTop w:val="0"/>
              <w:marBottom w:val="0"/>
              <w:divBdr>
                <w:top w:val="none" w:sz="0" w:space="0" w:color="auto"/>
                <w:left w:val="none" w:sz="0" w:space="0" w:color="auto"/>
                <w:bottom w:val="none" w:sz="0" w:space="0" w:color="auto"/>
                <w:right w:val="none" w:sz="0" w:space="0" w:color="auto"/>
              </w:divBdr>
              <w:divsChild>
                <w:div w:id="513156917">
                  <w:marLeft w:val="0"/>
                  <w:marRight w:val="0"/>
                  <w:marTop w:val="100"/>
                  <w:marBottom w:val="100"/>
                  <w:divBdr>
                    <w:top w:val="none" w:sz="0" w:space="0" w:color="auto"/>
                    <w:left w:val="none" w:sz="0" w:space="0" w:color="auto"/>
                    <w:bottom w:val="none" w:sz="0" w:space="0" w:color="auto"/>
                    <w:right w:val="none" w:sz="0" w:space="0" w:color="auto"/>
                  </w:divBdr>
                  <w:divsChild>
                    <w:div w:id="1916015278">
                      <w:marLeft w:val="0"/>
                      <w:marRight w:val="0"/>
                      <w:marTop w:val="0"/>
                      <w:marBottom w:val="0"/>
                      <w:divBdr>
                        <w:top w:val="none" w:sz="0" w:space="0" w:color="auto"/>
                        <w:left w:val="none" w:sz="0" w:space="0" w:color="auto"/>
                        <w:bottom w:val="none" w:sz="0" w:space="0" w:color="auto"/>
                        <w:right w:val="none" w:sz="0" w:space="0" w:color="auto"/>
                      </w:divBdr>
                      <w:divsChild>
                        <w:div w:id="1386639614">
                          <w:marLeft w:val="0"/>
                          <w:marRight w:val="0"/>
                          <w:marTop w:val="0"/>
                          <w:marBottom w:val="0"/>
                          <w:divBdr>
                            <w:top w:val="none" w:sz="0" w:space="0" w:color="auto"/>
                            <w:left w:val="none" w:sz="0" w:space="0" w:color="auto"/>
                            <w:bottom w:val="none" w:sz="0" w:space="0" w:color="auto"/>
                            <w:right w:val="none" w:sz="0" w:space="0" w:color="auto"/>
                          </w:divBdr>
                          <w:divsChild>
                            <w:div w:id="58216946">
                              <w:marLeft w:val="0"/>
                              <w:marRight w:val="0"/>
                              <w:marTop w:val="0"/>
                              <w:marBottom w:val="0"/>
                              <w:divBdr>
                                <w:top w:val="none" w:sz="0" w:space="0" w:color="auto"/>
                                <w:left w:val="none" w:sz="0" w:space="0" w:color="auto"/>
                                <w:bottom w:val="none" w:sz="0" w:space="0" w:color="auto"/>
                                <w:right w:val="none" w:sz="0" w:space="0" w:color="auto"/>
                              </w:divBdr>
                              <w:divsChild>
                                <w:div w:id="1058213655">
                                  <w:marLeft w:val="0"/>
                                  <w:marRight w:val="0"/>
                                  <w:marTop w:val="0"/>
                                  <w:marBottom w:val="0"/>
                                  <w:divBdr>
                                    <w:top w:val="none" w:sz="0" w:space="0" w:color="auto"/>
                                    <w:left w:val="none" w:sz="0" w:space="0" w:color="auto"/>
                                    <w:bottom w:val="none" w:sz="0" w:space="0" w:color="auto"/>
                                    <w:right w:val="none" w:sz="0" w:space="0" w:color="auto"/>
                                  </w:divBdr>
                                  <w:divsChild>
                                    <w:div w:id="722289607">
                                      <w:marLeft w:val="0"/>
                                      <w:marRight w:val="0"/>
                                      <w:marTop w:val="0"/>
                                      <w:marBottom w:val="0"/>
                                      <w:divBdr>
                                        <w:top w:val="none" w:sz="0" w:space="0" w:color="auto"/>
                                        <w:left w:val="none" w:sz="0" w:space="0" w:color="auto"/>
                                        <w:bottom w:val="none" w:sz="0" w:space="0" w:color="auto"/>
                                        <w:right w:val="none" w:sz="0" w:space="0" w:color="auto"/>
                                      </w:divBdr>
                                      <w:divsChild>
                                        <w:div w:id="367339647">
                                          <w:marLeft w:val="0"/>
                                          <w:marRight w:val="0"/>
                                          <w:marTop w:val="0"/>
                                          <w:marBottom w:val="0"/>
                                          <w:divBdr>
                                            <w:top w:val="none" w:sz="0" w:space="0" w:color="auto"/>
                                            <w:left w:val="none" w:sz="0" w:space="0" w:color="auto"/>
                                            <w:bottom w:val="none" w:sz="0" w:space="0" w:color="auto"/>
                                            <w:right w:val="none" w:sz="0" w:space="0" w:color="auto"/>
                                          </w:divBdr>
                                          <w:divsChild>
                                            <w:div w:id="773086882">
                                              <w:marLeft w:val="0"/>
                                              <w:marRight w:val="0"/>
                                              <w:marTop w:val="0"/>
                                              <w:marBottom w:val="0"/>
                                              <w:divBdr>
                                                <w:top w:val="none" w:sz="0" w:space="0" w:color="auto"/>
                                                <w:left w:val="none" w:sz="0" w:space="0" w:color="auto"/>
                                                <w:bottom w:val="none" w:sz="0" w:space="0" w:color="auto"/>
                                                <w:right w:val="none" w:sz="0" w:space="0" w:color="auto"/>
                                              </w:divBdr>
                                              <w:divsChild>
                                                <w:div w:id="665669892">
                                                  <w:marLeft w:val="0"/>
                                                  <w:marRight w:val="300"/>
                                                  <w:marTop w:val="0"/>
                                                  <w:marBottom w:val="0"/>
                                                  <w:divBdr>
                                                    <w:top w:val="none" w:sz="0" w:space="0" w:color="auto"/>
                                                    <w:left w:val="none" w:sz="0" w:space="0" w:color="auto"/>
                                                    <w:bottom w:val="none" w:sz="0" w:space="0" w:color="auto"/>
                                                    <w:right w:val="none" w:sz="0" w:space="0" w:color="auto"/>
                                                  </w:divBdr>
                                                  <w:divsChild>
                                                    <w:div w:id="296112545">
                                                      <w:marLeft w:val="0"/>
                                                      <w:marRight w:val="0"/>
                                                      <w:marTop w:val="0"/>
                                                      <w:marBottom w:val="0"/>
                                                      <w:divBdr>
                                                        <w:top w:val="none" w:sz="0" w:space="0" w:color="auto"/>
                                                        <w:left w:val="none" w:sz="0" w:space="0" w:color="auto"/>
                                                        <w:bottom w:val="none" w:sz="0" w:space="0" w:color="auto"/>
                                                        <w:right w:val="none" w:sz="0" w:space="0" w:color="auto"/>
                                                      </w:divBdr>
                                                      <w:divsChild>
                                                        <w:div w:id="300693351">
                                                          <w:marLeft w:val="0"/>
                                                          <w:marRight w:val="0"/>
                                                          <w:marTop w:val="0"/>
                                                          <w:marBottom w:val="300"/>
                                                          <w:divBdr>
                                                            <w:top w:val="single" w:sz="6" w:space="0" w:color="CCCCCC"/>
                                                            <w:left w:val="none" w:sz="0" w:space="0" w:color="auto"/>
                                                            <w:bottom w:val="none" w:sz="0" w:space="0" w:color="auto"/>
                                                            <w:right w:val="none" w:sz="0" w:space="0" w:color="auto"/>
                                                          </w:divBdr>
                                                          <w:divsChild>
                                                            <w:div w:id="691109357">
                                                              <w:marLeft w:val="0"/>
                                                              <w:marRight w:val="0"/>
                                                              <w:marTop w:val="0"/>
                                                              <w:marBottom w:val="0"/>
                                                              <w:divBdr>
                                                                <w:top w:val="none" w:sz="0" w:space="0" w:color="auto"/>
                                                                <w:left w:val="none" w:sz="0" w:space="0" w:color="auto"/>
                                                                <w:bottom w:val="none" w:sz="0" w:space="0" w:color="auto"/>
                                                                <w:right w:val="none" w:sz="0" w:space="0" w:color="auto"/>
                                                              </w:divBdr>
                                                              <w:divsChild>
                                                                <w:div w:id="8728263">
                                                                  <w:marLeft w:val="0"/>
                                                                  <w:marRight w:val="0"/>
                                                                  <w:marTop w:val="0"/>
                                                                  <w:marBottom w:val="0"/>
                                                                  <w:divBdr>
                                                                    <w:top w:val="none" w:sz="0" w:space="0" w:color="auto"/>
                                                                    <w:left w:val="none" w:sz="0" w:space="0" w:color="auto"/>
                                                                    <w:bottom w:val="none" w:sz="0" w:space="0" w:color="auto"/>
                                                                    <w:right w:val="none" w:sz="0" w:space="0" w:color="auto"/>
                                                                  </w:divBdr>
                                                                  <w:divsChild>
                                                                    <w:div w:id="780493434">
                                                                      <w:marLeft w:val="0"/>
                                                                      <w:marRight w:val="0"/>
                                                                      <w:marTop w:val="0"/>
                                                                      <w:marBottom w:val="0"/>
                                                                      <w:divBdr>
                                                                        <w:top w:val="none" w:sz="0" w:space="0" w:color="auto"/>
                                                                        <w:left w:val="none" w:sz="0" w:space="0" w:color="auto"/>
                                                                        <w:bottom w:val="none" w:sz="0" w:space="0" w:color="auto"/>
                                                                        <w:right w:val="none" w:sz="0" w:space="0" w:color="auto"/>
                                                                      </w:divBdr>
                                                                      <w:divsChild>
                                                                        <w:div w:id="924337672">
                                                                          <w:marLeft w:val="0"/>
                                                                          <w:marRight w:val="0"/>
                                                                          <w:marTop w:val="0"/>
                                                                          <w:marBottom w:val="0"/>
                                                                          <w:divBdr>
                                                                            <w:top w:val="none" w:sz="0" w:space="0" w:color="auto"/>
                                                                            <w:left w:val="none" w:sz="0" w:space="0" w:color="auto"/>
                                                                            <w:bottom w:val="none" w:sz="0" w:space="0" w:color="auto"/>
                                                                            <w:right w:val="none" w:sz="0" w:space="0" w:color="auto"/>
                                                                          </w:divBdr>
                                                                          <w:divsChild>
                                                                            <w:div w:id="151434197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93511320">
                                                              <w:marLeft w:val="0"/>
                                                              <w:marRight w:val="0"/>
                                                              <w:marTop w:val="0"/>
                                                              <w:marBottom w:val="0"/>
                                                              <w:divBdr>
                                                                <w:top w:val="none" w:sz="0" w:space="0" w:color="auto"/>
                                                                <w:left w:val="none" w:sz="0" w:space="0" w:color="auto"/>
                                                                <w:bottom w:val="none" w:sz="0" w:space="0" w:color="auto"/>
                                                                <w:right w:val="none" w:sz="0" w:space="0" w:color="auto"/>
                                                              </w:divBdr>
                                                              <w:divsChild>
                                                                <w:div w:id="122162319">
                                                                  <w:marLeft w:val="0"/>
                                                                  <w:marRight w:val="0"/>
                                                                  <w:marTop w:val="0"/>
                                                                  <w:marBottom w:val="0"/>
                                                                  <w:divBdr>
                                                                    <w:top w:val="none" w:sz="0" w:space="0" w:color="auto"/>
                                                                    <w:left w:val="none" w:sz="0" w:space="0" w:color="auto"/>
                                                                    <w:bottom w:val="none" w:sz="0" w:space="0" w:color="auto"/>
                                                                    <w:right w:val="none" w:sz="0" w:space="0" w:color="auto"/>
                                                                  </w:divBdr>
                                                                  <w:divsChild>
                                                                    <w:div w:id="429010043">
                                                                      <w:marLeft w:val="0"/>
                                                                      <w:marRight w:val="0"/>
                                                                      <w:marTop w:val="0"/>
                                                                      <w:marBottom w:val="0"/>
                                                                      <w:divBdr>
                                                                        <w:top w:val="none" w:sz="0" w:space="0" w:color="auto"/>
                                                                        <w:left w:val="none" w:sz="0" w:space="0" w:color="auto"/>
                                                                        <w:bottom w:val="none" w:sz="0" w:space="0" w:color="auto"/>
                                                                        <w:right w:val="none" w:sz="0" w:space="0" w:color="auto"/>
                                                                      </w:divBdr>
                                                                      <w:divsChild>
                                                                        <w:div w:id="260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8887">
                                                                  <w:marLeft w:val="0"/>
                                                                  <w:marRight w:val="0"/>
                                                                  <w:marTop w:val="0"/>
                                                                  <w:marBottom w:val="0"/>
                                                                  <w:divBdr>
                                                                    <w:top w:val="none" w:sz="0" w:space="0" w:color="auto"/>
                                                                    <w:left w:val="none" w:sz="0" w:space="0" w:color="auto"/>
                                                                    <w:bottom w:val="none" w:sz="0" w:space="0" w:color="auto"/>
                                                                    <w:right w:val="none" w:sz="0" w:space="0" w:color="auto"/>
                                                                  </w:divBdr>
                                                                  <w:divsChild>
                                                                    <w:div w:id="523052686">
                                                                      <w:marLeft w:val="0"/>
                                                                      <w:marRight w:val="0"/>
                                                                      <w:marTop w:val="0"/>
                                                                      <w:marBottom w:val="0"/>
                                                                      <w:divBdr>
                                                                        <w:top w:val="none" w:sz="0" w:space="0" w:color="auto"/>
                                                                        <w:left w:val="none" w:sz="0" w:space="0" w:color="auto"/>
                                                                        <w:bottom w:val="none" w:sz="0" w:space="0" w:color="auto"/>
                                                                        <w:right w:val="none" w:sz="0" w:space="0" w:color="auto"/>
                                                                      </w:divBdr>
                                                                      <w:divsChild>
                                                                        <w:div w:id="1861360419">
                                                                          <w:marLeft w:val="0"/>
                                                                          <w:marRight w:val="0"/>
                                                                          <w:marTop w:val="0"/>
                                                                          <w:marBottom w:val="0"/>
                                                                          <w:divBdr>
                                                                            <w:top w:val="none" w:sz="0" w:space="0" w:color="auto"/>
                                                                            <w:left w:val="none" w:sz="0" w:space="0" w:color="auto"/>
                                                                            <w:bottom w:val="none" w:sz="0" w:space="0" w:color="auto"/>
                                                                            <w:right w:val="none" w:sz="0" w:space="0" w:color="auto"/>
                                                                          </w:divBdr>
                                                                          <w:divsChild>
                                                                            <w:div w:id="5114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9872">
                                                                  <w:marLeft w:val="0"/>
                                                                  <w:marRight w:val="0"/>
                                                                  <w:marTop w:val="0"/>
                                                                  <w:marBottom w:val="0"/>
                                                                  <w:divBdr>
                                                                    <w:top w:val="none" w:sz="0" w:space="0" w:color="auto"/>
                                                                    <w:left w:val="none" w:sz="0" w:space="0" w:color="auto"/>
                                                                    <w:bottom w:val="none" w:sz="0" w:space="0" w:color="auto"/>
                                                                    <w:right w:val="none" w:sz="0" w:space="0" w:color="auto"/>
                                                                  </w:divBdr>
                                                                  <w:divsChild>
                                                                    <w:div w:id="1246066154">
                                                                      <w:marLeft w:val="0"/>
                                                                      <w:marRight w:val="0"/>
                                                                      <w:marTop w:val="0"/>
                                                                      <w:marBottom w:val="0"/>
                                                                      <w:divBdr>
                                                                        <w:top w:val="none" w:sz="0" w:space="0" w:color="auto"/>
                                                                        <w:left w:val="none" w:sz="0" w:space="0" w:color="auto"/>
                                                                        <w:bottom w:val="none" w:sz="0" w:space="0" w:color="auto"/>
                                                                        <w:right w:val="none" w:sz="0" w:space="0" w:color="auto"/>
                                                                      </w:divBdr>
                                                                      <w:divsChild>
                                                                        <w:div w:id="726025561">
                                                                          <w:marLeft w:val="0"/>
                                                                          <w:marRight w:val="0"/>
                                                                          <w:marTop w:val="0"/>
                                                                          <w:marBottom w:val="0"/>
                                                                          <w:divBdr>
                                                                            <w:top w:val="none" w:sz="0" w:space="0" w:color="auto"/>
                                                                            <w:left w:val="none" w:sz="0" w:space="0" w:color="auto"/>
                                                                            <w:bottom w:val="none" w:sz="0" w:space="0" w:color="auto"/>
                                                                            <w:right w:val="none" w:sz="0" w:space="0" w:color="auto"/>
                                                                          </w:divBdr>
                                                                          <w:divsChild>
                                                                            <w:div w:id="1986201831">
                                                                              <w:marLeft w:val="0"/>
                                                                              <w:marRight w:val="0"/>
                                                                              <w:marTop w:val="60"/>
                                                                              <w:marBottom w:val="0"/>
                                                                              <w:divBdr>
                                                                                <w:top w:val="none" w:sz="0" w:space="0" w:color="auto"/>
                                                                                <w:left w:val="none" w:sz="0" w:space="0" w:color="auto"/>
                                                                                <w:bottom w:val="none" w:sz="0" w:space="0" w:color="auto"/>
                                                                                <w:right w:val="none" w:sz="0" w:space="0" w:color="auto"/>
                                                                              </w:divBdr>
                                                                            </w:div>
                                                                          </w:divsChild>
                                                                        </w:div>
                                                                        <w:div w:id="1120492346">
                                                                          <w:marLeft w:val="0"/>
                                                                          <w:marRight w:val="0"/>
                                                                          <w:marTop w:val="75"/>
                                                                          <w:marBottom w:val="0"/>
                                                                          <w:divBdr>
                                                                            <w:top w:val="none" w:sz="0" w:space="0" w:color="auto"/>
                                                                            <w:left w:val="none" w:sz="0" w:space="0" w:color="auto"/>
                                                                            <w:bottom w:val="none" w:sz="0" w:space="0" w:color="auto"/>
                                                                            <w:right w:val="none" w:sz="0" w:space="0" w:color="auto"/>
                                                                          </w:divBdr>
                                                                          <w:divsChild>
                                                                            <w:div w:id="1137644180">
                                                                              <w:marLeft w:val="0"/>
                                                                              <w:marRight w:val="0"/>
                                                                              <w:marTop w:val="0"/>
                                                                              <w:marBottom w:val="0"/>
                                                                              <w:divBdr>
                                                                                <w:top w:val="none" w:sz="0" w:space="0" w:color="auto"/>
                                                                                <w:left w:val="none" w:sz="0" w:space="0" w:color="auto"/>
                                                                                <w:bottom w:val="none" w:sz="0" w:space="0" w:color="auto"/>
                                                                                <w:right w:val="none" w:sz="0" w:space="0" w:color="auto"/>
                                                                              </w:divBdr>
                                                                              <w:divsChild>
                                                                                <w:div w:id="590353564">
                                                                                  <w:marLeft w:val="0"/>
                                                                                  <w:marRight w:val="0"/>
                                                                                  <w:marTop w:val="0"/>
                                                                                  <w:marBottom w:val="0"/>
                                                                                  <w:divBdr>
                                                                                    <w:top w:val="none" w:sz="0" w:space="0" w:color="auto"/>
                                                                                    <w:left w:val="none" w:sz="0" w:space="0" w:color="auto"/>
                                                                                    <w:bottom w:val="none" w:sz="0" w:space="0" w:color="auto"/>
                                                                                    <w:right w:val="none" w:sz="0" w:space="0" w:color="auto"/>
                                                                                  </w:divBdr>
                                                                                </w:div>
                                                                                <w:div w:id="1126389373">
                                                                                  <w:marLeft w:val="0"/>
                                                                                  <w:marRight w:val="0"/>
                                                                                  <w:marTop w:val="0"/>
                                                                                  <w:marBottom w:val="0"/>
                                                                                  <w:divBdr>
                                                                                    <w:top w:val="none" w:sz="0" w:space="0" w:color="auto"/>
                                                                                    <w:left w:val="none" w:sz="0" w:space="0" w:color="auto"/>
                                                                                    <w:bottom w:val="none" w:sz="0" w:space="0" w:color="auto"/>
                                                                                    <w:right w:val="none" w:sz="0" w:space="0" w:color="auto"/>
                                                                                  </w:divBdr>
                                                                                </w:div>
                                                                                <w:div w:id="18040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40997681">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005192">
      <w:bodyDiv w:val="1"/>
      <w:marLeft w:val="0"/>
      <w:marRight w:val="0"/>
      <w:marTop w:val="0"/>
      <w:marBottom w:val="0"/>
      <w:divBdr>
        <w:top w:val="none" w:sz="0" w:space="0" w:color="auto"/>
        <w:left w:val="none" w:sz="0" w:space="0" w:color="auto"/>
        <w:bottom w:val="none" w:sz="0" w:space="0" w:color="auto"/>
        <w:right w:val="none" w:sz="0" w:space="0" w:color="auto"/>
      </w:divBdr>
    </w:div>
    <w:div w:id="1206287792">
      <w:bodyDiv w:val="1"/>
      <w:marLeft w:val="0"/>
      <w:marRight w:val="0"/>
      <w:marTop w:val="0"/>
      <w:marBottom w:val="0"/>
      <w:divBdr>
        <w:top w:val="none" w:sz="0" w:space="0" w:color="auto"/>
        <w:left w:val="none" w:sz="0" w:space="0" w:color="auto"/>
        <w:bottom w:val="none" w:sz="0" w:space="0" w:color="auto"/>
        <w:right w:val="none" w:sz="0" w:space="0" w:color="auto"/>
      </w:divBdr>
    </w:div>
    <w:div w:id="1210651333">
      <w:bodyDiv w:val="1"/>
      <w:marLeft w:val="0"/>
      <w:marRight w:val="0"/>
      <w:marTop w:val="0"/>
      <w:marBottom w:val="0"/>
      <w:divBdr>
        <w:top w:val="none" w:sz="0" w:space="0" w:color="auto"/>
        <w:left w:val="none" w:sz="0" w:space="0" w:color="auto"/>
        <w:bottom w:val="none" w:sz="0" w:space="0" w:color="auto"/>
        <w:right w:val="none" w:sz="0" w:space="0" w:color="auto"/>
      </w:divBdr>
    </w:div>
    <w:div w:id="1346857117">
      <w:bodyDiv w:val="1"/>
      <w:marLeft w:val="0"/>
      <w:marRight w:val="0"/>
      <w:marTop w:val="0"/>
      <w:marBottom w:val="0"/>
      <w:divBdr>
        <w:top w:val="none" w:sz="0" w:space="0" w:color="auto"/>
        <w:left w:val="none" w:sz="0" w:space="0" w:color="auto"/>
        <w:bottom w:val="none" w:sz="0" w:space="0" w:color="auto"/>
        <w:right w:val="none" w:sz="0" w:space="0" w:color="auto"/>
      </w:divBdr>
    </w:div>
    <w:div w:id="1686520266">
      <w:bodyDiv w:val="1"/>
      <w:marLeft w:val="0"/>
      <w:marRight w:val="0"/>
      <w:marTop w:val="0"/>
      <w:marBottom w:val="0"/>
      <w:divBdr>
        <w:top w:val="none" w:sz="0" w:space="0" w:color="auto"/>
        <w:left w:val="none" w:sz="0" w:space="0" w:color="auto"/>
        <w:bottom w:val="none" w:sz="0" w:space="0" w:color="auto"/>
        <w:right w:val="none" w:sz="0" w:space="0" w:color="auto"/>
      </w:divBdr>
    </w:div>
    <w:div w:id="1822426429">
      <w:bodyDiv w:val="1"/>
      <w:marLeft w:val="0"/>
      <w:marRight w:val="0"/>
      <w:marTop w:val="0"/>
      <w:marBottom w:val="0"/>
      <w:divBdr>
        <w:top w:val="none" w:sz="0" w:space="0" w:color="auto"/>
        <w:left w:val="none" w:sz="0" w:space="0" w:color="auto"/>
        <w:bottom w:val="none" w:sz="0" w:space="0" w:color="auto"/>
        <w:right w:val="none" w:sz="0" w:space="0" w:color="auto"/>
      </w:divBdr>
      <w:divsChild>
        <w:div w:id="1106341154">
          <w:marLeft w:val="0"/>
          <w:marRight w:val="0"/>
          <w:marTop w:val="0"/>
          <w:marBottom w:val="0"/>
          <w:divBdr>
            <w:top w:val="none" w:sz="0" w:space="0" w:color="auto"/>
            <w:left w:val="none" w:sz="0" w:space="0" w:color="auto"/>
            <w:bottom w:val="none" w:sz="0" w:space="0" w:color="auto"/>
            <w:right w:val="none" w:sz="0" w:space="0" w:color="auto"/>
          </w:divBdr>
          <w:divsChild>
            <w:div w:id="809828877">
              <w:marLeft w:val="0"/>
              <w:marRight w:val="0"/>
              <w:marTop w:val="0"/>
              <w:marBottom w:val="0"/>
              <w:divBdr>
                <w:top w:val="none" w:sz="0" w:space="0" w:color="auto"/>
                <w:left w:val="none" w:sz="0" w:space="0" w:color="auto"/>
                <w:bottom w:val="none" w:sz="0" w:space="0" w:color="auto"/>
                <w:right w:val="none" w:sz="0" w:space="0" w:color="auto"/>
              </w:divBdr>
              <w:divsChild>
                <w:div w:id="15578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057">
      <w:bodyDiv w:val="1"/>
      <w:marLeft w:val="0"/>
      <w:marRight w:val="0"/>
      <w:marTop w:val="0"/>
      <w:marBottom w:val="0"/>
      <w:divBdr>
        <w:top w:val="none" w:sz="0" w:space="0" w:color="auto"/>
        <w:left w:val="none" w:sz="0" w:space="0" w:color="auto"/>
        <w:bottom w:val="none" w:sz="0" w:space="0" w:color="auto"/>
        <w:right w:val="none" w:sz="0" w:space="0" w:color="auto"/>
      </w:divBdr>
      <w:divsChild>
        <w:div w:id="1296905790">
          <w:marLeft w:val="0"/>
          <w:marRight w:val="0"/>
          <w:marTop w:val="0"/>
          <w:marBottom w:val="0"/>
          <w:divBdr>
            <w:top w:val="none" w:sz="0" w:space="0" w:color="auto"/>
            <w:left w:val="none" w:sz="0" w:space="0" w:color="auto"/>
            <w:bottom w:val="none" w:sz="0" w:space="0" w:color="auto"/>
            <w:right w:val="none" w:sz="0" w:space="0" w:color="auto"/>
          </w:divBdr>
          <w:divsChild>
            <w:div w:id="1648851421">
              <w:marLeft w:val="0"/>
              <w:marRight w:val="0"/>
              <w:marTop w:val="0"/>
              <w:marBottom w:val="0"/>
              <w:divBdr>
                <w:top w:val="none" w:sz="0" w:space="0" w:color="auto"/>
                <w:left w:val="none" w:sz="0" w:space="0" w:color="auto"/>
                <w:bottom w:val="none" w:sz="0" w:space="0" w:color="auto"/>
                <w:right w:val="none" w:sz="0" w:space="0" w:color="auto"/>
              </w:divBdr>
              <w:divsChild>
                <w:div w:id="60956673">
                  <w:marLeft w:val="0"/>
                  <w:marRight w:val="0"/>
                  <w:marTop w:val="0"/>
                  <w:marBottom w:val="0"/>
                  <w:divBdr>
                    <w:top w:val="none" w:sz="0" w:space="0" w:color="auto"/>
                    <w:left w:val="none" w:sz="0" w:space="0" w:color="auto"/>
                    <w:bottom w:val="none" w:sz="0" w:space="0" w:color="auto"/>
                    <w:right w:val="none" w:sz="0" w:space="0" w:color="auto"/>
                  </w:divBdr>
                  <w:divsChild>
                    <w:div w:id="12445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1486">
      <w:bodyDiv w:val="1"/>
      <w:marLeft w:val="0"/>
      <w:marRight w:val="0"/>
      <w:marTop w:val="0"/>
      <w:marBottom w:val="0"/>
      <w:divBdr>
        <w:top w:val="none" w:sz="0" w:space="0" w:color="auto"/>
        <w:left w:val="none" w:sz="0" w:space="0" w:color="auto"/>
        <w:bottom w:val="none" w:sz="0" w:space="0" w:color="auto"/>
        <w:right w:val="none" w:sz="0" w:space="0" w:color="auto"/>
      </w:divBdr>
      <w:divsChild>
        <w:div w:id="1141774030">
          <w:marLeft w:val="0"/>
          <w:marRight w:val="0"/>
          <w:marTop w:val="0"/>
          <w:marBottom w:val="0"/>
          <w:divBdr>
            <w:top w:val="none" w:sz="0" w:space="0" w:color="auto"/>
            <w:left w:val="none" w:sz="0" w:space="0" w:color="auto"/>
            <w:bottom w:val="none" w:sz="0" w:space="0" w:color="auto"/>
            <w:right w:val="none" w:sz="0" w:space="0" w:color="auto"/>
          </w:divBdr>
          <w:divsChild>
            <w:div w:id="525680539">
              <w:marLeft w:val="0"/>
              <w:marRight w:val="0"/>
              <w:marTop w:val="0"/>
              <w:marBottom w:val="0"/>
              <w:divBdr>
                <w:top w:val="none" w:sz="0" w:space="0" w:color="auto"/>
                <w:left w:val="none" w:sz="0" w:space="0" w:color="auto"/>
                <w:bottom w:val="none" w:sz="0" w:space="0" w:color="auto"/>
                <w:right w:val="none" w:sz="0" w:space="0" w:color="auto"/>
              </w:divBdr>
              <w:divsChild>
                <w:div w:id="956332188">
                  <w:marLeft w:val="0"/>
                  <w:marRight w:val="0"/>
                  <w:marTop w:val="100"/>
                  <w:marBottom w:val="100"/>
                  <w:divBdr>
                    <w:top w:val="none" w:sz="0" w:space="0" w:color="auto"/>
                    <w:left w:val="none" w:sz="0" w:space="0" w:color="auto"/>
                    <w:bottom w:val="none" w:sz="0" w:space="0" w:color="auto"/>
                    <w:right w:val="none" w:sz="0" w:space="0" w:color="auto"/>
                  </w:divBdr>
                  <w:divsChild>
                    <w:div w:id="648366383">
                      <w:marLeft w:val="0"/>
                      <w:marRight w:val="0"/>
                      <w:marTop w:val="0"/>
                      <w:marBottom w:val="0"/>
                      <w:divBdr>
                        <w:top w:val="none" w:sz="0" w:space="0" w:color="auto"/>
                        <w:left w:val="none" w:sz="0" w:space="0" w:color="auto"/>
                        <w:bottom w:val="none" w:sz="0" w:space="0" w:color="auto"/>
                        <w:right w:val="none" w:sz="0" w:space="0" w:color="auto"/>
                      </w:divBdr>
                      <w:divsChild>
                        <w:div w:id="290597718">
                          <w:marLeft w:val="0"/>
                          <w:marRight w:val="0"/>
                          <w:marTop w:val="0"/>
                          <w:marBottom w:val="0"/>
                          <w:divBdr>
                            <w:top w:val="none" w:sz="0" w:space="0" w:color="auto"/>
                            <w:left w:val="none" w:sz="0" w:space="0" w:color="auto"/>
                            <w:bottom w:val="none" w:sz="0" w:space="0" w:color="auto"/>
                            <w:right w:val="none" w:sz="0" w:space="0" w:color="auto"/>
                          </w:divBdr>
                          <w:divsChild>
                            <w:div w:id="839466669">
                              <w:marLeft w:val="0"/>
                              <w:marRight w:val="0"/>
                              <w:marTop w:val="0"/>
                              <w:marBottom w:val="0"/>
                              <w:divBdr>
                                <w:top w:val="none" w:sz="0" w:space="0" w:color="auto"/>
                                <w:left w:val="none" w:sz="0" w:space="0" w:color="auto"/>
                                <w:bottom w:val="none" w:sz="0" w:space="0" w:color="auto"/>
                                <w:right w:val="none" w:sz="0" w:space="0" w:color="auto"/>
                              </w:divBdr>
                              <w:divsChild>
                                <w:div w:id="2146240053">
                                  <w:marLeft w:val="0"/>
                                  <w:marRight w:val="0"/>
                                  <w:marTop w:val="0"/>
                                  <w:marBottom w:val="0"/>
                                  <w:divBdr>
                                    <w:top w:val="none" w:sz="0" w:space="0" w:color="auto"/>
                                    <w:left w:val="none" w:sz="0" w:space="0" w:color="auto"/>
                                    <w:bottom w:val="none" w:sz="0" w:space="0" w:color="auto"/>
                                    <w:right w:val="none" w:sz="0" w:space="0" w:color="auto"/>
                                  </w:divBdr>
                                  <w:divsChild>
                                    <w:div w:id="1167985838">
                                      <w:marLeft w:val="0"/>
                                      <w:marRight w:val="0"/>
                                      <w:marTop w:val="0"/>
                                      <w:marBottom w:val="0"/>
                                      <w:divBdr>
                                        <w:top w:val="none" w:sz="0" w:space="0" w:color="auto"/>
                                        <w:left w:val="none" w:sz="0" w:space="0" w:color="auto"/>
                                        <w:bottom w:val="none" w:sz="0" w:space="0" w:color="auto"/>
                                        <w:right w:val="none" w:sz="0" w:space="0" w:color="auto"/>
                                      </w:divBdr>
                                      <w:divsChild>
                                        <w:div w:id="1831406257">
                                          <w:marLeft w:val="0"/>
                                          <w:marRight w:val="0"/>
                                          <w:marTop w:val="0"/>
                                          <w:marBottom w:val="0"/>
                                          <w:divBdr>
                                            <w:top w:val="none" w:sz="0" w:space="0" w:color="auto"/>
                                            <w:left w:val="none" w:sz="0" w:space="0" w:color="auto"/>
                                            <w:bottom w:val="none" w:sz="0" w:space="0" w:color="auto"/>
                                            <w:right w:val="none" w:sz="0" w:space="0" w:color="auto"/>
                                          </w:divBdr>
                                          <w:divsChild>
                                            <w:div w:id="1887834716">
                                              <w:marLeft w:val="0"/>
                                              <w:marRight w:val="0"/>
                                              <w:marTop w:val="0"/>
                                              <w:marBottom w:val="0"/>
                                              <w:divBdr>
                                                <w:top w:val="none" w:sz="0" w:space="0" w:color="auto"/>
                                                <w:left w:val="none" w:sz="0" w:space="0" w:color="auto"/>
                                                <w:bottom w:val="none" w:sz="0" w:space="0" w:color="auto"/>
                                                <w:right w:val="none" w:sz="0" w:space="0" w:color="auto"/>
                                              </w:divBdr>
                                              <w:divsChild>
                                                <w:div w:id="855118278">
                                                  <w:marLeft w:val="0"/>
                                                  <w:marRight w:val="300"/>
                                                  <w:marTop w:val="0"/>
                                                  <w:marBottom w:val="0"/>
                                                  <w:divBdr>
                                                    <w:top w:val="none" w:sz="0" w:space="0" w:color="auto"/>
                                                    <w:left w:val="none" w:sz="0" w:space="0" w:color="auto"/>
                                                    <w:bottom w:val="none" w:sz="0" w:space="0" w:color="auto"/>
                                                    <w:right w:val="none" w:sz="0" w:space="0" w:color="auto"/>
                                                  </w:divBdr>
                                                  <w:divsChild>
                                                    <w:div w:id="47609886">
                                                      <w:marLeft w:val="0"/>
                                                      <w:marRight w:val="0"/>
                                                      <w:marTop w:val="0"/>
                                                      <w:marBottom w:val="0"/>
                                                      <w:divBdr>
                                                        <w:top w:val="none" w:sz="0" w:space="0" w:color="auto"/>
                                                        <w:left w:val="none" w:sz="0" w:space="0" w:color="auto"/>
                                                        <w:bottom w:val="none" w:sz="0" w:space="0" w:color="auto"/>
                                                        <w:right w:val="none" w:sz="0" w:space="0" w:color="auto"/>
                                                      </w:divBdr>
                                                      <w:divsChild>
                                                        <w:div w:id="2120948818">
                                                          <w:marLeft w:val="0"/>
                                                          <w:marRight w:val="0"/>
                                                          <w:marTop w:val="0"/>
                                                          <w:marBottom w:val="300"/>
                                                          <w:divBdr>
                                                            <w:top w:val="single" w:sz="6" w:space="0" w:color="CCCCCC"/>
                                                            <w:left w:val="none" w:sz="0" w:space="0" w:color="auto"/>
                                                            <w:bottom w:val="none" w:sz="0" w:space="0" w:color="auto"/>
                                                            <w:right w:val="none" w:sz="0" w:space="0" w:color="auto"/>
                                                          </w:divBdr>
                                                          <w:divsChild>
                                                            <w:div w:id="1659114093">
                                                              <w:marLeft w:val="0"/>
                                                              <w:marRight w:val="0"/>
                                                              <w:marTop w:val="0"/>
                                                              <w:marBottom w:val="0"/>
                                                              <w:divBdr>
                                                                <w:top w:val="none" w:sz="0" w:space="0" w:color="auto"/>
                                                                <w:left w:val="none" w:sz="0" w:space="0" w:color="auto"/>
                                                                <w:bottom w:val="none" w:sz="0" w:space="0" w:color="auto"/>
                                                                <w:right w:val="none" w:sz="0" w:space="0" w:color="auto"/>
                                                              </w:divBdr>
                                                              <w:divsChild>
                                                                <w:div w:id="469830432">
                                                                  <w:marLeft w:val="0"/>
                                                                  <w:marRight w:val="0"/>
                                                                  <w:marTop w:val="0"/>
                                                                  <w:marBottom w:val="0"/>
                                                                  <w:divBdr>
                                                                    <w:top w:val="none" w:sz="0" w:space="0" w:color="auto"/>
                                                                    <w:left w:val="none" w:sz="0" w:space="0" w:color="auto"/>
                                                                    <w:bottom w:val="none" w:sz="0" w:space="0" w:color="auto"/>
                                                                    <w:right w:val="none" w:sz="0" w:space="0" w:color="auto"/>
                                                                  </w:divBdr>
                                                                  <w:divsChild>
                                                                    <w:div w:id="388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scp/index.cfm?pg=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14A7-B272-45EC-8D81-746529E9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14</Pages>
  <Words>5273</Words>
  <Characters>30322</Characters>
  <Application>Microsoft Office Word</Application>
  <DocSecurity>0</DocSecurity>
  <Lines>705</Lines>
  <Paragraphs>254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73</cp:revision>
  <cp:lastPrinted>2016-04-22T11:01:00Z</cp:lastPrinted>
  <dcterms:created xsi:type="dcterms:W3CDTF">2016-04-28T09:46:00Z</dcterms:created>
  <dcterms:modified xsi:type="dcterms:W3CDTF">2016-05-30T13:44:00Z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