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797" w:rsidRPr="00C36797" w:rsidRDefault="00044D60" w:rsidP="00044D60">
      <w:pPr>
        <w:pStyle w:val="Pagedecouverture"/>
        <w:rPr>
          <w:noProof/>
        </w:rPr>
      </w:pPr>
      <w:bookmarkStart w:id="0" w:name="_Toc440386882"/>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06B1D0CF1A144F884A9D86EE77CDC70" style="width:450.8pt;height:320.8pt">
            <v:imagedata r:id="rId9" o:title=""/>
          </v:shape>
        </w:pict>
      </w:r>
    </w:p>
    <w:bookmarkEnd w:id="1"/>
    <w:p w:rsidR="00C36797" w:rsidRPr="00C36797" w:rsidRDefault="00C36797" w:rsidP="00C36797">
      <w:pPr>
        <w:widowControl/>
        <w:autoSpaceDE/>
        <w:autoSpaceDN/>
        <w:adjustRightInd/>
        <w:spacing w:before="120" w:after="120"/>
        <w:jc w:val="both"/>
        <w:rPr>
          <w:noProof/>
          <w:sz w:val="24"/>
          <w:szCs w:val="24"/>
        </w:rPr>
        <w:sectPr w:rsidR="00C36797" w:rsidRPr="00C36797" w:rsidSect="00044D60">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aperSrc w:first="15" w:other="15"/>
          <w:pgNumType w:start="1"/>
          <w:cols w:space="720"/>
          <w:docGrid w:linePitch="326"/>
        </w:sectPr>
      </w:pPr>
    </w:p>
    <w:p w:rsidR="009555DC" w:rsidRDefault="009555DC" w:rsidP="009555DC">
      <w:pPr>
        <w:rPr>
          <w:b/>
          <w:sz w:val="28"/>
          <w:szCs w:val="28"/>
        </w:rPr>
      </w:pPr>
    </w:p>
    <w:p w:rsidR="009555DC" w:rsidRPr="002510A6" w:rsidRDefault="009555DC" w:rsidP="009555DC">
      <w:pPr>
        <w:widowControl/>
        <w:autoSpaceDE/>
        <w:autoSpaceDN/>
        <w:adjustRightInd/>
        <w:spacing w:before="120" w:after="240"/>
        <w:jc w:val="center"/>
        <w:rPr>
          <w:b/>
          <w:noProof/>
          <w:sz w:val="28"/>
          <w:szCs w:val="24"/>
        </w:rPr>
      </w:pPr>
      <w:r>
        <w:rPr>
          <w:b/>
          <w:noProof/>
          <w:sz w:val="28"/>
        </w:rPr>
        <w:t>Table des matières</w:t>
      </w:r>
    </w:p>
    <w:p w:rsidR="00516DBD" w:rsidRDefault="00516DBD">
      <w:pPr>
        <w:pStyle w:val="TOC1"/>
        <w:tabs>
          <w:tab w:val="left" w:pos="440"/>
          <w:tab w:val="right" w:leader="dot" w:pos="9062"/>
        </w:tabs>
        <w:rPr>
          <w:rFonts w:asciiTheme="minorHAnsi" w:eastAsiaTheme="minorEastAsia" w:hAnsiTheme="minorHAnsi" w:cstheme="minorBidi"/>
          <w:noProof/>
          <w:sz w:val="22"/>
          <w:szCs w:val="22"/>
          <w:lang w:val="en-GB" w:eastAsia="en-GB" w:bidi="ar-SA"/>
        </w:rPr>
      </w:pPr>
      <w:r>
        <w:rPr>
          <w:noProof/>
          <w:sz w:val="24"/>
          <w:szCs w:val="24"/>
        </w:rPr>
        <w:fldChar w:fldCharType="begin"/>
      </w:r>
      <w:r w:rsidR="009555DC">
        <w:rPr>
          <w:noProof/>
          <w:sz w:val="24"/>
          <w:szCs w:val="24"/>
        </w:rPr>
        <w:instrText xml:space="preserve"> TOC \o "1-3" \h \z \u </w:instrText>
      </w:r>
      <w:r>
        <w:rPr>
          <w:noProof/>
          <w:sz w:val="24"/>
          <w:szCs w:val="24"/>
        </w:rPr>
        <w:fldChar w:fldCharType="separate"/>
      </w:r>
      <w:hyperlink w:anchor="_Toc452020082" w:history="1">
        <w:r w:rsidRPr="00AE7900">
          <w:rPr>
            <w:rStyle w:val="Hyperlink"/>
            <w:b/>
            <w:bCs/>
            <w:smallCaps/>
            <w:noProof/>
          </w:rPr>
          <w:t>1.</w:t>
        </w:r>
        <w:r>
          <w:rPr>
            <w:rFonts w:asciiTheme="minorHAnsi" w:eastAsiaTheme="minorEastAsia" w:hAnsiTheme="minorHAnsi" w:cstheme="minorBidi"/>
            <w:noProof/>
            <w:sz w:val="22"/>
            <w:szCs w:val="22"/>
            <w:lang w:val="en-GB" w:eastAsia="en-GB" w:bidi="ar-SA"/>
          </w:rPr>
          <w:tab/>
        </w:r>
        <w:r w:rsidRPr="00AE7900">
          <w:rPr>
            <w:rStyle w:val="Hyperlink"/>
            <w:b/>
            <w:smallCaps/>
            <w:noProof/>
          </w:rPr>
          <w:t>Introduction</w:t>
        </w:r>
        <w:r>
          <w:rPr>
            <w:noProof/>
            <w:webHidden/>
          </w:rPr>
          <w:tab/>
        </w:r>
        <w:r>
          <w:rPr>
            <w:noProof/>
            <w:webHidden/>
          </w:rPr>
          <w:fldChar w:fldCharType="begin"/>
        </w:r>
        <w:r>
          <w:rPr>
            <w:noProof/>
            <w:webHidden/>
          </w:rPr>
          <w:instrText xml:space="preserve"> PAGEREF _Toc452020082 \h </w:instrText>
        </w:r>
        <w:r>
          <w:rPr>
            <w:noProof/>
            <w:webHidden/>
          </w:rPr>
        </w:r>
        <w:r>
          <w:rPr>
            <w:noProof/>
            <w:webHidden/>
          </w:rPr>
          <w:fldChar w:fldCharType="separate"/>
        </w:r>
        <w:r w:rsidR="00044D60">
          <w:rPr>
            <w:noProof/>
            <w:webHidden/>
          </w:rPr>
          <w:t>3</w:t>
        </w:r>
        <w:r>
          <w:rPr>
            <w:noProof/>
            <w:webHidden/>
          </w:rPr>
          <w:fldChar w:fldCharType="end"/>
        </w:r>
      </w:hyperlink>
    </w:p>
    <w:p w:rsidR="00516DBD" w:rsidRDefault="009478C1">
      <w:pPr>
        <w:pStyle w:val="TOC1"/>
        <w:tabs>
          <w:tab w:val="left" w:pos="440"/>
          <w:tab w:val="right" w:leader="dot" w:pos="9062"/>
        </w:tabs>
        <w:rPr>
          <w:rFonts w:asciiTheme="minorHAnsi" w:eastAsiaTheme="minorEastAsia" w:hAnsiTheme="minorHAnsi" w:cstheme="minorBidi"/>
          <w:noProof/>
          <w:sz w:val="22"/>
          <w:szCs w:val="22"/>
          <w:lang w:val="en-GB" w:eastAsia="en-GB" w:bidi="ar-SA"/>
        </w:rPr>
      </w:pPr>
      <w:hyperlink w:anchor="_Toc452020083" w:history="1">
        <w:r w:rsidR="00516DBD" w:rsidRPr="00AE7900">
          <w:rPr>
            <w:rStyle w:val="Hyperlink"/>
            <w:b/>
            <w:smallCaps/>
            <w:noProof/>
          </w:rPr>
          <w:t>2.</w:t>
        </w:r>
        <w:r w:rsidR="00516DBD">
          <w:rPr>
            <w:rFonts w:asciiTheme="minorHAnsi" w:eastAsiaTheme="minorEastAsia" w:hAnsiTheme="minorHAnsi" w:cstheme="minorBidi"/>
            <w:noProof/>
            <w:sz w:val="22"/>
            <w:szCs w:val="22"/>
            <w:lang w:val="en-GB" w:eastAsia="en-GB" w:bidi="ar-SA"/>
          </w:rPr>
          <w:tab/>
        </w:r>
        <w:r w:rsidR="00516DBD" w:rsidRPr="00AE7900">
          <w:rPr>
            <w:rStyle w:val="Hyperlink"/>
            <w:b/>
            <w:smallCaps/>
            <w:noProof/>
          </w:rPr>
          <w:t>Contexte opérationnel</w:t>
        </w:r>
        <w:r w:rsidR="00516DBD">
          <w:rPr>
            <w:noProof/>
            <w:webHidden/>
          </w:rPr>
          <w:tab/>
        </w:r>
        <w:r w:rsidR="00516DBD">
          <w:rPr>
            <w:noProof/>
            <w:webHidden/>
          </w:rPr>
          <w:fldChar w:fldCharType="begin"/>
        </w:r>
        <w:r w:rsidR="00516DBD">
          <w:rPr>
            <w:noProof/>
            <w:webHidden/>
          </w:rPr>
          <w:instrText xml:space="preserve"> PAGEREF _Toc452020083 \h </w:instrText>
        </w:r>
        <w:r w:rsidR="00516DBD">
          <w:rPr>
            <w:noProof/>
            <w:webHidden/>
          </w:rPr>
        </w:r>
        <w:r w:rsidR="00516DBD">
          <w:rPr>
            <w:noProof/>
            <w:webHidden/>
          </w:rPr>
          <w:fldChar w:fldCharType="separate"/>
        </w:r>
        <w:r w:rsidR="00044D60">
          <w:rPr>
            <w:noProof/>
            <w:webHidden/>
          </w:rPr>
          <w:t>3</w:t>
        </w:r>
        <w:r w:rsidR="00516DBD">
          <w:rPr>
            <w:noProof/>
            <w:webHidden/>
          </w:rPr>
          <w:fldChar w:fldCharType="end"/>
        </w:r>
      </w:hyperlink>
    </w:p>
    <w:p w:rsidR="00516DBD" w:rsidRDefault="009478C1">
      <w:pPr>
        <w:pStyle w:val="TOC1"/>
        <w:tabs>
          <w:tab w:val="left" w:pos="440"/>
          <w:tab w:val="right" w:leader="dot" w:pos="9062"/>
        </w:tabs>
        <w:rPr>
          <w:rFonts w:asciiTheme="minorHAnsi" w:eastAsiaTheme="minorEastAsia" w:hAnsiTheme="minorHAnsi" w:cstheme="minorBidi"/>
          <w:noProof/>
          <w:sz w:val="22"/>
          <w:szCs w:val="22"/>
          <w:lang w:val="en-GB" w:eastAsia="en-GB" w:bidi="ar-SA"/>
        </w:rPr>
      </w:pPr>
      <w:hyperlink w:anchor="_Toc452020084" w:history="1">
        <w:r w:rsidR="00516DBD" w:rsidRPr="00AE7900">
          <w:rPr>
            <w:rStyle w:val="Hyperlink"/>
            <w:b/>
            <w:bCs/>
            <w:smallCaps/>
            <w:noProof/>
          </w:rPr>
          <w:t>3.</w:t>
        </w:r>
        <w:r w:rsidR="00516DBD">
          <w:rPr>
            <w:rFonts w:asciiTheme="minorHAnsi" w:eastAsiaTheme="minorEastAsia" w:hAnsiTheme="minorHAnsi" w:cstheme="minorBidi"/>
            <w:noProof/>
            <w:sz w:val="22"/>
            <w:szCs w:val="22"/>
            <w:lang w:val="en-GB" w:eastAsia="en-GB" w:bidi="ar-SA"/>
          </w:rPr>
          <w:tab/>
        </w:r>
        <w:r w:rsidR="00516DBD" w:rsidRPr="00AE7900">
          <w:rPr>
            <w:rStyle w:val="Hyperlink"/>
            <w:b/>
            <w:smallCaps/>
            <w:noProof/>
          </w:rPr>
          <w:t>Comptes financiers</w:t>
        </w:r>
        <w:r w:rsidR="00516DBD">
          <w:rPr>
            <w:noProof/>
            <w:webHidden/>
          </w:rPr>
          <w:tab/>
        </w:r>
        <w:r w:rsidR="00516DBD">
          <w:rPr>
            <w:noProof/>
            <w:webHidden/>
          </w:rPr>
          <w:fldChar w:fldCharType="begin"/>
        </w:r>
        <w:r w:rsidR="00516DBD">
          <w:rPr>
            <w:noProof/>
            <w:webHidden/>
          </w:rPr>
          <w:instrText xml:space="preserve"> PAGEREF _Toc452020084 \h </w:instrText>
        </w:r>
        <w:r w:rsidR="00516DBD">
          <w:rPr>
            <w:noProof/>
            <w:webHidden/>
          </w:rPr>
        </w:r>
        <w:r w:rsidR="00516DBD">
          <w:rPr>
            <w:noProof/>
            <w:webHidden/>
          </w:rPr>
          <w:fldChar w:fldCharType="separate"/>
        </w:r>
        <w:r w:rsidR="00044D60">
          <w:rPr>
            <w:noProof/>
            <w:webHidden/>
          </w:rPr>
          <w:t>4</w:t>
        </w:r>
        <w:r w:rsidR="00516DBD">
          <w:rPr>
            <w:noProof/>
            <w:webHidden/>
          </w:rPr>
          <w:fldChar w:fldCharType="end"/>
        </w:r>
      </w:hyperlink>
    </w:p>
    <w:p w:rsidR="00516DBD" w:rsidRDefault="009478C1">
      <w:pPr>
        <w:pStyle w:val="TOC1"/>
        <w:tabs>
          <w:tab w:val="left" w:pos="440"/>
          <w:tab w:val="right" w:leader="dot" w:pos="9062"/>
        </w:tabs>
        <w:rPr>
          <w:rFonts w:asciiTheme="minorHAnsi" w:eastAsiaTheme="minorEastAsia" w:hAnsiTheme="minorHAnsi" w:cstheme="minorBidi"/>
          <w:noProof/>
          <w:sz w:val="22"/>
          <w:szCs w:val="22"/>
          <w:lang w:val="en-GB" w:eastAsia="en-GB" w:bidi="ar-SA"/>
        </w:rPr>
      </w:pPr>
      <w:hyperlink w:anchor="_Toc452020085" w:history="1">
        <w:r w:rsidR="00516DBD" w:rsidRPr="00AE7900">
          <w:rPr>
            <w:rStyle w:val="Hyperlink"/>
            <w:b/>
            <w:bCs/>
            <w:smallCaps/>
            <w:noProof/>
          </w:rPr>
          <w:t>4.</w:t>
        </w:r>
        <w:r w:rsidR="00516DBD">
          <w:rPr>
            <w:rFonts w:asciiTheme="minorHAnsi" w:eastAsiaTheme="minorEastAsia" w:hAnsiTheme="minorHAnsi" w:cstheme="minorBidi"/>
            <w:noProof/>
            <w:sz w:val="22"/>
            <w:szCs w:val="22"/>
            <w:lang w:val="en-GB" w:eastAsia="en-GB" w:bidi="ar-SA"/>
          </w:rPr>
          <w:tab/>
        </w:r>
        <w:r w:rsidR="00516DBD" w:rsidRPr="00AE7900">
          <w:rPr>
            <w:rStyle w:val="Hyperlink"/>
            <w:b/>
            <w:smallCaps/>
            <w:noProof/>
          </w:rPr>
          <w:t>Gestion du fonds de garantie EFSI en 2015</w:t>
        </w:r>
        <w:r w:rsidR="00516DBD">
          <w:rPr>
            <w:noProof/>
            <w:webHidden/>
          </w:rPr>
          <w:tab/>
        </w:r>
        <w:r w:rsidR="00516DBD">
          <w:rPr>
            <w:noProof/>
            <w:webHidden/>
          </w:rPr>
          <w:fldChar w:fldCharType="begin"/>
        </w:r>
        <w:r w:rsidR="00516DBD">
          <w:rPr>
            <w:noProof/>
            <w:webHidden/>
          </w:rPr>
          <w:instrText xml:space="preserve"> PAGEREF _Toc452020085 \h </w:instrText>
        </w:r>
        <w:r w:rsidR="00516DBD">
          <w:rPr>
            <w:noProof/>
            <w:webHidden/>
          </w:rPr>
        </w:r>
        <w:r w:rsidR="00516DBD">
          <w:rPr>
            <w:noProof/>
            <w:webHidden/>
          </w:rPr>
          <w:fldChar w:fldCharType="separate"/>
        </w:r>
        <w:r w:rsidR="00044D60">
          <w:rPr>
            <w:noProof/>
            <w:webHidden/>
          </w:rPr>
          <w:t>4</w:t>
        </w:r>
        <w:r w:rsidR="00516DBD">
          <w:rPr>
            <w:noProof/>
            <w:webHidden/>
          </w:rPr>
          <w:fldChar w:fldCharType="end"/>
        </w:r>
      </w:hyperlink>
    </w:p>
    <w:p w:rsidR="00516DBD" w:rsidRDefault="009478C1">
      <w:pPr>
        <w:pStyle w:val="TOC1"/>
        <w:tabs>
          <w:tab w:val="left" w:pos="440"/>
          <w:tab w:val="right" w:leader="dot" w:pos="9062"/>
        </w:tabs>
        <w:rPr>
          <w:rFonts w:asciiTheme="minorHAnsi" w:eastAsiaTheme="minorEastAsia" w:hAnsiTheme="minorHAnsi" w:cstheme="minorBidi"/>
          <w:noProof/>
          <w:sz w:val="22"/>
          <w:szCs w:val="22"/>
          <w:lang w:val="en-GB" w:eastAsia="en-GB" w:bidi="ar-SA"/>
        </w:rPr>
      </w:pPr>
      <w:hyperlink w:anchor="_Toc452020086" w:history="1">
        <w:r w:rsidR="00516DBD" w:rsidRPr="00AE7900">
          <w:rPr>
            <w:rStyle w:val="Hyperlink"/>
            <w:b/>
            <w:bCs/>
            <w:smallCaps/>
            <w:noProof/>
          </w:rPr>
          <w:t>5.</w:t>
        </w:r>
        <w:r w:rsidR="00516DBD">
          <w:rPr>
            <w:rFonts w:asciiTheme="minorHAnsi" w:eastAsiaTheme="minorEastAsia" w:hAnsiTheme="minorHAnsi" w:cstheme="minorBidi"/>
            <w:noProof/>
            <w:sz w:val="22"/>
            <w:szCs w:val="22"/>
            <w:lang w:val="en-GB" w:eastAsia="en-GB" w:bidi="ar-SA"/>
          </w:rPr>
          <w:tab/>
        </w:r>
        <w:r w:rsidR="00516DBD" w:rsidRPr="00AE7900">
          <w:rPr>
            <w:rStyle w:val="Hyperlink"/>
            <w:b/>
            <w:smallCaps/>
            <w:noProof/>
          </w:rPr>
          <w:t>Évaluation du caractère adéquat du montant cible et du niveau du fonds de garantie de l'EFSI</w:t>
        </w:r>
        <w:r w:rsidR="00516DBD">
          <w:rPr>
            <w:noProof/>
            <w:webHidden/>
          </w:rPr>
          <w:tab/>
        </w:r>
        <w:r w:rsidR="00516DBD">
          <w:rPr>
            <w:noProof/>
            <w:webHidden/>
          </w:rPr>
          <w:fldChar w:fldCharType="begin"/>
        </w:r>
        <w:r w:rsidR="00516DBD">
          <w:rPr>
            <w:noProof/>
            <w:webHidden/>
          </w:rPr>
          <w:instrText xml:space="preserve"> PAGEREF _Toc452020086 \h </w:instrText>
        </w:r>
        <w:r w:rsidR="00516DBD">
          <w:rPr>
            <w:noProof/>
            <w:webHidden/>
          </w:rPr>
        </w:r>
        <w:r w:rsidR="00516DBD">
          <w:rPr>
            <w:noProof/>
            <w:webHidden/>
          </w:rPr>
          <w:fldChar w:fldCharType="separate"/>
        </w:r>
        <w:r w:rsidR="00044D60">
          <w:rPr>
            <w:noProof/>
            <w:webHidden/>
          </w:rPr>
          <w:t>5</w:t>
        </w:r>
        <w:r w:rsidR="00516DBD">
          <w:rPr>
            <w:noProof/>
            <w:webHidden/>
          </w:rPr>
          <w:fldChar w:fldCharType="end"/>
        </w:r>
      </w:hyperlink>
    </w:p>
    <w:p w:rsidR="00975224" w:rsidRDefault="00516DBD">
      <w:pPr>
        <w:rPr>
          <w:rFonts w:asciiTheme="minorHAnsi" w:eastAsiaTheme="minorEastAsia" w:hAnsiTheme="minorHAnsi" w:cstheme="minorBidi"/>
          <w:b/>
          <w:bCs/>
          <w:noProof/>
          <w:sz w:val="24"/>
          <w:szCs w:val="24"/>
        </w:rPr>
        <w:sectPr w:rsidR="00975224">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pPr>
      <w:r>
        <w:rPr>
          <w:b/>
          <w:bCs/>
          <w:noProof/>
          <w:sz w:val="24"/>
          <w:szCs w:val="24"/>
        </w:rPr>
        <w:fldChar w:fldCharType="end"/>
      </w:r>
    </w:p>
    <w:p w:rsidR="009555DC" w:rsidRPr="009555DC" w:rsidRDefault="009555DC" w:rsidP="00D7700A">
      <w:pPr>
        <w:keepNext/>
        <w:widowControl/>
        <w:numPr>
          <w:ilvl w:val="0"/>
          <w:numId w:val="18"/>
        </w:numPr>
        <w:tabs>
          <w:tab w:val="num" w:pos="850"/>
        </w:tabs>
        <w:autoSpaceDE/>
        <w:autoSpaceDN/>
        <w:adjustRightInd/>
        <w:spacing w:before="240" w:after="240"/>
        <w:ind w:left="850" w:hanging="850"/>
        <w:jc w:val="both"/>
        <w:outlineLvl w:val="0"/>
        <w:rPr>
          <w:b/>
          <w:bCs/>
          <w:smallCaps/>
          <w:sz w:val="24"/>
          <w:szCs w:val="32"/>
        </w:rPr>
      </w:pPr>
      <w:bookmarkStart w:id="2" w:name="_Toc449686519"/>
      <w:bookmarkStart w:id="3" w:name="_Toc449969919"/>
      <w:bookmarkStart w:id="4" w:name="_Toc449969966"/>
      <w:bookmarkStart w:id="5" w:name="_Toc449686550"/>
      <w:bookmarkStart w:id="6" w:name="_Toc449689406"/>
      <w:bookmarkStart w:id="7" w:name="_Toc358640308"/>
      <w:bookmarkStart w:id="8" w:name="_Toc358640576"/>
      <w:bookmarkStart w:id="9" w:name="_Toc358640627"/>
      <w:bookmarkStart w:id="10" w:name="_Toc358640725"/>
      <w:bookmarkStart w:id="11" w:name="_Toc385254771"/>
      <w:bookmarkStart w:id="12" w:name="_Toc415736037"/>
      <w:bookmarkStart w:id="13" w:name="_Toc415748654"/>
      <w:bookmarkStart w:id="14" w:name="_Toc417031771"/>
      <w:bookmarkStart w:id="15" w:name="_Toc449626267"/>
      <w:bookmarkStart w:id="16" w:name="_Toc449626494"/>
      <w:bookmarkStart w:id="17" w:name="_Toc449972638"/>
      <w:bookmarkStart w:id="18" w:name="_Toc452020082"/>
      <w:bookmarkStart w:id="19" w:name="_Toc450918925"/>
      <w:bookmarkStart w:id="20" w:name="_Toc449689407"/>
      <w:bookmarkEnd w:id="0"/>
      <w:bookmarkEnd w:id="2"/>
      <w:bookmarkEnd w:id="3"/>
      <w:bookmarkEnd w:id="4"/>
      <w:bookmarkEnd w:id="5"/>
      <w:bookmarkEnd w:id="6"/>
      <w:r>
        <w:rPr>
          <w:b/>
          <w:smallCaps/>
          <w:sz w:val="24"/>
        </w:rPr>
        <w:lastRenderedPageBreak/>
        <w:t>Introduction</w:t>
      </w:r>
      <w:bookmarkEnd w:id="7"/>
      <w:bookmarkEnd w:id="8"/>
      <w:bookmarkEnd w:id="9"/>
      <w:bookmarkEnd w:id="10"/>
      <w:bookmarkEnd w:id="11"/>
      <w:bookmarkEnd w:id="12"/>
      <w:bookmarkEnd w:id="13"/>
      <w:bookmarkEnd w:id="14"/>
      <w:bookmarkEnd w:id="15"/>
      <w:bookmarkEnd w:id="16"/>
      <w:bookmarkEnd w:id="17"/>
      <w:bookmarkEnd w:id="18"/>
      <w:bookmarkEnd w:id="19"/>
    </w:p>
    <w:bookmarkEnd w:id="20"/>
    <w:p w:rsidR="00105EBC" w:rsidRPr="00105EBC" w:rsidRDefault="00105EBC" w:rsidP="00D7700A">
      <w:pPr>
        <w:spacing w:before="240" w:after="240"/>
        <w:jc w:val="both"/>
        <w:rPr>
          <w:sz w:val="24"/>
          <w:szCs w:val="24"/>
        </w:rPr>
      </w:pPr>
      <w:r>
        <w:rPr>
          <w:sz w:val="24"/>
        </w:rPr>
        <w:t>La base juridique du présent rapport est le règlement (UE) 2015/1017 du Parlement européen et du Conseil du 25 juin 2015 sur le Fonds européen pour les investissements stratégiques, la plateforme européenne de conseil en investissement et le portail européen de projets d’investissement et modifiant les règlements (UE) n° 1291/2013 et (UE) n° 1316/2013 — le Fonds européen pour les investissements stratégiques</w:t>
      </w:r>
      <w:bookmarkStart w:id="21" w:name="_GoBack"/>
      <w:bookmarkEnd w:id="21"/>
      <w:r>
        <w:rPr>
          <w:rStyle w:val="FootnoteReference"/>
          <w:sz w:val="24"/>
        </w:rPr>
        <w:footnoteReference w:id="2"/>
      </w:r>
      <w:r>
        <w:rPr>
          <w:sz w:val="24"/>
        </w:rPr>
        <w:t xml:space="preserve"> (ci-après le «règlement EFSI»). L’accord concernant la gestion de l’EFSI et l’octroi de la garantie de l’Union (ci-après l’«accord EFSI») a été signé par la Commission européenne et la Banque européenne d’investissement (ci-après la «BEI») le 22 juillet 2015.</w:t>
      </w:r>
    </w:p>
    <w:p w:rsidR="00105EBC" w:rsidRPr="00105EBC" w:rsidRDefault="00105EBC" w:rsidP="00D7700A">
      <w:pPr>
        <w:spacing w:before="240" w:after="240"/>
        <w:jc w:val="both"/>
        <w:rPr>
          <w:sz w:val="24"/>
          <w:szCs w:val="24"/>
        </w:rPr>
      </w:pPr>
      <w:r>
        <w:rPr>
          <w:sz w:val="24"/>
        </w:rPr>
        <w:t>L’article 16, paragraphe 6, du règlement EFSI dispose que la Commission, au plus tard le 31 mai de chaque année, soumet au Parlement européen, au Conseil et à la Cour des comptes européenne un rapport annuel sur la gestion du fonds de garantie de l'EFSI au cours de l’année civile précédente comportant une évaluation du caractère adéquat du montant cible, du niveau du fonds de garantie de l'EFSI et de la nécessité de le reconstituer. Ce rapport annuel présente la situation financière du fonds de garantie de l'EFSI à la fin de l’année civile précédente, les flux financiers au cours de l’année civile précédente, ainsi que les transactions importantes et toute information pertinente relative aux comptes financiers. Il contient également des informations sur la gestion financière, les performances et le risque auquel le fonds de garantie de l'EFSI était exposé à la fin de l’année civile précédente.</w:t>
      </w:r>
    </w:p>
    <w:p w:rsidR="00681FE2" w:rsidRDefault="00105EBC" w:rsidP="00D7700A">
      <w:pPr>
        <w:spacing w:before="240" w:after="240"/>
        <w:jc w:val="both"/>
        <w:rPr>
          <w:sz w:val="24"/>
          <w:szCs w:val="24"/>
        </w:rPr>
      </w:pPr>
      <w:r>
        <w:rPr>
          <w:sz w:val="24"/>
        </w:rPr>
        <w:t>Le règlement EFSI prévoit également, à son article 16, paragraphe 2, que la BEI, en coopération avec le Fonds européen d’investissement (ci-après le «FEI») le cas échéant, soumet un rapport annuel distinct au Parlement européen et au Conseil sur les opérations de financement et d’investissement de la BEI visées par le règlement (ci-après les «opérations de l’EFSI»), qui est rendu public.</w:t>
      </w:r>
      <w:bookmarkStart w:id="22" w:name="_Toc449686522"/>
      <w:bookmarkStart w:id="23" w:name="_Toc449686553"/>
      <w:bookmarkStart w:id="24" w:name="_Toc449686523"/>
      <w:bookmarkStart w:id="25" w:name="_Toc449686554"/>
      <w:bookmarkEnd w:id="22"/>
      <w:bookmarkEnd w:id="23"/>
      <w:bookmarkEnd w:id="24"/>
      <w:bookmarkEnd w:id="25"/>
      <w:r>
        <w:rPr>
          <w:sz w:val="24"/>
        </w:rPr>
        <w:t xml:space="preserve"> À ce jour, la BEI n’a pas encore adopté son rapport annuel pour 2015.</w:t>
      </w:r>
    </w:p>
    <w:p w:rsidR="00681FE2" w:rsidRPr="00D7700A" w:rsidRDefault="00681FE2" w:rsidP="00D7700A">
      <w:pPr>
        <w:keepNext/>
        <w:widowControl/>
        <w:numPr>
          <w:ilvl w:val="0"/>
          <w:numId w:val="18"/>
        </w:numPr>
        <w:tabs>
          <w:tab w:val="num" w:pos="850"/>
        </w:tabs>
        <w:autoSpaceDE/>
        <w:autoSpaceDN/>
        <w:adjustRightInd/>
        <w:spacing w:before="480" w:after="240"/>
        <w:ind w:left="851" w:hanging="851"/>
        <w:jc w:val="both"/>
        <w:outlineLvl w:val="0"/>
        <w:rPr>
          <w:b/>
          <w:smallCaps/>
          <w:sz w:val="24"/>
          <w:szCs w:val="32"/>
        </w:rPr>
      </w:pPr>
      <w:bookmarkStart w:id="26" w:name="_Toc449689408"/>
      <w:bookmarkStart w:id="27" w:name="_Toc449972639"/>
      <w:bookmarkStart w:id="28" w:name="_Toc452020083"/>
      <w:bookmarkStart w:id="29" w:name="_Toc450918926"/>
      <w:r>
        <w:rPr>
          <w:b/>
          <w:smallCaps/>
          <w:sz w:val="24"/>
        </w:rPr>
        <w:t>Contexte opérationnel</w:t>
      </w:r>
      <w:bookmarkEnd w:id="26"/>
      <w:bookmarkEnd w:id="27"/>
      <w:bookmarkEnd w:id="28"/>
      <w:bookmarkEnd w:id="29"/>
    </w:p>
    <w:p w:rsidR="00CF5F56" w:rsidRDefault="00B436EB" w:rsidP="00D7700A">
      <w:pPr>
        <w:spacing w:before="240" w:after="240"/>
        <w:jc w:val="both"/>
        <w:rPr>
          <w:sz w:val="24"/>
          <w:szCs w:val="24"/>
        </w:rPr>
      </w:pPr>
      <w:r>
        <w:rPr>
          <w:sz w:val="24"/>
        </w:rPr>
        <w:t>La garantie de l’UE couvre les opérations de financement et d’investissement signées par la BEI dans le cadre du volet «infrastructures et innovation» et par le FEI dans le cadre du volet «PME». Une partie de ces opérations sont couvertes par la garantie de l’UE, tandis que les risques que comportent les autres opérations sont supportés par le Groupe BEI.</w:t>
      </w:r>
    </w:p>
    <w:p w:rsidR="00B436EB" w:rsidRDefault="00B436EB" w:rsidP="00D7700A">
      <w:pPr>
        <w:spacing w:before="240" w:after="240"/>
        <w:jc w:val="both"/>
        <w:rPr>
          <w:sz w:val="24"/>
          <w:szCs w:val="24"/>
        </w:rPr>
      </w:pPr>
      <w:r>
        <w:rPr>
          <w:sz w:val="24"/>
        </w:rPr>
        <w:t>En 2015, le total des signatures au titre de l’EFSI s'élevait à 3 milliards d’EUR couvrant 19 États membres: 1,2 milliard d’EUR signés par la BEI (10 opérations) et 1,8 milliard d’EUR signés par le FEI (83 opérations). Concernant ces signatures, à la fin de 2015, 1 553 millions d’EUR étaient couverts par la garantie de l’UE (1 155 millions d’EUR de la BEI et 398 millions d’EUR du FEI). L’encours total des risques couverts par la garantie de l’UE en termes de décaissements s’élevait à environ 202 millions d’EUR.</w:t>
      </w:r>
    </w:p>
    <w:p w:rsidR="00F02769" w:rsidRDefault="00CF5F56" w:rsidP="00D7700A">
      <w:pPr>
        <w:spacing w:before="240" w:after="240"/>
        <w:jc w:val="both"/>
        <w:rPr>
          <w:sz w:val="24"/>
          <w:szCs w:val="24"/>
        </w:rPr>
      </w:pPr>
      <w:r>
        <w:rPr>
          <w:sz w:val="24"/>
        </w:rPr>
        <w:t xml:space="preserve">La BEI et le FEI sont chargés d’évaluer et de surveiller les risques pour chaque opération et, en mars 2016, ils ont fait rapport à la Commission et à la Cour des comptes européenne, conformément à l’article 16, paragraphe 3, du règlement EFSI. Sur la base de ces informations, la Commission examinera le caractère adéquat du montant cible et du niveau du </w:t>
      </w:r>
      <w:r>
        <w:rPr>
          <w:sz w:val="24"/>
        </w:rPr>
        <w:lastRenderedPageBreak/>
        <w:t xml:space="preserve">fonds de garantie de l'EFSI. </w:t>
      </w:r>
    </w:p>
    <w:p w:rsidR="00CF5F56" w:rsidRDefault="00801AE0" w:rsidP="00EC10DA">
      <w:pPr>
        <w:spacing w:before="240" w:after="240"/>
        <w:jc w:val="both"/>
        <w:rPr>
          <w:sz w:val="24"/>
          <w:szCs w:val="24"/>
        </w:rPr>
      </w:pPr>
      <w:r>
        <w:rPr>
          <w:sz w:val="24"/>
        </w:rPr>
        <w:t>Conformément à l’article 16, paragraphe 2, du règlement EFSI, le rapport annuel de la BEI au Parlement européen et au Conseil contient des informations spécifiques sur le risque total lié aux opérations de financement et d’investissement réalisées au titre de l’EFSI et sur les appels à la garantie.</w:t>
      </w:r>
    </w:p>
    <w:p w:rsidR="007A1B97" w:rsidRDefault="00105EBC" w:rsidP="00D7700A">
      <w:pPr>
        <w:spacing w:before="240" w:after="240"/>
        <w:jc w:val="both"/>
        <w:rPr>
          <w:rFonts w:eastAsiaTheme="minorHAnsi"/>
          <w:sz w:val="24"/>
          <w:szCs w:val="24"/>
        </w:rPr>
      </w:pPr>
      <w:r>
        <w:rPr>
          <w:sz w:val="24"/>
        </w:rPr>
        <w:t xml:space="preserve">Conformément à l’article 12 du règlement EFSI, le fonds de garantie de l'EFSI constitue un coussin de liquidités à partir duquel la BEI est payée au cas où il est fait appel à la garantie de l’Union. Conformément à l’accord EFSI conclu entre l’UE et la BEI, les appels sont payés par le fonds de garantie de l'EFSI si leur montant excède les fonds qui sont à la disposition de la BEI sur le compte EFSI. Le compte EFSI, géré par la BEI, a été mis en place aux fins de collecter les recettes de l’UE provenant d’opérations garanties de l’EFSI et les montants recouvrés et, en fonction du solde disponible, aux fins du paiement des appels à la garantie de l’Union. </w:t>
      </w:r>
    </w:p>
    <w:p w:rsidR="00105EBC" w:rsidRPr="00105EBC" w:rsidRDefault="00E427E9" w:rsidP="00D7700A">
      <w:pPr>
        <w:spacing w:before="240" w:after="240"/>
        <w:jc w:val="both"/>
        <w:rPr>
          <w:sz w:val="24"/>
          <w:szCs w:val="24"/>
        </w:rPr>
      </w:pPr>
      <w:r>
        <w:rPr>
          <w:sz w:val="24"/>
        </w:rPr>
        <w:t>Le fonds de garantie EFSI est alimenté progressivement compte tenu de l’augmentation de l’exposition de la garantie de l’Union.</w:t>
      </w:r>
    </w:p>
    <w:p w:rsidR="00CE36D1" w:rsidRDefault="00105EBC" w:rsidP="00D7700A">
      <w:pPr>
        <w:spacing w:before="240" w:after="240"/>
        <w:jc w:val="both"/>
        <w:rPr>
          <w:sz w:val="24"/>
          <w:szCs w:val="24"/>
        </w:rPr>
      </w:pPr>
      <w:r>
        <w:rPr>
          <w:sz w:val="24"/>
        </w:rPr>
        <w:t xml:space="preserve">Les ressources du fonds de garantie de l'EFSI sont gérées directement par la Commission et placées conformément au principe de bonne gestion financière, dans le respect des règles prudentielles appropriées. </w:t>
      </w:r>
    </w:p>
    <w:p w:rsidR="00462B6F" w:rsidRPr="006858D7" w:rsidRDefault="00462B6F" w:rsidP="00D7700A">
      <w:pPr>
        <w:keepNext/>
        <w:widowControl/>
        <w:numPr>
          <w:ilvl w:val="0"/>
          <w:numId w:val="18"/>
        </w:numPr>
        <w:tabs>
          <w:tab w:val="num" w:pos="850"/>
        </w:tabs>
        <w:autoSpaceDE/>
        <w:autoSpaceDN/>
        <w:adjustRightInd/>
        <w:spacing w:before="480" w:after="240"/>
        <w:ind w:left="851" w:hanging="851"/>
        <w:jc w:val="both"/>
        <w:outlineLvl w:val="0"/>
        <w:rPr>
          <w:b/>
          <w:bCs/>
          <w:smallCaps/>
          <w:sz w:val="24"/>
          <w:szCs w:val="32"/>
        </w:rPr>
      </w:pPr>
      <w:bookmarkStart w:id="30" w:name="_Toc449686525"/>
      <w:bookmarkStart w:id="31" w:name="_Toc449686556"/>
      <w:bookmarkStart w:id="32" w:name="_Toc449689409"/>
      <w:bookmarkStart w:id="33" w:name="_Toc449686526"/>
      <w:bookmarkStart w:id="34" w:name="_Toc449686557"/>
      <w:bookmarkStart w:id="35" w:name="_Toc449689410"/>
      <w:bookmarkStart w:id="36" w:name="_Toc449689411"/>
      <w:bookmarkStart w:id="37" w:name="_Toc449972640"/>
      <w:bookmarkStart w:id="38" w:name="_Toc452020084"/>
      <w:bookmarkStart w:id="39" w:name="_Toc450918927"/>
      <w:bookmarkEnd w:id="30"/>
      <w:bookmarkEnd w:id="31"/>
      <w:bookmarkEnd w:id="32"/>
      <w:bookmarkEnd w:id="33"/>
      <w:bookmarkEnd w:id="34"/>
      <w:bookmarkEnd w:id="35"/>
      <w:r>
        <w:rPr>
          <w:b/>
          <w:smallCaps/>
          <w:sz w:val="24"/>
        </w:rPr>
        <w:t>Comptes financiers</w:t>
      </w:r>
      <w:bookmarkEnd w:id="36"/>
      <w:bookmarkEnd w:id="37"/>
      <w:bookmarkEnd w:id="38"/>
      <w:bookmarkEnd w:id="39"/>
    </w:p>
    <w:p w:rsidR="00F90817" w:rsidRDefault="00105EBC" w:rsidP="00D7700A">
      <w:pPr>
        <w:spacing w:before="240" w:after="240"/>
        <w:jc w:val="both"/>
        <w:rPr>
          <w:sz w:val="24"/>
          <w:szCs w:val="24"/>
        </w:rPr>
      </w:pPr>
      <w:r>
        <w:rPr>
          <w:sz w:val="24"/>
        </w:rPr>
        <w:t>Au 31 décembre 2015, le fonds de garantie de l'EFSI ne disposait d'aucuns fonds. Par conséquent, les états financiers consolidés 2015 de l’UE n'incluent pas le fonds de garantie de l'EFSI.</w:t>
      </w:r>
    </w:p>
    <w:p w:rsidR="00F54701" w:rsidRDefault="007A1B97" w:rsidP="00D7700A">
      <w:pPr>
        <w:spacing w:before="240" w:after="240"/>
        <w:jc w:val="both"/>
        <w:rPr>
          <w:sz w:val="24"/>
          <w:szCs w:val="24"/>
        </w:rPr>
      </w:pPr>
      <w:r>
        <w:rPr>
          <w:rFonts w:eastAsiaTheme="minorHAnsi"/>
          <w:sz w:val="24"/>
        </w:rPr>
        <w:t xml:space="preserve">Une créance de 1 399 423 EUR correspondant aux recettes nettes de l’UE provenant des opérations garanties de l’EFSI de 2015 a été enregistrée dans les états financiers 2015 de l’UE et créditée sur le compte de l’EFSI en janvier 2016. </w:t>
      </w:r>
    </w:p>
    <w:p w:rsidR="00A24671" w:rsidRPr="00A24671" w:rsidRDefault="0059023E" w:rsidP="00D7700A">
      <w:pPr>
        <w:spacing w:before="240" w:after="240"/>
        <w:jc w:val="both"/>
        <w:rPr>
          <w:sz w:val="24"/>
          <w:szCs w:val="24"/>
        </w:rPr>
      </w:pPr>
      <w:r>
        <w:rPr>
          <w:sz w:val="24"/>
        </w:rPr>
        <w:t>L'exposition de la garantie de l’UE par rapport aux opérations de l’EFSI en cours et décaissées s’élevait à 201 899 614 EUR, au 31 décembre 2015, sur un montant global maximal de 16 000 000 000 EUR garanti par l’UE (article 11 du règlement EFSI). Le montant de 201 899 614 EUR est comptabilisé comme un passif éventuel dans l’annexe aux états financiers 2015 de l’UE.</w:t>
      </w:r>
    </w:p>
    <w:p w:rsidR="00462B6F" w:rsidRPr="006875B1" w:rsidRDefault="00462B6F" w:rsidP="00351E24">
      <w:pPr>
        <w:rPr>
          <w:b/>
          <w:sz w:val="24"/>
          <w:szCs w:val="24"/>
        </w:rPr>
      </w:pPr>
      <w:bookmarkStart w:id="40" w:name="_Toc449689412"/>
      <w:r>
        <w:rPr>
          <w:b/>
          <w:sz w:val="24"/>
        </w:rPr>
        <w:t>Transactions importantes</w:t>
      </w:r>
      <w:bookmarkEnd w:id="40"/>
      <w:r>
        <w:rPr>
          <w:b/>
          <w:sz w:val="24"/>
        </w:rPr>
        <w:t xml:space="preserve"> </w:t>
      </w:r>
    </w:p>
    <w:p w:rsidR="00105EBC" w:rsidRPr="00105EBC" w:rsidRDefault="00105EBC" w:rsidP="00D7700A">
      <w:pPr>
        <w:spacing w:before="240" w:after="240"/>
        <w:jc w:val="both"/>
        <w:rPr>
          <w:sz w:val="24"/>
          <w:szCs w:val="24"/>
        </w:rPr>
      </w:pPr>
      <w:r>
        <w:rPr>
          <w:sz w:val="24"/>
        </w:rPr>
        <w:t xml:space="preserve">Une enveloppe budgétaire de 1,35 milliard d’EUR a été allouée en 2015 pour approvisionner le fonds de garantie de l'EFSI en 2016 et 2017. </w:t>
      </w:r>
    </w:p>
    <w:p w:rsidR="000E7507" w:rsidRDefault="00105EBC" w:rsidP="00D7700A">
      <w:pPr>
        <w:spacing w:before="240" w:after="240"/>
        <w:jc w:val="both"/>
        <w:rPr>
          <w:sz w:val="24"/>
          <w:szCs w:val="24"/>
        </w:rPr>
      </w:pPr>
      <w:r>
        <w:rPr>
          <w:sz w:val="24"/>
        </w:rPr>
        <w:t>Elle figure dans le chapitre «engagements budgétaires encore non apurés restant à liquider» de l'annexe aux états financiers 2015 de l’UE.</w:t>
      </w:r>
    </w:p>
    <w:p w:rsidR="0058558F" w:rsidRPr="006858D7" w:rsidRDefault="0058558F" w:rsidP="00D7700A">
      <w:pPr>
        <w:keepNext/>
        <w:widowControl/>
        <w:numPr>
          <w:ilvl w:val="0"/>
          <w:numId w:val="18"/>
        </w:numPr>
        <w:tabs>
          <w:tab w:val="num" w:pos="850"/>
        </w:tabs>
        <w:autoSpaceDE/>
        <w:autoSpaceDN/>
        <w:adjustRightInd/>
        <w:spacing w:before="480" w:after="240"/>
        <w:ind w:left="851" w:hanging="851"/>
        <w:jc w:val="both"/>
        <w:outlineLvl w:val="0"/>
        <w:rPr>
          <w:b/>
          <w:bCs/>
          <w:smallCaps/>
          <w:sz w:val="24"/>
          <w:szCs w:val="32"/>
        </w:rPr>
      </w:pPr>
      <w:bookmarkStart w:id="41" w:name="_Toc449689413"/>
      <w:bookmarkStart w:id="42" w:name="_Toc449689414"/>
      <w:bookmarkStart w:id="43" w:name="_Toc449972641"/>
      <w:bookmarkStart w:id="44" w:name="_Toc452020085"/>
      <w:bookmarkStart w:id="45" w:name="_Toc450918928"/>
      <w:bookmarkEnd w:id="41"/>
      <w:r>
        <w:rPr>
          <w:b/>
          <w:smallCaps/>
          <w:sz w:val="24"/>
        </w:rPr>
        <w:t>Gestion du fonds de garantie EFSI en 2015</w:t>
      </w:r>
      <w:bookmarkEnd w:id="42"/>
      <w:bookmarkEnd w:id="43"/>
      <w:bookmarkEnd w:id="44"/>
      <w:bookmarkEnd w:id="45"/>
    </w:p>
    <w:p w:rsidR="00105EBC" w:rsidRDefault="00105EBC" w:rsidP="00D7700A">
      <w:pPr>
        <w:spacing w:before="240" w:after="240"/>
        <w:jc w:val="both"/>
        <w:rPr>
          <w:sz w:val="24"/>
          <w:szCs w:val="24"/>
        </w:rPr>
      </w:pPr>
      <w:r>
        <w:rPr>
          <w:sz w:val="24"/>
        </w:rPr>
        <w:t xml:space="preserve">Le 21 janvier 2016, la Commission a adopté la décision C(2016) 165 portant approbation des </w:t>
      </w:r>
      <w:r>
        <w:rPr>
          <w:sz w:val="24"/>
        </w:rPr>
        <w:lastRenderedPageBreak/>
        <w:t>lignes directrices pour la gestion des actifs du fonds de garantie du Fonds européen pour les investissements stratégiques.</w:t>
      </w:r>
    </w:p>
    <w:p w:rsidR="00393941" w:rsidRPr="00A97B1A" w:rsidRDefault="0059023E" w:rsidP="00D7700A">
      <w:pPr>
        <w:pStyle w:val="ListParagraph"/>
        <w:spacing w:before="240" w:after="240"/>
        <w:ind w:left="0"/>
        <w:jc w:val="both"/>
        <w:rPr>
          <w:sz w:val="24"/>
          <w:szCs w:val="24"/>
        </w:rPr>
      </w:pPr>
      <w:r>
        <w:rPr>
          <w:sz w:val="24"/>
        </w:rPr>
        <w:t>À aucun moment en 2015, le fonds de garantie de l'EFSI n'a disposé de fonds. Le premier rapport sur la gestion financière, les performances et le risque auquel les actifs du fonds de garantie de l'EFSI sont exposés sera donc présenté en 2017 pour l’année 2016.</w:t>
      </w:r>
    </w:p>
    <w:p w:rsidR="00393941" w:rsidRPr="006858D7" w:rsidRDefault="00393941" w:rsidP="00D7700A">
      <w:pPr>
        <w:keepNext/>
        <w:widowControl/>
        <w:numPr>
          <w:ilvl w:val="0"/>
          <w:numId w:val="18"/>
        </w:numPr>
        <w:tabs>
          <w:tab w:val="num" w:pos="850"/>
        </w:tabs>
        <w:autoSpaceDE/>
        <w:autoSpaceDN/>
        <w:adjustRightInd/>
        <w:spacing w:before="480" w:after="240"/>
        <w:ind w:left="851" w:hanging="851"/>
        <w:jc w:val="both"/>
        <w:outlineLvl w:val="0"/>
        <w:rPr>
          <w:b/>
          <w:bCs/>
          <w:smallCaps/>
          <w:sz w:val="24"/>
          <w:szCs w:val="32"/>
        </w:rPr>
      </w:pPr>
      <w:bookmarkStart w:id="46" w:name="_Toc449689415"/>
      <w:bookmarkStart w:id="47" w:name="_Toc449972642"/>
      <w:bookmarkStart w:id="48" w:name="_Toc452020086"/>
      <w:bookmarkStart w:id="49" w:name="_Toc450918929"/>
      <w:r>
        <w:rPr>
          <w:b/>
          <w:smallCaps/>
          <w:sz w:val="24"/>
        </w:rPr>
        <w:t>Évaluation du caractère adéquat du montant cible et du niveau du fonds de garantie de l'EFSI</w:t>
      </w:r>
      <w:bookmarkEnd w:id="46"/>
      <w:bookmarkEnd w:id="47"/>
      <w:bookmarkEnd w:id="48"/>
      <w:bookmarkEnd w:id="49"/>
    </w:p>
    <w:p w:rsidR="00AE43B5" w:rsidRDefault="00B42AE1" w:rsidP="00D7700A">
      <w:pPr>
        <w:spacing w:before="240" w:after="240"/>
        <w:jc w:val="both"/>
        <w:rPr>
          <w:sz w:val="24"/>
          <w:szCs w:val="24"/>
        </w:rPr>
      </w:pPr>
      <w:r>
        <w:rPr>
          <w:sz w:val="24"/>
        </w:rPr>
        <w:t xml:space="preserve">À la fin de 2015, dix opérations bénéficiant de la garantie de l'EFSI étaient signées par la BEI, pour un montant total de 1 155 millions d’EUR, dont 202 millions d’EUR ont été versés. Si ces opérations entraînent des pertes, celles-ci seront couvertes par la garantie de l’UE, conformément aux dispositions de l’accord EFSI. En particulier, la garantie de l’UE au titre du volet «infrastructures et innovation» est octroyée sous la forme d’une tranche de première perte du portefeuille pour couvrir les opérations de prêt de la BEI, et sous la forme d’une garantie complète pour les opérations de fonds propres ou assimilées où la BEI investit à ses propres risques la même quantité de ressources à égalité de rang. </w:t>
      </w:r>
    </w:p>
    <w:p w:rsidR="00092EC2" w:rsidRDefault="00DB395B" w:rsidP="00D7700A">
      <w:pPr>
        <w:spacing w:before="240" w:after="240"/>
        <w:jc w:val="both"/>
        <w:rPr>
          <w:sz w:val="24"/>
          <w:szCs w:val="24"/>
        </w:rPr>
      </w:pPr>
      <w:r>
        <w:rPr>
          <w:sz w:val="24"/>
        </w:rPr>
        <w:t>Les opérations du FEI signées en 2015 bénéficiant de la garantie de l'EFSI se montent à environ 398 millions d’EUR; si ces opérations entraînaient des pertes, celles-ci seraient couvertes essentiellement par les contributions de la facilité de garantie pour les PME InnovFin et du mécanisme de garantie des prêts du programme COSME.</w:t>
      </w:r>
    </w:p>
    <w:p w:rsidR="00092EC2" w:rsidRDefault="00967410" w:rsidP="00D7700A">
      <w:pPr>
        <w:spacing w:before="240" w:after="240"/>
        <w:jc w:val="both"/>
        <w:rPr>
          <w:sz w:val="24"/>
          <w:szCs w:val="24"/>
        </w:rPr>
      </w:pPr>
      <w:r>
        <w:rPr>
          <w:sz w:val="24"/>
        </w:rPr>
        <w:t xml:space="preserve">Selon le règlement EFSI, le montant cible du fonds de garantie de l'EFSI est fixé à 50 % du total des obligations de garantie de l’UE, qui s’élèvent actuellement à 16 milliards d’EUR. Étant donné le niveau relativement limité des signatures et des décaissements jusqu’à la fin de 2015, il n’y a pas suffisamment d’éléments qui permettent une évaluation du caractère adéquat du montant cible fondée sur des opérations concrètes. Dès lors, le premier rapport concernant l'évaluation du caractère adéquat du montant cible et du niveau du fonds de garantie de l'EFSI sera présenté avant le 31 mai 2017 pour l’année 2016. </w:t>
      </w:r>
    </w:p>
    <w:p w:rsidR="00115064" w:rsidRDefault="00115064" w:rsidP="00D7700A">
      <w:pPr>
        <w:spacing w:before="240" w:after="240"/>
        <w:jc w:val="both"/>
        <w:rPr>
          <w:sz w:val="24"/>
          <w:szCs w:val="24"/>
        </w:rPr>
      </w:pPr>
      <w:r>
        <w:rPr>
          <w:sz w:val="24"/>
        </w:rPr>
        <w:t>Actuellement, il est prévu dans le budget de l’Union qu’environ 500 millions d’EUR seront versés au fonds de garantie de l'EFSI dans le courant de l’année 2016.</w:t>
      </w:r>
    </w:p>
    <w:p w:rsidR="002779C0" w:rsidRPr="002779C0" w:rsidRDefault="002779C0" w:rsidP="00D7700A">
      <w:pPr>
        <w:spacing w:before="240" w:after="240"/>
        <w:jc w:val="both"/>
        <w:rPr>
          <w:sz w:val="24"/>
          <w:szCs w:val="24"/>
        </w:rPr>
      </w:pPr>
      <w:r>
        <w:rPr>
          <w:sz w:val="24"/>
        </w:rPr>
        <w:t>La Commission réalisera des évaluations plus approfondies à l'avenir puisque la taille du portefeuille des opérations de l’EFSI devrait augmenter de manière considérable au fil du temps, et étant donné les contraintes budgétaires au cours de la période de programmation de l’EFSI.</w:t>
      </w:r>
    </w:p>
    <w:p w:rsidR="000E77C1" w:rsidRPr="00044D60" w:rsidRDefault="000E77C1" w:rsidP="00D7700A">
      <w:pPr>
        <w:spacing w:before="240" w:after="240"/>
        <w:jc w:val="both"/>
      </w:pPr>
    </w:p>
    <w:sectPr w:rsidR="000E77C1" w:rsidRPr="00044D60">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8C1" w:rsidRDefault="009478C1" w:rsidP="00682418">
      <w:r>
        <w:separator/>
      </w:r>
    </w:p>
  </w:endnote>
  <w:endnote w:type="continuationSeparator" w:id="0">
    <w:p w:rsidR="009478C1" w:rsidRDefault="009478C1" w:rsidP="00682418">
      <w:r>
        <w:continuationSeparator/>
      </w:r>
    </w:p>
  </w:endnote>
  <w:endnote w:type="continuationNotice" w:id="1">
    <w:p w:rsidR="009478C1" w:rsidRDefault="009478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D60" w:rsidRPr="00044D60" w:rsidRDefault="00044D60" w:rsidP="00044D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D60" w:rsidRPr="00044D60" w:rsidRDefault="00044D60" w:rsidP="00044D60">
    <w:pPr>
      <w:pStyle w:val="FooterCoverPage"/>
      <w:rPr>
        <w:rFonts w:ascii="Arial" w:hAnsi="Arial" w:cs="Arial"/>
        <w:b/>
        <w:sz w:val="48"/>
      </w:rPr>
    </w:pPr>
    <w:r w:rsidRPr="00044D60">
      <w:rPr>
        <w:rFonts w:ascii="Arial" w:hAnsi="Arial" w:cs="Arial"/>
        <w:b/>
        <w:sz w:val="48"/>
      </w:rPr>
      <w:t>FR</w:t>
    </w:r>
    <w:r w:rsidRPr="00044D60">
      <w:rPr>
        <w:rFonts w:ascii="Arial" w:hAnsi="Arial" w:cs="Arial"/>
        <w:b/>
        <w:sz w:val="48"/>
      </w:rPr>
      <w:tab/>
    </w:r>
    <w:r w:rsidRPr="00044D60">
      <w:rPr>
        <w:rFonts w:ascii="Arial" w:hAnsi="Arial" w:cs="Arial"/>
        <w:b/>
        <w:sz w:val="48"/>
      </w:rPr>
      <w:tab/>
    </w:r>
    <w:fldSimple w:instr=" DOCVARIABLE &quot;LW_Confidence&quot; \* MERGEFORMAT ">
      <w:r>
        <w:t xml:space="preserve"> </w:t>
      </w:r>
    </w:fldSimple>
    <w:r w:rsidRPr="00044D60">
      <w:tab/>
    </w:r>
    <w:r w:rsidRPr="00044D60">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D60" w:rsidRPr="00044D60" w:rsidRDefault="00044D60" w:rsidP="00044D60">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753" w:rsidRDefault="0016475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15447"/>
      <w:docPartObj>
        <w:docPartGallery w:val="Page Numbers (Bottom of Page)"/>
        <w:docPartUnique/>
      </w:docPartObj>
    </w:sdtPr>
    <w:sdtEndPr>
      <w:rPr>
        <w:noProof/>
      </w:rPr>
    </w:sdtEndPr>
    <w:sdtContent>
      <w:p w:rsidR="00816CAD" w:rsidRDefault="00816CAD">
        <w:pPr>
          <w:pStyle w:val="Footer"/>
          <w:jc w:val="center"/>
        </w:pPr>
        <w:r>
          <w:fldChar w:fldCharType="begin"/>
        </w:r>
        <w:r>
          <w:instrText xml:space="preserve"> PAGE   \* MERGEFORMAT </w:instrText>
        </w:r>
        <w:r>
          <w:fldChar w:fldCharType="separate"/>
        </w:r>
        <w:r w:rsidR="00044D60">
          <w:rPr>
            <w:noProof/>
          </w:rPr>
          <w:t>2</w:t>
        </w:r>
        <w:r>
          <w:rPr>
            <w:noProof/>
          </w:rPr>
          <w:fldChar w:fldCharType="end"/>
        </w:r>
      </w:p>
    </w:sdtContent>
  </w:sdt>
  <w:p w:rsidR="00164753" w:rsidRPr="00164753" w:rsidRDefault="00164753" w:rsidP="0016475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753" w:rsidRDefault="0016475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97D" w:rsidRDefault="0027797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889283"/>
      <w:docPartObj>
        <w:docPartGallery w:val="Page Numbers (Bottom of Page)"/>
        <w:docPartUnique/>
      </w:docPartObj>
    </w:sdtPr>
    <w:sdtEndPr>
      <w:rPr>
        <w:noProof/>
      </w:rPr>
    </w:sdtEndPr>
    <w:sdtContent>
      <w:p w:rsidR="0027797D" w:rsidRDefault="0027797D">
        <w:pPr>
          <w:pStyle w:val="Footer"/>
          <w:jc w:val="center"/>
        </w:pPr>
        <w:r>
          <w:fldChar w:fldCharType="begin"/>
        </w:r>
        <w:r>
          <w:instrText xml:space="preserve"> PAGE   \* MERGEFORMAT </w:instrText>
        </w:r>
        <w:r>
          <w:fldChar w:fldCharType="separate"/>
        </w:r>
        <w:r w:rsidR="00044D60">
          <w:rPr>
            <w:noProof/>
          </w:rPr>
          <w:t>4</w:t>
        </w:r>
        <w:r>
          <w:rPr>
            <w:noProof/>
          </w:rPr>
          <w:fldChar w:fldCharType="end"/>
        </w:r>
      </w:p>
    </w:sdtContent>
  </w:sdt>
  <w:p w:rsidR="0027797D" w:rsidRPr="00164753" w:rsidRDefault="0027797D" w:rsidP="0016475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97D" w:rsidRDefault="002779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8C1" w:rsidRDefault="009478C1" w:rsidP="00682418">
      <w:r>
        <w:separator/>
      </w:r>
    </w:p>
  </w:footnote>
  <w:footnote w:type="continuationSeparator" w:id="0">
    <w:p w:rsidR="009478C1" w:rsidRDefault="009478C1" w:rsidP="00682418">
      <w:r>
        <w:continuationSeparator/>
      </w:r>
    </w:p>
  </w:footnote>
  <w:footnote w:type="continuationNotice" w:id="1">
    <w:p w:rsidR="009478C1" w:rsidRDefault="009478C1"/>
  </w:footnote>
  <w:footnote w:id="2">
    <w:p w:rsidR="000D633E" w:rsidRDefault="000D633E">
      <w:pPr>
        <w:pStyle w:val="FootnoteText"/>
      </w:pPr>
      <w:r>
        <w:rPr>
          <w:rStyle w:val="FootnoteReference"/>
        </w:rPr>
        <w:footnoteRef/>
      </w:r>
      <w:r>
        <w:tab/>
        <w:t>JO L 169 du 1.7.2015,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D60" w:rsidRPr="00044D60" w:rsidRDefault="00044D60" w:rsidP="00044D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D60" w:rsidRPr="00044D60" w:rsidRDefault="00044D60" w:rsidP="00044D60">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D60" w:rsidRPr="00044D60" w:rsidRDefault="00044D60" w:rsidP="00044D60">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753" w:rsidRDefault="0016475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418" w:rsidRDefault="0068241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753" w:rsidRDefault="0016475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97D" w:rsidRDefault="0027797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97D" w:rsidRDefault="0027797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97D" w:rsidRDefault="002779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34F07"/>
    <w:multiLevelType w:val="hybridMultilevel"/>
    <w:tmpl w:val="9B6ABB6A"/>
    <w:lvl w:ilvl="0" w:tplc="1DAC8F6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0A6FBE"/>
    <w:multiLevelType w:val="hybridMultilevel"/>
    <w:tmpl w:val="9988660C"/>
    <w:lvl w:ilvl="0" w:tplc="A9EA035E">
      <w:start w:val="1"/>
      <w:numFmt w:val="decimal"/>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2E0B1B1D"/>
    <w:multiLevelType w:val="hybridMultilevel"/>
    <w:tmpl w:val="AA98FB40"/>
    <w:lvl w:ilvl="0" w:tplc="572A3A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876AF7"/>
    <w:multiLevelType w:val="hybridMultilevel"/>
    <w:tmpl w:val="A0E60D0A"/>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4">
    <w:nsid w:val="43FD7195"/>
    <w:multiLevelType w:val="hybridMultilevel"/>
    <w:tmpl w:val="7EE216C2"/>
    <w:lvl w:ilvl="0" w:tplc="72F6E5C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7C34C2"/>
    <w:multiLevelType w:val="hybridMultilevel"/>
    <w:tmpl w:val="71207D2C"/>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nsid w:val="4EB24C5E"/>
    <w:multiLevelType w:val="hybridMultilevel"/>
    <w:tmpl w:val="E3805112"/>
    <w:lvl w:ilvl="0" w:tplc="08090001">
      <w:start w:val="1"/>
      <w:numFmt w:val="bullet"/>
      <w:lvlText w:val=""/>
      <w:lvlJc w:val="left"/>
      <w:pPr>
        <w:ind w:left="1320" w:hanging="360"/>
      </w:pPr>
      <w:rPr>
        <w:rFonts w:ascii="Symbol" w:hAnsi="Symbol" w:hint="default"/>
      </w:rPr>
    </w:lvl>
    <w:lvl w:ilvl="1" w:tplc="08090003">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7">
    <w:nsid w:val="5A203610"/>
    <w:multiLevelType w:val="multilevel"/>
    <w:tmpl w:val="35A8E08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61E60656"/>
    <w:multiLevelType w:val="multilevel"/>
    <w:tmpl w:val="B606A5D2"/>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552"/>
        </w:tabs>
        <w:ind w:left="552" w:hanging="432"/>
      </w:pPr>
      <w:rPr>
        <w:rFonts w:ascii="Times New Roman" w:hAnsi="Times New Roman" w:cs="Times New Roman" w:hint="default"/>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669775C8"/>
    <w:multiLevelType w:val="hybridMultilevel"/>
    <w:tmpl w:val="1A6CF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FCB1A15"/>
    <w:multiLevelType w:val="hybridMultilevel"/>
    <w:tmpl w:val="160040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FDE696B"/>
    <w:multiLevelType w:val="hybridMultilevel"/>
    <w:tmpl w:val="7820FFC0"/>
    <w:lvl w:ilvl="0" w:tplc="953A6C7E">
      <w:start w:val="1"/>
      <w:numFmt w:val="decimal"/>
      <w:lvlText w:val="1. %1"/>
      <w:lvlJc w:val="left"/>
      <w:pPr>
        <w:ind w:left="1440" w:hanging="360"/>
      </w:pPr>
      <w:rPr>
        <w:rFonts w:ascii="Times New Roman" w:hAnsi="Times New Roman"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78A241BD"/>
    <w:multiLevelType w:val="singleLevel"/>
    <w:tmpl w:val="0809000F"/>
    <w:lvl w:ilvl="0">
      <w:start w:val="1"/>
      <w:numFmt w:val="decimal"/>
      <w:lvlText w:val="%1."/>
      <w:lvlJc w:val="left"/>
      <w:pPr>
        <w:ind w:left="1211" w:hanging="360"/>
      </w:pPr>
    </w:lvl>
  </w:abstractNum>
  <w:num w:numId="1">
    <w:abstractNumId w:val="8"/>
  </w:num>
  <w:num w:numId="2">
    <w:abstractNumId w:val="10"/>
  </w:num>
  <w:num w:numId="3">
    <w:abstractNumId w:val="3"/>
  </w:num>
  <w:num w:numId="4">
    <w:abstractNumId w:val="6"/>
  </w:num>
  <w:num w:numId="5">
    <w:abstractNumId w:val="5"/>
  </w:num>
  <w:num w:numId="6">
    <w:abstractNumId w:val="1"/>
  </w:num>
  <w:num w:numId="7">
    <w:abstractNumId w:val="8"/>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1"/>
    <w:lvlOverride w:ilvl="0">
      <w:startOverride w:val="1"/>
    </w:lvlOverride>
  </w:num>
  <w:num w:numId="14">
    <w:abstractNumId w:val="4"/>
  </w:num>
  <w:num w:numId="15">
    <w:abstractNumId w:val="0"/>
  </w:num>
  <w:num w:numId="16">
    <w:abstractNumId w:val="7"/>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F06B1D0CF1A144F884A9D86EE77CDC70"/>
    <w:docVar w:name="LW_CROSSREFERENCE" w:val="&lt;UNUSED&gt;"/>
    <w:docVar w:name="LW_DocType" w:val="NORMAL"/>
    <w:docVar w:name="LW_EMISSION" w:val="31.5.2016"/>
    <w:docVar w:name="LW_EMISSION_ISODATE" w:val="2016-05-31"/>
    <w:docVar w:name="LW_EMISSION_LOCATION" w:val="BRX"/>
    <w:docVar w:name="LW_EMISSION_PREFIX" w:val="Bruxelles, le "/>
    <w:docVar w:name="LW_EMISSION_SUFFIX" w:val=" "/>
    <w:docVar w:name="LW_ID_DOCTYPE_NONLW" w:val="CP-035"/>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353"/>
    <w:docVar w:name="LW_REF.INTERNE" w:val="&lt;UNUSED&gt;"/>
    <w:docVar w:name="LW_SOUS.TITRE.OBJ.CP" w:val="&lt;UNUSED&gt;"/>
    <w:docVar w:name="LW_SUPERTITRE" w:val="&lt;UNUSED&gt;"/>
    <w:docVar w:name="LW_TITRE.OBJ.CP" w:val="SUR LA GESTION DU FONDS DE GARANTIE DU FONDS EUROPÉEN POUR LES INVESTISSEMENTS STRATÉGIQUES EN 2015"/>
    <w:docVar w:name="LW_TYPE.DOC.CP" w:val="RAPPORT DE LA COMMISSION AU PARLEMENT EUROPÉEN, AU CONSEIL ET À LA COUR DES COMPTES EUROPÉENNE"/>
  </w:docVars>
  <w:rsids>
    <w:rsidRoot w:val="00393941"/>
    <w:rsid w:val="00001442"/>
    <w:rsid w:val="00005E56"/>
    <w:rsid w:val="00007837"/>
    <w:rsid w:val="000127B5"/>
    <w:rsid w:val="00032852"/>
    <w:rsid w:val="00035E17"/>
    <w:rsid w:val="00044D60"/>
    <w:rsid w:val="000630E2"/>
    <w:rsid w:val="00082BA3"/>
    <w:rsid w:val="00092EC2"/>
    <w:rsid w:val="00093B1B"/>
    <w:rsid w:val="000B33C6"/>
    <w:rsid w:val="000B7499"/>
    <w:rsid w:val="000C3BFF"/>
    <w:rsid w:val="000D633E"/>
    <w:rsid w:val="000E5325"/>
    <w:rsid w:val="000E7507"/>
    <w:rsid w:val="000E77C1"/>
    <w:rsid w:val="00105EBC"/>
    <w:rsid w:val="00115064"/>
    <w:rsid w:val="00125DED"/>
    <w:rsid w:val="00141604"/>
    <w:rsid w:val="0015172C"/>
    <w:rsid w:val="00152245"/>
    <w:rsid w:val="00153539"/>
    <w:rsid w:val="00161B51"/>
    <w:rsid w:val="00164753"/>
    <w:rsid w:val="001833F3"/>
    <w:rsid w:val="00183DDB"/>
    <w:rsid w:val="00184504"/>
    <w:rsid w:val="00185E15"/>
    <w:rsid w:val="00195E7E"/>
    <w:rsid w:val="001A256C"/>
    <w:rsid w:val="001B75F9"/>
    <w:rsid w:val="001C024D"/>
    <w:rsid w:val="001E1597"/>
    <w:rsid w:val="001E3D47"/>
    <w:rsid w:val="001F1D01"/>
    <w:rsid w:val="001F26BB"/>
    <w:rsid w:val="001F7A53"/>
    <w:rsid w:val="00226AE2"/>
    <w:rsid w:val="00233B29"/>
    <w:rsid w:val="002510A6"/>
    <w:rsid w:val="00252C65"/>
    <w:rsid w:val="00253FD7"/>
    <w:rsid w:val="0027797D"/>
    <w:rsid w:val="002779C0"/>
    <w:rsid w:val="00285E3D"/>
    <w:rsid w:val="002A03A6"/>
    <w:rsid w:val="002B5219"/>
    <w:rsid w:val="002B5602"/>
    <w:rsid w:val="002D7AF7"/>
    <w:rsid w:val="002F5CC7"/>
    <w:rsid w:val="00302441"/>
    <w:rsid w:val="00302D36"/>
    <w:rsid w:val="0030697F"/>
    <w:rsid w:val="003208EF"/>
    <w:rsid w:val="00351E24"/>
    <w:rsid w:val="003530A5"/>
    <w:rsid w:val="00357C35"/>
    <w:rsid w:val="0036486B"/>
    <w:rsid w:val="0037189D"/>
    <w:rsid w:val="00383D67"/>
    <w:rsid w:val="00392647"/>
    <w:rsid w:val="00393941"/>
    <w:rsid w:val="003A3DCE"/>
    <w:rsid w:val="00403D31"/>
    <w:rsid w:val="00415AEB"/>
    <w:rsid w:val="00462B6F"/>
    <w:rsid w:val="00470EAF"/>
    <w:rsid w:val="004A623F"/>
    <w:rsid w:val="004B1A11"/>
    <w:rsid w:val="004B50F7"/>
    <w:rsid w:val="004B7E6B"/>
    <w:rsid w:val="004C17D2"/>
    <w:rsid w:val="004D705A"/>
    <w:rsid w:val="004E038B"/>
    <w:rsid w:val="004E2A33"/>
    <w:rsid w:val="00516DBD"/>
    <w:rsid w:val="00544266"/>
    <w:rsid w:val="0054558C"/>
    <w:rsid w:val="00564430"/>
    <w:rsid w:val="005701F3"/>
    <w:rsid w:val="00580AC2"/>
    <w:rsid w:val="0058558F"/>
    <w:rsid w:val="005856C3"/>
    <w:rsid w:val="0059023E"/>
    <w:rsid w:val="00593E65"/>
    <w:rsid w:val="005A76A1"/>
    <w:rsid w:val="005B6771"/>
    <w:rsid w:val="005C47F3"/>
    <w:rsid w:val="005C7C23"/>
    <w:rsid w:val="005E432E"/>
    <w:rsid w:val="005E4825"/>
    <w:rsid w:val="005F19CB"/>
    <w:rsid w:val="0060368D"/>
    <w:rsid w:val="0062327E"/>
    <w:rsid w:val="00636E98"/>
    <w:rsid w:val="00640070"/>
    <w:rsid w:val="00641AB5"/>
    <w:rsid w:val="00656979"/>
    <w:rsid w:val="006573CA"/>
    <w:rsid w:val="00665478"/>
    <w:rsid w:val="00671B5D"/>
    <w:rsid w:val="00681FE2"/>
    <w:rsid w:val="00682418"/>
    <w:rsid w:val="006858D7"/>
    <w:rsid w:val="006875B1"/>
    <w:rsid w:val="00690823"/>
    <w:rsid w:val="006A0546"/>
    <w:rsid w:val="006A0D2D"/>
    <w:rsid w:val="006A72D4"/>
    <w:rsid w:val="006C7B09"/>
    <w:rsid w:val="006D3767"/>
    <w:rsid w:val="006D589F"/>
    <w:rsid w:val="006E2A62"/>
    <w:rsid w:val="006F0E37"/>
    <w:rsid w:val="0071328C"/>
    <w:rsid w:val="00717FBE"/>
    <w:rsid w:val="007210C5"/>
    <w:rsid w:val="007301BD"/>
    <w:rsid w:val="007332DD"/>
    <w:rsid w:val="00751F4C"/>
    <w:rsid w:val="00760358"/>
    <w:rsid w:val="00781968"/>
    <w:rsid w:val="0078422B"/>
    <w:rsid w:val="007A1B97"/>
    <w:rsid w:val="007A74DA"/>
    <w:rsid w:val="007B525A"/>
    <w:rsid w:val="007D2172"/>
    <w:rsid w:val="007E49A3"/>
    <w:rsid w:val="00801AE0"/>
    <w:rsid w:val="00816CAD"/>
    <w:rsid w:val="00836DA2"/>
    <w:rsid w:val="0084020D"/>
    <w:rsid w:val="00842FEC"/>
    <w:rsid w:val="00860FD7"/>
    <w:rsid w:val="00861F1B"/>
    <w:rsid w:val="0089666B"/>
    <w:rsid w:val="008A5639"/>
    <w:rsid w:val="008D4F3F"/>
    <w:rsid w:val="008F0536"/>
    <w:rsid w:val="00930344"/>
    <w:rsid w:val="00935F80"/>
    <w:rsid w:val="00936A85"/>
    <w:rsid w:val="009478C1"/>
    <w:rsid w:val="00953F15"/>
    <w:rsid w:val="009555DC"/>
    <w:rsid w:val="00962609"/>
    <w:rsid w:val="00962974"/>
    <w:rsid w:val="009669C1"/>
    <w:rsid w:val="00967410"/>
    <w:rsid w:val="009727A9"/>
    <w:rsid w:val="00973AC7"/>
    <w:rsid w:val="00975224"/>
    <w:rsid w:val="00976EDD"/>
    <w:rsid w:val="009825D4"/>
    <w:rsid w:val="009836F9"/>
    <w:rsid w:val="009C2AB3"/>
    <w:rsid w:val="009D3857"/>
    <w:rsid w:val="009D56EB"/>
    <w:rsid w:val="009E2543"/>
    <w:rsid w:val="009E3E69"/>
    <w:rsid w:val="009E43C9"/>
    <w:rsid w:val="009F0044"/>
    <w:rsid w:val="009F61F3"/>
    <w:rsid w:val="00A22BFB"/>
    <w:rsid w:val="00A24671"/>
    <w:rsid w:val="00A330A6"/>
    <w:rsid w:val="00A577B9"/>
    <w:rsid w:val="00A60DD0"/>
    <w:rsid w:val="00A6186C"/>
    <w:rsid w:val="00A723F6"/>
    <w:rsid w:val="00A7298A"/>
    <w:rsid w:val="00A82D14"/>
    <w:rsid w:val="00A943D2"/>
    <w:rsid w:val="00A97B1A"/>
    <w:rsid w:val="00A97D81"/>
    <w:rsid w:val="00AA3260"/>
    <w:rsid w:val="00AC1541"/>
    <w:rsid w:val="00AD5E34"/>
    <w:rsid w:val="00AE43B5"/>
    <w:rsid w:val="00B013B8"/>
    <w:rsid w:val="00B2581A"/>
    <w:rsid w:val="00B42AE1"/>
    <w:rsid w:val="00B436EB"/>
    <w:rsid w:val="00B7060B"/>
    <w:rsid w:val="00B922FE"/>
    <w:rsid w:val="00B93971"/>
    <w:rsid w:val="00B97076"/>
    <w:rsid w:val="00BC3E4C"/>
    <w:rsid w:val="00BD3D5E"/>
    <w:rsid w:val="00BD7903"/>
    <w:rsid w:val="00BE746F"/>
    <w:rsid w:val="00BF61C1"/>
    <w:rsid w:val="00C11327"/>
    <w:rsid w:val="00C161F8"/>
    <w:rsid w:val="00C36797"/>
    <w:rsid w:val="00C52194"/>
    <w:rsid w:val="00C544AA"/>
    <w:rsid w:val="00C55DB2"/>
    <w:rsid w:val="00C92D1A"/>
    <w:rsid w:val="00CA7BAD"/>
    <w:rsid w:val="00CB436B"/>
    <w:rsid w:val="00CB4C68"/>
    <w:rsid w:val="00CC5B2F"/>
    <w:rsid w:val="00CD7FEE"/>
    <w:rsid w:val="00CE36D1"/>
    <w:rsid w:val="00CE41D7"/>
    <w:rsid w:val="00CE611E"/>
    <w:rsid w:val="00CF5F56"/>
    <w:rsid w:val="00CF6354"/>
    <w:rsid w:val="00D10F68"/>
    <w:rsid w:val="00D31960"/>
    <w:rsid w:val="00D31FF4"/>
    <w:rsid w:val="00D40AFB"/>
    <w:rsid w:val="00D41093"/>
    <w:rsid w:val="00D579AD"/>
    <w:rsid w:val="00D60BDF"/>
    <w:rsid w:val="00D66B04"/>
    <w:rsid w:val="00D7700A"/>
    <w:rsid w:val="00D82751"/>
    <w:rsid w:val="00D8770B"/>
    <w:rsid w:val="00D973DC"/>
    <w:rsid w:val="00DA4948"/>
    <w:rsid w:val="00DA6C3D"/>
    <w:rsid w:val="00DB325F"/>
    <w:rsid w:val="00DB395B"/>
    <w:rsid w:val="00DD63D5"/>
    <w:rsid w:val="00DE3D59"/>
    <w:rsid w:val="00DE61AA"/>
    <w:rsid w:val="00E050BD"/>
    <w:rsid w:val="00E2227D"/>
    <w:rsid w:val="00E3174C"/>
    <w:rsid w:val="00E427E9"/>
    <w:rsid w:val="00E47050"/>
    <w:rsid w:val="00E50C6C"/>
    <w:rsid w:val="00E53779"/>
    <w:rsid w:val="00E72995"/>
    <w:rsid w:val="00EA344C"/>
    <w:rsid w:val="00EC10DA"/>
    <w:rsid w:val="00EE1BD6"/>
    <w:rsid w:val="00F02769"/>
    <w:rsid w:val="00F171CB"/>
    <w:rsid w:val="00F432BB"/>
    <w:rsid w:val="00F4702A"/>
    <w:rsid w:val="00F54701"/>
    <w:rsid w:val="00F73303"/>
    <w:rsid w:val="00F90817"/>
    <w:rsid w:val="00F9414B"/>
    <w:rsid w:val="00F96035"/>
    <w:rsid w:val="00FC7062"/>
    <w:rsid w:val="00FD0C4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94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41604"/>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qFormat/>
    <w:rsid w:val="00141604"/>
    <w:pPr>
      <w:keepNext/>
      <w:numPr>
        <w:ilvl w:val="1"/>
        <w:numId w:val="16"/>
      </w:numPr>
      <w:tabs>
        <w:tab w:val="left" w:pos="1134"/>
      </w:tabs>
      <w:spacing w:before="360" w:after="120"/>
      <w:jc w:val="both"/>
      <w:outlineLvl w:val="1"/>
    </w:pPr>
    <w:rPr>
      <w:b/>
      <w:bCs/>
      <w:iCs/>
      <w:sz w:val="24"/>
      <w:szCs w:val="24"/>
    </w:rPr>
  </w:style>
  <w:style w:type="paragraph" w:styleId="Heading3">
    <w:name w:val="heading 3"/>
    <w:basedOn w:val="Normal"/>
    <w:next w:val="Normal"/>
    <w:link w:val="Heading3Char"/>
    <w:autoRedefine/>
    <w:qFormat/>
    <w:rsid w:val="00141604"/>
    <w:pPr>
      <w:keepNext/>
      <w:numPr>
        <w:ilvl w:val="2"/>
        <w:numId w:val="16"/>
      </w:numPr>
      <w:spacing w:before="240" w:after="60"/>
      <w:outlineLvl w:val="2"/>
    </w:pPr>
    <w:rPr>
      <w:rFonts w:cs="Arial"/>
      <w:bCs/>
      <w:sz w:val="24"/>
      <w:szCs w:val="26"/>
      <w:u w:val="single"/>
    </w:rPr>
  </w:style>
  <w:style w:type="paragraph" w:styleId="Heading4">
    <w:name w:val="heading 4"/>
    <w:basedOn w:val="Normal"/>
    <w:next w:val="Normal"/>
    <w:link w:val="Heading4Char"/>
    <w:qFormat/>
    <w:rsid w:val="00393941"/>
    <w:pPr>
      <w:keepNext/>
      <w:numPr>
        <w:ilvl w:val="3"/>
        <w:numId w:val="16"/>
      </w:numPr>
      <w:spacing w:before="240" w:after="60"/>
      <w:outlineLvl w:val="3"/>
    </w:pPr>
    <w:rPr>
      <w:b/>
      <w:bCs/>
      <w:sz w:val="28"/>
      <w:szCs w:val="28"/>
    </w:rPr>
  </w:style>
  <w:style w:type="paragraph" w:styleId="Heading5">
    <w:name w:val="heading 5"/>
    <w:basedOn w:val="Normal"/>
    <w:next w:val="Normal"/>
    <w:link w:val="Heading5Char"/>
    <w:qFormat/>
    <w:rsid w:val="00393941"/>
    <w:pPr>
      <w:numPr>
        <w:ilvl w:val="4"/>
        <w:numId w:val="16"/>
      </w:numPr>
      <w:spacing w:before="240" w:after="60"/>
      <w:outlineLvl w:val="4"/>
    </w:pPr>
    <w:rPr>
      <w:b/>
      <w:bCs/>
      <w:i/>
      <w:iCs/>
      <w:sz w:val="26"/>
      <w:szCs w:val="26"/>
    </w:rPr>
  </w:style>
  <w:style w:type="paragraph" w:styleId="Heading6">
    <w:name w:val="heading 6"/>
    <w:basedOn w:val="Normal"/>
    <w:next w:val="Normal"/>
    <w:link w:val="Heading6Char"/>
    <w:qFormat/>
    <w:rsid w:val="00393941"/>
    <w:pPr>
      <w:numPr>
        <w:ilvl w:val="5"/>
        <w:numId w:val="16"/>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41604"/>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41604"/>
    <w:pPr>
      <w:keepNext/>
      <w:keepLines/>
      <w:numPr>
        <w:ilvl w:val="7"/>
        <w:numId w:val="16"/>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41604"/>
    <w:pPr>
      <w:keepNext/>
      <w:keepLines/>
      <w:numPr>
        <w:ilvl w:val="8"/>
        <w:numId w:val="16"/>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41604"/>
    <w:rPr>
      <w:rFonts w:ascii="Times New Roman" w:eastAsia="Times New Roman" w:hAnsi="Times New Roman" w:cs="Times New Roman"/>
      <w:b/>
      <w:bCs/>
      <w:iCs/>
      <w:sz w:val="24"/>
      <w:szCs w:val="24"/>
      <w:lang w:eastAsia="fr-FR"/>
    </w:rPr>
  </w:style>
  <w:style w:type="character" w:customStyle="1" w:styleId="Heading3Char">
    <w:name w:val="Heading 3 Char"/>
    <w:basedOn w:val="DefaultParagraphFont"/>
    <w:link w:val="Heading3"/>
    <w:rsid w:val="00141604"/>
    <w:rPr>
      <w:rFonts w:ascii="Times New Roman" w:eastAsia="Times New Roman" w:hAnsi="Times New Roman" w:cs="Arial"/>
      <w:bCs/>
      <w:sz w:val="24"/>
      <w:szCs w:val="26"/>
      <w:u w:val="single"/>
      <w:lang w:eastAsia="fr-FR"/>
    </w:rPr>
  </w:style>
  <w:style w:type="character" w:customStyle="1" w:styleId="Heading4Char">
    <w:name w:val="Heading 4 Char"/>
    <w:basedOn w:val="DefaultParagraphFont"/>
    <w:link w:val="Heading4"/>
    <w:rsid w:val="00393941"/>
    <w:rPr>
      <w:rFonts w:ascii="Times New Roman" w:eastAsia="Times New Roman" w:hAnsi="Times New Roman" w:cs="Times New Roman"/>
      <w:b/>
      <w:bCs/>
      <w:sz w:val="28"/>
      <w:szCs w:val="28"/>
      <w:lang w:eastAsia="fr-FR"/>
    </w:rPr>
  </w:style>
  <w:style w:type="character" w:customStyle="1" w:styleId="Heading5Char">
    <w:name w:val="Heading 5 Char"/>
    <w:basedOn w:val="DefaultParagraphFont"/>
    <w:link w:val="Heading5"/>
    <w:rsid w:val="00393941"/>
    <w:rPr>
      <w:rFonts w:ascii="Times New Roman" w:eastAsia="Times New Roman" w:hAnsi="Times New Roman" w:cs="Times New Roman"/>
      <w:b/>
      <w:bCs/>
      <w:i/>
      <w:iCs/>
      <w:sz w:val="26"/>
      <w:szCs w:val="26"/>
      <w:lang w:eastAsia="fr-FR"/>
    </w:rPr>
  </w:style>
  <w:style w:type="character" w:customStyle="1" w:styleId="Heading6Char">
    <w:name w:val="Heading 6 Char"/>
    <w:basedOn w:val="DefaultParagraphFont"/>
    <w:link w:val="Heading6"/>
    <w:rsid w:val="00393941"/>
    <w:rPr>
      <w:rFonts w:ascii="Times New Roman" w:eastAsia="Times New Roman" w:hAnsi="Times New Roman" w:cs="Times New Roman"/>
      <w:b/>
      <w:bCs/>
      <w:lang w:eastAsia="fr-FR"/>
    </w:rPr>
  </w:style>
  <w:style w:type="paragraph" w:styleId="ListParagraph">
    <w:name w:val="List Paragraph"/>
    <w:basedOn w:val="Normal"/>
    <w:uiPriority w:val="34"/>
    <w:qFormat/>
    <w:rsid w:val="00393941"/>
    <w:pPr>
      <w:ind w:left="720"/>
      <w:contextualSpacing/>
    </w:pPr>
  </w:style>
  <w:style w:type="paragraph" w:styleId="Header">
    <w:name w:val="header"/>
    <w:basedOn w:val="Normal"/>
    <w:link w:val="HeaderChar"/>
    <w:uiPriority w:val="99"/>
    <w:unhideWhenUsed/>
    <w:rsid w:val="00682418"/>
    <w:pPr>
      <w:tabs>
        <w:tab w:val="center" w:pos="4513"/>
        <w:tab w:val="right" w:pos="9026"/>
      </w:tabs>
    </w:pPr>
  </w:style>
  <w:style w:type="character" w:customStyle="1" w:styleId="HeaderChar">
    <w:name w:val="Header Char"/>
    <w:basedOn w:val="DefaultParagraphFont"/>
    <w:link w:val="Header"/>
    <w:uiPriority w:val="99"/>
    <w:rsid w:val="00682418"/>
    <w:rPr>
      <w:rFonts w:ascii="Times New Roman" w:eastAsia="Times New Roman" w:hAnsi="Times New Roman" w:cs="Times New Roman"/>
      <w:sz w:val="20"/>
      <w:szCs w:val="20"/>
      <w:lang w:eastAsia="fr-FR"/>
    </w:rPr>
  </w:style>
  <w:style w:type="paragraph" w:styleId="Footer">
    <w:name w:val="footer"/>
    <w:basedOn w:val="Normal"/>
    <w:link w:val="FooterChar"/>
    <w:uiPriority w:val="99"/>
    <w:unhideWhenUsed/>
    <w:rsid w:val="00682418"/>
    <w:pPr>
      <w:tabs>
        <w:tab w:val="center" w:pos="4513"/>
        <w:tab w:val="right" w:pos="9026"/>
      </w:tabs>
    </w:pPr>
  </w:style>
  <w:style w:type="character" w:customStyle="1" w:styleId="FooterChar">
    <w:name w:val="Footer Char"/>
    <w:basedOn w:val="DefaultParagraphFont"/>
    <w:link w:val="Footer"/>
    <w:uiPriority w:val="99"/>
    <w:rsid w:val="00682418"/>
    <w:rPr>
      <w:rFonts w:ascii="Times New Roman" w:eastAsia="Times New Roman" w:hAnsi="Times New Roman" w:cs="Times New Roman"/>
      <w:sz w:val="20"/>
      <w:szCs w:val="20"/>
      <w:lang w:eastAsia="fr-FR"/>
    </w:rPr>
  </w:style>
  <w:style w:type="paragraph" w:styleId="BalloonText">
    <w:name w:val="Balloon Text"/>
    <w:basedOn w:val="Normal"/>
    <w:link w:val="BalloonTextChar"/>
    <w:uiPriority w:val="99"/>
    <w:semiHidden/>
    <w:unhideWhenUsed/>
    <w:rsid w:val="00682418"/>
    <w:rPr>
      <w:rFonts w:ascii="Tahoma" w:hAnsi="Tahoma" w:cs="Tahoma"/>
      <w:sz w:val="16"/>
      <w:szCs w:val="16"/>
    </w:rPr>
  </w:style>
  <w:style w:type="character" w:customStyle="1" w:styleId="BalloonTextChar">
    <w:name w:val="Balloon Text Char"/>
    <w:basedOn w:val="DefaultParagraphFont"/>
    <w:link w:val="BalloonText"/>
    <w:uiPriority w:val="99"/>
    <w:semiHidden/>
    <w:rsid w:val="00682418"/>
    <w:rPr>
      <w:rFonts w:ascii="Tahoma" w:eastAsia="Times New Roman" w:hAnsi="Tahoma" w:cs="Tahoma"/>
      <w:sz w:val="16"/>
      <w:szCs w:val="16"/>
      <w:lang w:eastAsia="fr-FR"/>
    </w:rPr>
  </w:style>
  <w:style w:type="character" w:styleId="CommentReference">
    <w:name w:val="annotation reference"/>
    <w:basedOn w:val="DefaultParagraphFont"/>
    <w:uiPriority w:val="99"/>
    <w:semiHidden/>
    <w:unhideWhenUsed/>
    <w:rsid w:val="001F1D01"/>
    <w:rPr>
      <w:sz w:val="16"/>
      <w:szCs w:val="16"/>
    </w:rPr>
  </w:style>
  <w:style w:type="paragraph" w:styleId="CommentText">
    <w:name w:val="annotation text"/>
    <w:basedOn w:val="Normal"/>
    <w:link w:val="CommentTextChar"/>
    <w:uiPriority w:val="99"/>
    <w:unhideWhenUsed/>
    <w:rsid w:val="001F1D01"/>
  </w:style>
  <w:style w:type="character" w:customStyle="1" w:styleId="CommentTextChar">
    <w:name w:val="Comment Text Char"/>
    <w:basedOn w:val="DefaultParagraphFont"/>
    <w:link w:val="CommentText"/>
    <w:uiPriority w:val="99"/>
    <w:rsid w:val="001F1D01"/>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1F1D01"/>
    <w:rPr>
      <w:b/>
      <w:bCs/>
    </w:rPr>
  </w:style>
  <w:style w:type="character" w:customStyle="1" w:styleId="CommentSubjectChar">
    <w:name w:val="Comment Subject Char"/>
    <w:basedOn w:val="CommentTextChar"/>
    <w:link w:val="CommentSubject"/>
    <w:uiPriority w:val="99"/>
    <w:semiHidden/>
    <w:rsid w:val="001F1D01"/>
    <w:rPr>
      <w:rFonts w:ascii="Times New Roman" w:eastAsia="Times New Roman" w:hAnsi="Times New Roman" w:cs="Times New Roman"/>
      <w:b/>
      <w:bCs/>
      <w:sz w:val="20"/>
      <w:szCs w:val="20"/>
      <w:lang w:eastAsia="fr-FR"/>
    </w:rPr>
  </w:style>
  <w:style w:type="paragraph" w:styleId="Revision">
    <w:name w:val="Revision"/>
    <w:hidden/>
    <w:uiPriority w:val="99"/>
    <w:semiHidden/>
    <w:rsid w:val="004D705A"/>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D82751"/>
  </w:style>
  <w:style w:type="character" w:customStyle="1" w:styleId="FootnoteTextChar">
    <w:name w:val="Footnote Text Char"/>
    <w:basedOn w:val="DefaultParagraphFont"/>
    <w:link w:val="FootnoteText"/>
    <w:uiPriority w:val="99"/>
    <w:semiHidden/>
    <w:rsid w:val="00D82751"/>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sid w:val="00D82751"/>
    <w:rPr>
      <w:vertAlign w:val="superscript"/>
    </w:rPr>
  </w:style>
  <w:style w:type="paragraph" w:customStyle="1" w:styleId="FooterCoverPage">
    <w:name w:val="Footer Cover Page"/>
    <w:basedOn w:val="Normal"/>
    <w:link w:val="FooterCoverPageChar"/>
    <w:rsid w:val="00C36797"/>
    <w:pPr>
      <w:widowControl/>
      <w:tabs>
        <w:tab w:val="center" w:pos="4535"/>
        <w:tab w:val="right" w:pos="9071"/>
        <w:tab w:val="right" w:pos="9921"/>
      </w:tabs>
      <w:autoSpaceDE/>
      <w:autoSpaceDN/>
      <w:adjustRightInd/>
      <w:spacing w:before="360"/>
      <w:ind w:left="-850" w:right="-850"/>
    </w:pPr>
    <w:rPr>
      <w:sz w:val="24"/>
      <w:szCs w:val="24"/>
    </w:rPr>
  </w:style>
  <w:style w:type="character" w:customStyle="1" w:styleId="FooterCoverPageChar">
    <w:name w:val="Footer Cover Page Char"/>
    <w:link w:val="FooterCoverPage"/>
    <w:rsid w:val="00C36797"/>
    <w:rPr>
      <w:rFonts w:ascii="Times New Roman" w:eastAsia="Times New Roman" w:hAnsi="Times New Roman" w:cs="Times New Roman"/>
      <w:sz w:val="24"/>
      <w:szCs w:val="24"/>
    </w:rPr>
  </w:style>
  <w:style w:type="paragraph" w:customStyle="1" w:styleId="HeaderCoverPage">
    <w:name w:val="Header Cover Page"/>
    <w:basedOn w:val="Normal"/>
    <w:link w:val="HeaderCoverPageChar"/>
    <w:rsid w:val="00C36797"/>
    <w:pPr>
      <w:widowControl/>
      <w:tabs>
        <w:tab w:val="center" w:pos="4535"/>
        <w:tab w:val="right" w:pos="9071"/>
      </w:tabs>
      <w:autoSpaceDE/>
      <w:autoSpaceDN/>
      <w:adjustRightInd/>
      <w:spacing w:after="120"/>
      <w:jc w:val="both"/>
    </w:pPr>
    <w:rPr>
      <w:sz w:val="24"/>
      <w:szCs w:val="24"/>
    </w:rPr>
  </w:style>
  <w:style w:type="character" w:customStyle="1" w:styleId="HeaderCoverPageChar">
    <w:name w:val="Header Cover Page Char"/>
    <w:link w:val="HeaderCoverPage"/>
    <w:rsid w:val="00C36797"/>
    <w:rPr>
      <w:rFonts w:ascii="Times New Roman" w:eastAsia="Times New Roman" w:hAnsi="Times New Roman" w:cs="Times New Roman"/>
      <w:sz w:val="24"/>
      <w:szCs w:val="24"/>
    </w:rPr>
  </w:style>
  <w:style w:type="character" w:customStyle="1" w:styleId="Marker">
    <w:name w:val="Marker"/>
    <w:basedOn w:val="DefaultParagraphFont"/>
    <w:rsid w:val="00164753"/>
    <w:rPr>
      <w:color w:val="0000FF"/>
      <w:shd w:val="clear" w:color="auto" w:fill="auto"/>
    </w:rPr>
  </w:style>
  <w:style w:type="paragraph" w:customStyle="1" w:styleId="Pagedecouverture">
    <w:name w:val="Page de couverture"/>
    <w:basedOn w:val="Normal"/>
    <w:next w:val="Normal"/>
    <w:rsid w:val="00164753"/>
    <w:pPr>
      <w:widowControl/>
      <w:autoSpaceDE/>
      <w:autoSpaceDN/>
      <w:adjustRightInd/>
      <w:jc w:val="both"/>
    </w:pPr>
    <w:rPr>
      <w:rFonts w:eastAsiaTheme="minorHAnsi"/>
      <w:sz w:val="24"/>
      <w:szCs w:val="22"/>
    </w:rPr>
  </w:style>
  <w:style w:type="character" w:styleId="BookTitle">
    <w:name w:val="Book Title"/>
    <w:basedOn w:val="DefaultParagraphFont"/>
    <w:uiPriority w:val="33"/>
    <w:qFormat/>
    <w:rsid w:val="00185E15"/>
    <w:rPr>
      <w:b/>
      <w:bCs/>
      <w:smallCaps/>
      <w:spacing w:val="5"/>
    </w:rPr>
  </w:style>
  <w:style w:type="character" w:customStyle="1" w:styleId="Heading1Char">
    <w:name w:val="Heading 1 Char"/>
    <w:basedOn w:val="DefaultParagraphFont"/>
    <w:link w:val="Heading1"/>
    <w:uiPriority w:val="9"/>
    <w:rsid w:val="00141604"/>
    <w:rPr>
      <w:rFonts w:asciiTheme="majorHAnsi" w:eastAsiaTheme="majorEastAsia" w:hAnsiTheme="majorHAnsi" w:cstheme="majorBidi"/>
      <w:b/>
      <w:bCs/>
      <w:color w:val="365F91" w:themeColor="accent1" w:themeShade="BF"/>
      <w:sz w:val="28"/>
      <w:szCs w:val="28"/>
      <w:lang w:eastAsia="fr-FR"/>
    </w:rPr>
  </w:style>
  <w:style w:type="paragraph" w:styleId="TOCHeading">
    <w:name w:val="TOC Heading"/>
    <w:basedOn w:val="Heading1"/>
    <w:next w:val="Normal"/>
    <w:uiPriority w:val="39"/>
    <w:semiHidden/>
    <w:unhideWhenUsed/>
    <w:qFormat/>
    <w:rsid w:val="00185E15"/>
    <w:pPr>
      <w:widowControl/>
      <w:autoSpaceDE/>
      <w:autoSpaceDN/>
      <w:adjustRightInd/>
      <w:spacing w:line="276" w:lineRule="auto"/>
      <w:outlineLvl w:val="9"/>
    </w:pPr>
  </w:style>
  <w:style w:type="paragraph" w:styleId="TOC1">
    <w:name w:val="toc 1"/>
    <w:basedOn w:val="Normal"/>
    <w:next w:val="Normal"/>
    <w:autoRedefine/>
    <w:uiPriority w:val="39"/>
    <w:unhideWhenUsed/>
    <w:rsid w:val="00185E15"/>
    <w:pPr>
      <w:spacing w:after="100"/>
    </w:pPr>
  </w:style>
  <w:style w:type="paragraph" w:styleId="TOC2">
    <w:name w:val="toc 2"/>
    <w:basedOn w:val="Normal"/>
    <w:next w:val="Normal"/>
    <w:autoRedefine/>
    <w:uiPriority w:val="39"/>
    <w:unhideWhenUsed/>
    <w:rsid w:val="00403D31"/>
    <w:pPr>
      <w:tabs>
        <w:tab w:val="left" w:pos="720"/>
        <w:tab w:val="right" w:leader="dot" w:pos="9062"/>
      </w:tabs>
      <w:spacing w:after="100"/>
      <w:ind w:left="200"/>
      <w:jc w:val="both"/>
    </w:pPr>
  </w:style>
  <w:style w:type="character" w:styleId="Hyperlink">
    <w:name w:val="Hyperlink"/>
    <w:basedOn w:val="DefaultParagraphFont"/>
    <w:uiPriority w:val="99"/>
    <w:unhideWhenUsed/>
    <w:rsid w:val="00185E15"/>
    <w:rPr>
      <w:color w:val="0000FF" w:themeColor="hyperlink"/>
      <w:u w:val="single"/>
    </w:rPr>
  </w:style>
  <w:style w:type="character" w:customStyle="1" w:styleId="Heading7Char">
    <w:name w:val="Heading 7 Char"/>
    <w:basedOn w:val="DefaultParagraphFont"/>
    <w:link w:val="Heading7"/>
    <w:uiPriority w:val="9"/>
    <w:semiHidden/>
    <w:rsid w:val="00141604"/>
    <w:rPr>
      <w:rFonts w:asciiTheme="majorHAnsi" w:eastAsiaTheme="majorEastAsia" w:hAnsiTheme="majorHAnsi" w:cstheme="majorBidi"/>
      <w:i/>
      <w:iCs/>
      <w:color w:val="404040" w:themeColor="text1" w:themeTint="BF"/>
      <w:sz w:val="20"/>
      <w:szCs w:val="20"/>
      <w:lang w:eastAsia="fr-FR"/>
    </w:rPr>
  </w:style>
  <w:style w:type="character" w:customStyle="1" w:styleId="Heading8Char">
    <w:name w:val="Heading 8 Char"/>
    <w:basedOn w:val="DefaultParagraphFont"/>
    <w:link w:val="Heading8"/>
    <w:uiPriority w:val="9"/>
    <w:semiHidden/>
    <w:rsid w:val="00141604"/>
    <w:rPr>
      <w:rFonts w:asciiTheme="majorHAnsi" w:eastAsiaTheme="majorEastAsia" w:hAnsiTheme="majorHAnsi" w:cstheme="majorBidi"/>
      <w:color w:val="404040" w:themeColor="text1" w:themeTint="BF"/>
      <w:sz w:val="20"/>
      <w:szCs w:val="20"/>
      <w:lang w:eastAsia="fr-FR"/>
    </w:rPr>
  </w:style>
  <w:style w:type="character" w:customStyle="1" w:styleId="Heading9Char">
    <w:name w:val="Heading 9 Char"/>
    <w:basedOn w:val="DefaultParagraphFont"/>
    <w:link w:val="Heading9"/>
    <w:uiPriority w:val="9"/>
    <w:semiHidden/>
    <w:rsid w:val="00141604"/>
    <w:rPr>
      <w:rFonts w:asciiTheme="majorHAnsi" w:eastAsiaTheme="majorEastAsia" w:hAnsiTheme="majorHAnsi" w:cstheme="majorBidi"/>
      <w:i/>
      <w:iCs/>
      <w:color w:val="404040" w:themeColor="text1" w:themeTint="BF"/>
      <w:sz w:val="20"/>
      <w:szCs w:val="20"/>
      <w:lang w:eastAsia="fr-FR"/>
    </w:rPr>
  </w:style>
  <w:style w:type="paragraph" w:customStyle="1" w:styleId="ListDash3">
    <w:name w:val="List Dash 3"/>
    <w:basedOn w:val="Normal"/>
    <w:rsid w:val="009555DC"/>
    <w:pPr>
      <w:widowControl/>
      <w:autoSpaceDE/>
      <w:autoSpaceDN/>
      <w:adjustRightInd/>
      <w:spacing w:before="120" w:after="120"/>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94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41604"/>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qFormat/>
    <w:rsid w:val="00141604"/>
    <w:pPr>
      <w:keepNext/>
      <w:numPr>
        <w:ilvl w:val="1"/>
        <w:numId w:val="16"/>
      </w:numPr>
      <w:tabs>
        <w:tab w:val="left" w:pos="1134"/>
      </w:tabs>
      <w:spacing w:before="360" w:after="120"/>
      <w:jc w:val="both"/>
      <w:outlineLvl w:val="1"/>
    </w:pPr>
    <w:rPr>
      <w:b/>
      <w:bCs/>
      <w:iCs/>
      <w:sz w:val="24"/>
      <w:szCs w:val="24"/>
    </w:rPr>
  </w:style>
  <w:style w:type="paragraph" w:styleId="Heading3">
    <w:name w:val="heading 3"/>
    <w:basedOn w:val="Normal"/>
    <w:next w:val="Normal"/>
    <w:link w:val="Heading3Char"/>
    <w:autoRedefine/>
    <w:qFormat/>
    <w:rsid w:val="00141604"/>
    <w:pPr>
      <w:keepNext/>
      <w:numPr>
        <w:ilvl w:val="2"/>
        <w:numId w:val="16"/>
      </w:numPr>
      <w:spacing w:before="240" w:after="60"/>
      <w:outlineLvl w:val="2"/>
    </w:pPr>
    <w:rPr>
      <w:rFonts w:cs="Arial"/>
      <w:bCs/>
      <w:sz w:val="24"/>
      <w:szCs w:val="26"/>
      <w:u w:val="single"/>
    </w:rPr>
  </w:style>
  <w:style w:type="paragraph" w:styleId="Heading4">
    <w:name w:val="heading 4"/>
    <w:basedOn w:val="Normal"/>
    <w:next w:val="Normal"/>
    <w:link w:val="Heading4Char"/>
    <w:qFormat/>
    <w:rsid w:val="00393941"/>
    <w:pPr>
      <w:keepNext/>
      <w:numPr>
        <w:ilvl w:val="3"/>
        <w:numId w:val="16"/>
      </w:numPr>
      <w:spacing w:before="240" w:after="60"/>
      <w:outlineLvl w:val="3"/>
    </w:pPr>
    <w:rPr>
      <w:b/>
      <w:bCs/>
      <w:sz w:val="28"/>
      <w:szCs w:val="28"/>
    </w:rPr>
  </w:style>
  <w:style w:type="paragraph" w:styleId="Heading5">
    <w:name w:val="heading 5"/>
    <w:basedOn w:val="Normal"/>
    <w:next w:val="Normal"/>
    <w:link w:val="Heading5Char"/>
    <w:qFormat/>
    <w:rsid w:val="00393941"/>
    <w:pPr>
      <w:numPr>
        <w:ilvl w:val="4"/>
        <w:numId w:val="16"/>
      </w:numPr>
      <w:spacing w:before="240" w:after="60"/>
      <w:outlineLvl w:val="4"/>
    </w:pPr>
    <w:rPr>
      <w:b/>
      <w:bCs/>
      <w:i/>
      <w:iCs/>
      <w:sz w:val="26"/>
      <w:szCs w:val="26"/>
    </w:rPr>
  </w:style>
  <w:style w:type="paragraph" w:styleId="Heading6">
    <w:name w:val="heading 6"/>
    <w:basedOn w:val="Normal"/>
    <w:next w:val="Normal"/>
    <w:link w:val="Heading6Char"/>
    <w:qFormat/>
    <w:rsid w:val="00393941"/>
    <w:pPr>
      <w:numPr>
        <w:ilvl w:val="5"/>
        <w:numId w:val="16"/>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41604"/>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41604"/>
    <w:pPr>
      <w:keepNext/>
      <w:keepLines/>
      <w:numPr>
        <w:ilvl w:val="7"/>
        <w:numId w:val="16"/>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41604"/>
    <w:pPr>
      <w:keepNext/>
      <w:keepLines/>
      <w:numPr>
        <w:ilvl w:val="8"/>
        <w:numId w:val="16"/>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41604"/>
    <w:rPr>
      <w:rFonts w:ascii="Times New Roman" w:eastAsia="Times New Roman" w:hAnsi="Times New Roman" w:cs="Times New Roman"/>
      <w:b/>
      <w:bCs/>
      <w:iCs/>
      <w:sz w:val="24"/>
      <w:szCs w:val="24"/>
      <w:lang w:eastAsia="fr-FR"/>
    </w:rPr>
  </w:style>
  <w:style w:type="character" w:customStyle="1" w:styleId="Heading3Char">
    <w:name w:val="Heading 3 Char"/>
    <w:basedOn w:val="DefaultParagraphFont"/>
    <w:link w:val="Heading3"/>
    <w:rsid w:val="00141604"/>
    <w:rPr>
      <w:rFonts w:ascii="Times New Roman" w:eastAsia="Times New Roman" w:hAnsi="Times New Roman" w:cs="Arial"/>
      <w:bCs/>
      <w:sz w:val="24"/>
      <w:szCs w:val="26"/>
      <w:u w:val="single"/>
      <w:lang w:eastAsia="fr-FR"/>
    </w:rPr>
  </w:style>
  <w:style w:type="character" w:customStyle="1" w:styleId="Heading4Char">
    <w:name w:val="Heading 4 Char"/>
    <w:basedOn w:val="DefaultParagraphFont"/>
    <w:link w:val="Heading4"/>
    <w:rsid w:val="00393941"/>
    <w:rPr>
      <w:rFonts w:ascii="Times New Roman" w:eastAsia="Times New Roman" w:hAnsi="Times New Roman" w:cs="Times New Roman"/>
      <w:b/>
      <w:bCs/>
      <w:sz w:val="28"/>
      <w:szCs w:val="28"/>
      <w:lang w:eastAsia="fr-FR"/>
    </w:rPr>
  </w:style>
  <w:style w:type="character" w:customStyle="1" w:styleId="Heading5Char">
    <w:name w:val="Heading 5 Char"/>
    <w:basedOn w:val="DefaultParagraphFont"/>
    <w:link w:val="Heading5"/>
    <w:rsid w:val="00393941"/>
    <w:rPr>
      <w:rFonts w:ascii="Times New Roman" w:eastAsia="Times New Roman" w:hAnsi="Times New Roman" w:cs="Times New Roman"/>
      <w:b/>
      <w:bCs/>
      <w:i/>
      <w:iCs/>
      <w:sz w:val="26"/>
      <w:szCs w:val="26"/>
      <w:lang w:eastAsia="fr-FR"/>
    </w:rPr>
  </w:style>
  <w:style w:type="character" w:customStyle="1" w:styleId="Heading6Char">
    <w:name w:val="Heading 6 Char"/>
    <w:basedOn w:val="DefaultParagraphFont"/>
    <w:link w:val="Heading6"/>
    <w:rsid w:val="00393941"/>
    <w:rPr>
      <w:rFonts w:ascii="Times New Roman" w:eastAsia="Times New Roman" w:hAnsi="Times New Roman" w:cs="Times New Roman"/>
      <w:b/>
      <w:bCs/>
      <w:lang w:eastAsia="fr-FR"/>
    </w:rPr>
  </w:style>
  <w:style w:type="paragraph" w:styleId="ListParagraph">
    <w:name w:val="List Paragraph"/>
    <w:basedOn w:val="Normal"/>
    <w:uiPriority w:val="34"/>
    <w:qFormat/>
    <w:rsid w:val="00393941"/>
    <w:pPr>
      <w:ind w:left="720"/>
      <w:contextualSpacing/>
    </w:pPr>
  </w:style>
  <w:style w:type="paragraph" w:styleId="Header">
    <w:name w:val="header"/>
    <w:basedOn w:val="Normal"/>
    <w:link w:val="HeaderChar"/>
    <w:uiPriority w:val="99"/>
    <w:unhideWhenUsed/>
    <w:rsid w:val="00682418"/>
    <w:pPr>
      <w:tabs>
        <w:tab w:val="center" w:pos="4513"/>
        <w:tab w:val="right" w:pos="9026"/>
      </w:tabs>
    </w:pPr>
  </w:style>
  <w:style w:type="character" w:customStyle="1" w:styleId="HeaderChar">
    <w:name w:val="Header Char"/>
    <w:basedOn w:val="DefaultParagraphFont"/>
    <w:link w:val="Header"/>
    <w:uiPriority w:val="99"/>
    <w:rsid w:val="00682418"/>
    <w:rPr>
      <w:rFonts w:ascii="Times New Roman" w:eastAsia="Times New Roman" w:hAnsi="Times New Roman" w:cs="Times New Roman"/>
      <w:sz w:val="20"/>
      <w:szCs w:val="20"/>
      <w:lang w:eastAsia="fr-FR"/>
    </w:rPr>
  </w:style>
  <w:style w:type="paragraph" w:styleId="Footer">
    <w:name w:val="footer"/>
    <w:basedOn w:val="Normal"/>
    <w:link w:val="FooterChar"/>
    <w:uiPriority w:val="99"/>
    <w:unhideWhenUsed/>
    <w:rsid w:val="00682418"/>
    <w:pPr>
      <w:tabs>
        <w:tab w:val="center" w:pos="4513"/>
        <w:tab w:val="right" w:pos="9026"/>
      </w:tabs>
    </w:pPr>
  </w:style>
  <w:style w:type="character" w:customStyle="1" w:styleId="FooterChar">
    <w:name w:val="Footer Char"/>
    <w:basedOn w:val="DefaultParagraphFont"/>
    <w:link w:val="Footer"/>
    <w:uiPriority w:val="99"/>
    <w:rsid w:val="00682418"/>
    <w:rPr>
      <w:rFonts w:ascii="Times New Roman" w:eastAsia="Times New Roman" w:hAnsi="Times New Roman" w:cs="Times New Roman"/>
      <w:sz w:val="20"/>
      <w:szCs w:val="20"/>
      <w:lang w:eastAsia="fr-FR"/>
    </w:rPr>
  </w:style>
  <w:style w:type="paragraph" w:styleId="BalloonText">
    <w:name w:val="Balloon Text"/>
    <w:basedOn w:val="Normal"/>
    <w:link w:val="BalloonTextChar"/>
    <w:uiPriority w:val="99"/>
    <w:semiHidden/>
    <w:unhideWhenUsed/>
    <w:rsid w:val="00682418"/>
    <w:rPr>
      <w:rFonts w:ascii="Tahoma" w:hAnsi="Tahoma" w:cs="Tahoma"/>
      <w:sz w:val="16"/>
      <w:szCs w:val="16"/>
    </w:rPr>
  </w:style>
  <w:style w:type="character" w:customStyle="1" w:styleId="BalloonTextChar">
    <w:name w:val="Balloon Text Char"/>
    <w:basedOn w:val="DefaultParagraphFont"/>
    <w:link w:val="BalloonText"/>
    <w:uiPriority w:val="99"/>
    <w:semiHidden/>
    <w:rsid w:val="00682418"/>
    <w:rPr>
      <w:rFonts w:ascii="Tahoma" w:eastAsia="Times New Roman" w:hAnsi="Tahoma" w:cs="Tahoma"/>
      <w:sz w:val="16"/>
      <w:szCs w:val="16"/>
      <w:lang w:eastAsia="fr-FR"/>
    </w:rPr>
  </w:style>
  <w:style w:type="character" w:styleId="CommentReference">
    <w:name w:val="annotation reference"/>
    <w:basedOn w:val="DefaultParagraphFont"/>
    <w:uiPriority w:val="99"/>
    <w:semiHidden/>
    <w:unhideWhenUsed/>
    <w:rsid w:val="001F1D01"/>
    <w:rPr>
      <w:sz w:val="16"/>
      <w:szCs w:val="16"/>
    </w:rPr>
  </w:style>
  <w:style w:type="paragraph" w:styleId="CommentText">
    <w:name w:val="annotation text"/>
    <w:basedOn w:val="Normal"/>
    <w:link w:val="CommentTextChar"/>
    <w:uiPriority w:val="99"/>
    <w:unhideWhenUsed/>
    <w:rsid w:val="001F1D01"/>
  </w:style>
  <w:style w:type="character" w:customStyle="1" w:styleId="CommentTextChar">
    <w:name w:val="Comment Text Char"/>
    <w:basedOn w:val="DefaultParagraphFont"/>
    <w:link w:val="CommentText"/>
    <w:uiPriority w:val="99"/>
    <w:rsid w:val="001F1D01"/>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1F1D01"/>
    <w:rPr>
      <w:b/>
      <w:bCs/>
    </w:rPr>
  </w:style>
  <w:style w:type="character" w:customStyle="1" w:styleId="CommentSubjectChar">
    <w:name w:val="Comment Subject Char"/>
    <w:basedOn w:val="CommentTextChar"/>
    <w:link w:val="CommentSubject"/>
    <w:uiPriority w:val="99"/>
    <w:semiHidden/>
    <w:rsid w:val="001F1D01"/>
    <w:rPr>
      <w:rFonts w:ascii="Times New Roman" w:eastAsia="Times New Roman" w:hAnsi="Times New Roman" w:cs="Times New Roman"/>
      <w:b/>
      <w:bCs/>
      <w:sz w:val="20"/>
      <w:szCs w:val="20"/>
      <w:lang w:eastAsia="fr-FR"/>
    </w:rPr>
  </w:style>
  <w:style w:type="paragraph" w:styleId="Revision">
    <w:name w:val="Revision"/>
    <w:hidden/>
    <w:uiPriority w:val="99"/>
    <w:semiHidden/>
    <w:rsid w:val="004D705A"/>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D82751"/>
  </w:style>
  <w:style w:type="character" w:customStyle="1" w:styleId="FootnoteTextChar">
    <w:name w:val="Footnote Text Char"/>
    <w:basedOn w:val="DefaultParagraphFont"/>
    <w:link w:val="FootnoteText"/>
    <w:uiPriority w:val="99"/>
    <w:semiHidden/>
    <w:rsid w:val="00D82751"/>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sid w:val="00D82751"/>
    <w:rPr>
      <w:vertAlign w:val="superscript"/>
    </w:rPr>
  </w:style>
  <w:style w:type="paragraph" w:customStyle="1" w:styleId="FooterCoverPage">
    <w:name w:val="Footer Cover Page"/>
    <w:basedOn w:val="Normal"/>
    <w:link w:val="FooterCoverPageChar"/>
    <w:rsid w:val="00C36797"/>
    <w:pPr>
      <w:widowControl/>
      <w:tabs>
        <w:tab w:val="center" w:pos="4535"/>
        <w:tab w:val="right" w:pos="9071"/>
        <w:tab w:val="right" w:pos="9921"/>
      </w:tabs>
      <w:autoSpaceDE/>
      <w:autoSpaceDN/>
      <w:adjustRightInd/>
      <w:spacing w:before="360"/>
      <w:ind w:left="-850" w:right="-850"/>
    </w:pPr>
    <w:rPr>
      <w:sz w:val="24"/>
      <w:szCs w:val="24"/>
    </w:rPr>
  </w:style>
  <w:style w:type="character" w:customStyle="1" w:styleId="FooterCoverPageChar">
    <w:name w:val="Footer Cover Page Char"/>
    <w:link w:val="FooterCoverPage"/>
    <w:rsid w:val="00C36797"/>
    <w:rPr>
      <w:rFonts w:ascii="Times New Roman" w:eastAsia="Times New Roman" w:hAnsi="Times New Roman" w:cs="Times New Roman"/>
      <w:sz w:val="24"/>
      <w:szCs w:val="24"/>
    </w:rPr>
  </w:style>
  <w:style w:type="paragraph" w:customStyle="1" w:styleId="HeaderCoverPage">
    <w:name w:val="Header Cover Page"/>
    <w:basedOn w:val="Normal"/>
    <w:link w:val="HeaderCoverPageChar"/>
    <w:rsid w:val="00C36797"/>
    <w:pPr>
      <w:widowControl/>
      <w:tabs>
        <w:tab w:val="center" w:pos="4535"/>
        <w:tab w:val="right" w:pos="9071"/>
      </w:tabs>
      <w:autoSpaceDE/>
      <w:autoSpaceDN/>
      <w:adjustRightInd/>
      <w:spacing w:after="120"/>
      <w:jc w:val="both"/>
    </w:pPr>
    <w:rPr>
      <w:sz w:val="24"/>
      <w:szCs w:val="24"/>
    </w:rPr>
  </w:style>
  <w:style w:type="character" w:customStyle="1" w:styleId="HeaderCoverPageChar">
    <w:name w:val="Header Cover Page Char"/>
    <w:link w:val="HeaderCoverPage"/>
    <w:rsid w:val="00C36797"/>
    <w:rPr>
      <w:rFonts w:ascii="Times New Roman" w:eastAsia="Times New Roman" w:hAnsi="Times New Roman" w:cs="Times New Roman"/>
      <w:sz w:val="24"/>
      <w:szCs w:val="24"/>
    </w:rPr>
  </w:style>
  <w:style w:type="character" w:customStyle="1" w:styleId="Marker">
    <w:name w:val="Marker"/>
    <w:basedOn w:val="DefaultParagraphFont"/>
    <w:rsid w:val="00164753"/>
    <w:rPr>
      <w:color w:val="0000FF"/>
      <w:shd w:val="clear" w:color="auto" w:fill="auto"/>
    </w:rPr>
  </w:style>
  <w:style w:type="paragraph" w:customStyle="1" w:styleId="Pagedecouverture">
    <w:name w:val="Page de couverture"/>
    <w:basedOn w:val="Normal"/>
    <w:next w:val="Normal"/>
    <w:rsid w:val="00164753"/>
    <w:pPr>
      <w:widowControl/>
      <w:autoSpaceDE/>
      <w:autoSpaceDN/>
      <w:adjustRightInd/>
      <w:jc w:val="both"/>
    </w:pPr>
    <w:rPr>
      <w:rFonts w:eastAsiaTheme="minorHAnsi"/>
      <w:sz w:val="24"/>
      <w:szCs w:val="22"/>
    </w:rPr>
  </w:style>
  <w:style w:type="character" w:styleId="BookTitle">
    <w:name w:val="Book Title"/>
    <w:basedOn w:val="DefaultParagraphFont"/>
    <w:uiPriority w:val="33"/>
    <w:qFormat/>
    <w:rsid w:val="00185E15"/>
    <w:rPr>
      <w:b/>
      <w:bCs/>
      <w:smallCaps/>
      <w:spacing w:val="5"/>
    </w:rPr>
  </w:style>
  <w:style w:type="character" w:customStyle="1" w:styleId="Heading1Char">
    <w:name w:val="Heading 1 Char"/>
    <w:basedOn w:val="DefaultParagraphFont"/>
    <w:link w:val="Heading1"/>
    <w:uiPriority w:val="9"/>
    <w:rsid w:val="00141604"/>
    <w:rPr>
      <w:rFonts w:asciiTheme="majorHAnsi" w:eastAsiaTheme="majorEastAsia" w:hAnsiTheme="majorHAnsi" w:cstheme="majorBidi"/>
      <w:b/>
      <w:bCs/>
      <w:color w:val="365F91" w:themeColor="accent1" w:themeShade="BF"/>
      <w:sz w:val="28"/>
      <w:szCs w:val="28"/>
      <w:lang w:eastAsia="fr-FR"/>
    </w:rPr>
  </w:style>
  <w:style w:type="paragraph" w:styleId="TOCHeading">
    <w:name w:val="TOC Heading"/>
    <w:basedOn w:val="Heading1"/>
    <w:next w:val="Normal"/>
    <w:uiPriority w:val="39"/>
    <w:semiHidden/>
    <w:unhideWhenUsed/>
    <w:qFormat/>
    <w:rsid w:val="00185E15"/>
    <w:pPr>
      <w:widowControl/>
      <w:autoSpaceDE/>
      <w:autoSpaceDN/>
      <w:adjustRightInd/>
      <w:spacing w:line="276" w:lineRule="auto"/>
      <w:outlineLvl w:val="9"/>
    </w:pPr>
  </w:style>
  <w:style w:type="paragraph" w:styleId="TOC1">
    <w:name w:val="toc 1"/>
    <w:basedOn w:val="Normal"/>
    <w:next w:val="Normal"/>
    <w:autoRedefine/>
    <w:uiPriority w:val="39"/>
    <w:unhideWhenUsed/>
    <w:rsid w:val="00185E15"/>
    <w:pPr>
      <w:spacing w:after="100"/>
    </w:pPr>
  </w:style>
  <w:style w:type="paragraph" w:styleId="TOC2">
    <w:name w:val="toc 2"/>
    <w:basedOn w:val="Normal"/>
    <w:next w:val="Normal"/>
    <w:autoRedefine/>
    <w:uiPriority w:val="39"/>
    <w:unhideWhenUsed/>
    <w:rsid w:val="00403D31"/>
    <w:pPr>
      <w:tabs>
        <w:tab w:val="left" w:pos="720"/>
        <w:tab w:val="right" w:leader="dot" w:pos="9062"/>
      </w:tabs>
      <w:spacing w:after="100"/>
      <w:ind w:left="200"/>
      <w:jc w:val="both"/>
    </w:pPr>
  </w:style>
  <w:style w:type="character" w:styleId="Hyperlink">
    <w:name w:val="Hyperlink"/>
    <w:basedOn w:val="DefaultParagraphFont"/>
    <w:uiPriority w:val="99"/>
    <w:unhideWhenUsed/>
    <w:rsid w:val="00185E15"/>
    <w:rPr>
      <w:color w:val="0000FF" w:themeColor="hyperlink"/>
      <w:u w:val="single"/>
    </w:rPr>
  </w:style>
  <w:style w:type="character" w:customStyle="1" w:styleId="Heading7Char">
    <w:name w:val="Heading 7 Char"/>
    <w:basedOn w:val="DefaultParagraphFont"/>
    <w:link w:val="Heading7"/>
    <w:uiPriority w:val="9"/>
    <w:semiHidden/>
    <w:rsid w:val="00141604"/>
    <w:rPr>
      <w:rFonts w:asciiTheme="majorHAnsi" w:eastAsiaTheme="majorEastAsia" w:hAnsiTheme="majorHAnsi" w:cstheme="majorBidi"/>
      <w:i/>
      <w:iCs/>
      <w:color w:val="404040" w:themeColor="text1" w:themeTint="BF"/>
      <w:sz w:val="20"/>
      <w:szCs w:val="20"/>
      <w:lang w:eastAsia="fr-FR"/>
    </w:rPr>
  </w:style>
  <w:style w:type="character" w:customStyle="1" w:styleId="Heading8Char">
    <w:name w:val="Heading 8 Char"/>
    <w:basedOn w:val="DefaultParagraphFont"/>
    <w:link w:val="Heading8"/>
    <w:uiPriority w:val="9"/>
    <w:semiHidden/>
    <w:rsid w:val="00141604"/>
    <w:rPr>
      <w:rFonts w:asciiTheme="majorHAnsi" w:eastAsiaTheme="majorEastAsia" w:hAnsiTheme="majorHAnsi" w:cstheme="majorBidi"/>
      <w:color w:val="404040" w:themeColor="text1" w:themeTint="BF"/>
      <w:sz w:val="20"/>
      <w:szCs w:val="20"/>
      <w:lang w:eastAsia="fr-FR"/>
    </w:rPr>
  </w:style>
  <w:style w:type="character" w:customStyle="1" w:styleId="Heading9Char">
    <w:name w:val="Heading 9 Char"/>
    <w:basedOn w:val="DefaultParagraphFont"/>
    <w:link w:val="Heading9"/>
    <w:uiPriority w:val="9"/>
    <w:semiHidden/>
    <w:rsid w:val="00141604"/>
    <w:rPr>
      <w:rFonts w:asciiTheme="majorHAnsi" w:eastAsiaTheme="majorEastAsia" w:hAnsiTheme="majorHAnsi" w:cstheme="majorBidi"/>
      <w:i/>
      <w:iCs/>
      <w:color w:val="404040" w:themeColor="text1" w:themeTint="BF"/>
      <w:sz w:val="20"/>
      <w:szCs w:val="20"/>
      <w:lang w:eastAsia="fr-FR"/>
    </w:rPr>
  </w:style>
  <w:style w:type="paragraph" w:customStyle="1" w:styleId="ListDash3">
    <w:name w:val="List Dash 3"/>
    <w:basedOn w:val="Normal"/>
    <w:rsid w:val="009555DC"/>
    <w:pPr>
      <w:widowControl/>
      <w:autoSpaceDE/>
      <w:autoSpaceDN/>
      <w:adjustRightInd/>
      <w:spacing w:before="120" w:after="12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91508">
      <w:bodyDiv w:val="1"/>
      <w:marLeft w:val="0"/>
      <w:marRight w:val="0"/>
      <w:marTop w:val="0"/>
      <w:marBottom w:val="0"/>
      <w:divBdr>
        <w:top w:val="none" w:sz="0" w:space="0" w:color="auto"/>
        <w:left w:val="none" w:sz="0" w:space="0" w:color="auto"/>
        <w:bottom w:val="none" w:sz="0" w:space="0" w:color="auto"/>
        <w:right w:val="none" w:sz="0" w:space="0" w:color="auto"/>
      </w:divBdr>
    </w:div>
    <w:div w:id="154166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BA25F-E382-4A8E-B930-FC8F03768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1499</Words>
  <Characters>7555</Characters>
  <Application>Microsoft Office Word</Application>
  <DocSecurity>0</DocSecurity>
  <Lines>125</Lines>
  <Paragraphs>42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Manager/>
  <Company/>
  <LinksUpToDate>false</LinksUpToDate>
  <CharactersWithSpaces>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2</cp:revision>
  <cp:lastPrinted>2016-05-26T13:32:00Z</cp:lastPrinted>
  <dcterms:created xsi:type="dcterms:W3CDTF">2016-05-25T12:58:00Z</dcterms:created>
  <dcterms:modified xsi:type="dcterms:W3CDTF">2016-05-26T13:32:00Z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