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386882"/>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875082C259047968D1DB566CDFAB0A6" style="width:450.75pt;height:321pt">
            <v:imagedata r:id="rId9" o:title=""/>
          </v:shape>
        </w:pict>
      </w:r>
    </w:p>
    <w:bookmarkEnd w:id="1"/>
    <w:p>
      <w:pPr>
        <w:widowControl/>
        <w:autoSpaceDE/>
        <w:autoSpaceDN/>
        <w:adjustRightInd/>
        <w:spacing w:before="120" w:after="120"/>
        <w:jc w:val="both"/>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aperSrc w:first="15" w:other="15"/>
          <w:pgNumType w:start="1"/>
          <w:cols w:space="720"/>
          <w:docGrid w:linePitch="326"/>
        </w:sectPr>
      </w:pPr>
    </w:p>
    <w:p>
      <w:pPr>
        <w:rPr>
          <w:b/>
          <w:noProof/>
          <w:sz w:val="28"/>
          <w:szCs w:val="28"/>
        </w:rPr>
      </w:pPr>
      <w:bookmarkStart w:id="2" w:name="_GoBack"/>
      <w:bookmarkEnd w:id="2"/>
    </w:p>
    <w:p>
      <w:pPr>
        <w:widowControl/>
        <w:autoSpaceDE/>
        <w:autoSpaceDN/>
        <w:adjustRightInd/>
        <w:spacing w:before="120" w:after="240"/>
        <w:jc w:val="center"/>
        <w:rPr>
          <w:b/>
          <w:noProof/>
          <w:sz w:val="28"/>
          <w:szCs w:val="24"/>
        </w:rPr>
      </w:pPr>
      <w:r>
        <w:rPr>
          <w:b/>
          <w:noProof/>
          <w:sz w:val="28"/>
        </w:rPr>
        <w:t>Съдържание</w:t>
      </w:r>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r>
        <w:rPr>
          <w:noProof/>
          <w:sz w:val="24"/>
          <w:szCs w:val="24"/>
        </w:rPr>
        <w:fldChar w:fldCharType="begin"/>
      </w:r>
      <w:r>
        <w:rPr>
          <w:noProof/>
          <w:sz w:val="24"/>
          <w:szCs w:val="24"/>
        </w:rPr>
        <w:instrText xml:space="preserve"> TOC \o "1-3" \h \z \u </w:instrText>
      </w:r>
      <w:r>
        <w:rPr>
          <w:noProof/>
          <w:sz w:val="24"/>
          <w:szCs w:val="24"/>
        </w:rPr>
        <w:fldChar w:fldCharType="separate"/>
      </w:r>
      <w:hyperlink w:anchor="_Toc451959674" w:history="1">
        <w:r>
          <w:rPr>
            <w:rStyle w:val="Hyperlink"/>
            <w:b/>
            <w:bCs/>
            <w:smallCaps/>
            <w:noProof/>
          </w:rPr>
          <w:t>1.</w:t>
        </w:r>
        <w:r>
          <w:rPr>
            <w:rFonts w:asciiTheme="minorHAnsi" w:eastAsiaTheme="minorEastAsia" w:hAnsiTheme="minorHAnsi" w:cstheme="minorBidi"/>
            <w:noProof/>
            <w:sz w:val="22"/>
            <w:szCs w:val="22"/>
            <w:lang w:val="en-GB" w:eastAsia="en-GB" w:bidi="ar-SA"/>
          </w:rPr>
          <w:tab/>
        </w:r>
        <w:r>
          <w:rPr>
            <w:rStyle w:val="Hyperlink"/>
            <w:b/>
            <w:smallCaps/>
            <w:noProof/>
          </w:rPr>
          <w:t>Въведение</w:t>
        </w:r>
        <w:r>
          <w:rPr>
            <w:noProof/>
            <w:webHidden/>
          </w:rPr>
          <w:tab/>
        </w:r>
        <w:r>
          <w:rPr>
            <w:noProof/>
            <w:webHidden/>
          </w:rPr>
          <w:fldChar w:fldCharType="begin"/>
        </w:r>
        <w:r>
          <w:rPr>
            <w:noProof/>
            <w:webHidden/>
          </w:rPr>
          <w:instrText xml:space="preserve"> PAGEREF _Toc451959674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451959675" w:history="1">
        <w:r>
          <w:rPr>
            <w:rStyle w:val="Hyperlink"/>
            <w:b/>
            <w:smallCaps/>
            <w:noProof/>
          </w:rPr>
          <w:t>2.</w:t>
        </w:r>
        <w:r>
          <w:rPr>
            <w:rFonts w:asciiTheme="minorHAnsi" w:eastAsiaTheme="minorEastAsia" w:hAnsiTheme="minorHAnsi" w:cstheme="minorBidi"/>
            <w:noProof/>
            <w:sz w:val="22"/>
            <w:szCs w:val="22"/>
            <w:lang w:val="en-GB" w:eastAsia="en-GB" w:bidi="ar-SA"/>
          </w:rPr>
          <w:tab/>
        </w:r>
        <w:r>
          <w:rPr>
            <w:rStyle w:val="Hyperlink"/>
            <w:b/>
            <w:smallCaps/>
            <w:noProof/>
          </w:rPr>
          <w:t>Оперативен контекст</w:t>
        </w:r>
        <w:r>
          <w:rPr>
            <w:noProof/>
            <w:webHidden/>
          </w:rPr>
          <w:tab/>
        </w:r>
        <w:r>
          <w:rPr>
            <w:noProof/>
            <w:webHidden/>
          </w:rPr>
          <w:fldChar w:fldCharType="begin"/>
        </w:r>
        <w:r>
          <w:rPr>
            <w:noProof/>
            <w:webHidden/>
          </w:rPr>
          <w:instrText xml:space="preserve"> PAGEREF _Toc451959675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451959676" w:history="1">
        <w:r>
          <w:rPr>
            <w:rStyle w:val="Hyperlink"/>
            <w:b/>
            <w:bCs/>
            <w:smallCaps/>
            <w:noProof/>
          </w:rPr>
          <w:t>3.</w:t>
        </w:r>
        <w:r>
          <w:rPr>
            <w:rFonts w:asciiTheme="minorHAnsi" w:eastAsiaTheme="minorEastAsia" w:hAnsiTheme="minorHAnsi" w:cstheme="minorBidi"/>
            <w:noProof/>
            <w:sz w:val="22"/>
            <w:szCs w:val="22"/>
            <w:lang w:val="en-GB" w:eastAsia="en-GB" w:bidi="ar-SA"/>
          </w:rPr>
          <w:tab/>
        </w:r>
        <w:r>
          <w:rPr>
            <w:rStyle w:val="Hyperlink"/>
            <w:b/>
            <w:smallCaps/>
            <w:noProof/>
          </w:rPr>
          <w:t>Финансови отчети</w:t>
        </w:r>
        <w:r>
          <w:rPr>
            <w:noProof/>
            <w:webHidden/>
          </w:rPr>
          <w:tab/>
        </w:r>
        <w:r>
          <w:rPr>
            <w:noProof/>
            <w:webHidden/>
          </w:rPr>
          <w:fldChar w:fldCharType="begin"/>
        </w:r>
        <w:r>
          <w:rPr>
            <w:noProof/>
            <w:webHidden/>
          </w:rPr>
          <w:instrText xml:space="preserve"> PAGEREF _Toc451959676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451959677" w:history="1">
        <w:r>
          <w:rPr>
            <w:rStyle w:val="Hyperlink"/>
            <w:b/>
            <w:bCs/>
            <w:smallCaps/>
            <w:noProof/>
          </w:rPr>
          <w:t>4.</w:t>
        </w:r>
        <w:r>
          <w:rPr>
            <w:rFonts w:asciiTheme="minorHAnsi" w:eastAsiaTheme="minorEastAsia" w:hAnsiTheme="minorHAnsi" w:cstheme="minorBidi"/>
            <w:noProof/>
            <w:sz w:val="22"/>
            <w:szCs w:val="22"/>
            <w:lang w:val="en-GB" w:eastAsia="en-GB" w:bidi="ar-SA"/>
          </w:rPr>
          <w:tab/>
        </w:r>
        <w:r>
          <w:rPr>
            <w:rStyle w:val="Hyperlink"/>
            <w:b/>
            <w:smallCaps/>
            <w:noProof/>
          </w:rPr>
          <w:t>Управление на ГФЕФСИ през 2015 г.</w:t>
        </w:r>
        <w:r>
          <w:rPr>
            <w:noProof/>
            <w:webHidden/>
          </w:rPr>
          <w:tab/>
        </w:r>
        <w:r>
          <w:rPr>
            <w:noProof/>
            <w:webHidden/>
          </w:rPr>
          <w:fldChar w:fldCharType="begin"/>
        </w:r>
        <w:r>
          <w:rPr>
            <w:noProof/>
            <w:webHidden/>
          </w:rPr>
          <w:instrText xml:space="preserve"> PAGEREF _Toc451959677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451959678" w:history="1">
        <w:r>
          <w:rPr>
            <w:rStyle w:val="Hyperlink"/>
            <w:b/>
            <w:bCs/>
            <w:smallCaps/>
            <w:noProof/>
          </w:rPr>
          <w:t>5.</w:t>
        </w:r>
        <w:r>
          <w:rPr>
            <w:rFonts w:asciiTheme="minorHAnsi" w:eastAsiaTheme="minorEastAsia" w:hAnsiTheme="minorHAnsi" w:cstheme="minorBidi"/>
            <w:noProof/>
            <w:sz w:val="22"/>
            <w:szCs w:val="22"/>
            <w:lang w:val="en-GB" w:eastAsia="en-GB" w:bidi="ar-SA"/>
          </w:rPr>
          <w:tab/>
        </w:r>
        <w:r>
          <w:rPr>
            <w:rStyle w:val="Hyperlink"/>
            <w:b/>
            <w:smallCaps/>
            <w:noProof/>
          </w:rPr>
          <w:t>Оценка на това доколко са подходящи целевият размер и равнището на ГФЕФСИ</w:t>
        </w:r>
        <w:r>
          <w:rPr>
            <w:noProof/>
            <w:webHidden/>
          </w:rPr>
          <w:tab/>
        </w:r>
        <w:r>
          <w:rPr>
            <w:noProof/>
            <w:webHidden/>
          </w:rPr>
          <w:fldChar w:fldCharType="begin"/>
        </w:r>
        <w:r>
          <w:rPr>
            <w:noProof/>
            <w:webHidden/>
          </w:rPr>
          <w:instrText xml:space="preserve"> PAGEREF _Toc451959678 \h </w:instrText>
        </w:r>
        <w:r>
          <w:rPr>
            <w:noProof/>
            <w:webHidden/>
          </w:rPr>
        </w:r>
        <w:r>
          <w:rPr>
            <w:noProof/>
            <w:webHidden/>
          </w:rPr>
          <w:fldChar w:fldCharType="separate"/>
        </w:r>
        <w:r>
          <w:rPr>
            <w:noProof/>
            <w:webHidden/>
          </w:rPr>
          <w:t>5</w:t>
        </w:r>
        <w:r>
          <w:rPr>
            <w:noProof/>
            <w:webHidden/>
          </w:rPr>
          <w:fldChar w:fldCharType="end"/>
        </w:r>
      </w:hyperlink>
    </w:p>
    <w:p>
      <w:pPr>
        <w:rPr>
          <w:rFonts w:asciiTheme="minorHAnsi" w:eastAsiaTheme="minorEastAsia" w:hAnsiTheme="minorHAnsi" w:cstheme="minorBidi"/>
          <w:b/>
          <w:bCs/>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r>
        <w:rPr>
          <w:b/>
          <w:bCs/>
          <w:noProof/>
          <w:sz w:val="24"/>
          <w:szCs w:val="24"/>
        </w:rPr>
        <w:fldChar w:fldCharType="end"/>
      </w:r>
    </w:p>
    <w:p>
      <w:pPr>
        <w:keepNext/>
        <w:widowControl/>
        <w:numPr>
          <w:ilvl w:val="0"/>
          <w:numId w:val="18"/>
        </w:numPr>
        <w:tabs>
          <w:tab w:val="num" w:pos="850"/>
        </w:tabs>
        <w:autoSpaceDE/>
        <w:autoSpaceDN/>
        <w:adjustRightInd/>
        <w:spacing w:before="240" w:after="240"/>
        <w:ind w:left="850" w:hanging="850"/>
        <w:jc w:val="both"/>
        <w:outlineLvl w:val="0"/>
        <w:rPr>
          <w:b/>
          <w:bCs/>
          <w:smallCaps/>
          <w:noProof/>
          <w:sz w:val="24"/>
          <w:szCs w:val="32"/>
        </w:rPr>
      </w:pPr>
      <w:bookmarkStart w:id="3" w:name="_Toc449686519"/>
      <w:bookmarkStart w:id="4" w:name="_Toc449969919"/>
      <w:bookmarkStart w:id="5" w:name="_Toc449969966"/>
      <w:bookmarkStart w:id="6" w:name="_Toc449686550"/>
      <w:bookmarkStart w:id="7" w:name="_Toc449689406"/>
      <w:bookmarkStart w:id="8" w:name="_Toc358640308"/>
      <w:bookmarkStart w:id="9" w:name="_Toc358640576"/>
      <w:bookmarkStart w:id="10" w:name="_Toc358640627"/>
      <w:bookmarkStart w:id="11" w:name="_Toc358640725"/>
      <w:bookmarkStart w:id="12" w:name="_Toc385254771"/>
      <w:bookmarkStart w:id="13" w:name="_Toc415736037"/>
      <w:bookmarkStart w:id="14" w:name="_Toc415748654"/>
      <w:bookmarkStart w:id="15" w:name="_Toc417031771"/>
      <w:bookmarkStart w:id="16" w:name="_Toc449626267"/>
      <w:bookmarkStart w:id="17" w:name="_Toc449626494"/>
      <w:bookmarkStart w:id="18" w:name="_Toc449972638"/>
      <w:bookmarkStart w:id="19" w:name="_Toc451959674"/>
      <w:bookmarkStart w:id="20" w:name="_Toc449689407"/>
      <w:bookmarkEnd w:id="0"/>
      <w:bookmarkEnd w:id="3"/>
      <w:bookmarkEnd w:id="4"/>
      <w:bookmarkEnd w:id="5"/>
      <w:bookmarkEnd w:id="6"/>
      <w:bookmarkEnd w:id="7"/>
      <w:r>
        <w:rPr>
          <w:b/>
          <w:smallCaps/>
          <w:noProof/>
          <w:sz w:val="24"/>
        </w:rPr>
        <w:lastRenderedPageBreak/>
        <w:t>Въведение</w:t>
      </w:r>
      <w:bookmarkEnd w:id="8"/>
      <w:bookmarkEnd w:id="9"/>
      <w:bookmarkEnd w:id="10"/>
      <w:bookmarkEnd w:id="11"/>
      <w:bookmarkEnd w:id="12"/>
      <w:bookmarkEnd w:id="13"/>
      <w:bookmarkEnd w:id="14"/>
      <w:bookmarkEnd w:id="15"/>
      <w:bookmarkEnd w:id="16"/>
      <w:bookmarkEnd w:id="17"/>
      <w:bookmarkEnd w:id="18"/>
      <w:bookmarkEnd w:id="19"/>
    </w:p>
    <w:bookmarkEnd w:id="20"/>
    <w:p>
      <w:pPr>
        <w:spacing w:before="240" w:after="240"/>
        <w:jc w:val="both"/>
        <w:rPr>
          <w:noProof/>
          <w:sz w:val="24"/>
          <w:szCs w:val="24"/>
        </w:rPr>
      </w:pPr>
      <w:r>
        <w:rPr>
          <w:noProof/>
          <w:sz w:val="24"/>
        </w:rPr>
        <w:t>Правното основание за този доклад е 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w:t>
      </w:r>
      <w:r>
        <w:rPr>
          <w:noProof/>
          <w:sz w:val="24"/>
          <w:lang w:val="en-GB"/>
        </w:rPr>
        <w:t> </w:t>
      </w:r>
      <w:r>
        <w:rPr>
          <w:noProof/>
          <w:sz w:val="24"/>
        </w:rPr>
        <w:t>1291/2013 и (ЕС) №</w:t>
      </w:r>
      <w:r>
        <w:rPr>
          <w:noProof/>
          <w:sz w:val="24"/>
          <w:lang w:val="en-GB"/>
        </w:rPr>
        <w:t> </w:t>
      </w:r>
      <w:r>
        <w:rPr>
          <w:noProof/>
          <w:sz w:val="24"/>
        </w:rPr>
        <w:t>1316/2013 — Европейски фонд за стратегически инвестиции</w:t>
      </w:r>
      <w:r>
        <w:rPr>
          <w:rStyle w:val="FootnoteReference"/>
          <w:noProof/>
          <w:sz w:val="24"/>
        </w:rPr>
        <w:footnoteReference w:id="1"/>
      </w:r>
      <w:r>
        <w:rPr>
          <w:noProof/>
          <w:sz w:val="24"/>
        </w:rPr>
        <w:t xml:space="preserve"> (Регламент за ЕФСИ). Споразумението относно управлението на ЕФСИ и относно предоставянето на гаранцията на ЕС (Споразумение за ЕФСИ) бе подписано от Европейската комисия и Европейската инвестиционна банка (ЕИБ) на 22 юли 2015 г.</w:t>
      </w:r>
    </w:p>
    <w:p>
      <w:pPr>
        <w:spacing w:before="240" w:after="240"/>
        <w:jc w:val="both"/>
        <w:rPr>
          <w:noProof/>
          <w:sz w:val="24"/>
          <w:szCs w:val="24"/>
        </w:rPr>
      </w:pPr>
      <w:r>
        <w:rPr>
          <w:noProof/>
          <w:sz w:val="24"/>
        </w:rPr>
        <w:t>В член 16, параграф 6 от Регламента за ЕФСИ се предвижда до 31 май всяка година Комисията да представя на Европейския парламент, Съвета и Европейската сметна палата годишен доклад за управлението на Гаранционния фонд за ЕФСИ (ГФЕФСИ) през предходната календарна година, включително оценка на това доколко подходящи са целевият размер и равнището на ГФЕФСИ, както и на необходимостта от захранване на ГФЕФСИ. Този годишен доклад съдържа представяне на финансовото състояние на ГФЕФСИ към края на предходната календарна година, финансовите потоци през предходната календарна година, както и значимите сделки и съответната информация относно финансовите отчети. Докладът съдържа и информация за финансовото управление, резултатите и свързания с ГФЕФСИ риск към края на предходната календарна година.</w:t>
      </w:r>
    </w:p>
    <w:p>
      <w:pPr>
        <w:spacing w:before="240" w:after="240"/>
        <w:jc w:val="both"/>
        <w:rPr>
          <w:noProof/>
          <w:sz w:val="24"/>
          <w:szCs w:val="24"/>
        </w:rPr>
      </w:pPr>
      <w:r>
        <w:rPr>
          <w:noProof/>
          <w:sz w:val="24"/>
        </w:rPr>
        <w:t>В член 16, параграф 2 Регламентът за ЕФСИ предвижда също, че ЕИБ трябва да представя, в сътрудничество с Европейския инвестиционен фонд (ЕИФ), когато това е целесъобразно, отделен годишен доклад пред Европейския парламент и пред Съвета относно операциите по финансиране и инвестиране на ЕИБ, обхванати от Регламента (операции на ЕФСИ), който се оповестява публично.</w:t>
      </w:r>
      <w:bookmarkStart w:id="21" w:name="_Toc449686522"/>
      <w:bookmarkStart w:id="22" w:name="_Toc449686553"/>
      <w:bookmarkStart w:id="23" w:name="_Toc449686523"/>
      <w:bookmarkStart w:id="24" w:name="_Toc449686554"/>
      <w:bookmarkEnd w:id="21"/>
      <w:bookmarkEnd w:id="22"/>
      <w:bookmarkEnd w:id="23"/>
      <w:bookmarkEnd w:id="24"/>
      <w:r>
        <w:rPr>
          <w:noProof/>
          <w:sz w:val="24"/>
        </w:rPr>
        <w:t xml:space="preserve"> До момента ЕИБ все още не е приела годишния доклад за 2015 г.</w:t>
      </w:r>
    </w:p>
    <w:p>
      <w:pPr>
        <w:keepNext/>
        <w:widowControl/>
        <w:numPr>
          <w:ilvl w:val="0"/>
          <w:numId w:val="18"/>
        </w:numPr>
        <w:tabs>
          <w:tab w:val="num" w:pos="850"/>
        </w:tabs>
        <w:autoSpaceDE/>
        <w:autoSpaceDN/>
        <w:adjustRightInd/>
        <w:spacing w:before="480" w:after="240"/>
        <w:ind w:left="851" w:hanging="851"/>
        <w:jc w:val="both"/>
        <w:outlineLvl w:val="0"/>
        <w:rPr>
          <w:b/>
          <w:smallCaps/>
          <w:noProof/>
          <w:sz w:val="24"/>
          <w:szCs w:val="32"/>
        </w:rPr>
      </w:pPr>
      <w:bookmarkStart w:id="25" w:name="_Toc449689408"/>
      <w:bookmarkStart w:id="26" w:name="_Toc449972639"/>
      <w:bookmarkStart w:id="27" w:name="_Toc451959675"/>
      <w:r>
        <w:rPr>
          <w:b/>
          <w:smallCaps/>
          <w:noProof/>
          <w:sz w:val="24"/>
        </w:rPr>
        <w:t>Оперативен контекст</w:t>
      </w:r>
      <w:bookmarkEnd w:id="25"/>
      <w:bookmarkEnd w:id="26"/>
      <w:bookmarkEnd w:id="27"/>
    </w:p>
    <w:p>
      <w:pPr>
        <w:spacing w:before="240" w:after="240"/>
        <w:jc w:val="both"/>
        <w:rPr>
          <w:noProof/>
          <w:sz w:val="24"/>
          <w:szCs w:val="24"/>
        </w:rPr>
      </w:pPr>
      <w:r>
        <w:rPr>
          <w:noProof/>
          <w:sz w:val="24"/>
        </w:rPr>
        <w:t>Гаранцията на ЕС обхваща операциите по финансиране и инвестиране, подписани от ЕИБ в рамките на инфраструктурния и инвестиционен прозорец и от ЕИФ в рамките на прозореца за МСП. Част от тези операции са покрити от гаранцията на ЕС, а за част от тях рискът се поема от групата на ЕИБ.</w:t>
      </w:r>
    </w:p>
    <w:p>
      <w:pPr>
        <w:spacing w:before="240" w:after="240"/>
        <w:jc w:val="both"/>
        <w:rPr>
          <w:noProof/>
          <w:sz w:val="24"/>
          <w:szCs w:val="24"/>
        </w:rPr>
      </w:pPr>
      <w:r>
        <w:rPr>
          <w:noProof/>
          <w:sz w:val="24"/>
        </w:rPr>
        <w:t>През 2015 г. общата стойност на подписаните договори по линия на ЕФСИ възлизаше на 3 млрд. EUR и обхващаше 19 държави членки. От тази сума ЕИБ подписа договори на стойност 1,2 млрд. EUR (10 операции), а ЕИФ — договори на стойност 1,8 млрд. EUR (83 операции). Към края на 2015 г. от тези договори 1,553 млн. EUR бяха обезпечени с гаранцията на ЕС (1,155 млн. EUR от ЕИБ и 398 млн. EUR от ЕИФ). Общият размер на остатъчната експозиция, обезпечена с гаранцията на ЕС, от гледна точка на плащанията, беше около 202 млн. EUR.</w:t>
      </w:r>
    </w:p>
    <w:p>
      <w:pPr>
        <w:spacing w:before="240" w:after="240"/>
        <w:jc w:val="both"/>
        <w:rPr>
          <w:noProof/>
          <w:sz w:val="24"/>
          <w:szCs w:val="24"/>
        </w:rPr>
      </w:pPr>
      <w:r>
        <w:rPr>
          <w:noProof/>
          <w:sz w:val="24"/>
        </w:rPr>
        <w:t xml:space="preserve">ЕИБ и ЕИФ отговарят за оценяването и наблюдаването на риска на отделните операции. Те докладваха на Комисията и на Европейската сметна палата в съответствие с член 16, параграф 3 от Регламента за ЕФСИ през март 2016 г. Въз основа на това </w:t>
      </w:r>
      <w:r>
        <w:rPr>
          <w:noProof/>
          <w:sz w:val="24"/>
        </w:rPr>
        <w:lastRenderedPageBreak/>
        <w:t xml:space="preserve">докладване Комисията ще разгледа доколко подходящи са целевият размер и равнището на ГФЕФСИ. </w:t>
      </w:r>
    </w:p>
    <w:p>
      <w:pPr>
        <w:spacing w:before="240" w:after="240"/>
        <w:jc w:val="both"/>
        <w:rPr>
          <w:noProof/>
          <w:sz w:val="24"/>
          <w:szCs w:val="24"/>
        </w:rPr>
      </w:pPr>
      <w:r>
        <w:rPr>
          <w:noProof/>
          <w:sz w:val="24"/>
        </w:rPr>
        <w:t>В съответствие с член 16, параграф 2 от Регламента за ЕФСИ годишният доклад на ЕИБ до Европейския парламент и Съвета трябва да съдържа конкретна информация за общия риск, свързан с операциите по финансиране и инвестиране, извършвани по линия на ЕФСИ, както и за исканията за изпълнение по гаранцията.</w:t>
      </w:r>
    </w:p>
    <w:p>
      <w:pPr>
        <w:spacing w:before="240" w:after="240"/>
        <w:jc w:val="both"/>
        <w:rPr>
          <w:rFonts w:eastAsiaTheme="minorHAnsi"/>
          <w:noProof/>
          <w:sz w:val="24"/>
          <w:szCs w:val="24"/>
        </w:rPr>
      </w:pPr>
      <w:r>
        <w:rPr>
          <w:noProof/>
          <w:sz w:val="24"/>
        </w:rPr>
        <w:t xml:space="preserve">Според член 12 от Регламента за ЕФСИ ГФЕФСИ представлява ликвиден резерв, от който ЕИБ получава плащане, в случай че бъде поискано изпълнение по гаранцията на ЕС. В съответствие със Споразумението за ЕФСИ, сключено от ЕС и ЕИБ, ГФЕФСИ изплаща исканията за изпълнение по гаранцията, ако техният размер надвишава средствата, с които разполага ЕИБ по сметката на ЕФСИ. Сметката на ЕФСИ, която се управлява от ЕИБ, бе създадена за целите на събирането на приходите на ЕС, произтичащи от гарантирани от ЕФСИ операции и възстановени суми, и до размера на наличността по сметката — с цел плащане на исканията за изпълнение по гаранцията на ЕС. </w:t>
      </w:r>
    </w:p>
    <w:p>
      <w:pPr>
        <w:spacing w:before="240" w:after="240"/>
        <w:jc w:val="both"/>
        <w:rPr>
          <w:noProof/>
          <w:sz w:val="24"/>
          <w:szCs w:val="24"/>
        </w:rPr>
      </w:pPr>
      <w:r>
        <w:rPr>
          <w:noProof/>
          <w:sz w:val="24"/>
        </w:rPr>
        <w:t>ГФЕФСИ се захранва постепенно, като се взема под внимание нарастването на експозицията, покрита от гаранцията на ЕС.</w:t>
      </w:r>
    </w:p>
    <w:p>
      <w:pPr>
        <w:spacing w:before="240" w:after="240"/>
        <w:jc w:val="both"/>
        <w:rPr>
          <w:noProof/>
          <w:sz w:val="24"/>
          <w:szCs w:val="24"/>
        </w:rPr>
      </w:pPr>
      <w:r>
        <w:rPr>
          <w:noProof/>
          <w:sz w:val="24"/>
        </w:rPr>
        <w:t xml:space="preserve">Ресурсите на ГФЕФСИ се управляват пряко от Комисията и се инвестират в съответствие с принципа на доброто финансово управление при спазване на подходящи пруденциални правила. </w:t>
      </w:r>
    </w:p>
    <w:p>
      <w:pPr>
        <w:keepNext/>
        <w:widowControl/>
        <w:numPr>
          <w:ilvl w:val="0"/>
          <w:numId w:val="18"/>
        </w:numPr>
        <w:tabs>
          <w:tab w:val="num" w:pos="850"/>
        </w:tabs>
        <w:autoSpaceDE/>
        <w:autoSpaceDN/>
        <w:adjustRightInd/>
        <w:spacing w:before="480" w:after="240"/>
        <w:ind w:left="851" w:hanging="851"/>
        <w:jc w:val="both"/>
        <w:outlineLvl w:val="0"/>
        <w:rPr>
          <w:b/>
          <w:bCs/>
          <w:smallCaps/>
          <w:noProof/>
          <w:sz w:val="24"/>
          <w:szCs w:val="32"/>
        </w:rPr>
      </w:pPr>
      <w:bookmarkStart w:id="28" w:name="_Toc449686525"/>
      <w:bookmarkStart w:id="29" w:name="_Toc449686556"/>
      <w:bookmarkStart w:id="30" w:name="_Toc449689409"/>
      <w:bookmarkStart w:id="31" w:name="_Toc449686526"/>
      <w:bookmarkStart w:id="32" w:name="_Toc449686557"/>
      <w:bookmarkStart w:id="33" w:name="_Toc449689410"/>
      <w:bookmarkStart w:id="34" w:name="_Toc449689411"/>
      <w:bookmarkStart w:id="35" w:name="_Toc449972640"/>
      <w:bookmarkStart w:id="36" w:name="_Toc451959676"/>
      <w:bookmarkEnd w:id="28"/>
      <w:bookmarkEnd w:id="29"/>
      <w:bookmarkEnd w:id="30"/>
      <w:bookmarkEnd w:id="31"/>
      <w:bookmarkEnd w:id="32"/>
      <w:bookmarkEnd w:id="33"/>
      <w:r>
        <w:rPr>
          <w:b/>
          <w:smallCaps/>
          <w:noProof/>
          <w:sz w:val="24"/>
        </w:rPr>
        <w:t>Финансови отчети</w:t>
      </w:r>
      <w:bookmarkEnd w:id="34"/>
      <w:bookmarkEnd w:id="35"/>
      <w:bookmarkEnd w:id="36"/>
    </w:p>
    <w:p>
      <w:pPr>
        <w:spacing w:before="240" w:after="240"/>
        <w:jc w:val="both"/>
        <w:rPr>
          <w:noProof/>
          <w:sz w:val="24"/>
          <w:szCs w:val="24"/>
        </w:rPr>
      </w:pPr>
      <w:r>
        <w:rPr>
          <w:noProof/>
          <w:sz w:val="24"/>
        </w:rPr>
        <w:t>Към 31 декември 2015 г. нямаше средства в ГФЕФСИ. По тази причина ГФЕФСИ не е включен в консолидираните финансови отчети на Европейския съюз за 2015 г.</w:t>
      </w:r>
    </w:p>
    <w:p>
      <w:pPr>
        <w:spacing w:before="240" w:after="240"/>
        <w:jc w:val="both"/>
        <w:rPr>
          <w:noProof/>
          <w:sz w:val="24"/>
          <w:szCs w:val="24"/>
        </w:rPr>
      </w:pPr>
      <w:r>
        <w:rPr>
          <w:rFonts w:eastAsiaTheme="minorHAnsi"/>
          <w:noProof/>
          <w:sz w:val="24"/>
        </w:rPr>
        <w:t xml:space="preserve">Вземане в размер на 1 399 423 EUR, съответстващо на нетните приходи на ЕС, произтичащи от гарантираните от ЕФСИ операции за 2015 г., бе записано във финансовите отчети на ЕС за 2015 г. и бе преведено по сметката на ЕФСИ през януари 2016 г. </w:t>
      </w:r>
    </w:p>
    <w:p>
      <w:pPr>
        <w:spacing w:before="240" w:after="240"/>
        <w:jc w:val="both"/>
        <w:rPr>
          <w:noProof/>
          <w:sz w:val="24"/>
          <w:szCs w:val="24"/>
        </w:rPr>
      </w:pPr>
      <w:r>
        <w:rPr>
          <w:noProof/>
          <w:sz w:val="24"/>
        </w:rPr>
        <w:t>Експозицията на ЕС по гаранцията във връзка с изплатените операции на ЕФСИ, по които средствата не са възстановени, бе в размер на 201 899 614 EUR към 31 декември 2015 г. от общата максимална сума от 16 000 000 000 EUR, гарантирана от ЕС (член 11 от Регламента за ЕФСИ). 201 899 614 EUR са записани като условен пасив в бележките към финансовите отчети на ЕС за 2015 г.</w:t>
      </w:r>
    </w:p>
    <w:p>
      <w:pPr>
        <w:rPr>
          <w:b/>
          <w:noProof/>
          <w:sz w:val="24"/>
          <w:szCs w:val="24"/>
        </w:rPr>
      </w:pPr>
      <w:bookmarkStart w:id="37" w:name="_Toc449689412"/>
      <w:r>
        <w:rPr>
          <w:b/>
          <w:noProof/>
          <w:sz w:val="24"/>
        </w:rPr>
        <w:t>Значими сделки</w:t>
      </w:r>
      <w:bookmarkEnd w:id="37"/>
      <w:r>
        <w:rPr>
          <w:b/>
          <w:noProof/>
          <w:sz w:val="24"/>
        </w:rPr>
        <w:t xml:space="preserve"> </w:t>
      </w:r>
    </w:p>
    <w:p>
      <w:pPr>
        <w:spacing w:before="240" w:after="240"/>
        <w:jc w:val="both"/>
        <w:rPr>
          <w:noProof/>
          <w:sz w:val="24"/>
          <w:szCs w:val="24"/>
        </w:rPr>
      </w:pPr>
      <w:r>
        <w:rPr>
          <w:noProof/>
          <w:sz w:val="24"/>
        </w:rPr>
        <w:t xml:space="preserve">През 2015 г. бе поето задължение за бюджетен кредит на стойност 1,35 млрд. EUR във връзка със захранването на ГФЕФСИ със средства през 2016 и 2017 г. </w:t>
      </w:r>
    </w:p>
    <w:p>
      <w:pPr>
        <w:spacing w:before="240" w:after="240"/>
        <w:jc w:val="both"/>
        <w:rPr>
          <w:noProof/>
          <w:sz w:val="24"/>
          <w:szCs w:val="24"/>
        </w:rPr>
      </w:pPr>
      <w:r>
        <w:rPr>
          <w:noProof/>
          <w:sz w:val="24"/>
        </w:rPr>
        <w:t>То е оповестено в главата за неизпълнените бюджетни задължения, които все още не са отчетени като разход, в бележките към финансовите отчети на ЕС за 2015 г.</w:t>
      </w:r>
    </w:p>
    <w:p>
      <w:pPr>
        <w:keepNext/>
        <w:widowControl/>
        <w:numPr>
          <w:ilvl w:val="0"/>
          <w:numId w:val="18"/>
        </w:numPr>
        <w:tabs>
          <w:tab w:val="num" w:pos="850"/>
        </w:tabs>
        <w:autoSpaceDE/>
        <w:autoSpaceDN/>
        <w:adjustRightInd/>
        <w:spacing w:before="480" w:after="240"/>
        <w:ind w:left="851" w:hanging="851"/>
        <w:jc w:val="both"/>
        <w:outlineLvl w:val="0"/>
        <w:rPr>
          <w:b/>
          <w:bCs/>
          <w:smallCaps/>
          <w:noProof/>
          <w:sz w:val="24"/>
          <w:szCs w:val="32"/>
        </w:rPr>
      </w:pPr>
      <w:bookmarkStart w:id="38" w:name="_Toc449689413"/>
      <w:bookmarkStart w:id="39" w:name="_Toc449689414"/>
      <w:bookmarkStart w:id="40" w:name="_Toc449972641"/>
      <w:bookmarkStart w:id="41" w:name="_Toc451959677"/>
      <w:bookmarkEnd w:id="38"/>
      <w:r>
        <w:rPr>
          <w:b/>
          <w:smallCaps/>
          <w:noProof/>
          <w:sz w:val="24"/>
        </w:rPr>
        <w:lastRenderedPageBreak/>
        <w:t>Управление на ГФЕФСИ през 2015 г.</w:t>
      </w:r>
      <w:bookmarkEnd w:id="39"/>
      <w:bookmarkEnd w:id="40"/>
      <w:bookmarkEnd w:id="41"/>
    </w:p>
    <w:p>
      <w:pPr>
        <w:spacing w:before="240" w:after="240"/>
        <w:jc w:val="both"/>
        <w:rPr>
          <w:noProof/>
          <w:sz w:val="24"/>
          <w:szCs w:val="24"/>
        </w:rPr>
      </w:pPr>
      <w:r>
        <w:rPr>
          <w:noProof/>
          <w:sz w:val="24"/>
        </w:rPr>
        <w:t>На 21 януари 2016 г. Комисията прие Решение C(2016) 165, с което се одобряват насоките за управление на активите на гаранционния фонд на Европейския фонд за стратегически инвестиции.</w:t>
      </w:r>
    </w:p>
    <w:p>
      <w:pPr>
        <w:pStyle w:val="ListParagraph"/>
        <w:spacing w:before="240" w:after="240"/>
        <w:ind w:left="0"/>
        <w:jc w:val="both"/>
        <w:rPr>
          <w:noProof/>
          <w:sz w:val="24"/>
          <w:szCs w:val="24"/>
        </w:rPr>
      </w:pPr>
      <w:r>
        <w:rPr>
          <w:noProof/>
          <w:sz w:val="24"/>
        </w:rPr>
        <w:t>През цялата 2015 г. нямаше средства в ГФЕФСИ. Поради това първият доклад за финансовото управление, резултатите и свързания с активите риск на ГФЕФСИ ще бъде представен през 2017 г. Той ще се отнася до 2016 година.</w:t>
      </w:r>
    </w:p>
    <w:p>
      <w:pPr>
        <w:keepNext/>
        <w:widowControl/>
        <w:numPr>
          <w:ilvl w:val="0"/>
          <w:numId w:val="18"/>
        </w:numPr>
        <w:tabs>
          <w:tab w:val="num" w:pos="850"/>
        </w:tabs>
        <w:autoSpaceDE/>
        <w:autoSpaceDN/>
        <w:adjustRightInd/>
        <w:spacing w:before="480" w:after="240"/>
        <w:ind w:left="851" w:hanging="851"/>
        <w:jc w:val="both"/>
        <w:outlineLvl w:val="0"/>
        <w:rPr>
          <w:b/>
          <w:bCs/>
          <w:smallCaps/>
          <w:noProof/>
          <w:sz w:val="24"/>
          <w:szCs w:val="32"/>
        </w:rPr>
      </w:pPr>
      <w:bookmarkStart w:id="42" w:name="_Toc449689415"/>
      <w:bookmarkStart w:id="43" w:name="_Toc449972642"/>
      <w:bookmarkStart w:id="44" w:name="_Toc451959678"/>
      <w:r>
        <w:rPr>
          <w:b/>
          <w:smallCaps/>
          <w:noProof/>
          <w:sz w:val="24"/>
        </w:rPr>
        <w:t>Оценка на това доколко са подходящи целевият размер и равнището на ГФЕФСИ</w:t>
      </w:r>
      <w:bookmarkEnd w:id="42"/>
      <w:bookmarkEnd w:id="43"/>
      <w:bookmarkEnd w:id="44"/>
    </w:p>
    <w:p>
      <w:pPr>
        <w:spacing w:before="240" w:after="240"/>
        <w:jc w:val="both"/>
        <w:rPr>
          <w:noProof/>
          <w:sz w:val="24"/>
          <w:szCs w:val="24"/>
        </w:rPr>
      </w:pPr>
      <w:r>
        <w:rPr>
          <w:noProof/>
          <w:sz w:val="24"/>
        </w:rPr>
        <w:t xml:space="preserve">Към края на 2015 г. ЕИБ подписа десет операции, обезпечени с гаранцията на ЕФСИ, на обща стойност 1 155 млн. EUR, от която сума са изплатени 202 млн. EUR. Ако тези операции доведат до загуби, тези загуби ще бъдат покрити от гаранцията на ЕС в съответствие с условията, предвидени в Споразумението за ЕФСИ. По-специално гаранцията на ЕС в рамките на инфраструктурния и иновационен прозорец се предоставя под формата на покритие на транш за първа загуба по портфейла за дълговите операции на ЕИБ и под формата на пълна гаранция за капиталовите операции или операциите от типа на капиталовите операции, при които ЕИБ инвестира на собствен риск на база </w:t>
      </w:r>
      <w:r>
        <w:rPr>
          <w:i/>
          <w:noProof/>
          <w:sz w:val="24"/>
        </w:rPr>
        <w:t>pari passu</w:t>
      </w:r>
      <w:r>
        <w:rPr>
          <w:noProof/>
          <w:sz w:val="24"/>
        </w:rPr>
        <w:t xml:space="preserve"> същото количество ресурси. </w:t>
      </w:r>
    </w:p>
    <w:p>
      <w:pPr>
        <w:spacing w:before="240" w:after="240"/>
        <w:jc w:val="both"/>
        <w:rPr>
          <w:noProof/>
          <w:sz w:val="24"/>
          <w:szCs w:val="24"/>
        </w:rPr>
      </w:pPr>
      <w:r>
        <w:rPr>
          <w:noProof/>
          <w:sz w:val="24"/>
        </w:rPr>
        <w:t>Подписаните през 2015 г. операции на ЕИФ с покритие от гаранцията на ЕФСИ възлизат на около 398 млн. EUR. Ако тези операции доведат до загуби, тези загуби ще бъдат покрити предимно със средства, предоставени от механизма за гарантиране за МСП по линия на InnovFin и механизма за гарантиране на заеми по линия на COSME.</w:t>
      </w:r>
    </w:p>
    <w:p>
      <w:pPr>
        <w:spacing w:before="240" w:after="240"/>
        <w:jc w:val="both"/>
        <w:rPr>
          <w:noProof/>
          <w:sz w:val="24"/>
          <w:szCs w:val="24"/>
        </w:rPr>
      </w:pPr>
      <w:r>
        <w:rPr>
          <w:noProof/>
          <w:sz w:val="24"/>
        </w:rPr>
        <w:t xml:space="preserve">Според Регламента за ЕФСИ целевият размер на ГФЕФСИ е определен на 50 % от общите гаранционни задължения на ЕС, които понастоящем възлизат на 16 млрд. EUR. Поради сравнително малкия размер на подписаните договори и изплатените средства до края на 2015 г. няма достатъчно елементи, които да позволяват да бъде оценено, въз основа на реално извършените операции, доколко е подходящ целевият размер. По тази причина първият доклад за оценката на това доколко са подходящи целевият размер и равнището на ГФЕФСИ ще бъде представен до 31 май 2017 г. Той ще се отнася до 2016 година. </w:t>
      </w:r>
    </w:p>
    <w:p>
      <w:pPr>
        <w:spacing w:before="240" w:after="240"/>
        <w:jc w:val="both"/>
        <w:rPr>
          <w:noProof/>
          <w:sz w:val="24"/>
          <w:szCs w:val="24"/>
        </w:rPr>
      </w:pPr>
      <w:r>
        <w:rPr>
          <w:noProof/>
          <w:sz w:val="24"/>
        </w:rPr>
        <w:t>Понастоящем в бюджета на ЕС е заложено в хода на 2016 г. на ГФЕФСИ да бъдат изплатени приблизително 500 млн. EUR.</w:t>
      </w:r>
    </w:p>
    <w:p>
      <w:pPr>
        <w:spacing w:before="240" w:after="240"/>
        <w:jc w:val="both"/>
        <w:rPr>
          <w:noProof/>
          <w:sz w:val="24"/>
          <w:szCs w:val="24"/>
        </w:rPr>
      </w:pPr>
      <w:r>
        <w:rPr>
          <w:noProof/>
          <w:sz w:val="24"/>
        </w:rPr>
        <w:t>Тъй като се очаква размерът на портфейла на операциите на ЕФСИ да нарасне значително с течение на времето, а също и поради бюджетните ограничения през периода на програмиране на ЕФСИ, Комисията ще направи по-подробни оценки в бъдеще.</w:t>
      </w:r>
    </w:p>
    <w:p>
      <w:pPr>
        <w:spacing w:before="240" w:after="240"/>
        <w:jc w:val="both"/>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154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8892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ОВ L 169, 1.7.2015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4F07"/>
    <w:multiLevelType w:val="hybridMultilevel"/>
    <w:tmpl w:val="9B6ABB6A"/>
    <w:lvl w:ilvl="0" w:tplc="1DAC8F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0A6FBE"/>
    <w:multiLevelType w:val="hybridMultilevel"/>
    <w:tmpl w:val="9988660C"/>
    <w:lvl w:ilvl="0" w:tplc="A9EA035E">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2E0B1B1D"/>
    <w:multiLevelType w:val="hybridMultilevel"/>
    <w:tmpl w:val="AA98FB40"/>
    <w:lvl w:ilvl="0" w:tplc="572A3A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876AF7"/>
    <w:multiLevelType w:val="hybridMultilevel"/>
    <w:tmpl w:val="A0E60D0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
    <w:nsid w:val="43FD7195"/>
    <w:multiLevelType w:val="hybridMultilevel"/>
    <w:tmpl w:val="7EE216C2"/>
    <w:lvl w:ilvl="0" w:tplc="72F6E5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7C34C2"/>
    <w:multiLevelType w:val="hybridMultilevel"/>
    <w:tmpl w:val="71207D2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4EB24C5E"/>
    <w:multiLevelType w:val="hybridMultilevel"/>
    <w:tmpl w:val="E3805112"/>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nsid w:val="5A203610"/>
    <w:multiLevelType w:val="multilevel"/>
    <w:tmpl w:val="35A8E0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61E60656"/>
    <w:multiLevelType w:val="multilevel"/>
    <w:tmpl w:val="B606A5D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552"/>
        </w:tabs>
        <w:ind w:left="552" w:hanging="432"/>
      </w:pPr>
      <w:rPr>
        <w:rFonts w:ascii="Times New Roman" w:hAnsi="Times New Roman" w:cs="Times New Roman" w:hint="default"/>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69775C8"/>
    <w:multiLevelType w:val="hybridMultilevel"/>
    <w:tmpl w:val="1A6CF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CB1A15"/>
    <w:multiLevelType w:val="hybridMultilevel"/>
    <w:tmpl w:val="160040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DE696B"/>
    <w:multiLevelType w:val="hybridMultilevel"/>
    <w:tmpl w:val="7820FFC0"/>
    <w:lvl w:ilvl="0" w:tplc="953A6C7E">
      <w:start w:val="1"/>
      <w:numFmt w:val="decimal"/>
      <w:lvlText w:val="1. %1"/>
      <w:lvlJc w:val="left"/>
      <w:pPr>
        <w:ind w:left="1440" w:hanging="360"/>
      </w:pPr>
      <w:rPr>
        <w:rFonts w:ascii="Times New Roman" w:hAnsi="Times New Roman"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8A241BD"/>
    <w:multiLevelType w:val="singleLevel"/>
    <w:tmpl w:val="0809000F"/>
    <w:lvl w:ilvl="0">
      <w:start w:val="1"/>
      <w:numFmt w:val="decimal"/>
      <w:lvlText w:val="%1."/>
      <w:lvlJc w:val="left"/>
      <w:pPr>
        <w:ind w:left="1211" w:hanging="360"/>
      </w:pPr>
    </w:lvl>
  </w:abstractNum>
  <w:num w:numId="1">
    <w:abstractNumId w:val="8"/>
  </w:num>
  <w:num w:numId="2">
    <w:abstractNumId w:val="10"/>
  </w:num>
  <w:num w:numId="3">
    <w:abstractNumId w:val="3"/>
  </w:num>
  <w:num w:numId="4">
    <w:abstractNumId w:val="6"/>
  </w:num>
  <w:num w:numId="5">
    <w:abstractNumId w:val="5"/>
  </w:num>
  <w:num w:numId="6">
    <w:abstractNumId w:val="1"/>
  </w:num>
  <w:num w:numId="7">
    <w:abstractNumId w:val="8"/>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num>
  <w:num w:numId="14">
    <w:abstractNumId w:val="4"/>
  </w:num>
  <w:num w:numId="15">
    <w:abstractNumId w:val="0"/>
  </w:num>
  <w:num w:numId="16">
    <w:abstractNumId w:val="7"/>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revisionView w:markup="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875082C259047968D1DB566CDFAB0A6"/>
    <w:docVar w:name="LW_CROSSREFERENCE" w:val="&lt;UNUSED&gt;"/>
    <w:docVar w:name="LW_DocType" w:val="NORMAL"/>
    <w:docVar w:name="LW_EMISSION" w:val="31.5.2016"/>
    <w:docVar w:name="LW_EMISSION_ISODATE" w:val="2016-05-31"/>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53"/>
    <w:docVar w:name="LW_REF.INTERNE" w:val="&lt;UNUSED&gt;"/>
    <w:docVar w:name="LW_SOUS.TITRE.OBJ.CP" w:val="&lt;UNUSED&gt;"/>
    <w:docVar w:name="LW_SUPERTITRE" w:val="&lt;UNUSED&gt;"/>
    <w:docVar w:name="LW_TITRE.OBJ.CP" w:val="\u1054?\u1058?\u1053?\u1054?\u1057?\u1053?\u1054? \u1059?\u1055?\u1056?\u1040?\u1042?\u1051?\u1045?\u1053?\u1048?\u1045?\u1058?\u1054? \u1053?\u1040? \u1043?\u1040?\u1056?\u1040?\u1053?\u1062?\u1048?\u1054?\u1053?\u1053?\u1048?\u1071? \u1060?\u1054?\u1053?\u1044? \u1053?\u1040? \u1045?\u1042?\u1056?\u1054?\u1055?\u1045?\u1049?\u1057?\u1050?\u1048?\u1071? \u1060?\u1054?\u1053?\u1044? \u1047?\u1040? \u1057?\u1058?\u1056?\u1040?\u1058?\u1045?\u1043?\u1048?\u1063?\u1045?\u1057?\u1050?\u1048? \u1048?\u1053?\u1042?\u1045?\u1057?\u1058?\u1048?\u1062?\u1048?\u1048? \u1055?\u1056?\u1045?\u1047? 2015 \u1043?."/>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0?\u1058?\u1040? \u1057?\u1052?\u1045?\u1058?\u1053?\u1040? \u1055?\u1040?\u1051?\u1040?\u1058?\u1040?"/>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pPr>
      <w:keepNext/>
      <w:numPr>
        <w:ilvl w:val="1"/>
        <w:numId w:val="16"/>
      </w:numPr>
      <w:tabs>
        <w:tab w:val="left" w:pos="1134"/>
      </w:tabs>
      <w:spacing w:before="360" w:after="120"/>
      <w:jc w:val="both"/>
      <w:outlineLvl w:val="1"/>
    </w:pPr>
    <w:rPr>
      <w:b/>
      <w:bCs/>
      <w:iCs/>
      <w:sz w:val="24"/>
      <w:szCs w:val="24"/>
    </w:rPr>
  </w:style>
  <w:style w:type="paragraph" w:styleId="Heading3">
    <w:name w:val="heading 3"/>
    <w:basedOn w:val="Normal"/>
    <w:next w:val="Normal"/>
    <w:link w:val="Heading3Char"/>
    <w:autoRedefine/>
    <w:qFormat/>
    <w:pPr>
      <w:keepNext/>
      <w:numPr>
        <w:ilvl w:val="2"/>
        <w:numId w:val="16"/>
      </w:numPr>
      <w:spacing w:before="240" w:after="60"/>
      <w:outlineLvl w:val="2"/>
    </w:pPr>
    <w:rPr>
      <w:rFonts w:cs="Arial"/>
      <w:bCs/>
      <w:sz w:val="24"/>
      <w:szCs w:val="26"/>
      <w:u w:val="single"/>
    </w:rPr>
  </w:style>
  <w:style w:type="paragraph" w:styleId="Heading4">
    <w:name w:val="heading 4"/>
    <w:basedOn w:val="Normal"/>
    <w:next w:val="Normal"/>
    <w:link w:val="Heading4Char"/>
    <w:qFormat/>
    <w:pPr>
      <w:keepNext/>
      <w:numPr>
        <w:ilvl w:val="3"/>
        <w:numId w:val="16"/>
      </w:numPr>
      <w:spacing w:before="240" w:after="60"/>
      <w:outlineLvl w:val="3"/>
    </w:pPr>
    <w:rPr>
      <w:b/>
      <w:bCs/>
      <w:sz w:val="28"/>
      <w:szCs w:val="28"/>
    </w:rPr>
  </w:style>
  <w:style w:type="paragraph" w:styleId="Heading5">
    <w:name w:val="heading 5"/>
    <w:basedOn w:val="Normal"/>
    <w:next w:val="Normal"/>
    <w:link w:val="Heading5Char"/>
    <w:qFormat/>
    <w:pPr>
      <w:numPr>
        <w:ilvl w:val="4"/>
        <w:numId w:val="16"/>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bCs/>
      <w:iCs/>
      <w:sz w:val="24"/>
      <w:szCs w:val="24"/>
      <w:lang w:eastAsia="bg-BG"/>
    </w:rPr>
  </w:style>
  <w:style w:type="character" w:customStyle="1" w:styleId="Heading3Char">
    <w:name w:val="Heading 3 Char"/>
    <w:basedOn w:val="DefaultParagraphFont"/>
    <w:link w:val="Heading3"/>
    <w:rPr>
      <w:rFonts w:ascii="Times New Roman" w:eastAsia="Times New Roman" w:hAnsi="Times New Roman" w:cs="Arial"/>
      <w:bCs/>
      <w:sz w:val="24"/>
      <w:szCs w:val="26"/>
      <w:u w:val="single"/>
      <w:lang w:eastAsia="bg-BG"/>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Pr>
      <w:rFonts w:ascii="Times New Roman" w:eastAsia="Times New Roman" w:hAnsi="Times New Roman" w:cs="Times New Roman"/>
      <w:b/>
      <w:bCs/>
      <w:lang w:eastAsia="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Pr>
      <w:vertAlign w:val="superscript"/>
    </w:rPr>
  </w:style>
  <w:style w:type="paragraph" w:customStyle="1" w:styleId="FooterCoverPage">
    <w:name w:val="Footer Cover Page"/>
    <w:basedOn w:val="Normal"/>
    <w:link w:val="FooterCoverPageChar"/>
    <w:pPr>
      <w:widowControl/>
      <w:tabs>
        <w:tab w:val="center" w:pos="4535"/>
        <w:tab w:val="right" w:pos="9071"/>
        <w:tab w:val="right" w:pos="9921"/>
      </w:tabs>
      <w:autoSpaceDE/>
      <w:autoSpaceDN/>
      <w:adjustRightInd/>
      <w:spacing w:before="360"/>
      <w:ind w:left="-850" w:right="-850"/>
    </w:pPr>
    <w:rPr>
      <w:sz w:val="24"/>
      <w:szCs w:val="24"/>
    </w:rPr>
  </w:style>
  <w:style w:type="character" w:customStyle="1" w:styleId="FooterCoverPageChar">
    <w:name w:val="Footer Cover Page Char"/>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widowControl/>
      <w:tabs>
        <w:tab w:val="center" w:pos="4535"/>
        <w:tab w:val="right" w:pos="9071"/>
      </w:tabs>
      <w:autoSpaceDE/>
      <w:autoSpaceDN/>
      <w:adjustRightInd/>
      <w:spacing w:after="120"/>
      <w:jc w:val="both"/>
    </w:pPr>
    <w:rPr>
      <w:sz w:val="24"/>
      <w:szCs w:val="24"/>
    </w:rPr>
  </w:style>
  <w:style w:type="character" w:customStyle="1" w:styleId="HeaderCoverPageChar">
    <w:name w:val="Header Cover Page Char"/>
    <w:link w:val="HeaderCoverPage"/>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rPr>
  </w:style>
  <w:style w:type="character" w:styleId="BookTitle">
    <w:name w:val="Book Title"/>
    <w:basedOn w:val="DefaultParagraphFont"/>
    <w:uiPriority w:val="33"/>
    <w:qFormat/>
    <w:rPr>
      <w:b/>
      <w:bCs/>
      <w:smallCaps/>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paragraph" w:styleId="TOCHeading">
    <w:name w:val="TOC Heading"/>
    <w:basedOn w:val="Heading1"/>
    <w:next w:val="Normal"/>
    <w:uiPriority w:val="39"/>
    <w:semiHidden/>
    <w:unhideWhenUsed/>
    <w:qFormat/>
    <w:pPr>
      <w:widowControl/>
      <w:autoSpaceDE/>
      <w:autoSpaceDN/>
      <w:adjustRightInd/>
      <w:spacing w:line="276"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720"/>
        <w:tab w:val="right" w:leader="dot" w:pos="9062"/>
      </w:tabs>
      <w:spacing w:after="100"/>
      <w:ind w:left="200"/>
      <w:jc w:val="both"/>
    </w:pPr>
  </w:style>
  <w:style w:type="character" w:styleId="Hyperlink">
    <w:name w:val="Hyperlink"/>
    <w:basedOn w:val="DefaultParagraphFont"/>
    <w:uiPriority w:val="99"/>
    <w:unhideWhenUsed/>
    <w:rPr>
      <w:color w:val="0000FF" w:themeColor="hyperlink"/>
      <w:u w:val="single"/>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0"/>
      <w:lang w:eastAsia="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bg-BG"/>
    </w:rPr>
  </w:style>
  <w:style w:type="paragraph" w:customStyle="1" w:styleId="ListDash3">
    <w:name w:val="List Dash 3"/>
    <w:basedOn w:val="Normal"/>
    <w:pPr>
      <w:widowControl/>
      <w:autoSpaceDE/>
      <w:autoSpaceDN/>
      <w:adjustRightInd/>
      <w:spacing w:before="120" w:after="12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pPr>
      <w:keepNext/>
      <w:numPr>
        <w:ilvl w:val="1"/>
        <w:numId w:val="16"/>
      </w:numPr>
      <w:tabs>
        <w:tab w:val="left" w:pos="1134"/>
      </w:tabs>
      <w:spacing w:before="360" w:after="120"/>
      <w:jc w:val="both"/>
      <w:outlineLvl w:val="1"/>
    </w:pPr>
    <w:rPr>
      <w:b/>
      <w:bCs/>
      <w:iCs/>
      <w:sz w:val="24"/>
      <w:szCs w:val="24"/>
    </w:rPr>
  </w:style>
  <w:style w:type="paragraph" w:styleId="Heading3">
    <w:name w:val="heading 3"/>
    <w:basedOn w:val="Normal"/>
    <w:next w:val="Normal"/>
    <w:link w:val="Heading3Char"/>
    <w:autoRedefine/>
    <w:qFormat/>
    <w:pPr>
      <w:keepNext/>
      <w:numPr>
        <w:ilvl w:val="2"/>
        <w:numId w:val="16"/>
      </w:numPr>
      <w:spacing w:before="240" w:after="60"/>
      <w:outlineLvl w:val="2"/>
    </w:pPr>
    <w:rPr>
      <w:rFonts w:cs="Arial"/>
      <w:bCs/>
      <w:sz w:val="24"/>
      <w:szCs w:val="26"/>
      <w:u w:val="single"/>
    </w:rPr>
  </w:style>
  <w:style w:type="paragraph" w:styleId="Heading4">
    <w:name w:val="heading 4"/>
    <w:basedOn w:val="Normal"/>
    <w:next w:val="Normal"/>
    <w:link w:val="Heading4Char"/>
    <w:qFormat/>
    <w:pPr>
      <w:keepNext/>
      <w:numPr>
        <w:ilvl w:val="3"/>
        <w:numId w:val="16"/>
      </w:numPr>
      <w:spacing w:before="240" w:after="60"/>
      <w:outlineLvl w:val="3"/>
    </w:pPr>
    <w:rPr>
      <w:b/>
      <w:bCs/>
      <w:sz w:val="28"/>
      <w:szCs w:val="28"/>
    </w:rPr>
  </w:style>
  <w:style w:type="paragraph" w:styleId="Heading5">
    <w:name w:val="heading 5"/>
    <w:basedOn w:val="Normal"/>
    <w:next w:val="Normal"/>
    <w:link w:val="Heading5Char"/>
    <w:qFormat/>
    <w:pPr>
      <w:numPr>
        <w:ilvl w:val="4"/>
        <w:numId w:val="16"/>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bCs/>
      <w:iCs/>
      <w:sz w:val="24"/>
      <w:szCs w:val="24"/>
      <w:lang w:eastAsia="bg-BG"/>
    </w:rPr>
  </w:style>
  <w:style w:type="character" w:customStyle="1" w:styleId="Heading3Char">
    <w:name w:val="Heading 3 Char"/>
    <w:basedOn w:val="DefaultParagraphFont"/>
    <w:link w:val="Heading3"/>
    <w:rPr>
      <w:rFonts w:ascii="Times New Roman" w:eastAsia="Times New Roman" w:hAnsi="Times New Roman" w:cs="Arial"/>
      <w:bCs/>
      <w:sz w:val="24"/>
      <w:szCs w:val="26"/>
      <w:u w:val="single"/>
      <w:lang w:eastAsia="bg-BG"/>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Pr>
      <w:rFonts w:ascii="Times New Roman" w:eastAsia="Times New Roman" w:hAnsi="Times New Roman" w:cs="Times New Roman"/>
      <w:b/>
      <w:bCs/>
      <w:lang w:eastAsia="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Pr>
      <w:vertAlign w:val="superscript"/>
    </w:rPr>
  </w:style>
  <w:style w:type="paragraph" w:customStyle="1" w:styleId="FooterCoverPage">
    <w:name w:val="Footer Cover Page"/>
    <w:basedOn w:val="Normal"/>
    <w:link w:val="FooterCoverPageChar"/>
    <w:pPr>
      <w:widowControl/>
      <w:tabs>
        <w:tab w:val="center" w:pos="4535"/>
        <w:tab w:val="right" w:pos="9071"/>
        <w:tab w:val="right" w:pos="9921"/>
      </w:tabs>
      <w:autoSpaceDE/>
      <w:autoSpaceDN/>
      <w:adjustRightInd/>
      <w:spacing w:before="360"/>
      <w:ind w:left="-850" w:right="-850"/>
    </w:pPr>
    <w:rPr>
      <w:sz w:val="24"/>
      <w:szCs w:val="24"/>
    </w:rPr>
  </w:style>
  <w:style w:type="character" w:customStyle="1" w:styleId="FooterCoverPageChar">
    <w:name w:val="Footer Cover Page Char"/>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widowControl/>
      <w:tabs>
        <w:tab w:val="center" w:pos="4535"/>
        <w:tab w:val="right" w:pos="9071"/>
      </w:tabs>
      <w:autoSpaceDE/>
      <w:autoSpaceDN/>
      <w:adjustRightInd/>
      <w:spacing w:after="120"/>
      <w:jc w:val="both"/>
    </w:pPr>
    <w:rPr>
      <w:sz w:val="24"/>
      <w:szCs w:val="24"/>
    </w:rPr>
  </w:style>
  <w:style w:type="character" w:customStyle="1" w:styleId="HeaderCoverPageChar">
    <w:name w:val="Header Cover Page Char"/>
    <w:link w:val="HeaderCoverPage"/>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rPr>
  </w:style>
  <w:style w:type="character" w:styleId="BookTitle">
    <w:name w:val="Book Title"/>
    <w:basedOn w:val="DefaultParagraphFont"/>
    <w:uiPriority w:val="33"/>
    <w:qFormat/>
    <w:rPr>
      <w:b/>
      <w:bCs/>
      <w:smallCaps/>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paragraph" w:styleId="TOCHeading">
    <w:name w:val="TOC Heading"/>
    <w:basedOn w:val="Heading1"/>
    <w:next w:val="Normal"/>
    <w:uiPriority w:val="39"/>
    <w:semiHidden/>
    <w:unhideWhenUsed/>
    <w:qFormat/>
    <w:pPr>
      <w:widowControl/>
      <w:autoSpaceDE/>
      <w:autoSpaceDN/>
      <w:adjustRightInd/>
      <w:spacing w:line="276"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720"/>
        <w:tab w:val="right" w:leader="dot" w:pos="9062"/>
      </w:tabs>
      <w:spacing w:after="100"/>
      <w:ind w:left="200"/>
      <w:jc w:val="both"/>
    </w:pPr>
  </w:style>
  <w:style w:type="character" w:styleId="Hyperlink">
    <w:name w:val="Hyperlink"/>
    <w:basedOn w:val="DefaultParagraphFont"/>
    <w:uiPriority w:val="99"/>
    <w:unhideWhenUsed/>
    <w:rPr>
      <w:color w:val="0000FF" w:themeColor="hyperlink"/>
      <w:u w:val="single"/>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0"/>
      <w:lang w:eastAsia="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bg-BG"/>
    </w:rPr>
  </w:style>
  <w:style w:type="paragraph" w:customStyle="1" w:styleId="ListDash3">
    <w:name w:val="List Dash 3"/>
    <w:basedOn w:val="Normal"/>
    <w:pPr>
      <w:widowControl/>
      <w:autoSpaceDE/>
      <w:autoSpaceDN/>
      <w:adjustRightInd/>
      <w:spacing w:before="120" w:after="1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1508">
      <w:bodyDiv w:val="1"/>
      <w:marLeft w:val="0"/>
      <w:marRight w:val="0"/>
      <w:marTop w:val="0"/>
      <w:marBottom w:val="0"/>
      <w:divBdr>
        <w:top w:val="none" w:sz="0" w:space="0" w:color="auto"/>
        <w:left w:val="none" w:sz="0" w:space="0" w:color="auto"/>
        <w:bottom w:val="none" w:sz="0" w:space="0" w:color="auto"/>
        <w:right w:val="none" w:sz="0" w:space="0" w:color="auto"/>
      </w:divBdr>
    </w:div>
    <w:div w:id="15416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726C-3C7F-429D-8823-9AF12594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1352</Words>
  <Characters>6964</Characters>
  <Application>Microsoft Office Word</Application>
  <DocSecurity>0</DocSecurity>
  <Lines>131</Lines>
  <Paragraphs>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2016-05-02T15:31:00Z</cp:lastPrinted>
  <dcterms:created xsi:type="dcterms:W3CDTF">2016-05-25T12:58:00Z</dcterms:created>
  <dcterms:modified xsi:type="dcterms:W3CDTF">2016-05-30T14:21:00Z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