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BE67B773EB124DAD8B278A0AA0C1AFE7" style="width:450.75pt;height:473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2013/0226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позицията на Съвета във връзка с приемането на предложение за Регламент на Европейския парламент и на Съвета за изменение на Регламент (ЕО) № 1365/2006 относно статистиката за превоза на товари по вътрешни водни пътища по отношение на предоставянето на Комисията на делегирани и изпълнителни правомощия за приемането на определени мерки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Контекст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</w:t>
            </w:r>
          </w:p>
          <w:p>
            <w:pPr>
              <w:rPr>
                <w:smallCaps/>
                <w:noProof/>
              </w:rPr>
            </w:pPr>
            <w:r>
              <w:rPr>
                <w:noProof/>
              </w:rPr>
              <w:t>COM(2013) 484 – 2013/0226 (COD)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28 юни 2013 г. 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становището на Европейския икономически и социален комитет: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не е приложимо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11 март 2014 г. 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предаване на измененото предложение: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не е приложимо 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18 юли 2016 г. 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Предложението на Комисията има за цел единствено привеждането в съответствие на Регламент (ЕО) № 1365/2006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 Договора за функционирането на Европейския съюз (ДФЕС) по отношение на делегираните и изпълнителните правомощия.</w:t>
      </w:r>
    </w:p>
    <w:p>
      <w:pPr>
        <w:rPr>
          <w:noProof/>
        </w:rPr>
      </w:pPr>
      <w:r>
        <w:rPr>
          <w:noProof/>
        </w:rPr>
        <w:t xml:space="preserve">С предложения регламент Комисията ще бъде оправомощена да приема делегирани актове с цел: i) приспособяване на прага за статистическо обхващане на превоза по вътрешни водни пътища, адаптиране на съществуващите дефиниции и приемане на допълнителни дефиниции и ii) адаптиране на обхвата при събирането на данни и на съдържанието на приложенията. </w:t>
      </w:r>
    </w:p>
    <w:p>
      <w:pPr>
        <w:rPr>
          <w:noProof/>
        </w:rPr>
      </w:pPr>
      <w:r>
        <w:rPr>
          <w:noProof/>
        </w:rPr>
        <w:lastRenderedPageBreak/>
        <w:t>Освен това с него ще се предоставят на Комисията изпълнителни правомощия с цел осигуряване на еднакви условия, които ще ѝ позволят да: i) установи стандартни правила във връзка с договореностите относно предаването от държавите членки на данни на Комисията (Евростат), включително стандартите за обмен на данни, както и относно разпространението на резултатите от страна на Комисията (Евростат), и ii) разработи и публикува методически изисквания и критерии, целящи осигуряване на качество на получените данни, в съответствие с процедурата по разглеждане, предвидена в член 5 от Регламент (ЕС) № 182/2011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>
      <w:pPr>
        <w:pStyle w:val="ManualHeading2"/>
        <w:rPr>
          <w:noProof/>
        </w:rPr>
      </w:pPr>
      <w:r>
        <w:rPr>
          <w:noProof/>
        </w:rPr>
        <w:t>3.1</w:t>
      </w:r>
      <w:r>
        <w:rPr>
          <w:noProof/>
        </w:rPr>
        <w:tab/>
        <w:t>Коментари от общ характер</w:t>
      </w:r>
    </w:p>
    <w:p>
      <w:pPr>
        <w:widowControl w:val="0"/>
        <w:rPr>
          <w:noProof/>
        </w:rPr>
      </w:pPr>
      <w:r>
        <w:rPr>
          <w:noProof/>
        </w:rPr>
        <w:t>Позицията на Съвета отразява, от една страна, постигнатата по време на тристранните обсъждания договореност между Съвета, Комисията по транспорт и туризъм на Европейския парламент и Европейската комисия, и новото Междуинституционално споразумение за по-добро законотворчество от 13 април 2016 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, от друга. </w:t>
      </w:r>
    </w:p>
    <w:p>
      <w:pPr>
        <w:widowControl w:val="0"/>
        <w:rPr>
          <w:noProof/>
        </w:rPr>
      </w:pPr>
      <w:r>
        <w:rPr>
          <w:noProof/>
        </w:rPr>
        <w:t xml:space="preserve">Съветът прие позицията си на първо четене на 18 юли 2016 г. </w:t>
      </w:r>
    </w:p>
    <w:p>
      <w:pPr>
        <w:widowControl w:val="0"/>
        <w:rPr>
          <w:noProof/>
          <w:szCs w:val="24"/>
        </w:rPr>
      </w:pPr>
      <w:r>
        <w:rPr>
          <w:noProof/>
        </w:rPr>
        <w:t>Позицията на Съвета е приемлива за Комисията.</w:t>
      </w:r>
    </w:p>
    <w:p>
      <w:pPr>
        <w:pStyle w:val="ManualHeading2"/>
        <w:rPr>
          <w:noProof/>
        </w:rPr>
      </w:pPr>
      <w:r>
        <w:rPr>
          <w:noProof/>
        </w:rPr>
        <w:t>3.2</w:t>
      </w:r>
      <w:r>
        <w:rPr>
          <w:noProof/>
        </w:rPr>
        <w:tab/>
        <w:t>Коментари по измененията, приети от Европейския парламент</w:t>
      </w:r>
    </w:p>
    <w:p>
      <w:pPr>
        <w:pStyle w:val="ManualHeading3"/>
        <w:rPr>
          <w:noProof/>
          <w:highlight w:val="yellow"/>
        </w:rPr>
      </w:pPr>
      <w:r>
        <w:rPr>
          <w:noProof/>
        </w:rPr>
        <w:t>3.2.1.</w:t>
      </w:r>
      <w:r>
        <w:rPr>
          <w:noProof/>
        </w:rPr>
        <w:tab/>
        <w:t>Изменения, внесени от Европейския парламент, които са включени изцяло, отчасти или по принцип в позицията на Съвета на първо четене</w:t>
      </w:r>
    </w:p>
    <w:p>
      <w:pPr>
        <w:autoSpaceDE w:val="0"/>
        <w:autoSpaceDN w:val="0"/>
        <w:adjustRightInd w:val="0"/>
        <w:rPr>
          <w:noProof/>
          <w:szCs w:val="24"/>
        </w:rPr>
      </w:pPr>
      <w:r>
        <w:rPr>
          <w:noProof/>
        </w:rPr>
        <w:t xml:space="preserve">Основният въпрос, който бе засегнат по време на междуинституционалните обсъждания, беше въвеждането на пилотни проучвания и какъв характер да имат те. Тези проучвания бяха предложени като компромисно решение в отговор на искането на Европейския парламент за включване в регламента на допълнителни променливи относно превоза на пътници по вътрешни водни пътища. </w:t>
      </w:r>
    </w:p>
    <w:p>
      <w:pPr>
        <w:pStyle w:val="Default"/>
        <w:jc w:val="both"/>
        <w:rPr>
          <w:noProof/>
        </w:rPr>
      </w:pPr>
      <w:r>
        <w:rPr>
          <w:noProof/>
        </w:rPr>
        <w:t xml:space="preserve">В новия член 4а се предвижда, че Комисията ще постави началото на доброволни пилотни проучвания, които да се извършат от държавите членки, предоставящи данни относно наличието на статистически данни, свързани с пътническия транспорт по вътрешни водни пътища и трансграничните услуги по вътрешни водни пътища. Комисията (Евростат) ще работи съвместно с държавите членки с цел определяне на подходящата статистическа методология. Освен това общият бюджет ще допринася за финансирането на тези пилотни проучвания, когато е целесъобразно и като се взема предвид добавената стойност за Съюза. Поради това новият член е приемлив за Комисията. </w:t>
      </w:r>
    </w:p>
    <w:p>
      <w:pPr>
        <w:rPr>
          <w:bCs/>
          <w:iCs/>
          <w:noProof/>
          <w:szCs w:val="24"/>
        </w:rPr>
      </w:pPr>
      <w:r>
        <w:rPr>
          <w:noProof/>
        </w:rPr>
        <w:t>Съдържанието на изменение 10 (член 7, нови параграфи 3а и 3б) относно правилата, свързани с критериите за качество, е приемливо за Комисията, тъй като те са в съответствие с Регламент (ЕО) № 223/2009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. В него се предвижда също така </w:t>
      </w:r>
      <w:r>
        <w:rPr>
          <w:noProof/>
        </w:rPr>
        <w:lastRenderedPageBreak/>
        <w:t xml:space="preserve">приемането посредством актове за изпълнение на спецификации относно условията, структурата, периодичността и елементите за сравнимост на докладите за качеството.  </w:t>
      </w:r>
    </w:p>
    <w:p>
      <w:pPr>
        <w:pStyle w:val="Text1"/>
        <w:ind w:left="0"/>
        <w:rPr>
          <w:noProof/>
          <w:szCs w:val="24"/>
        </w:rPr>
      </w:pPr>
      <w:r>
        <w:rPr>
          <w:rStyle w:val="DefaultMargins"/>
          <w:rFonts w:ascii="Times New Roman" w:hAnsi="Times New Roman"/>
          <w:noProof/>
          <w:spacing w:val="-2"/>
          <w:sz w:val="24"/>
        </w:rPr>
        <w:t>В изменение 11</w:t>
      </w:r>
      <w:r>
        <w:rPr>
          <w:noProof/>
        </w:rPr>
        <w:t xml:space="preserve"> (член 8) е залегнало изискването Комисията да представя доклад пред Европейския парламент и Съвета веднъж на всеки пет, а не на всеки три години, както бе предложено от Европейския парламент. </w:t>
      </w:r>
    </w:p>
    <w:p>
      <w:pPr>
        <w:pStyle w:val="ManualHeading3"/>
        <w:rPr>
          <w:noProof/>
          <w:szCs w:val="24"/>
        </w:rPr>
      </w:pPr>
      <w:r>
        <w:rPr>
          <w:noProof/>
        </w:rPr>
        <w:t>3.2.2.</w:t>
      </w:r>
      <w:r>
        <w:rPr>
          <w:noProof/>
        </w:rPr>
        <w:tab/>
        <w:t>Изменения, внесени от Европейския парламент, които не са включени в позицията на Съвета на първо четене</w:t>
      </w:r>
    </w:p>
    <w:p>
      <w:pPr>
        <w:rPr>
          <w:noProof/>
        </w:rPr>
      </w:pPr>
      <w:r>
        <w:rPr>
          <w:noProof/>
        </w:rPr>
        <w:t xml:space="preserve">Основните изменения, свързани с изричното добавяне на нови променливи, не бяха включени в позицията на Съвета. </w:t>
      </w:r>
    </w:p>
    <w:p>
      <w:pPr>
        <w:pStyle w:val="ManualHeading2"/>
        <w:rPr>
          <w:noProof/>
        </w:rPr>
      </w:pPr>
      <w:r>
        <w:rPr>
          <w:noProof/>
        </w:rPr>
        <w:t>3.3</w:t>
      </w:r>
      <w:r>
        <w:rPr>
          <w:noProof/>
        </w:rPr>
        <w:tab/>
        <w:t>Изменени от Съвета разпоредби и позицията на Комисията по тях</w:t>
      </w:r>
    </w:p>
    <w:p>
      <w:pPr>
        <w:rPr>
          <w:noProof/>
        </w:rPr>
      </w:pPr>
      <w:r>
        <w:rPr>
          <w:noProof/>
        </w:rPr>
        <w:t>Член 2, параграф 5, член 3 и член 4, параграф 4 са свързани с делегирането на правомощия. Оправомощаването на Комисията се запазва, но с известни ограничения. Комисията ще бъде оправомощена да приема делегирани актове само с оглед: i) въвеждане на по-високи прагови стойности; ii) адаптиране на съществуващите определения или приемане на нови определения с цел отразяване на промените в определенията, използвани на международно равнище, и iii) адаптиране на приложенията с цел отразяване на промените в кодификацията и номенклатурата на международно равнище или в относимото законодателство на Европейския съюз.</w:t>
      </w:r>
    </w:p>
    <w:p>
      <w:pPr>
        <w:rPr>
          <w:noProof/>
        </w:rPr>
      </w:pPr>
      <w:r>
        <w:rPr>
          <w:noProof/>
        </w:rPr>
        <w:t>В позицията на Съвета освен това се уточнява, че при упражняването на това правомощие Комисията гарантира, че делегираните актове не водят до значителна допълнителна тежест за държавите членки и респондентите. Наред с това Комисията има задължението надлежно да обосновава мерките, предвидени в делегираните актове, като използва, ако е необходимо, анализа на тяхната разходна ефективност, включително оценка на тежестта за респондентите и на разходите за изготвяне, както е предвидено в член 14, параграф 3, буква в) от Регламент (ЕО) № 223/2009.</w:t>
      </w:r>
    </w:p>
    <w:p>
      <w:pPr>
        <w:pStyle w:val="Text1"/>
        <w:ind w:left="0"/>
        <w:rPr>
          <w:noProof/>
        </w:rPr>
      </w:pPr>
      <w:r>
        <w:rPr>
          <w:noProof/>
        </w:rPr>
        <w:t>Стандартното съображение и член 9 относно упражняването на делегирането на правомощия са в съответствие с новото Междуинституционално споразумение за по-добро законотворчество.</w:t>
      </w:r>
    </w:p>
    <w:p>
      <w:pPr>
        <w:pStyle w:val="Text1"/>
        <w:ind w:left="0"/>
        <w:rPr>
          <w:noProof/>
        </w:rPr>
      </w:pPr>
      <w:r>
        <w:rPr>
          <w:noProof/>
        </w:rPr>
        <w:t>Комисията подкрепя изложеното по-горе.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Заключение</w:t>
      </w:r>
    </w:p>
    <w:p>
      <w:pPr>
        <w:rPr>
          <w:noProof/>
        </w:rPr>
      </w:pPr>
      <w:r>
        <w:rPr>
          <w:noProof/>
        </w:rPr>
        <w:t>Комисията подкрепя постигнатия компромис, тъй като е съобразен с усилията на Комисията за привеждане в съответствие на законодателството, прието преди влизането в сила на Договора от Лисабон. Въпреки някои ограничения, по този начин се осигурява добър баланс между делегирани актове и актове за изпълнение. Освен това пилотните проучвания представляват подходящ отговор на първоначалното искане на Европейския парламент. Текстът е пример за успешно прилагане на новото Междуинституционално споразумение за по-добро законотворчество.</w:t>
      </w:r>
    </w:p>
    <w:p>
      <w:pPr>
        <w:pStyle w:val="Text1"/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Регламент (ЕО) № 1365/2006 на Европейския парламент и на Съвета от 6 септември 2006 г. относно статистиката за превоза на товари по вътрешни водни пътища (ОВ L 264, 25.9.2006 г., стр. 1).</w:t>
      </w:r>
    </w:p>
  </w:footnote>
  <w:footnote w:id="2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Регламент (ЕС) № 182/2011 на Европейския парламент и на Съвета от 16 февруари 2011 г.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(ОВ L 55, 28.2.2011 г., стр. 13).</w:t>
      </w:r>
    </w:p>
  </w:footnote>
  <w:footnote w:id="3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 L 123, 12.5.2016 г., стр. 1.</w:t>
      </w:r>
    </w:p>
  </w:footnote>
  <w:footnote w:id="4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Регламент (ЕО) № 223/2009 на Европейския парламент и на Съвета от 11 март 2009 г. относно европейската статистика (ОВ L 87, 31.3.2009 г., стр. 164).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3E6A7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0C17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48A4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42480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D3E4F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330D1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7204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F5064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11 13:51:3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BE67B773EB124DAD8B278A0AA0C1AFE7"/>
    <w:docVar w:name="LW_CROSSREFERENCE" w:val="&lt;UNUSED&gt;"/>
    <w:docVar w:name="LW_DocType" w:val="COM"/>
    <w:docVar w:name="LW_EMISSION" w:val="10.8.2016"/>
    <w:docVar w:name="LW_EMISSION_ISODATE" w:val="2016-08-10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(\u1090?\u1077?\u1082?\u1089?\u1090? \u1086?\u1090? \u1079?\u1085?\u1072?\u1095?\u1077?\u1085?\u1080?\u1077? \u1079?\u1072? \u1045?\u1048?\u1055?)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26"/>
    <w:docVar w:name="LW_REF.II.NEW.CP_YEAR" w:val="2013"/>
    <w:docVar w:name="LW_REF.INST.NEW" w:val="COM"/>
    <w:docVar w:name="LW_REF.INST.NEW_ADOPTED" w:val="final"/>
    <w:docVar w:name="LW_REF.INST.NEW_TEXT" w:val="(2016) 507"/>
    <w:docVar w:name="LW_REF.INTERNE" w:val="&lt;UNUSED&gt;"/>
    <w:docVar w:name="LW_SOUS.TITRE.OBJ.CP" w:val="&lt;UNUSED&gt;"/>
    <w:docVar w:name="LW_SUPERTITRE" w:val="&lt;UNUSED&gt;"/>
    <w:docVar w:name="LW_TITRE.OBJ.CP" w:val="\u1087?\u1086?\u1079?\u1080?\u1094?\u1080?\u1103?\u1090?\u1072? \u1085?\u1072? \u1057?\u1098?\u1074?\u1077?\u1090?\u1072? \u1074?\u1098?\u1074? \u1074?\u1088?\u1098?\u1079?\u1082?\u1072? \u1089? \u1087?\u1088?\u1080?\u1077?\u1084?\u1072?\u1085?\u1077?\u1090?\u1086? \u1085?\u1072? \u1087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56?\u1077?\u1075?\u1083?\u1072?\u1084?\u1077?\u1085?\u1090? (\u1045?\u1054?) \u8470? 1365/2006 \u1086?\u1090?\u1085?\u1086?\u1089?\u1085?\u1086? \u1089?\u1090?\u1072?\u1090?\u1080?\u1089?\u1090?\u1080?\u1082?\u1072?\u1090?\u1072? \u1079?\u1072? \u1087?\u1088?\u1077?\u1074?\u1086?\u1079?\u1072? \u1085?\u1072? \u1090?\u1086?\u1074?\u1072?\u1088?\u1080? \u1087?\u1086? \u1074?\u1098?\u1090?\u1088?\u1077?\u1096?\u1085?\u1080? \u1074?\u1086?\u1076?\u1085?\u1080? \u1087?\u1098?\u1090?\u1080?\u1097?\u1072? \u1087?\u1086? \u1086?\u1090?\u1085?\u1086?\u1096?\u1077?\u1085?\u1080?\u1077? \u1085?\u1072? \u1087?\u1088?\u1077?\u1076?\u1086?\u1089?\u1090?\u1072?\u1074?\u1103?\u1085?\u1077?\u1090?\u1086? \u1085?\u1072? \u1050?\u1086?\u1084?\u1080?\u1089?\u1080?\u1103?\u1090?\u1072? \u1085?\u1072? \u1076?\u1077?\u1083?\u1077?\u1075?\u1080?\u1088?\u1072?\u1085?\u1080? \u1080? \u1080?\u1079?\u1087?\u1098?\u1083?\u1085?\u1080?\u1090?\u1077?\u1083?\u1085?\u1080? \u1087?\u1088?\u1072?\u1074?\u1086?\u1084?\u1086?\u1097?\u1080?\u1103? \u1079?\u1072? \u1087?\u1088?\u1080?\u1077?\u1084?\u1072?\u1085?\u1077?\u1090?\u1086? \u1085?\u1072? \u1086?\u1087?\u1088?\u1077?\u1076?\u1077?\u1083?\u1077?\u1085?\u1080? \u1084?\u1077?\u1088?\u1082?\u1080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Strong">
    <w:name w:val="Strong"/>
    <w:qFormat/>
    <w:rPr>
      <w:b/>
      <w:bCs/>
      <w:shd w:val="clear" w:color="auto" w:fill="auto"/>
    </w:rPr>
  </w:style>
  <w:style w:type="character" w:styleId="Emphasis">
    <w:name w:val="Emphasis"/>
    <w:qFormat/>
    <w:rPr>
      <w:i/>
      <w:iCs/>
      <w:shd w:val="clear" w:color="auto" w:fill="auto"/>
    </w:rPr>
  </w:style>
  <w:style w:type="character" w:customStyle="1" w:styleId="DefaultMargins">
    <w:name w:val="DefaultMargins"/>
    <w:rPr>
      <w:rFonts w:ascii="Courier New" w:hAnsi="Courier New" w:cs="Times New Roman" w:hint="default"/>
      <w:sz w:val="20"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itialChar">
    <w:name w:val="Initial Char"/>
    <w:link w:val="Initial"/>
    <w:locked/>
    <w:rPr>
      <w:spacing w:val="-3"/>
      <w:sz w:val="24"/>
      <w:lang w:eastAsia="bg-BG"/>
    </w:rPr>
  </w:style>
  <w:style w:type="paragraph" w:customStyle="1" w:styleId="Initial">
    <w:name w:val="Initial"/>
    <w:link w:val="InitialChar"/>
    <w:pPr>
      <w:tabs>
        <w:tab w:val="left" w:pos="-720"/>
      </w:tabs>
      <w:suppressAutoHyphens/>
      <w:spacing w:after="0" w:line="240" w:lineRule="auto"/>
      <w:jc w:val="both"/>
    </w:pPr>
    <w:rPr>
      <w:spacing w:val="-3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Strong">
    <w:name w:val="Strong"/>
    <w:qFormat/>
    <w:rPr>
      <w:b/>
      <w:bCs/>
      <w:shd w:val="clear" w:color="auto" w:fill="auto"/>
    </w:rPr>
  </w:style>
  <w:style w:type="character" w:styleId="Emphasis">
    <w:name w:val="Emphasis"/>
    <w:qFormat/>
    <w:rPr>
      <w:i/>
      <w:iCs/>
      <w:shd w:val="clear" w:color="auto" w:fill="auto"/>
    </w:rPr>
  </w:style>
  <w:style w:type="character" w:customStyle="1" w:styleId="DefaultMargins">
    <w:name w:val="DefaultMargins"/>
    <w:rPr>
      <w:rFonts w:ascii="Courier New" w:hAnsi="Courier New" w:cs="Times New Roman" w:hint="default"/>
      <w:sz w:val="20"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itialChar">
    <w:name w:val="Initial Char"/>
    <w:link w:val="Initial"/>
    <w:locked/>
    <w:rPr>
      <w:spacing w:val="-3"/>
      <w:sz w:val="24"/>
      <w:lang w:eastAsia="bg-BG"/>
    </w:rPr>
  </w:style>
  <w:style w:type="paragraph" w:customStyle="1" w:styleId="Initial">
    <w:name w:val="Initial"/>
    <w:link w:val="InitialChar"/>
    <w:pPr>
      <w:tabs>
        <w:tab w:val="left" w:pos="-720"/>
      </w:tabs>
      <w:suppressAutoHyphens/>
      <w:spacing w:after="0" w:line="240" w:lineRule="auto"/>
      <w:jc w:val="both"/>
    </w:pPr>
    <w:rPr>
      <w:spacing w:val="-3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CC08-0C22-45D6-AD03-B2727E3F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963</Words>
  <Characters>5693</Characters>
  <Application>Microsoft Office Word</Application>
  <DocSecurity>0</DocSecurity>
  <Lines>111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2016-07-13T08:50:00Z</cp:lastPrinted>
  <dcterms:created xsi:type="dcterms:W3CDTF">2016-08-11T10:14:00Z</dcterms:created>
  <dcterms:modified xsi:type="dcterms:W3CDTF">2016-08-11T11:51:00Z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