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CB74AC4B5FF4B94942F218C3CB3A92F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widowControl w:val="0"/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Съгласно Акта за присъединяване на Република Хърватия страната поема ангажимента да се присъедини към международните споразумения, подписани или сключени от Европейския съюз и неговите държави членки, посредством протокол към тези споразумения.</w:t>
      </w:r>
    </w:p>
    <w:p>
      <w:pPr>
        <w:widowControl w:val="0"/>
        <w:spacing w:before="0" w:after="0"/>
        <w:rPr>
          <w:rFonts w:eastAsia="Times New Roman"/>
          <w:noProof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 решението си от 14 септември 2012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упълномощи Комисията да започне преговори с въпросните трети държави с цел да бъдат сключени съответните протоколи. </w:t>
      </w:r>
    </w:p>
    <w:p>
      <w:pPr>
        <w:widowControl w:val="0"/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Евро-средиземноморското споразумение за асоцииране между Европейските общности и техните държави членки, от една страна, и Хашемитското кралство Йордания, от друга страна (наричано по-нататък „Споразумението“), бе подписано в Брюксел на 24 ноември 1997 г. и влезе в сила на 1 май 2002 г.</w:t>
      </w:r>
    </w:p>
    <w:p>
      <w:pPr>
        <w:widowControl w:val="0"/>
        <w:spacing w:before="0" w:after="0"/>
        <w:rPr>
          <w:rFonts w:eastAsia="Times New Roman"/>
          <w:noProof/>
          <w:szCs w:val="24"/>
        </w:rPr>
      </w:pPr>
    </w:p>
    <w:p>
      <w:pPr>
        <w:widowControl w:val="0"/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>С предложения Протокол Република Хърватия става договаряща страна по Споразумението, а ЕС се задължава да предостави автентична версия на Споразумението на хърватски език. Приложеното предложение представлява правният инструмент за сключването на Протокола.</w:t>
      </w:r>
    </w:p>
    <w:p>
      <w:pPr>
        <w:widowControl w:val="0"/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 xml:space="preserve">Преговорите по Протокола с Хашемитско кралство Йордания приключиха официално на 6 май 2014 г. Комисията счита резултатите от преговорите за задоволителни и отправя искане към Съвета да приеме приложеното решение относно сключването на Протокола, след като получи одобрението на Европейския парламент.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Член 217 от Договора за функционирането на Европейския съюз във връзка с член 218, параграф 6, буква а) от него, и член 6, параграф 2 от Акта за присъединяване на Република Хърватия.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ДРУГИ ЕЛЕМЕНТИ</w:t>
      </w:r>
    </w:p>
    <w:p>
      <w:pPr>
        <w:rPr>
          <w:noProof/>
        </w:rPr>
      </w:pPr>
      <w:r>
        <w:rPr>
          <w:noProof/>
        </w:rPr>
        <w:t>Също така се представя отделно предложение за подписването и временното прилагане на настоящото споразумение.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2016/0253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 и неговите държави членки, на Протокол към Евро-средиземноморскотo споразумение за асоцииране между Европейските общности и техните държави членки, от една страна, и Хашемитско кралство Йордания,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 и по-специално член 217, във връзка с член 218, параграф 6, буква а) от него, 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 6,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1)</w:t>
      </w:r>
      <w:r>
        <w:rPr>
          <w:noProof/>
        </w:rPr>
        <w:tab/>
        <w:t>Евро-средиземноморското споразумение за асоцииране между Европейските общности и техните държави членки, от една страна, и Хашемитското кралство Йордания, от друга страна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(наричано по-нататък „Споразумението“), бе подписано в Брюксел на 24 ноември 1997 г. и влезе в сила на 1 май 2002 г.</w:t>
      </w:r>
    </w:p>
    <w:p>
      <w:pPr>
        <w:pStyle w:val="ManualConsidrant"/>
        <w:rPr>
          <w:noProof/>
        </w:rPr>
      </w:pPr>
      <w:r>
        <w:rPr>
          <w:noProof/>
        </w:rPr>
        <w:t>2)</w:t>
      </w:r>
      <w:r>
        <w:rPr>
          <w:noProof/>
        </w:rPr>
        <w:tab/>
        <w:t>Република Хърватия стана държава — членка на Съюза, на 1 юли 2013 г.</w:t>
      </w:r>
    </w:p>
    <w:p>
      <w:pPr>
        <w:pStyle w:val="ManualConsidrant"/>
        <w:rPr>
          <w:noProof/>
        </w:rPr>
      </w:pPr>
      <w:r>
        <w:rPr>
          <w:noProof/>
        </w:rPr>
        <w:t>3)</w:t>
      </w:r>
      <w:r>
        <w:rPr>
          <w:noProof/>
        </w:rPr>
        <w:tab/>
        <w:t>По силата на член 6, параграф 2 от Акта за присъединяване на Република Хърватия присъединяването ѝ към Споразумението следва да се договори чрез протокол към Споразумението (наричан по-нататък „Протоколът“). За това присъединяване следва да се прилага опростена процедура, посредством която се сключва протокол между Съвета, който гласува единодушно от името на държавите членки, и въпросната трета държава.</w:t>
      </w:r>
    </w:p>
    <w:p>
      <w:pPr>
        <w:pStyle w:val="ManualConsidrant"/>
        <w:rPr>
          <w:noProof/>
        </w:rPr>
      </w:pPr>
      <w:r>
        <w:rPr>
          <w:noProof/>
        </w:rPr>
        <w:t>4)</w:t>
      </w:r>
      <w:r>
        <w:rPr>
          <w:noProof/>
        </w:rPr>
        <w:tab/>
        <w:t>На 14 септември 2012 г. Съветът упълномощи Комисията да започне преговори със съответните трети държави с оглед на присъединяването на Република Хърватия към Съюза. Преговорите с Хашемитското кралство Йордания приключиха успешно с размяна на писма на 6 май 2014 г.</w:t>
      </w:r>
    </w:p>
    <w:p>
      <w:pPr>
        <w:pStyle w:val="ManualConsidrant"/>
        <w:rPr>
          <w:noProof/>
        </w:rPr>
      </w:pPr>
      <w:r>
        <w:rPr>
          <w:noProof/>
        </w:rPr>
        <w:t>5)</w:t>
      </w:r>
      <w:r>
        <w:rPr>
          <w:noProof/>
        </w:rPr>
        <w:tab/>
        <w:t>В съответствие с Решение [XXX]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на Съвета Протоколът към Евро-средиземноморскотo споразумение за асоцииране между Европейските общности и техните държави членки, от една страна, и Хашемитско кралство Йордания, от друга страна, за да се вземе предвид присъединяването на Република Хърватия към Европейския съюз, беше подписан от името на Съюза и неговите държави членки в […] на […] г., при условие че Протоколът бъде сключен на по-късна дата.</w:t>
      </w:r>
    </w:p>
    <w:p>
      <w:pPr>
        <w:pStyle w:val="ManualConsidrant"/>
        <w:rPr>
          <w:noProof/>
        </w:rPr>
      </w:pPr>
      <w:r>
        <w:rPr>
          <w:noProof/>
        </w:rPr>
        <w:t xml:space="preserve"> 6)</w:t>
      </w:r>
      <w:r>
        <w:rPr>
          <w:noProof/>
        </w:rPr>
        <w:tab/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  <w:szCs w:val="20"/>
        </w:rPr>
      </w:pPr>
      <w:r>
        <w:rPr>
          <w:noProof/>
        </w:rPr>
        <w:t>Протоколът към Евро-средиземноморскотo споразумение за асоцииране между Европейските общности и техните държави членки, от една страна, и Хашемитско кралство Йордания, от друга страна, за да се вземе предвид присъединяването на Република Хърватия към Европейския съюз се одобрява от името на Съюза и неговите държави членки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и неговите държави членки нотификацията, предвидена в член 7, параграф 1 от Протокола, с която се изразява съгласието на Съюза и неговите държави членки да бъдат обвързани с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i/>
          <w:noProof/>
        </w:rPr>
      </w:pPr>
      <w:r>
        <w:rPr>
          <w:noProof/>
        </w:rPr>
        <w:t>Настоящото решение влиза в сила на […] г.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на присъединяването на Република Хърватия към Европейския съюз (Документ на Съвета № 13351/12 LIMITED).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6"/>
        </w:rPr>
        <w:t>ОВ L 129, 15.5.2002 г., стр. 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6"/>
        </w:rPr>
        <w:t>OВ L […], […] г., стр. […].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Текстът на Протокола беше публикуван в [ОВ ….] заедно с Решението за неговото подписване.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E7630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FEE12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D3EFA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EE4B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9EE3E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E9E77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81283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E1AE6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8-16 11:34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3CB74AC4B5FF4B94942F218C3CB3A92F"/>
    <w:docVar w:name="LW_CROSSREFERENCE" w:val="&lt;UNUSED&gt;"/>
    <w:docVar w:name="LW_DocType" w:val="COM"/>
    <w:docVar w:name="LW_EMISSION" w:val="23.8.2016"/>
    <w:docVar w:name="LW_EMISSION_ISODATE" w:val="2016-08-23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53"/>
    <w:docVar w:name="LW_REF.II.NEW.CP_YEAR" w:val="2016"/>
    <w:docVar w:name="LW_REF.INST.NEW" w:val="COM"/>
    <w:docVar w:name="LW_REF.INST.NEW_ADOPTED" w:val="final"/>
    <w:docVar w:name="LW_REF.INST.NEW_TEXT" w:val="(2016) 52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 \u1082?\u1098?\u1084? \u1045?\u1074?\u1088?\u1086?-\u1089?\u1088?\u1077?\u1076?\u1080?\u1079?\u1077?\u1084?\u1085?\u1086?\u1084?\u1086?\u1088?\u1089?\u1082?\u1086?\u1090?o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61?\u1072?\u1096?\u1077?\u1084?\u1080?\u1090?\u1089?\u1082?\u1086? \u1082?\u1088?\u1072?\u1083?\u1089?\u1090?\u1074?\u1086? \u1049?\u1086?\u1088?\u1076?\u1072?\u1085?\u1080?\u1103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070C-4690-428B-BB63-3D09A509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706</Words>
  <Characters>4148</Characters>
  <Application>Microsoft Office Word</Application>
  <DocSecurity>0</DocSecurity>
  <Lines>94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2016-06-30T11:10:00Z</cp:lastPrinted>
  <dcterms:created xsi:type="dcterms:W3CDTF">2016-07-26T08:59:00Z</dcterms:created>
  <dcterms:modified xsi:type="dcterms:W3CDTF">2016-08-16T09:34:00Z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