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9E3D42141BEA4087A30467B994F08891" style="width:450.8pt;height:351.8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spacing w:before="60"/>
        <w:rPr>
          <w:noProof/>
        </w:rPr>
      </w:pPr>
      <w:r>
        <w:rPr>
          <w:noProof/>
        </w:rPr>
        <w:t xml:space="preserve">ЕС и Исландия са страни, подписали Споразумението за Европейското икономическо пространство (ЕИП), което предвижда свободно движение на стоки, с изключение на селскостопанските продукти и продуктите от риболов. Член 19 от Споразумението за ЕИП съдържа разпоредби относно търговията със селскостопански продукти. Сключеното през 2007 г. двустранно Споразумение между ЕС и Исландия относно търговските преференции, договорено на основание член 19 от Споразумението за ЕИП, включва наред с другото поетия от страните ангажимент да насърчават търговията с продукти с географски означения (ГО).  </w:t>
      </w:r>
    </w:p>
    <w:p>
      <w:pPr>
        <w:tabs>
          <w:tab w:val="left" w:pos="2880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Преговорите между ЕС и Исландия във връзка с ГО се проведоха от 4 юли 2012 г. до 17 септември 2015 г. Те бяха проведени заедно с водените между ЕС и Исландия преговори относно по-нататъшното либерализиране на търговията със селскостопански и преработени селскостопански продукти. Съгласно договореното споразумение за ГО, в Исландия ще бъде предоставена закрила на 1150 ГО на храни от ЕС. Исландия все още не е регистрирала никакви защитени наименования на ГО. Споразумението обаче предвижда механизъм за актуализиране на списъка с ГО и за включване на по-късен етап на нови наименования на ГО чрез процедура на съвместен комитет. </w:t>
      </w:r>
    </w:p>
    <w:p>
      <w:pPr>
        <w:tabs>
          <w:tab w:val="left" w:pos="2880"/>
        </w:tabs>
        <w:rPr>
          <w:noProof/>
        </w:rPr>
      </w:pPr>
      <w:r>
        <w:rPr>
          <w:noProof/>
        </w:rPr>
        <w:t xml:space="preserve">Споразумението за ГО ще влезе в сила на първия ден от месеца, следващ датата, на която страните са се нотифицирали взаимно за приключването на съответните си вътрешни процедури за приемане. Ако тази дата е преди датата на влизане в сила на Споразумението под формата на размяна на писма между ЕС и Исландия относно допълнителни търговски преференции за селскостопански продукти, постигнато на основание член 19 от Споразумението за ЕИП, съставено в Брюксел на </w:t>
      </w:r>
      <w:r>
        <w:rPr>
          <w:noProof/>
          <w:highlight w:val="yellow"/>
        </w:rPr>
        <w:t>… (ден) … (месец) … (година),</w:t>
      </w:r>
      <w:r>
        <w:rPr>
          <w:noProof/>
        </w:rPr>
        <w:t xml:space="preserve"> споразумението за ГО ще влезе в сила едва на датата, на която влезе в сила гореспоменатото споразумение.</w:t>
      </w:r>
    </w:p>
    <w:p>
      <w:pPr>
        <w:tabs>
          <w:tab w:val="left" w:pos="2880"/>
        </w:tabs>
        <w:autoSpaceDE w:val="0"/>
        <w:autoSpaceDN w:val="0"/>
        <w:adjustRightInd w:val="0"/>
        <w:rPr>
          <w:noProof/>
        </w:rPr>
      </w:pP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tabs>
          <w:tab w:val="left" w:pos="2880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В Споразумението за ЕИП вече се предвиждат взаимно признаване и закрила на географските означения на вина, ароматизирани лозаро-винарски продукти и спиртни напитки. Поради това в приложното поле на настоящото споразумение влизат само селскостопанските продукти и храните, различни от вина, ароматизирани лозаро-винарски продукти и спиртни напитки. </w:t>
      </w:r>
    </w:p>
    <w:p>
      <w:pPr>
        <w:tabs>
          <w:tab w:val="left" w:pos="2880"/>
        </w:tabs>
        <w:autoSpaceDE w:val="0"/>
        <w:autoSpaceDN w:val="0"/>
        <w:adjustRightInd w:val="0"/>
        <w:rPr>
          <w:noProof/>
        </w:rPr>
      </w:pP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ЕС</w:t>
      </w:r>
    </w:p>
    <w:p>
      <w:pPr>
        <w:tabs>
          <w:tab w:val="left" w:pos="2880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Сключването на споразумението за ГО с Исландия се вписва в общата стратегия на ЕС за насърчаване на производството и консумацията на продукти с ГО с произход от ЕС. Съгласно това споразумение 1150 ГО на храни от ЕС ще получат високо равнище на пряка закрила в Исландия. На ГО ще бъде предоставена закрила срещу: </w:t>
      </w:r>
    </w:p>
    <w:p>
      <w:pPr>
        <w:pStyle w:val="Bullet0"/>
        <w:numPr>
          <w:ilvl w:val="0"/>
          <w:numId w:val="13"/>
        </w:numPr>
        <w:rPr>
          <w:noProof/>
        </w:rPr>
      </w:pPr>
      <w:r>
        <w:rPr>
          <w:noProof/>
        </w:rPr>
        <w:t xml:space="preserve">всяко пряко или косвено използване за търговски цели; </w:t>
      </w:r>
    </w:p>
    <w:p>
      <w:pPr>
        <w:pStyle w:val="Bullet0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 xml:space="preserve">всякаква злоупотреба, имитация или пресъздаване на продукта; </w:t>
      </w:r>
    </w:p>
    <w:p>
      <w:pPr>
        <w:pStyle w:val="Bullet0"/>
        <w:numPr>
          <w:ilvl w:val="0"/>
          <w:numId w:val="1"/>
        </w:numPr>
        <w:rPr>
          <w:noProof/>
        </w:rPr>
      </w:pPr>
      <w:r>
        <w:rPr>
          <w:noProof/>
        </w:rPr>
        <w:t xml:space="preserve">всяко друго фалшиво или подвеждащо означение по отношение на потеклото, произхода, естеството или съществените качества на продукта; </w:t>
      </w:r>
    </w:p>
    <w:p>
      <w:pPr>
        <w:pStyle w:val="Bullet0"/>
        <w:numPr>
          <w:ilvl w:val="0"/>
          <w:numId w:val="1"/>
        </w:numPr>
        <w:rPr>
          <w:noProof/>
        </w:rPr>
      </w:pPr>
      <w:r>
        <w:rPr>
          <w:noProof/>
        </w:rPr>
        <w:t xml:space="preserve">всяка друга практика, която би могла да въведе в заблуждение потребителя относно истинския произход на продукта.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tabs>
          <w:tab w:val="left" w:pos="2880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През юни 2007 г. Съветът даде мандат на Комисията да започне преговори с Исландия относно закрилата на продуктите с географски означения.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ОТРАЖЕНИЕ ВЪРХУ БЮДЖЕТА</w:t>
      </w:r>
    </w:p>
    <w:p>
      <w:pPr>
        <w:tabs>
          <w:tab w:val="left" w:pos="2880"/>
        </w:tabs>
        <w:rPr>
          <w:noProof/>
        </w:rPr>
      </w:pPr>
      <w:r>
        <w:rPr>
          <w:noProof/>
        </w:rPr>
        <w:t xml:space="preserve">Споразумението няма да има пряко отражение върху бюджета на ЕС. </w:t>
      </w:r>
    </w:p>
    <w:p>
      <w:pPr>
        <w:tabs>
          <w:tab w:val="left" w:pos="2880"/>
        </w:tabs>
        <w:rPr>
          <w:noProof/>
        </w:rPr>
      </w:pPr>
    </w:p>
    <w:p>
      <w:pPr>
        <w:rPr>
          <w:noProof/>
        </w:rPr>
      </w:pP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2016/0252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 на Споразумение между Европейския съюз и Исландия относно закрилата на географските означения на селскостопански продукти и храни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4, първа алинея във връзка с член 218, параграф 6, буква а), подточка v) и член 218, параграф 7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Решение (ЕС) 2016</w:t>
      </w:r>
      <w:r>
        <w:rPr>
          <w:noProof/>
          <w:highlight w:val="yellow"/>
        </w:rPr>
        <w:t>/… на Съвета</w:t>
      </w:r>
      <w:r>
        <w:rPr>
          <w:rStyle w:val="FootnoteReference"/>
          <w:noProof/>
          <w:highlight w:val="yellow"/>
        </w:rPr>
        <w:footnoteReference w:id="1"/>
      </w:r>
      <w:r>
        <w:rPr>
          <w:noProof/>
        </w:rPr>
        <w:t xml:space="preserve"> Споразумението между Европейския съюз и Исландия относно закрилата на географските означения на селскостопански продукти и храни („Споразумението“) беше подписано от Комисията на </w:t>
      </w:r>
      <w:r>
        <w:rPr>
          <w:noProof/>
          <w:highlight w:val="yellow"/>
        </w:rPr>
        <w:t>[…],</w:t>
      </w:r>
      <w:r>
        <w:rPr>
          <w:noProof/>
        </w:rPr>
        <w:t xml:space="preserve"> при условие че бъде сключено на по-късна дата.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Страните са съгласни да насърчават в отношенията помежду си хармоничното развитие на географските означения по смисъла на член 22, параграф 1 от Споразумението за свързаните с търговията аспекти на правата върху интелектуалната собственост („Споразумението ТРИПС“)</w:t>
      </w:r>
      <w:r>
        <w:rPr>
          <w:rStyle w:val="FootnoteReference"/>
          <w:noProof/>
        </w:rPr>
        <w:footnoteReference w:id="2"/>
      </w:r>
      <w:r>
        <w:rPr>
          <w:noProof/>
        </w:rPr>
        <w:t>, както и търговията със селскостопански продукти и храни с географски означения с произход от териториите на страните.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Съгласно договореното споразумение, на географските означения на селскостопански продукти и храни от Съюза ще бъде предоставена закрила в Исландия, а Исландия все още не е регистрирала никакви защитени географски означения. Споразумението обаче предвижда механизъм за актуализиране на списъка с географски означения и за включването на по-късен етап на нови географски означения чрез процедура на съвместен комитет.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Някои задачи по прилагането на Споразумението бяха възложени на Съвместния комитет, създаден съгласно член 10 от Споразумението, включително правомощието за изменение на някои технически аспекти на Споразумението, както и на някои приложения към него. Следва да се определи процедурата за определяне на позицията на Европейския съюз в посочения Съвместен комитет по въпроси, свързани със Споразумението.</w:t>
      </w:r>
    </w:p>
    <w:p>
      <w:pPr>
        <w:pStyle w:val="ManualConsidrant"/>
        <w:rPr>
          <w:noProof/>
        </w:rPr>
      </w:pPr>
      <w:r>
        <w:lastRenderedPageBreak/>
        <w:t>(5)</w:t>
      </w:r>
      <w:r>
        <w:tab/>
      </w:r>
      <w:r>
        <w:rPr>
          <w:noProof/>
        </w:rPr>
        <w:t>Споразумението следва да бъде одобрено от името на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Споразумението между Европейския съюз и Исландия относно закрилата на географските означения на селскостопански продукти и храни се одобрява от името на Европейския съюз. </w:t>
      </w:r>
    </w:p>
    <w:p>
      <w:pPr>
        <w:rPr>
          <w:noProof/>
        </w:rPr>
      </w:pPr>
      <w:r>
        <w:rPr>
          <w:noProof/>
        </w:rPr>
        <w:t>Текстът на Споразумението е приложен към настоящото решение.</w:t>
      </w:r>
    </w:p>
    <w:p>
      <w:pPr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Председателят на Съвета посочва лицето, упълномощено да извърши от името на Европейския съюз нотифицирането, предвидено в член 11 от Споразумението, за да изрази съгласието на Европейския съюз да бъде обвързван със Споразумението. 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Комисията представлява Европейския съюз в Съвместния комитет, създаден съгласно член 10 от Споразумението („Съвместния комитет“).</w:t>
      </w:r>
    </w:p>
    <w:p>
      <w:pPr>
        <w:rPr>
          <w:noProof/>
        </w:rPr>
      </w:pPr>
      <w:r>
        <w:rPr>
          <w:noProof/>
        </w:rPr>
        <w:t>Измененията на Споразумението чрез решения на Съвместния комитет се одобряват от Комисията от името на Европейския съюз. Ако заинтересованите страни не могат да постигнат съгласие след представени възражения във връзка с дадено географско означение, Комисията приема позиция в съответствие с процедурата, установена в член 57, параграф 2 от Регламент (ЕС) № 1151/2012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>Настоящото решение влиза в сила на […] година.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2016</w:t>
      </w:r>
      <w:r>
        <w:rPr>
          <w:highlight w:val="yellow"/>
        </w:rPr>
        <w:t>/…</w:t>
      </w:r>
      <w:r>
        <w:t xml:space="preserve"> на Съвета за подписване, от името на Европейския съюз, на Споразумение между Европейския съюз и Исландия относно закрилата на географските означения на селскостопански продукти и храни (ОВ […], […] г., стр. […]).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Приложение 1В към Маракешкото споразумение за създаване на Световната търговска организация, подписано в Маракеш, Мароко, на 15 април 1994 г.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1151/2012 на Европейския парламент и на Съвета от 21 ноември 2012 г. относно схемите за качество на селскостопанските продукти и храни (ОВ L 343, 14.12.2012 г., стр.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FD03F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1E4FA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C6CF4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FE8BA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8C0B5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2CAF7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D96A4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7124E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5EF779A6"/>
    <w:multiLevelType w:val="singleLevel"/>
    <w:tmpl w:val="C4347D46"/>
    <w:lvl w:ilvl="0">
      <w:start w:val="1"/>
      <w:numFmt w:val="decimal"/>
      <w:pStyle w:val="ListDash4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9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8"/>
  </w:num>
  <w:num w:numId="15">
    <w:abstractNumId w:val="12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20"/>
  </w:num>
  <w:num w:numId="21">
    <w:abstractNumId w:val="8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15"/>
  </w:num>
  <w:num w:numId="27">
    <w:abstractNumId w:val="22"/>
  </w:num>
  <w:num w:numId="28">
    <w:abstractNumId w:val="18"/>
  </w:num>
  <w:num w:numId="29">
    <w:abstractNumId w:val="12"/>
  </w:num>
  <w:num w:numId="30">
    <w:abstractNumId w:val="21"/>
  </w:num>
  <w:num w:numId="31">
    <w:abstractNumId w:val="11"/>
  </w:num>
  <w:num w:numId="32">
    <w:abstractNumId w:val="13"/>
  </w:num>
  <w:num w:numId="33">
    <w:abstractNumId w:val="9"/>
  </w:num>
  <w:num w:numId="34">
    <w:abstractNumId w:val="20"/>
  </w:num>
  <w:num w:numId="35">
    <w:abstractNumId w:val="8"/>
  </w:num>
  <w:num w:numId="36">
    <w:abstractNumId w:val="14"/>
  </w:num>
  <w:num w:numId="37">
    <w:abstractNumId w:val="16"/>
  </w:num>
  <w:num w:numId="38">
    <w:abstractNumId w:val="17"/>
  </w:num>
  <w:num w:numId="39">
    <w:abstractNumId w:val="10"/>
  </w:num>
  <w:num w:numId="40">
    <w:abstractNumId w:val="15"/>
  </w:num>
  <w:num w:numId="41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17 10:58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9E3D42141BEA4087A30467B994F08891"/>
    <w:docVar w:name="LW_CROSSREFERENCE" w:val="&lt;UNUSED&gt;"/>
    <w:docVar w:name="LW_DocType" w:val="COM"/>
    <w:docVar w:name="LW_EMISSION" w:val="24.8.2016"/>
    <w:docVar w:name="LW_EMISSION_ISODATE" w:val="2016-08-24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52"/>
    <w:docVar w:name="LW_REF.II.NEW.CP_YEAR" w:val="2016"/>
    <w:docVar w:name="LW_REF.INST.NEW" w:val="COM"/>
    <w:docVar w:name="LW_REF.INST.NEW_ADOPTED" w:val="final"/>
    <w:docVar w:name="LW_REF.INST.NEW_TEXT" w:val="(2016) 523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5?\u1072? \u1057?\u1087?\u1086?\u1088?\u1072?\u1079?\u1091?\u1084?\u1077?\u1085?\u1080?\u1077? \u1084?\u1077?\u1078?\u1076?\u1091? \u1045?\u1074?\u1088?\u1086?\u1087?\u1077?\u1081?\u1089?\u1082?\u1080?\u1103? \u1089?\u1098?\u1102?\u1079? \u1080? \u1048?\u1089?\u1083?\u1072?\u1085?\u1076?\u1080?\u1103? \u1086?\u1090?\u1085?\u1086?\u1089?\u1085?\u1086? \u1079?\u1072?\u1082?\u1088?\u1080?\u1083?\u1072?\u1090?\u1072? \u1085?\u1072? \u1075?\u1077?\u1086?\u1075?\u1088?\u1072?\u1092?\u1089?\u1082?\u1080?\u1090?\u1077? \u1086?\u1079?\u1085?\u1072?\u1095?\u1077?\u1085?\u1080?\u1103? \u1085?\u1072? \u1089?\u1077?\u1083?\u1089?\u1082?\u1086?\u1089?\u1090?\u1086?\u1087?\u1072?\u1085?\u1089?\u1082?\u1080? \u1087?\u1088?\u1086?\u1076?\u1091?\u1082?\u1090?\u1080? \u1080? \u1093?\u1088?\u1072?\u1085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customStyle="1" w:styleId="ListDash4">
    <w:name w:val="List Dash 4"/>
    <w:basedOn w:val="Normal"/>
    <w:pPr>
      <w:numPr>
        <w:numId w:val="7"/>
      </w:numPr>
      <w:tabs>
        <w:tab w:val="num" w:pos="1134"/>
      </w:tabs>
      <w:ind w:left="1134" w:hanging="283"/>
    </w:pPr>
    <w:rPr>
      <w:rFonts w:eastAsia="Times New Roman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pPr>
      <w:spacing w:before="0"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customStyle="1" w:styleId="ListDash4">
    <w:name w:val="List Dash 4"/>
    <w:basedOn w:val="Normal"/>
    <w:pPr>
      <w:numPr>
        <w:numId w:val="7"/>
      </w:numPr>
      <w:tabs>
        <w:tab w:val="num" w:pos="1134"/>
      </w:tabs>
      <w:ind w:left="1134" w:hanging="283"/>
    </w:pPr>
    <w:rPr>
      <w:rFonts w:eastAsia="Times New Roman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pPr>
      <w:spacing w:before="0"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558E-FE06-4B32-81A1-F3639D08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954</Words>
  <Characters>5679</Characters>
  <Application>Microsoft Office Word</Application>
  <DocSecurity>0</DocSecurity>
  <Lines>118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2016-01-19T16:45:00Z</cp:lastPrinted>
  <dcterms:created xsi:type="dcterms:W3CDTF">2016-08-08T12:30:00Z</dcterms:created>
  <dcterms:modified xsi:type="dcterms:W3CDTF">2016-08-17T08:58:00Z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