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8F672307B0449F5A7E2BD1426907CE9" style="width:450.7pt;height:320.75pt">
            <v:imagedata r:id="rId8" o:title=""/>
          </v:shape>
        </w:pict>
      </w:r>
    </w:p>
    <w:bookmarkEnd w:id="0"/>
    <w:p>
      <w:pPr>
        <w:rPr>
          <w:noProof/>
          <w:lang w:val="fr-B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rPr>
          <w:noProof/>
          <w:lang w:val="fr-BE"/>
        </w:rPr>
      </w:pPr>
      <w:bookmarkStart w:id="1" w:name="_GoBack"/>
      <w:bookmarkEnd w:id="1"/>
    </w:p>
    <w:p>
      <w:pPr>
        <w:pStyle w:val="Typedudocument"/>
        <w:rPr>
          <w:noProof/>
        </w:rPr>
      </w:pPr>
      <w:r>
        <w:rPr>
          <w:noProof/>
        </w:rPr>
        <w:t>REPORT FROM THE COMMISSION TO THE EUROPEAN PARLIAMENT AND THE COUNCIL</w:t>
      </w:r>
    </w:p>
    <w:p>
      <w:pPr>
        <w:pStyle w:val="Titreobjet"/>
        <w:rPr>
          <w:noProof/>
        </w:rPr>
      </w:pPr>
      <w:r>
        <w:rPr>
          <w:noProof/>
        </w:rPr>
        <w:t>on the implementation of Regulation (EC) No 428/2009 setting up a Community regime for the control of exports, transfer, brokering and transit of dual-use items</w:t>
      </w:r>
    </w:p>
    <w:p>
      <w:pPr>
        <w:rPr>
          <w:noProof/>
        </w:rPr>
      </w:pPr>
    </w:p>
    <w:p>
      <w:pPr>
        <w:rPr>
          <w:noProof/>
        </w:rPr>
      </w:pPr>
    </w:p>
    <w:p>
      <w:pPr>
        <w:rPr>
          <w:noProof/>
        </w:rPr>
      </w:pPr>
    </w:p>
    <w:p>
      <w:pPr>
        <w:rPr>
          <w:noProof/>
        </w:rPr>
      </w:pPr>
    </w:p>
    <w:p>
      <w:pPr>
        <w:rPr>
          <w:noProof/>
        </w:rPr>
      </w:pPr>
    </w:p>
    <w:p>
      <w:pPr>
        <w:rPr>
          <w:noProof/>
        </w:rPr>
      </w:pPr>
    </w:p>
    <w:p>
      <w:pPr>
        <w:keepNext/>
        <w:tabs>
          <w:tab w:val="left" w:pos="850"/>
        </w:tabs>
        <w:spacing w:after="120"/>
        <w:ind w:left="850" w:hanging="850"/>
        <w:jc w:val="both"/>
        <w:outlineLvl w:val="0"/>
        <w:rPr>
          <w:rFonts w:eastAsia="Times New Roman"/>
          <w:b/>
          <w:smallCaps/>
          <w:noProof/>
          <w:lang w:eastAsia="en-GB"/>
        </w:rPr>
      </w:pPr>
      <w:r>
        <w:rPr>
          <w:rFonts w:eastAsia="Times New Roman"/>
          <w:b/>
          <w:smallCaps/>
          <w:noProof/>
          <w:lang w:eastAsia="en-GB"/>
        </w:rPr>
        <w:t>1.</w:t>
      </w:r>
      <w:r>
        <w:rPr>
          <w:rFonts w:eastAsia="Times New Roman"/>
          <w:b/>
          <w:smallCaps/>
          <w:noProof/>
          <w:lang w:eastAsia="en-GB"/>
        </w:rPr>
        <w:tab/>
        <w:t>Introduction</w:t>
      </w:r>
    </w:p>
    <w:p>
      <w:pPr>
        <w:spacing w:before="100" w:beforeAutospacing="1" w:after="100" w:afterAutospacing="1"/>
        <w:jc w:val="both"/>
        <w:rPr>
          <w:rFonts w:eastAsia="Times New Roman"/>
          <w:noProof/>
          <w:lang w:eastAsia="en-GB"/>
        </w:rPr>
      </w:pPr>
      <w:r>
        <w:rPr>
          <w:rFonts w:eastAsia="Times New Roman"/>
          <w:noProof/>
          <w:lang w:eastAsia="en-GB"/>
        </w:rPr>
        <w:t xml:space="preserve">Article 23(3) of Regulation (EC) No 428/2009 calls for the Commission to submit an annual report </w:t>
      </w:r>
      <w:r>
        <w:rPr>
          <w:rFonts w:eastAsia="Times New Roman"/>
          <w:noProof/>
          <w:color w:val="000000"/>
          <w:lang w:eastAsia="en-GB"/>
        </w:rPr>
        <w:t xml:space="preserve">to the European Parliament on the activities, examinations and consultations of the Dual-Use Coordination Group (DUCG). Furthermore, the Commission Communication (COM(2014)244) recognises that </w:t>
      </w:r>
      <w:r>
        <w:rPr>
          <w:rFonts w:eastAsia="Times New Roman"/>
          <w:noProof/>
          <w:lang w:eastAsia="en-GB"/>
        </w:rPr>
        <w:t xml:space="preserve">the publication of </w:t>
      </w:r>
      <w:r>
        <w:rPr>
          <w:rFonts w:eastAsia="Times New Roman"/>
          <w:noProof/>
          <w:snapToGrid w:val="0"/>
          <w:lang w:eastAsia="en-GB"/>
        </w:rPr>
        <w:t xml:space="preserve">reports and </w:t>
      </w:r>
      <w:r>
        <w:rPr>
          <w:rFonts w:eastAsia="Times New Roman"/>
          <w:noProof/>
          <w:color w:val="000000"/>
          <w:lang w:eastAsia="en-GB"/>
        </w:rPr>
        <w:t xml:space="preserve">non-sensitive </w:t>
      </w:r>
      <w:r>
        <w:rPr>
          <w:rFonts w:eastAsia="Times New Roman"/>
          <w:noProof/>
          <w:snapToGrid w:val="0"/>
          <w:lang w:eastAsia="en-GB"/>
        </w:rPr>
        <w:t>control</w:t>
      </w:r>
      <w:r>
        <w:rPr>
          <w:rFonts w:eastAsia="Times New Roman"/>
          <w:noProof/>
          <w:color w:val="000000"/>
          <w:lang w:eastAsia="en-GB"/>
        </w:rPr>
        <w:t xml:space="preserve"> information </w:t>
      </w:r>
      <w:r>
        <w:rPr>
          <w:rFonts w:eastAsia="Times New Roman"/>
          <w:noProof/>
          <w:snapToGrid w:val="0"/>
          <w:lang w:eastAsia="en-GB"/>
        </w:rPr>
        <w:t xml:space="preserve">could be critical steps to </w:t>
      </w:r>
      <w:r>
        <w:rPr>
          <w:rFonts w:eastAsia="Times New Roman"/>
          <w:noProof/>
          <w:color w:val="000000"/>
          <w:lang w:eastAsia="en-GB"/>
        </w:rPr>
        <w:t>enhance t</w:t>
      </w:r>
      <w:r>
        <w:rPr>
          <w:rFonts w:eastAsia="Times New Roman"/>
          <w:noProof/>
          <w:lang w:eastAsia="en-GB"/>
        </w:rPr>
        <w:t xml:space="preserve">ransparency and </w:t>
      </w:r>
      <w:r>
        <w:rPr>
          <w:rFonts w:eastAsia="Times New Roman"/>
          <w:noProof/>
          <w:color w:val="000000"/>
          <w:lang w:eastAsia="en-GB"/>
        </w:rPr>
        <w:t xml:space="preserve">improve </w:t>
      </w:r>
      <w:r>
        <w:rPr>
          <w:rFonts w:eastAsia="Times New Roman"/>
          <w:noProof/>
          <w:snapToGrid w:val="0"/>
          <w:lang w:eastAsia="en-GB"/>
        </w:rPr>
        <w:t>operators' compliance and</w:t>
      </w:r>
      <w:r>
        <w:rPr>
          <w:rFonts w:eastAsia="Times New Roman"/>
          <w:noProof/>
          <w:color w:val="000000"/>
          <w:lang w:eastAsia="en-GB"/>
        </w:rPr>
        <w:t xml:space="preserve"> their capacity to implement controls. </w:t>
      </w:r>
      <w:r>
        <w:rPr>
          <w:rFonts w:eastAsia="Times New Roman"/>
          <w:noProof/>
          <w:lang w:eastAsia="en-GB"/>
        </w:rPr>
        <w:t>This report, prepared by the Commission and the DUCG with inputs from Member States,</w:t>
      </w:r>
      <w:r>
        <w:rPr>
          <w:rFonts w:eastAsia="Times New Roman"/>
          <w:noProof/>
          <w:vertAlign w:val="superscript"/>
          <w:lang w:eastAsia="en-GB"/>
        </w:rPr>
        <w:footnoteReference w:id="1"/>
      </w:r>
      <w:r>
        <w:rPr>
          <w:rFonts w:eastAsia="Times New Roman"/>
          <w:noProof/>
          <w:lang w:eastAsia="en-GB"/>
        </w:rPr>
        <w:t xml:space="preserve"> provides information on the implementation of the Regulation in 2015, and includes aggregated export control data for 2014.</w:t>
      </w:r>
    </w:p>
    <w:p>
      <w:pPr>
        <w:keepNext/>
        <w:tabs>
          <w:tab w:val="left" w:pos="850"/>
        </w:tabs>
        <w:spacing w:after="120"/>
        <w:ind w:left="850" w:hanging="850"/>
        <w:jc w:val="both"/>
        <w:outlineLvl w:val="0"/>
        <w:rPr>
          <w:rFonts w:eastAsia="Times New Roman"/>
          <w:b/>
          <w:smallCaps/>
          <w:noProof/>
          <w:lang w:eastAsia="en-GB"/>
        </w:rPr>
      </w:pPr>
      <w:bookmarkStart w:id="2" w:name="_Toc368065771"/>
      <w:r>
        <w:rPr>
          <w:rFonts w:eastAsia="Times New Roman"/>
          <w:b/>
          <w:smallCaps/>
          <w:noProof/>
          <w:lang w:eastAsia="en-GB"/>
        </w:rPr>
        <w:t>2.</w:t>
      </w:r>
      <w:r>
        <w:rPr>
          <w:rFonts w:eastAsia="Times New Roman"/>
          <w:b/>
          <w:smallCaps/>
          <w:noProof/>
          <w:lang w:eastAsia="en-GB"/>
        </w:rPr>
        <w:tab/>
        <w:t>Evolution of the policy and regulatory framework</w:t>
      </w:r>
      <w:bookmarkEnd w:id="2"/>
    </w:p>
    <w:p>
      <w:pPr>
        <w:keepNext/>
        <w:tabs>
          <w:tab w:val="left" w:pos="850"/>
        </w:tabs>
        <w:spacing w:after="120"/>
        <w:ind w:left="850" w:hanging="850"/>
        <w:jc w:val="both"/>
        <w:outlineLvl w:val="1"/>
        <w:rPr>
          <w:rFonts w:eastAsia="Times New Roman"/>
          <w:b/>
          <w:noProof/>
          <w:lang w:eastAsia="en-GB"/>
        </w:rPr>
      </w:pPr>
      <w:bookmarkStart w:id="3" w:name="_Toc368065772"/>
      <w:r>
        <w:rPr>
          <w:rFonts w:eastAsia="Times New Roman"/>
          <w:b/>
          <w:noProof/>
          <w:lang w:eastAsia="en-GB"/>
        </w:rPr>
        <w:t>2.1.</w:t>
      </w:r>
      <w:r>
        <w:rPr>
          <w:rFonts w:eastAsia="Times New Roman"/>
          <w:b/>
          <w:noProof/>
          <w:lang w:eastAsia="en-GB"/>
        </w:rPr>
        <w:tab/>
        <w:t>Export control policy review</w:t>
      </w:r>
    </w:p>
    <w:p>
      <w:pPr>
        <w:autoSpaceDE w:val="0"/>
        <w:autoSpaceDN w:val="0"/>
        <w:adjustRightInd w:val="0"/>
        <w:jc w:val="both"/>
        <w:rPr>
          <w:rFonts w:eastAsia="Times New Roman"/>
          <w:noProof/>
          <w:lang w:eastAsia="en-GB"/>
        </w:rPr>
      </w:pPr>
      <w:r>
        <w:rPr>
          <w:noProof/>
          <w:color w:val="000000"/>
          <w:lang w:eastAsia="en-GB"/>
        </w:rPr>
        <w:t>Further to the adoption of Communication (COM(2014)244) of 24 April 2014, the Commission launched an impact assessment with a view to evaluating the costs and benefits associated with the various review options and identifying the most suitable regulatory and non-regulatory actions (</w:t>
      </w:r>
      <w:hyperlink r:id="rId15" w:history="1">
        <w:r>
          <w:rPr>
            <w:rStyle w:val="Hyperlink"/>
            <w:noProof/>
            <w:lang w:eastAsia="en-GB"/>
          </w:rPr>
          <w:t>http://ec.europa.eu/smartregulation/</w:t>
        </w:r>
      </w:hyperlink>
      <w:r>
        <w:rPr>
          <w:noProof/>
          <w:color w:val="0000FF"/>
          <w:lang w:eastAsia="en-GB"/>
        </w:rPr>
        <w:t xml:space="preserve"> impact/planned_ia/docs/2013_trade_015_duxc_en.pdf</w:t>
      </w:r>
      <w:r>
        <w:rPr>
          <w:noProof/>
          <w:color w:val="000000"/>
          <w:lang w:eastAsia="en-GB"/>
        </w:rPr>
        <w:t>). T</w:t>
      </w:r>
      <w:r>
        <w:rPr>
          <w:rFonts w:eastAsia="Times New Roman"/>
          <w:noProof/>
          <w:lang w:eastAsia="en-GB"/>
        </w:rPr>
        <w:t>he Commission contracted an external consultant</w:t>
      </w:r>
      <w:r>
        <w:rPr>
          <w:rStyle w:val="FootnoteReference"/>
          <w:rFonts w:eastAsia="Times New Roman"/>
          <w:noProof/>
          <w:lang w:eastAsia="en-GB"/>
        </w:rPr>
        <w:footnoteReference w:id="2"/>
      </w:r>
      <w:r>
        <w:rPr>
          <w:rFonts w:eastAsia="Times New Roman"/>
          <w:noProof/>
          <w:lang w:eastAsia="en-GB"/>
        </w:rPr>
        <w:t xml:space="preserve"> to conduct, from December 2014 to October 2015, a data-collection project in order to </w:t>
      </w:r>
      <w:r>
        <w:rPr>
          <w:noProof/>
        </w:rPr>
        <w:t xml:space="preserve">support the impact assessment through the development of a methodology for the collection and analysis of data and information regarding the dual-use industry and the economic and social impacts of controls, related problems and corresponding review actions. </w:t>
      </w:r>
      <w:r>
        <w:rPr>
          <w:rFonts w:eastAsia="Times New Roman"/>
          <w:noProof/>
          <w:lang w:eastAsia="en-GB"/>
        </w:rPr>
        <w:t>In parallel, the Commission</w:t>
      </w:r>
      <w:r>
        <w:rPr>
          <w:noProof/>
        </w:rPr>
        <w:t xml:space="preserve"> </w:t>
      </w:r>
      <w:r>
        <w:rPr>
          <w:rFonts w:eastAsia="Times New Roman"/>
          <w:noProof/>
          <w:lang w:eastAsia="en-GB"/>
        </w:rPr>
        <w:t xml:space="preserve">conducted, from 15 July to 15 October 2015, an online public consultation to collect stakeholders' and public's input regarding the review objectives and options and their likely impact on the EU's export control policy. The results of the consultation are summarised at </w:t>
      </w:r>
      <w:hyperlink r:id="rId16" w:history="1">
        <w:r>
          <w:rPr>
            <w:rStyle w:val="Hyperlink"/>
            <w:rFonts w:eastAsia="Times New Roman"/>
            <w:noProof/>
            <w:lang w:eastAsia="en-GB"/>
          </w:rPr>
          <w:t>http://trade.ec.europa.eu/doclib/docs/2015/november/tradoc_154003.pdf</w:t>
        </w:r>
      </w:hyperlink>
      <w:r>
        <w:rPr>
          <w:rFonts w:eastAsia="Times New Roman"/>
          <w:noProof/>
          <w:lang w:eastAsia="en-GB"/>
        </w:rPr>
        <w:t xml:space="preserve">.  </w:t>
      </w:r>
    </w:p>
    <w:p>
      <w:pPr>
        <w:pStyle w:val="Default"/>
        <w:rPr>
          <w:noProof/>
        </w:rPr>
      </w:pPr>
    </w:p>
    <w:p>
      <w:pPr>
        <w:spacing w:before="100" w:beforeAutospacing="1" w:after="100" w:afterAutospacing="1"/>
        <w:jc w:val="both"/>
        <w:rPr>
          <w:rFonts w:eastAsia="Times New Roman"/>
          <w:noProof/>
          <w:lang w:eastAsia="en-GB"/>
        </w:rPr>
      </w:pPr>
      <w:r>
        <w:rPr>
          <w:noProof/>
        </w:rPr>
        <w:t>Furthermore, the Commission conducted targeted consultations and outreach to key stakeholders. T</w:t>
      </w:r>
      <w:r>
        <w:rPr>
          <w:rFonts w:eastAsia="Times New Roman"/>
          <w:noProof/>
          <w:lang w:eastAsia="en-GB"/>
        </w:rPr>
        <w:t xml:space="preserve">he Commission consulted the Council's Dual-Use Working Party, providing updates on the data collection project as well as on the ongoing impact assessment. The export control policy review was also on the agenda of the European Parliament on several occasions, e.g. a joint DROI-INTA Committee on 23 April 2015, focussing on the impact of intrusion and surveillance systems on human rights in third countries, and a workshop on dual-use export controls organized by the INTA and SEDE Committees on 15 June 2015. Export controls were also the subject of a number of parliamentary questions in the INTA Committee as well as in plenary session on 5 October 2015. Lastly, an Export Control Forum was organised on 7 December 2015, jointly with the Luxembourg Presidency of the EU, to exchange views with industry and civil society stakeholders. The report of the Forum is available at: </w:t>
      </w:r>
      <w:hyperlink r:id="rId17" w:history="1">
        <w:r>
          <w:rPr>
            <w:rStyle w:val="Hyperlink"/>
            <w:rFonts w:eastAsia="Times New Roman"/>
            <w:noProof/>
            <w:lang w:eastAsia="en-GB"/>
          </w:rPr>
          <w:t>http://trade.ec.europa.eu/doclib/docs/2015/december/tradoc_154041.pdf</w:t>
        </w:r>
      </w:hyperlink>
      <w:r>
        <w:rPr>
          <w:rFonts w:eastAsia="Times New Roman"/>
          <w:noProof/>
          <w:lang w:eastAsia="en-GB"/>
        </w:rPr>
        <w:t xml:space="preserve">. </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2.2.</w:t>
      </w:r>
      <w:r>
        <w:rPr>
          <w:rFonts w:eastAsia="Times New Roman"/>
          <w:b/>
          <w:noProof/>
          <w:lang w:eastAsia="en-GB"/>
        </w:rPr>
        <w:tab/>
        <w:t>Amendments to Regulation (EC) No 428/2009</w:t>
      </w:r>
      <w:bookmarkEnd w:id="3"/>
    </w:p>
    <w:p>
      <w:pPr>
        <w:spacing w:before="100" w:beforeAutospacing="1" w:after="100" w:afterAutospacing="1"/>
        <w:jc w:val="both"/>
        <w:rPr>
          <w:rFonts w:eastAsia="Times New Roman"/>
          <w:noProof/>
          <w:lang w:eastAsia="en-GB"/>
        </w:rPr>
      </w:pPr>
      <w:bookmarkStart w:id="4" w:name="DQCNUMB_1"/>
      <w:bookmarkEnd w:id="4"/>
      <w:r>
        <w:rPr>
          <w:rFonts w:eastAsia="Times New Roman"/>
          <w:noProof/>
          <w:lang w:eastAsia="en-GB"/>
        </w:rPr>
        <w:t>Council Regulation (EC) No 428/2009 was amended once over the reporting period.</w:t>
      </w:r>
      <w:bookmarkStart w:id="5" w:name="DQCNUMB_2"/>
      <w:bookmarkEnd w:id="5"/>
      <w:r>
        <w:rPr>
          <w:rFonts w:eastAsia="Times New Roman"/>
          <w:noProof/>
          <w:lang w:eastAsia="en-GB"/>
        </w:rPr>
        <w:t xml:space="preserve"> Commission Delegated Regulation (EU) No 2420/2015</w:t>
      </w:r>
      <w:r>
        <w:rPr>
          <w:rStyle w:val="FootnoteReference"/>
          <w:rFonts w:eastAsia="Times New Roman"/>
          <w:noProof/>
          <w:lang w:eastAsia="en-GB"/>
        </w:rPr>
        <w:footnoteReference w:id="3"/>
      </w:r>
      <w:r>
        <w:rPr>
          <w:rFonts w:eastAsia="Times New Roman"/>
          <w:noProof/>
          <w:lang w:eastAsia="en-GB"/>
        </w:rPr>
        <w:t xml:space="preserve"> of 12 October 2015 updated the EU Control List in Annex I to the Regulation, and incorporated modifications agreed at the multilateral export control regimes in 2014. The 2015 EU control list thus incorporates over 100 amendments, most of which stem from the Wassenaar Arrangement and the Missile Technology Control Regime. These amendments concern, in particular, the control of machine tools, avionics technology and aircraft wing-folding systems, spacecraft equipment and civil Unmanned Aerial Vehicles as well as the removal from the control list of certain encrypted information security products. Annexes II and IV of the Regulation were also updated in line with the Annex I amendments. The new updated and consolidated EU Control List became applicable on 25 December 2015, thereby allowing the EU to adhere to its international commitments with regard to export controls and helping EU exporters where control parameters were relaxed.</w:t>
      </w:r>
      <w:r>
        <w:rPr>
          <w:rStyle w:val="FootnoteReference"/>
          <w:rFonts w:eastAsia="Times New Roman"/>
          <w:noProof/>
          <w:lang w:eastAsia="en-GB"/>
        </w:rPr>
        <w:footnoteReference w:id="4"/>
      </w:r>
    </w:p>
    <w:p>
      <w:pPr>
        <w:keepNext/>
        <w:tabs>
          <w:tab w:val="left" w:pos="850"/>
        </w:tabs>
        <w:spacing w:after="120"/>
        <w:ind w:left="850" w:hanging="850"/>
        <w:jc w:val="both"/>
        <w:outlineLvl w:val="1"/>
        <w:rPr>
          <w:rFonts w:eastAsia="Times New Roman"/>
          <w:b/>
          <w:noProof/>
          <w:lang w:eastAsia="en-GB"/>
        </w:rPr>
      </w:pPr>
      <w:bookmarkStart w:id="6" w:name="_Toc368065773"/>
      <w:r>
        <w:rPr>
          <w:rFonts w:eastAsia="Times New Roman"/>
          <w:b/>
          <w:noProof/>
          <w:lang w:eastAsia="en-GB"/>
        </w:rPr>
        <w:t>2.3.</w:t>
      </w:r>
      <w:r>
        <w:rPr>
          <w:rFonts w:eastAsia="Times New Roman"/>
          <w:b/>
          <w:noProof/>
          <w:lang w:eastAsia="en-GB"/>
        </w:rPr>
        <w:tab/>
        <w:t>National implementing measures</w:t>
      </w:r>
      <w:bookmarkEnd w:id="6"/>
    </w:p>
    <w:p>
      <w:pPr>
        <w:spacing w:before="100" w:beforeAutospacing="1" w:after="100" w:afterAutospacing="1"/>
        <w:jc w:val="both"/>
        <w:rPr>
          <w:rFonts w:eastAsia="Times New Roman"/>
          <w:noProof/>
          <w:lang w:eastAsia="en-GB"/>
        </w:rPr>
      </w:pPr>
      <w:r>
        <w:rPr>
          <w:rFonts w:eastAsia="Times New Roman"/>
          <w:noProof/>
          <w:lang w:eastAsia="en-GB"/>
        </w:rPr>
        <w:t>The Regulation is binding in its entirety and directly applicable in all Member States, but foresees that Member States should take measures for the implementation of certain provisions, and that information on those measures should be published in the Official Journal of the European Union. An Information Note was published in the Official Journal of 13 February 2015</w:t>
      </w:r>
      <w:r>
        <w:rPr>
          <w:rStyle w:val="FootnoteReference"/>
          <w:rFonts w:eastAsia="Times New Roman"/>
          <w:noProof/>
          <w:lang w:eastAsia="en-GB"/>
        </w:rPr>
        <w:footnoteReference w:id="5"/>
      </w:r>
      <w:r>
        <w:rPr>
          <w:rFonts w:eastAsia="Times New Roman"/>
          <w:noProof/>
          <w:lang w:eastAsia="en-GB"/>
        </w:rPr>
        <w:t>, providing an overview of measures taken by Member States including, inter alia, the extension of brokering and transit controls, the extension of controls to non-listed items for reasons of public security and human rights consideration, the introduction of national general export authorisations, the application of intra-EU transfer controls for non-listed items, the enforcement of controls, as well as information relating to national export control authorities.</w:t>
      </w:r>
    </w:p>
    <w:p>
      <w:pPr>
        <w:keepNext/>
        <w:tabs>
          <w:tab w:val="left" w:pos="850"/>
        </w:tabs>
        <w:spacing w:after="120"/>
        <w:ind w:left="850" w:hanging="850"/>
        <w:jc w:val="both"/>
        <w:outlineLvl w:val="0"/>
        <w:rPr>
          <w:rFonts w:eastAsia="Times New Roman"/>
          <w:b/>
          <w:smallCaps/>
          <w:noProof/>
          <w:lang w:eastAsia="en-GB"/>
        </w:rPr>
      </w:pPr>
      <w:bookmarkStart w:id="7" w:name="_Toc368065775"/>
      <w:r>
        <w:rPr>
          <w:rFonts w:eastAsia="Times New Roman"/>
          <w:b/>
          <w:smallCaps/>
          <w:noProof/>
          <w:lang w:eastAsia="en-GB"/>
        </w:rPr>
        <w:t>3.</w:t>
      </w:r>
      <w:r>
        <w:rPr>
          <w:rFonts w:eastAsia="Times New Roman"/>
          <w:b/>
          <w:smallCaps/>
          <w:noProof/>
          <w:lang w:eastAsia="en-GB"/>
        </w:rPr>
        <w:tab/>
        <w:t>Activities of the Dual-Use Coordination Group</w:t>
      </w:r>
      <w:bookmarkEnd w:id="7"/>
    </w:p>
    <w:p>
      <w:pPr>
        <w:spacing w:before="100" w:beforeAutospacing="1" w:after="100" w:afterAutospacing="1"/>
        <w:jc w:val="both"/>
        <w:rPr>
          <w:rFonts w:eastAsia="Times New Roman"/>
          <w:noProof/>
          <w:lang w:eastAsia="en-GB"/>
        </w:rPr>
      </w:pPr>
      <w:r>
        <w:rPr>
          <w:rFonts w:eastAsia="Times New Roman"/>
          <w:noProof/>
          <w:lang w:eastAsia="en-GB"/>
        </w:rPr>
        <w:t>Article 23 of the Regulation sets up a DUCG bringing together experts from the Commission and Member States to examine any issue concerning the application of export controls with a view to practically improving their consistency and effectiveness throughout the EU.</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3.1.</w:t>
      </w:r>
      <w:r>
        <w:rPr>
          <w:rFonts w:eastAsia="Times New Roman"/>
          <w:b/>
          <w:noProof/>
          <w:lang w:eastAsia="en-GB"/>
        </w:rPr>
        <w:tab/>
        <w:t>Consultations on implementation issues</w:t>
      </w:r>
    </w:p>
    <w:p>
      <w:pPr>
        <w:spacing w:before="100" w:beforeAutospacing="1" w:after="100" w:afterAutospacing="1"/>
        <w:jc w:val="both"/>
        <w:rPr>
          <w:rFonts w:eastAsia="Times New Roman"/>
          <w:noProof/>
          <w:lang w:eastAsia="en-GB"/>
        </w:rPr>
      </w:pPr>
      <w:r>
        <w:rPr>
          <w:rFonts w:eastAsia="Times New Roman"/>
          <w:noProof/>
          <w:lang w:eastAsia="en-GB"/>
        </w:rPr>
        <w:t>Over the reporting period, the DUCG provided a forum for consultations on a number of topical issues concerning the implementation of the Regulation. The DUCG held seven meetings, and discussed specific control issues such as the interpretation of the clause "specially designed component", the requirement for T5 certificates at the customs office of exit of exported items, the control of inverters, the application of the definition of "exporter" to "resellers", the application of transit controls under the dual-use regulation, and the control of dual-use research.</w:t>
      </w:r>
    </w:p>
    <w:p>
      <w:pPr>
        <w:autoSpaceDE w:val="0"/>
        <w:autoSpaceDN w:val="0"/>
        <w:adjustRightInd w:val="0"/>
        <w:jc w:val="both"/>
        <w:rPr>
          <w:noProof/>
          <w:lang w:eastAsia="en-GB"/>
        </w:rPr>
      </w:pPr>
      <w:r>
        <w:rPr>
          <w:noProof/>
          <w:lang w:eastAsia="en-GB"/>
        </w:rPr>
        <w:t>The DUCG conducted a technical exchange of information regarding the implementation of national measures, and prepared an updated Information Note on national measures for publication in the Official Journal (see above).</w:t>
      </w:r>
    </w:p>
    <w:p>
      <w:pPr>
        <w:spacing w:before="100" w:beforeAutospacing="1" w:after="100" w:afterAutospacing="1"/>
        <w:jc w:val="both"/>
        <w:rPr>
          <w:noProof/>
          <w:lang w:eastAsia="en-GB"/>
        </w:rPr>
      </w:pPr>
      <w:r>
        <w:rPr>
          <w:noProof/>
          <w:lang w:eastAsia="en-GB"/>
        </w:rPr>
        <w:t>The DUCG reviewed the methodology and approach for data exchange, and conducted a comprehensive licensing data collection exercise (on 2014 data) in order to increase information exchange between Member States and public transparency about EU dual-use export controls.</w:t>
      </w:r>
      <w:r>
        <w:rPr>
          <w:rFonts w:eastAsia="Times New Roman"/>
          <w:noProof/>
          <w:lang w:eastAsia="en-GB"/>
        </w:rPr>
        <w:t xml:space="preserve"> The DUCG also collaborated to the "data collection project" implemented by Stockholm International Peace Research Institute (SIPRI) and Ecorys to support the impact assessement for the export control policy review.</w:t>
      </w:r>
    </w:p>
    <w:p>
      <w:pPr>
        <w:autoSpaceDE w:val="0"/>
        <w:autoSpaceDN w:val="0"/>
        <w:adjustRightInd w:val="0"/>
        <w:jc w:val="both"/>
        <w:rPr>
          <w:rFonts w:eastAsia="Times New Roman"/>
          <w:noProof/>
          <w:lang w:eastAsia="en-GB"/>
        </w:rPr>
      </w:pPr>
      <w:r>
        <w:rPr>
          <w:noProof/>
          <w:lang w:eastAsia="en-GB"/>
        </w:rPr>
        <w:t xml:space="preserve">The DUCG monitored the activity of a joint (with customs) technical sub-group examining the potential convergence of customs' "Authorised Economic Operators" programmes with export control "internal compliance programmes". </w:t>
      </w:r>
      <w:r>
        <w:rPr>
          <w:rFonts w:eastAsia="Times New Roman"/>
          <w:noProof/>
          <w:lang w:eastAsia="en-GB"/>
        </w:rPr>
        <w:t>The DUCG endorsed the conclusions of the technical sub-group, in particular as regards the development of common guidelines for EU-wide standards for Internal Compliance Programme (ICP) and to enhance cooperation between customs and export control authorities.</w:t>
      </w:r>
    </w:p>
    <w:p>
      <w:pPr>
        <w:autoSpaceDE w:val="0"/>
        <w:autoSpaceDN w:val="0"/>
        <w:adjustRightInd w:val="0"/>
        <w:jc w:val="both"/>
        <w:rPr>
          <w:rFonts w:eastAsia="Times New Roman"/>
          <w:noProof/>
          <w:lang w:eastAsia="en-GB"/>
        </w:rPr>
      </w:pPr>
    </w:p>
    <w:p>
      <w:pPr>
        <w:jc w:val="both"/>
        <w:rPr>
          <w:rFonts w:eastAsia="Times New Roman"/>
          <w:noProof/>
          <w:lang w:eastAsia="en-GB"/>
        </w:rPr>
      </w:pPr>
      <w:r>
        <w:rPr>
          <w:rFonts w:eastAsia="Times New Roman"/>
          <w:noProof/>
          <w:lang w:eastAsia="en-GB"/>
        </w:rPr>
        <w:t xml:space="preserve">The DUCG </w:t>
      </w:r>
      <w:r>
        <w:rPr>
          <w:noProof/>
          <w:lang w:eastAsia="en-GB"/>
        </w:rPr>
        <w:t xml:space="preserve">monitored the activity of the </w:t>
      </w:r>
      <w:r>
        <w:rPr>
          <w:rFonts w:eastAsia="Times New Roman"/>
          <w:noProof/>
          <w:lang w:eastAsia="en-GB"/>
        </w:rPr>
        <w:t xml:space="preserve">"Surveillance technology expert group" ("STEG"), bringing together experts from Member States and the Commission to discuss issues related to the control of cyber-surveillance technology and exchange information on relevant developments. The STEG reviewed developments regarding the implementation and  technical parameters of controls, and exchanged views on the national, European and multilateral approaches to controls as well as on their potential impact on human rights and the security of the EU and its citizens. The STEG also held sessions with stakeholders from industry, academia and other civil society organizations. </w:t>
      </w:r>
    </w:p>
    <w:p>
      <w:pPr>
        <w:jc w:val="both"/>
        <w:rPr>
          <w:rFonts w:eastAsia="Times New Roman"/>
          <w:noProof/>
          <w:lang w:eastAsia="en-GB"/>
        </w:rPr>
      </w:pP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3.2.</w:t>
      </w:r>
      <w:r>
        <w:rPr>
          <w:rFonts w:eastAsia="Times New Roman"/>
          <w:b/>
          <w:noProof/>
          <w:lang w:eastAsia="en-GB"/>
        </w:rPr>
        <w:tab/>
        <w:t>Technical support to the preparation of updates to the EU control list</w:t>
      </w:r>
    </w:p>
    <w:p>
      <w:pPr>
        <w:spacing w:before="100" w:beforeAutospacing="1" w:after="100" w:afterAutospacing="1"/>
        <w:jc w:val="both"/>
        <w:rPr>
          <w:rFonts w:eastAsia="Times New Roman"/>
          <w:noProof/>
          <w:lang w:eastAsia="en-GB"/>
        </w:rPr>
      </w:pPr>
      <w:r>
        <w:rPr>
          <w:rFonts w:eastAsia="Times New Roman"/>
          <w:noProof/>
          <w:lang w:eastAsia="en-GB"/>
        </w:rPr>
        <w:t>The DUCG held technical consultations in support of the preparation of a Commission Delegated Regulation updating the EU Control List. National experts shared technical expertise and training with competent authorities highlighting the most important changes to the control list on the occasion of a special session of the DUCG.</w:t>
      </w:r>
    </w:p>
    <w:p>
      <w:pPr>
        <w:keepNext/>
        <w:tabs>
          <w:tab w:val="left" w:pos="850"/>
        </w:tabs>
        <w:spacing w:after="120"/>
        <w:ind w:left="850" w:hanging="850"/>
        <w:jc w:val="both"/>
        <w:outlineLvl w:val="1"/>
        <w:rPr>
          <w:rFonts w:eastAsia="Times New Roman"/>
          <w:b/>
          <w:noProof/>
          <w:lang w:eastAsia="en-GB"/>
        </w:rPr>
      </w:pPr>
      <w:bookmarkStart w:id="8" w:name="_Toc368065777"/>
      <w:r>
        <w:rPr>
          <w:rFonts w:eastAsia="Times New Roman"/>
          <w:b/>
          <w:noProof/>
          <w:lang w:eastAsia="en-GB"/>
        </w:rPr>
        <w:t>3.3.</w:t>
      </w:r>
      <w:r>
        <w:rPr>
          <w:rFonts w:eastAsia="Times New Roman"/>
          <w:b/>
          <w:noProof/>
          <w:lang w:eastAsia="en-GB"/>
        </w:rPr>
        <w:tab/>
        <w:t>EU Guidelines on Dual-Use Export Controls</w:t>
      </w:r>
      <w:bookmarkEnd w:id="8"/>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DUCG initiated preparations for EU Guidelines supporting structured exchange of information and consultations between Member States with respect to the application of note 3 to Category 5 Part 2 of Annex I to Regulation (EC) No 428/2009 – the "cryptography note" – and regarding the definition of "exporter" in situations in which a reseller is involved.</w:t>
      </w:r>
    </w:p>
    <w:p>
      <w:pPr>
        <w:pStyle w:val="ListParagraph"/>
        <w:ind w:left="0"/>
        <w:jc w:val="both"/>
        <w:rPr>
          <w:rFonts w:ascii="Times New Roman" w:hAnsi="Times New Roman" w:cs="Times New Roman"/>
          <w:noProof/>
          <w:sz w:val="24"/>
          <w:szCs w:val="24"/>
        </w:rPr>
      </w:pPr>
    </w:p>
    <w:p>
      <w:pPr>
        <w:keepNext/>
        <w:tabs>
          <w:tab w:val="left" w:pos="850"/>
        </w:tabs>
        <w:spacing w:after="120"/>
        <w:ind w:left="850" w:hanging="850"/>
        <w:jc w:val="both"/>
        <w:outlineLvl w:val="1"/>
        <w:rPr>
          <w:rFonts w:eastAsia="Times New Roman"/>
          <w:b/>
          <w:noProof/>
          <w:lang w:eastAsia="en-GB"/>
        </w:rPr>
      </w:pPr>
      <w:bookmarkStart w:id="9" w:name="_Toc368065779"/>
      <w:r>
        <w:rPr>
          <w:rFonts w:eastAsia="Times New Roman"/>
          <w:b/>
          <w:noProof/>
          <w:lang w:eastAsia="en-GB"/>
        </w:rPr>
        <w:t>3.4.</w:t>
      </w:r>
      <w:r>
        <w:rPr>
          <w:rFonts w:eastAsia="Times New Roman"/>
          <w:b/>
          <w:noProof/>
          <w:lang w:eastAsia="en-GB"/>
        </w:rPr>
        <w:tab/>
        <w:t xml:space="preserve">Exchange of information </w:t>
      </w:r>
      <w:bookmarkEnd w:id="9"/>
      <w:r>
        <w:rPr>
          <w:rFonts w:eastAsia="Times New Roman"/>
          <w:b/>
          <w:noProof/>
          <w:lang w:eastAsia="en-GB"/>
        </w:rPr>
        <w:t>between competent authorities</w:t>
      </w:r>
    </w:p>
    <w:p>
      <w:pPr>
        <w:spacing w:before="100" w:beforeAutospacing="1" w:after="100" w:afterAutospacing="1"/>
        <w:jc w:val="both"/>
        <w:rPr>
          <w:rFonts w:eastAsia="Times New Roman"/>
          <w:noProof/>
          <w:lang w:eastAsia="en-GB"/>
        </w:rPr>
      </w:pPr>
      <w:r>
        <w:rPr>
          <w:rFonts w:eastAsia="Times New Roman"/>
          <w:noProof/>
          <w:lang w:eastAsia="en-GB"/>
        </w:rPr>
        <w:t xml:space="preserve">The DUCG continued to suport the further development of the Dual-use e-System (DUeS), a secure and encrypted electronic system hosted by the Commission, to enable effective exchange of information between export control authorities and the Commission. The DUCG introduced new functionalities and improvements into DUeS, in particular to support enhanced exchange of information regarding, </w:t>
      </w:r>
      <w:r>
        <w:rPr>
          <w:rFonts w:eastAsia="Times New Roman"/>
          <w:i/>
          <w:noProof/>
          <w:lang w:eastAsia="en-GB"/>
        </w:rPr>
        <w:t>inter alia</w:t>
      </w:r>
      <w:r>
        <w:rPr>
          <w:rFonts w:eastAsia="Times New Roman"/>
          <w:noProof/>
          <w:lang w:eastAsia="en-GB"/>
        </w:rPr>
        <w:t>, denials issued on the basis of Articles 2 and 2a of Regulation (EU) No 833/2014</w:t>
      </w:r>
      <w:r>
        <w:rPr>
          <w:rStyle w:val="FootnoteReference"/>
          <w:rFonts w:eastAsia="Times New Roman"/>
          <w:noProof/>
          <w:lang w:eastAsia="en-GB"/>
        </w:rPr>
        <w:footnoteReference w:id="6"/>
      </w:r>
      <w:r>
        <w:rPr>
          <w:rFonts w:eastAsia="Times New Roman"/>
          <w:noProof/>
          <w:lang w:eastAsia="en-GB"/>
        </w:rPr>
        <w:t xml:space="preserve"> (EU sanctions to Russian Federation), i</w:t>
      </w:r>
      <w:r>
        <w:rPr>
          <w:noProof/>
        </w:rPr>
        <w:t xml:space="preserve">ntangible technology transfers. Also, in December 2015, a </w:t>
      </w:r>
      <w:r>
        <w:rPr>
          <w:rFonts w:eastAsia="Times New Roman"/>
          <w:noProof/>
          <w:lang w:eastAsia="en-GB"/>
        </w:rPr>
        <w:t>new, more secure function for user access and management was introduced. Importantly, a new section was created in the DUeS in October 2015 to support the exchange of information on denials issued under Regulation (EC) No 1236/2005</w:t>
      </w:r>
      <w:r>
        <w:rPr>
          <w:rStyle w:val="FootnoteReference"/>
          <w:rFonts w:eastAsia="Times New Roman"/>
          <w:noProof/>
          <w:lang w:eastAsia="en-GB"/>
        </w:rPr>
        <w:footnoteReference w:id="7"/>
      </w:r>
      <w:r>
        <w:rPr>
          <w:rFonts w:eastAsia="Times New Roman"/>
          <w:noProof/>
          <w:lang w:eastAsia="en-GB"/>
        </w:rPr>
        <w:t xml:space="preserve"> concerning trade in certain goods which could be used for capital punishment, torture or other cruel, inhuman or degrading treatment or punishment (the "Anti-torture" regulation), and in line with the Commission's approach to enhance the synergies between various security export control instruments.</w:t>
      </w:r>
    </w:p>
    <w:p>
      <w:pPr>
        <w:spacing w:before="100" w:beforeAutospacing="1" w:after="100" w:afterAutospacing="1"/>
        <w:jc w:val="both"/>
        <w:rPr>
          <w:rFonts w:eastAsia="Times New Roman"/>
          <w:b/>
          <w:noProof/>
          <w:lang w:eastAsia="en-GB"/>
        </w:rPr>
      </w:pPr>
      <w:bookmarkStart w:id="10" w:name="_Toc368065780"/>
      <w:r>
        <w:rPr>
          <w:rFonts w:eastAsia="Times New Roman"/>
          <w:b/>
          <w:noProof/>
          <w:lang w:eastAsia="en-GB"/>
        </w:rPr>
        <w:t>3.5.</w:t>
      </w:r>
      <w:r>
        <w:rPr>
          <w:rFonts w:eastAsia="Times New Roman"/>
          <w:b/>
          <w:noProof/>
          <w:lang w:eastAsia="en-GB"/>
        </w:rPr>
        <w:tab/>
        <w:t>Transparency and dialogue with industry and academia</w:t>
      </w:r>
      <w:bookmarkEnd w:id="10"/>
      <w:r>
        <w:rPr>
          <w:rFonts w:eastAsia="Times New Roman"/>
          <w:b/>
          <w:noProof/>
          <w:lang w:eastAsia="en-GB"/>
        </w:rPr>
        <w:t xml:space="preserve"> </w:t>
      </w:r>
    </w:p>
    <w:p>
      <w:pPr>
        <w:spacing w:before="100" w:beforeAutospacing="1" w:after="100" w:afterAutospacing="1"/>
        <w:jc w:val="both"/>
        <w:rPr>
          <w:rFonts w:eastAsia="Times New Roman"/>
          <w:noProof/>
          <w:lang w:eastAsia="en-GB"/>
        </w:rPr>
      </w:pPr>
      <w:r>
        <w:rPr>
          <w:rFonts w:eastAsia="Times New Roman"/>
          <w:noProof/>
          <w:lang w:eastAsia="en-GB"/>
        </w:rPr>
        <w:t>The DUCG held a "DUCG-Industry Forum" on 7 December 2015 in Brussels with industry associations, dual-use companies and civil society organisations to discuss review options and the findings of the online public consultation in the context of the export control policy review (</w:t>
      </w:r>
      <w:hyperlink r:id="rId18" w:history="1">
        <w:r>
          <w:rPr>
            <w:rStyle w:val="Hyperlink"/>
            <w:rFonts w:eastAsia="Times New Roman"/>
            <w:noProof/>
            <w:lang w:eastAsia="en-GB"/>
          </w:rPr>
          <w:t>http://ec.europa.eu/trade/import-and-export-rules/export-from-eu/dual-use-controls/index_en.htm</w:t>
        </w:r>
      </w:hyperlink>
      <w:r>
        <w:rPr>
          <w:rFonts w:eastAsia="Times New Roman"/>
          <w:noProof/>
          <w:lang w:eastAsia="en-GB"/>
        </w:rPr>
        <w:t>).</w:t>
      </w:r>
    </w:p>
    <w:p>
      <w:pPr>
        <w:spacing w:before="100" w:beforeAutospacing="1" w:after="100" w:afterAutospacing="1"/>
        <w:jc w:val="both"/>
        <w:rPr>
          <w:rFonts w:eastAsia="Times New Roman"/>
          <w:noProof/>
          <w:lang w:eastAsia="en-GB"/>
        </w:rPr>
      </w:pPr>
      <w:r>
        <w:rPr>
          <w:rFonts w:eastAsia="Times New Roman"/>
          <w:noProof/>
          <w:lang w:eastAsia="en-GB"/>
        </w:rPr>
        <w:t>The DUCG also prepared documentation to support exporters' implementation of the regulations. In particular, a "Comprehensive Change Note" summarises, for information purposes, the control text changes to the EU control list introduced under Commission Delegated Regulation (EU) 2015/2420 (</w:t>
      </w:r>
      <w:hyperlink r:id="rId19" w:history="1">
        <w:r>
          <w:rPr>
            <w:rStyle w:val="Hyperlink"/>
            <w:rFonts w:eastAsia="Times New Roman"/>
            <w:noProof/>
            <w:lang w:eastAsia="en-GB"/>
          </w:rPr>
          <w:t>http://trade.ec.europa.eu/doclib/docs/2015/october/tradoc_153892.pdf</w:t>
        </w:r>
      </w:hyperlink>
      <w:r>
        <w:rPr>
          <w:rFonts w:eastAsia="Times New Roman"/>
          <w:noProof/>
          <w:lang w:eastAsia="en-GB"/>
        </w:rPr>
        <w:t xml:space="preserve">). </w:t>
      </w:r>
    </w:p>
    <w:p>
      <w:pPr>
        <w:keepNext/>
        <w:tabs>
          <w:tab w:val="left" w:pos="850"/>
        </w:tabs>
        <w:spacing w:after="120"/>
        <w:ind w:left="850" w:hanging="850"/>
        <w:jc w:val="both"/>
        <w:outlineLvl w:val="1"/>
        <w:rPr>
          <w:rFonts w:eastAsia="Times New Roman"/>
          <w:b/>
          <w:noProof/>
          <w:lang w:eastAsia="en-GB"/>
        </w:rPr>
      </w:pPr>
      <w:bookmarkStart w:id="11" w:name="_Toc368065781"/>
      <w:r>
        <w:rPr>
          <w:rFonts w:eastAsia="Times New Roman"/>
          <w:b/>
          <w:noProof/>
          <w:lang w:eastAsia="en-GB"/>
        </w:rPr>
        <w:t>3.6.</w:t>
      </w:r>
      <w:r>
        <w:rPr>
          <w:rFonts w:eastAsia="Times New Roman"/>
          <w:b/>
          <w:noProof/>
          <w:lang w:eastAsia="en-GB"/>
        </w:rPr>
        <w:tab/>
        <w:t>Export control monitoring and enforcement</w:t>
      </w:r>
      <w:bookmarkEnd w:id="11"/>
    </w:p>
    <w:p>
      <w:pPr>
        <w:spacing w:before="100" w:beforeAutospacing="1" w:after="100" w:afterAutospacing="1"/>
        <w:jc w:val="both"/>
        <w:rPr>
          <w:rFonts w:eastAsia="Times New Roman"/>
          <w:noProof/>
          <w:lang w:eastAsia="en-GB"/>
        </w:rPr>
      </w:pPr>
      <w:r>
        <w:rPr>
          <w:rFonts w:eastAsia="Times New Roman"/>
          <w:noProof/>
          <w:lang w:eastAsia="en-GB"/>
        </w:rPr>
        <w:t xml:space="preserve">The Commission promotes effective monitoring and enforcement of export controls within the EU through various support actions. In 2015, the Commission released an updated version of the 'correlation table' linking customs codes with dual-use classifications and continued inclusion of export control measures into the EU's online customs tariff database (TARIC) (http://trade.ec.europa.eu/doclib/docs/2016/february/tradoc_154240.pdf). </w:t>
      </w:r>
    </w:p>
    <w:p>
      <w:pPr>
        <w:spacing w:before="100" w:beforeAutospacing="1" w:after="100" w:afterAutospacing="1"/>
        <w:jc w:val="both"/>
        <w:rPr>
          <w:rFonts w:eastAsia="Times New Roman"/>
          <w:b/>
          <w:noProof/>
          <w:lang w:eastAsia="en-GB"/>
        </w:rPr>
      </w:pPr>
      <w:r>
        <w:rPr>
          <w:rFonts w:eastAsia="Times New Roman"/>
          <w:b/>
          <w:noProof/>
          <w:lang w:eastAsia="en-GB"/>
        </w:rPr>
        <w:t>3.7.</w:t>
      </w:r>
      <w:r>
        <w:rPr>
          <w:rFonts w:eastAsia="Times New Roman"/>
          <w:b/>
          <w:noProof/>
          <w:lang w:eastAsia="en-GB"/>
        </w:rPr>
        <w:tab/>
        <w:t>Pool of Experts</w:t>
      </w:r>
    </w:p>
    <w:p>
      <w:pPr>
        <w:spacing w:before="100" w:beforeAutospacing="1" w:after="100" w:afterAutospacing="1"/>
        <w:jc w:val="both"/>
        <w:rPr>
          <w:rFonts w:eastAsia="Times New Roman"/>
          <w:noProof/>
          <w:lang w:eastAsia="en-GB"/>
        </w:rPr>
      </w:pPr>
      <w:r>
        <w:rPr>
          <w:rFonts w:eastAsia="Times New Roman"/>
          <w:noProof/>
          <w:lang w:eastAsia="en-GB"/>
        </w:rPr>
        <w:t>In 2015, the Pool of Experts operated by Commission’s Joint Research Centre (JRC) and experts made available by Member States continued to provide support to EU export control authorities requesting advice in relation to concrete licensing cases. In total, seven advices were provided to six Member States competent authorities over the reporting period.</w:t>
      </w:r>
    </w:p>
    <w:p>
      <w:pPr>
        <w:spacing w:before="100" w:beforeAutospacing="1" w:after="100" w:afterAutospacing="1"/>
        <w:jc w:val="both"/>
        <w:rPr>
          <w:rFonts w:eastAsia="Times New Roman"/>
          <w:b/>
          <w:noProof/>
          <w:lang w:eastAsia="en-GB"/>
        </w:rPr>
      </w:pPr>
      <w:r>
        <w:rPr>
          <w:rFonts w:eastAsia="Times New Roman"/>
          <w:b/>
          <w:noProof/>
          <w:lang w:eastAsia="en-GB"/>
        </w:rPr>
        <w:t>3.8.</w:t>
      </w:r>
      <w:r>
        <w:rPr>
          <w:rFonts w:eastAsia="Times New Roman"/>
          <w:b/>
          <w:noProof/>
          <w:lang w:eastAsia="en-GB"/>
        </w:rPr>
        <w:tab/>
        <w:t>Capacity building</w:t>
      </w:r>
    </w:p>
    <w:p>
      <w:pPr>
        <w:jc w:val="both"/>
        <w:rPr>
          <w:rFonts w:eastAsia="Times New Roman"/>
          <w:noProof/>
          <w:lang w:eastAsia="en-GB"/>
        </w:rPr>
      </w:pPr>
      <w:r>
        <w:rPr>
          <w:noProof/>
        </w:rPr>
        <w:t>The DUCG supported the preparation of an export control pilot simulation exercise (SimEX 2015) for customs and licensing officers, jointly organised by DG TAXUD and the JRC, which took place on 17-19 March 2015. For its part, t</w:t>
      </w:r>
      <w:r>
        <w:rPr>
          <w:rFonts w:eastAsia="Times New Roman"/>
          <w:noProof/>
          <w:lang w:eastAsia="en-GB"/>
        </w:rPr>
        <w:t>he JRC continued the series of technical seminars for licensing authorities in collaboration with the US Department of Energy. The 8</w:t>
      </w:r>
      <w:r>
        <w:rPr>
          <w:rFonts w:eastAsia="Times New Roman"/>
          <w:noProof/>
          <w:vertAlign w:val="superscript"/>
          <w:lang w:eastAsia="en-GB"/>
        </w:rPr>
        <w:t>th</w:t>
      </w:r>
      <w:r>
        <w:rPr>
          <w:rFonts w:eastAsia="Times New Roman"/>
          <w:noProof/>
          <w:lang w:eastAsia="en-GB"/>
        </w:rPr>
        <w:t xml:space="preserve"> seminar was held on 22-23 April 2015 in Ispra, Italy, and attended by over 100 licensing officers and technical experts from EU export control authorities.</w:t>
      </w:r>
    </w:p>
    <w:p>
      <w:pPr>
        <w:spacing w:before="100" w:beforeAutospacing="1" w:after="100" w:afterAutospacing="1"/>
        <w:jc w:val="both"/>
        <w:rPr>
          <w:noProof/>
        </w:rPr>
      </w:pPr>
      <w:r>
        <w:rPr>
          <w:noProof/>
          <w:lang w:eastAsia="en-GB"/>
        </w:rPr>
        <w:t>With respect to third countries, the "EU P2P Outreach programme" on dual use items in partner countries continued in 2015, making expertise available in 34 countries to strengthen export controls worldwide according to the needs and priorities of the countries concerned.</w:t>
      </w:r>
    </w:p>
    <w:p>
      <w:pPr>
        <w:jc w:val="both"/>
        <w:rPr>
          <w:noProof/>
        </w:rPr>
      </w:pPr>
    </w:p>
    <w:p>
      <w:pPr>
        <w:jc w:val="both"/>
        <w:rPr>
          <w:noProof/>
        </w:rPr>
      </w:pPr>
    </w:p>
    <w:p>
      <w:pPr>
        <w:keepNext/>
        <w:tabs>
          <w:tab w:val="left" w:pos="850"/>
        </w:tabs>
        <w:spacing w:after="120"/>
        <w:ind w:left="850" w:hanging="850"/>
        <w:jc w:val="both"/>
        <w:outlineLvl w:val="0"/>
        <w:rPr>
          <w:rFonts w:eastAsia="Times New Roman"/>
          <w:b/>
          <w:smallCaps/>
          <w:noProof/>
          <w:lang w:eastAsia="en-GB"/>
        </w:rPr>
      </w:pPr>
      <w:bookmarkStart w:id="12" w:name="DQCNUMB_3"/>
      <w:bookmarkEnd w:id="12"/>
      <w:r>
        <w:rPr>
          <w:rFonts w:eastAsia="Times New Roman"/>
          <w:b/>
          <w:smallCaps/>
          <w:noProof/>
          <w:lang w:eastAsia="en-GB"/>
        </w:rPr>
        <w:t>4.</w:t>
      </w:r>
      <w:r>
        <w:rPr>
          <w:rFonts w:eastAsia="Times New Roman"/>
          <w:b/>
          <w:smallCaps/>
          <w:noProof/>
          <w:lang w:eastAsia="en-GB"/>
        </w:rPr>
        <w:tab/>
        <w:t xml:space="preserve">EU export controls – Key Data </w:t>
      </w:r>
    </w:p>
    <w:p>
      <w:pPr>
        <w:spacing w:before="100" w:beforeAutospacing="1" w:after="100" w:afterAutospacing="1"/>
        <w:jc w:val="both"/>
        <w:rPr>
          <w:rFonts w:eastAsia="Times New Roman"/>
          <w:noProof/>
          <w:lang w:eastAsia="en-GB"/>
        </w:rPr>
      </w:pPr>
      <w:r>
        <w:rPr>
          <w:rFonts w:eastAsia="Times New Roman"/>
          <w:noProof/>
          <w:lang w:eastAsia="en-GB"/>
        </w:rPr>
        <w:t xml:space="preserve">It is difficult to get reliable information on dual-use exports as there is no correspondingly defined economic sector. However the Commission and Member States collect data that allow for approximate estimates of exports of dual-use goods based, on the one hand, on customs commodities identified by the correlation table, which include dual-use goods, and, on the other hand, on specific licensing data collected by competent authorities. 2014 export data estimates are presented below. To be noted, estimates presented hereafter do not include services and intangible technology transfers associated with the trade in dual-use goods. </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4.1.</w:t>
      </w:r>
      <w:r>
        <w:rPr>
          <w:rFonts w:eastAsia="Times New Roman"/>
          <w:b/>
          <w:noProof/>
          <w:lang w:eastAsia="en-GB"/>
        </w:rPr>
        <w:tab/>
        <w:t xml:space="preserve">EU dual-use trade: items and destinations </w:t>
      </w:r>
    </w:p>
    <w:p>
      <w:pPr>
        <w:spacing w:before="100" w:beforeAutospacing="1" w:after="100" w:afterAutospacing="1"/>
        <w:jc w:val="both"/>
        <w:rPr>
          <w:rFonts w:eastAsia="Times New Roman"/>
          <w:noProof/>
          <w:lang w:eastAsia="en-GB"/>
        </w:rPr>
      </w:pPr>
      <w:r>
        <w:rPr>
          <w:rFonts w:eastAsia="Times New Roman"/>
          <w:noProof/>
          <w:lang w:eastAsia="en-GB"/>
        </w:rPr>
        <w:t>The Regulation primarily applies to the export of about 1869 dual-use items listed in Annex I (the "EU Control List") and classified in 10 categories (Figure 1). These dual-use items relate to circa 1000 customs commodities</w:t>
      </w:r>
      <w:r>
        <w:rPr>
          <w:rFonts w:eastAsia="Times New Roman"/>
          <w:noProof/>
          <w:szCs w:val="22"/>
          <w:vertAlign w:val="superscript"/>
          <w:lang w:eastAsia="en-GB"/>
        </w:rPr>
        <w:footnoteReference w:id="8"/>
      </w:r>
      <w:r>
        <w:rPr>
          <w:rFonts w:eastAsia="Times New Roman"/>
          <w:noProof/>
          <w:lang w:eastAsia="en-GB"/>
        </w:rPr>
        <w:t xml:space="preserve">, including chemicals, metals and non-metallic mineral products, computers, electronic and optical products, electrical equipment, machinery, vehicles and transport equipment etc. and typically fall at the high–tech end of this large, mixed commodity area. </w:t>
      </w:r>
    </w:p>
    <w:p>
      <w:pPr>
        <w:spacing w:after="120"/>
        <w:jc w:val="both"/>
        <w:rPr>
          <w:rFonts w:eastAsia="Times New Roman"/>
          <w:noProof/>
          <w:lang w:eastAsia="en-GB"/>
        </w:rPr>
      </w:pPr>
      <w:r>
        <w:rPr>
          <w:rFonts w:eastAsia="Times New Roman"/>
          <w:noProof/>
          <w:szCs w:val="22"/>
          <w:lang w:val="en-US"/>
        </w:rPr>
        <w:drawing>
          <wp:inline distT="0" distB="0" distL="0" distR="0">
            <wp:extent cx="5756910" cy="2830830"/>
            <wp:effectExtent l="0" t="0" r="0" b="7620"/>
            <wp:docPr id="9" name="Picture 9" descr="Annex_I_Nr_of_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ex_I_Nr_of_item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910" cy="2830830"/>
                    </a:xfrm>
                    <a:prstGeom prst="rect">
                      <a:avLst/>
                    </a:prstGeom>
                    <a:noFill/>
                    <a:ln>
                      <a:noFill/>
                    </a:ln>
                  </pic:spPr>
                </pic:pic>
              </a:graphicData>
            </a:graphic>
          </wp:inline>
        </w:drawing>
      </w:r>
    </w:p>
    <w:p>
      <w:pPr>
        <w:spacing w:after="100" w:afterAutospacing="1"/>
        <w:jc w:val="both"/>
        <w:rPr>
          <w:rFonts w:eastAsia="Times New Roman"/>
          <w:i/>
          <w:noProof/>
          <w:sz w:val="20"/>
          <w:szCs w:val="20"/>
          <w:lang w:eastAsia="en-GB"/>
        </w:rPr>
      </w:pPr>
      <w:r>
        <w:rPr>
          <w:rFonts w:eastAsia="Times New Roman"/>
          <w:i/>
          <w:noProof/>
          <w:sz w:val="20"/>
          <w:szCs w:val="20"/>
          <w:lang w:eastAsia="en-GB"/>
        </w:rPr>
        <w:t>Figure 1: Number of dual-use items listed in Categories of Annex I further to the adoption of Regulation (EU) 2015/2420, compared to Regulation (EU) No 1382/2014.</w:t>
      </w:r>
    </w:p>
    <w:p>
      <w:pPr>
        <w:spacing w:after="100" w:afterAutospacing="1"/>
        <w:jc w:val="both"/>
        <w:rPr>
          <w:rFonts w:eastAsia="Times New Roman"/>
          <w:noProof/>
          <w:lang w:eastAsia="en-GB"/>
        </w:rPr>
      </w:pPr>
      <w:r>
        <w:rPr>
          <w:rFonts w:eastAsia="Times New Roman"/>
          <w:noProof/>
          <w:sz w:val="20"/>
          <w:szCs w:val="20"/>
          <w:lang w:eastAsia="en-GB"/>
        </w:rPr>
        <w:br w:type="page"/>
      </w:r>
      <w:r>
        <w:rPr>
          <w:rFonts w:eastAsia="Times New Roman"/>
          <w:noProof/>
          <w:lang w:eastAsia="en-GB"/>
        </w:rPr>
        <w:t>Using the correlation between customs codes and dual-use classifications, it is estimated that controls apply to items included in an 'export domain' representing approximately 20% of EU total exports (Figure 2).</w:t>
      </w:r>
    </w:p>
    <w:p>
      <w:pPr>
        <w:spacing w:after="100" w:afterAutospacing="1"/>
        <w:jc w:val="center"/>
        <w:rPr>
          <w:rFonts w:eastAsia="Times New Roman"/>
          <w:noProof/>
          <w:lang w:eastAsia="en-GB"/>
        </w:rPr>
      </w:pPr>
      <w:r>
        <w:rPr>
          <w:rFonts w:eastAsia="Times New Roman"/>
          <w:noProof/>
          <w:lang w:val="en-US"/>
        </w:rPr>
        <w:drawing>
          <wp:inline distT="0" distB="0" distL="0" distR="0">
            <wp:extent cx="2955290" cy="1880235"/>
            <wp:effectExtent l="0" t="0" r="0" b="0"/>
            <wp:docPr id="8" name="Picture 8" descr="DUED by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ED by Ti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5290" cy="1880235"/>
                    </a:xfrm>
                    <a:prstGeom prst="rect">
                      <a:avLst/>
                    </a:prstGeom>
                    <a:noFill/>
                    <a:ln>
                      <a:noFill/>
                    </a:ln>
                  </pic:spPr>
                </pic:pic>
              </a:graphicData>
            </a:graphic>
          </wp:inline>
        </w:drawing>
      </w:r>
    </w:p>
    <w:p>
      <w:pPr>
        <w:spacing w:after="100" w:afterAutospacing="1"/>
        <w:jc w:val="both"/>
        <w:rPr>
          <w:rFonts w:eastAsia="Times New Roman"/>
          <w:i/>
          <w:noProof/>
          <w:sz w:val="20"/>
          <w:szCs w:val="20"/>
          <w:lang w:eastAsia="en-GB"/>
        </w:rPr>
      </w:pPr>
      <w:r>
        <w:rPr>
          <w:rFonts w:eastAsia="Times New Roman"/>
          <w:i/>
          <w:noProof/>
          <w:sz w:val="20"/>
          <w:szCs w:val="20"/>
          <w:lang w:eastAsia="en-GB"/>
        </w:rPr>
        <w:t>Figure 2: Estimated value of the 'dual-use export domain' and total exports.</w:t>
      </w:r>
    </w:p>
    <w:p>
      <w:pPr>
        <w:spacing w:before="100" w:beforeAutospacing="1" w:after="100" w:afterAutospacing="1"/>
        <w:jc w:val="both"/>
        <w:rPr>
          <w:rFonts w:eastAsia="Times New Roman"/>
          <w:noProof/>
          <w:lang w:eastAsia="en-GB"/>
        </w:rPr>
      </w:pPr>
      <w:r>
        <w:rPr>
          <w:rFonts w:eastAsia="Times New Roman"/>
          <w:noProof/>
          <w:lang w:eastAsia="en-GB"/>
        </w:rPr>
        <w:t>A large part of the dual-use export domain concerns exports towards 'E001 countries' benefiting from general export authorisations. This reflects the EU export market structure in the relevant commodities as well as trade facilitation under EUGEAs (Figure 3)</w:t>
      </w:r>
      <w:r>
        <w:rPr>
          <w:rFonts w:eastAsia="Times New Roman"/>
          <w:noProof/>
          <w:vertAlign w:val="superscript"/>
          <w:lang w:eastAsia="en-GB"/>
        </w:rPr>
        <w:footnoteReference w:id="9"/>
      </w:r>
      <w:r>
        <w:rPr>
          <w:rFonts w:eastAsia="Times New Roman"/>
          <w:noProof/>
          <w:lang w:eastAsia="en-GB"/>
        </w:rPr>
        <w:t xml:space="preserve">. </w:t>
      </w:r>
    </w:p>
    <w:p>
      <w:pPr>
        <w:spacing w:after="100" w:afterAutospacing="1"/>
        <w:jc w:val="center"/>
        <w:rPr>
          <w:rFonts w:eastAsia="Times New Roman"/>
          <w:noProof/>
          <w:lang w:eastAsia="en-GB"/>
        </w:rPr>
      </w:pPr>
      <w:r>
        <w:rPr>
          <w:rFonts w:eastAsia="Times New Roman"/>
          <w:noProof/>
          <w:lang w:val="en-US"/>
        </w:rPr>
        <w:drawing>
          <wp:inline distT="0" distB="0" distL="0" distR="0">
            <wp:extent cx="4067175" cy="2948305"/>
            <wp:effectExtent l="0" t="0" r="9525" b="0"/>
            <wp:docPr id="7" name="Picture 7" descr="DUED BY PARTNERS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ED BY PARTNERS (BAR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67175" cy="2948305"/>
                    </a:xfrm>
                    <a:prstGeom prst="rect">
                      <a:avLst/>
                    </a:prstGeom>
                    <a:noFill/>
                    <a:ln>
                      <a:noFill/>
                    </a:ln>
                  </pic:spPr>
                </pic:pic>
              </a:graphicData>
            </a:graphic>
          </wp:inline>
        </w:drawing>
      </w:r>
    </w:p>
    <w:p>
      <w:pPr>
        <w:rPr>
          <w:rFonts w:eastAsia="Times New Roman"/>
          <w:i/>
          <w:noProof/>
          <w:sz w:val="20"/>
          <w:szCs w:val="20"/>
          <w:lang w:eastAsia="en-GB"/>
        </w:rPr>
      </w:pPr>
      <w:r>
        <w:rPr>
          <w:rFonts w:eastAsia="Times New Roman"/>
          <w:i/>
          <w:noProof/>
          <w:sz w:val="20"/>
          <w:szCs w:val="20"/>
          <w:lang w:eastAsia="en-GB"/>
        </w:rPr>
        <w:br w:type="page"/>
      </w:r>
    </w:p>
    <w:p>
      <w:pPr>
        <w:spacing w:after="100" w:afterAutospacing="1"/>
        <w:jc w:val="center"/>
        <w:rPr>
          <w:rFonts w:eastAsia="Times New Roman"/>
          <w:i/>
          <w:noProof/>
          <w:sz w:val="20"/>
          <w:szCs w:val="20"/>
          <w:lang w:eastAsia="en-GB"/>
        </w:rPr>
      </w:pPr>
      <w:r>
        <w:rPr>
          <w:rFonts w:eastAsia="Times New Roman"/>
          <w:i/>
          <w:noProof/>
          <w:sz w:val="20"/>
          <w:szCs w:val="20"/>
          <w:lang w:eastAsia="en-GB"/>
        </w:rPr>
        <w:t xml:space="preserve">Figure 3: Destination countries and sub-regions for EU dual-use export domain in 2014. </w:t>
      </w:r>
    </w:p>
    <w:p>
      <w:pPr>
        <w:spacing w:before="120" w:after="100" w:afterAutospacing="1"/>
        <w:jc w:val="center"/>
        <w:rPr>
          <w:rFonts w:eastAsia="Times New Roman"/>
          <w:noProof/>
          <w:szCs w:val="22"/>
          <w:lang w:eastAsia="en-GB"/>
        </w:rPr>
      </w:pPr>
      <w:r>
        <w:rPr>
          <w:rFonts w:eastAsia="Times New Roman"/>
          <w:noProof/>
          <w:szCs w:val="22"/>
          <w:lang w:val="en-US"/>
        </w:rPr>
        <w:drawing>
          <wp:inline distT="0" distB="0" distL="0" distR="0">
            <wp:extent cx="6383020" cy="3377565"/>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3020" cy="3377565"/>
                    </a:xfrm>
                    <a:prstGeom prst="rect">
                      <a:avLst/>
                    </a:prstGeom>
                    <a:noFill/>
                  </pic:spPr>
                </pic:pic>
              </a:graphicData>
            </a:graphic>
          </wp:inline>
        </w:drawing>
      </w:r>
    </w:p>
    <w:p>
      <w:pPr>
        <w:spacing w:before="120" w:after="100" w:afterAutospacing="1"/>
        <w:jc w:val="center"/>
        <w:rPr>
          <w:rFonts w:eastAsia="Times New Roman"/>
          <w:i/>
          <w:noProof/>
          <w:sz w:val="20"/>
          <w:szCs w:val="20"/>
          <w:lang w:eastAsia="en-GB"/>
        </w:rPr>
      </w:pPr>
      <w:r>
        <w:rPr>
          <w:rFonts w:eastAsia="Times New Roman"/>
          <w:i/>
          <w:noProof/>
          <w:sz w:val="20"/>
          <w:szCs w:val="20"/>
          <w:lang w:eastAsia="en-GB"/>
        </w:rPr>
        <w:t>Figure 4: Destination countries by world regions and subregions, 2014.</w:t>
      </w:r>
    </w:p>
    <w:p>
      <w:pPr>
        <w:spacing w:after="100" w:afterAutospacing="1"/>
        <w:jc w:val="center"/>
        <w:rPr>
          <w:rFonts w:eastAsia="Times New Roman"/>
          <w:noProof/>
          <w:lang w:eastAsia="en-GB"/>
        </w:rPr>
      </w:pPr>
      <w:r>
        <w:rPr>
          <w:rFonts w:eastAsia="Times New Roman"/>
          <w:noProof/>
          <w:lang w:val="en-US"/>
        </w:rPr>
        <w:drawing>
          <wp:inline distT="0" distB="0" distL="0" distR="0">
            <wp:extent cx="4432935" cy="2626360"/>
            <wp:effectExtent l="0" t="0" r="5715" b="2540"/>
            <wp:docPr id="5" name="Picture 5" descr="Top 50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50 Tabl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32935" cy="2626360"/>
                    </a:xfrm>
                    <a:prstGeom prst="rect">
                      <a:avLst/>
                    </a:prstGeom>
                    <a:noFill/>
                    <a:ln>
                      <a:noFill/>
                    </a:ln>
                  </pic:spPr>
                </pic:pic>
              </a:graphicData>
            </a:graphic>
          </wp:inline>
        </w:drawing>
      </w:r>
    </w:p>
    <w:p>
      <w:pPr>
        <w:spacing w:after="100" w:afterAutospacing="1"/>
        <w:jc w:val="center"/>
        <w:rPr>
          <w:rFonts w:eastAsia="Times New Roman"/>
          <w:i/>
          <w:noProof/>
          <w:sz w:val="20"/>
          <w:szCs w:val="20"/>
          <w:lang w:eastAsia="en-GB"/>
        </w:rPr>
      </w:pPr>
      <w:r>
        <w:rPr>
          <w:rFonts w:eastAsia="Times New Roman"/>
          <w:i/>
          <w:noProof/>
          <w:sz w:val="20"/>
          <w:szCs w:val="20"/>
          <w:lang w:eastAsia="en-GB"/>
        </w:rPr>
        <w:t>Figure 5: Top 50 extra-EU destinations by value in the dual-use export domain 2014</w:t>
      </w:r>
      <w:r>
        <w:rPr>
          <w:rFonts w:eastAsia="Times New Roman"/>
          <w:i/>
          <w:noProof/>
          <w:sz w:val="20"/>
          <w:szCs w:val="20"/>
          <w:vertAlign w:val="superscript"/>
          <w:lang w:eastAsia="en-GB"/>
        </w:rPr>
        <w:footnoteReference w:id="10"/>
      </w:r>
      <w:r>
        <w:rPr>
          <w:rFonts w:eastAsia="Times New Roman"/>
          <w:i/>
          <w:noProof/>
          <w:sz w:val="20"/>
          <w:szCs w:val="20"/>
          <w:lang w:eastAsia="en-GB"/>
        </w:rPr>
        <w:t>.</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4.2.</w:t>
      </w:r>
      <w:r>
        <w:rPr>
          <w:rFonts w:eastAsia="Times New Roman"/>
          <w:b/>
          <w:noProof/>
          <w:lang w:eastAsia="en-GB"/>
        </w:rPr>
        <w:tab/>
        <w:t xml:space="preserve">Applications, licences, denials </w:t>
      </w:r>
    </w:p>
    <w:p>
      <w:pPr>
        <w:spacing w:before="100" w:beforeAutospacing="1" w:after="100" w:afterAutospacing="1"/>
        <w:jc w:val="both"/>
        <w:rPr>
          <w:rFonts w:eastAsia="Times New Roman"/>
          <w:noProof/>
          <w:lang w:eastAsia="en-GB"/>
        </w:rPr>
      </w:pPr>
      <w:r>
        <w:rPr>
          <w:rFonts w:eastAsia="Times New Roman"/>
          <w:noProof/>
          <w:lang w:eastAsia="en-GB"/>
        </w:rPr>
        <w:t>The DUCG has exchanged information and collected licensing data, in order to improve the understanding of export controls and their economic effect. Some data collected for the reporting period is reported below; it should be noted however that not all Member States collect all data. The information provided below thus represents approximate estimates of aggregate quantities and value within the limits of the data made available by Member States.</w:t>
      </w:r>
    </w:p>
    <w:p>
      <w:pPr>
        <w:spacing w:after="240"/>
        <w:jc w:val="center"/>
        <w:rPr>
          <w:rFonts w:eastAsia="Times New Roman"/>
          <w:noProof/>
          <w:lang w:eastAsia="en-GB"/>
        </w:rPr>
      </w:pPr>
      <w:r>
        <w:rPr>
          <w:rFonts w:eastAsia="Times New Roman"/>
          <w:noProof/>
          <w:lang w:eastAsia="en-GB"/>
        </w:rPr>
        <w:t xml:space="preserve"> </w:t>
      </w:r>
      <w:r>
        <w:rPr>
          <w:rFonts w:eastAsia="Times New Roman"/>
          <w:noProof/>
          <w:lang w:val="en-US"/>
        </w:rPr>
        <w:drawing>
          <wp:inline distT="0" distB="0" distL="0" distR="0">
            <wp:extent cx="4572000" cy="2604135"/>
            <wp:effectExtent l="0" t="0" r="0" b="571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after="240"/>
        <w:jc w:val="center"/>
        <w:rPr>
          <w:rFonts w:eastAsia="Times New Roman"/>
          <w:i/>
          <w:noProof/>
          <w:sz w:val="20"/>
          <w:szCs w:val="20"/>
          <w:lang w:eastAsia="en-GB"/>
        </w:rPr>
      </w:pPr>
      <w:r>
        <w:rPr>
          <w:rFonts w:eastAsia="Times New Roman"/>
          <w:i/>
          <w:noProof/>
          <w:sz w:val="20"/>
          <w:szCs w:val="20"/>
          <w:lang w:eastAsia="en-GB"/>
        </w:rPr>
        <w:t>Figure 6: Volume (number) of authorisations and denials in 2010-2014</w:t>
      </w:r>
      <w:r>
        <w:rPr>
          <w:rFonts w:eastAsia="Times New Roman"/>
          <w:i/>
          <w:noProof/>
          <w:sz w:val="20"/>
          <w:szCs w:val="20"/>
          <w:vertAlign w:val="superscript"/>
          <w:lang w:eastAsia="en-GB"/>
        </w:rPr>
        <w:footnoteReference w:id="11"/>
      </w:r>
      <w:r>
        <w:rPr>
          <w:rFonts w:eastAsia="Times New Roman"/>
          <w:i/>
          <w:noProof/>
          <w:sz w:val="20"/>
          <w:szCs w:val="20"/>
          <w:lang w:eastAsia="en-GB"/>
        </w:rPr>
        <w:t>.</w:t>
      </w:r>
    </w:p>
    <w:p>
      <w:pPr>
        <w:spacing w:after="240"/>
        <w:jc w:val="center"/>
        <w:rPr>
          <w:noProof/>
          <w:lang w:val="en-US"/>
        </w:rPr>
      </w:pPr>
      <w:r>
        <w:rPr>
          <w:rFonts w:eastAsia="Times New Roman"/>
          <w:noProof/>
          <w:lang w:val="en-US"/>
        </w:rPr>
        <w:drawing>
          <wp:inline distT="0" distB="0" distL="0" distR="0">
            <wp:extent cx="4623435" cy="2602865"/>
            <wp:effectExtent l="0" t="0" r="5715" b="698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eastAsia="Times New Roman"/>
          <w:noProof/>
          <w:lang w:eastAsia="en-GB"/>
        </w:rPr>
        <w:t xml:space="preserve"> </w:t>
      </w:r>
    </w:p>
    <w:p>
      <w:pPr>
        <w:spacing w:after="240"/>
        <w:jc w:val="center"/>
        <w:rPr>
          <w:rFonts w:eastAsia="Times New Roman"/>
          <w:i/>
          <w:noProof/>
          <w:sz w:val="20"/>
          <w:szCs w:val="20"/>
          <w:vertAlign w:val="superscript"/>
          <w:lang w:eastAsia="en-GB"/>
        </w:rPr>
      </w:pPr>
      <w:r>
        <w:rPr>
          <w:rFonts w:eastAsia="Times New Roman"/>
          <w:i/>
          <w:noProof/>
          <w:sz w:val="20"/>
          <w:szCs w:val="20"/>
          <w:lang w:eastAsia="en-GB"/>
        </w:rPr>
        <w:t>Figure 7: Value (mln EUR) of authorisations and denials in 2010-2014.</w:t>
      </w:r>
      <w:r>
        <w:rPr>
          <w:rFonts w:eastAsia="Times New Roman"/>
          <w:i/>
          <w:noProof/>
          <w:sz w:val="20"/>
          <w:szCs w:val="20"/>
          <w:vertAlign w:val="superscript"/>
          <w:lang w:eastAsia="en-GB"/>
        </w:rPr>
        <w:t xml:space="preserve"> </w:t>
      </w:r>
    </w:p>
    <w:p>
      <w:pPr>
        <w:jc w:val="center"/>
        <w:rPr>
          <w:noProof/>
          <w:lang w:eastAsia="en-GB"/>
        </w:rPr>
      </w:pPr>
      <w:r>
        <w:rPr>
          <w:noProof/>
          <w:sz w:val="20"/>
          <w:szCs w:val="20"/>
          <w:vertAlign w:val="superscript"/>
          <w:lang w:eastAsia="en-GB"/>
        </w:rPr>
        <w:br w:type="page"/>
      </w:r>
      <w:r>
        <w:rPr>
          <w:noProof/>
          <w:lang w:val="en-US"/>
        </w:rPr>
        <w:drawing>
          <wp:inline distT="0" distB="0" distL="0" distR="0">
            <wp:extent cx="4682490" cy="27432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2490" cy="2743200"/>
                    </a:xfrm>
                    <a:prstGeom prst="rect">
                      <a:avLst/>
                    </a:prstGeom>
                    <a:noFill/>
                  </pic:spPr>
                </pic:pic>
              </a:graphicData>
            </a:graphic>
          </wp:inline>
        </w:drawing>
      </w:r>
    </w:p>
    <w:p>
      <w:pPr>
        <w:spacing w:after="100" w:afterAutospacing="1"/>
        <w:jc w:val="center"/>
        <w:rPr>
          <w:rFonts w:eastAsia="Times New Roman"/>
          <w:i/>
          <w:noProof/>
          <w:sz w:val="20"/>
          <w:szCs w:val="20"/>
          <w:lang w:eastAsia="en-GB"/>
        </w:rPr>
      </w:pPr>
      <w:r>
        <w:rPr>
          <w:rFonts w:eastAsia="Times New Roman"/>
          <w:i/>
          <w:noProof/>
          <w:sz w:val="20"/>
          <w:szCs w:val="20"/>
          <w:lang w:eastAsia="en-GB"/>
        </w:rPr>
        <w:t>Figure 8: Volume (number) of authorisations per category in 2014 data.</w:t>
      </w:r>
    </w:p>
    <w:p>
      <w:pPr>
        <w:spacing w:after="100" w:afterAutospacing="1"/>
        <w:jc w:val="center"/>
        <w:rPr>
          <w:rFonts w:eastAsia="Times New Roman"/>
          <w:noProof/>
          <w:lang w:eastAsia="en-GB"/>
        </w:rPr>
      </w:pPr>
      <w:r>
        <w:rPr>
          <w:rFonts w:eastAsia="Times New Roman"/>
          <w:noProof/>
          <w:lang w:val="en-US"/>
        </w:rPr>
        <w:drawing>
          <wp:inline distT="0" distB="0" distL="0" distR="0">
            <wp:extent cx="4806315" cy="274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8">
                      <a:extLst>
                        <a:ext uri="{28A0092B-C50C-407E-A947-70E740481C1C}">
                          <a14:useLocalDpi xmlns:a14="http://schemas.microsoft.com/office/drawing/2010/main" val="0"/>
                        </a:ext>
                      </a:extLst>
                    </a:blip>
                    <a:srcRect b="-18"/>
                    <a:stretch>
                      <a:fillRect/>
                    </a:stretch>
                  </pic:blipFill>
                  <pic:spPr bwMode="auto">
                    <a:xfrm>
                      <a:off x="0" y="0"/>
                      <a:ext cx="4806315" cy="2743200"/>
                    </a:xfrm>
                    <a:prstGeom prst="rect">
                      <a:avLst/>
                    </a:prstGeom>
                    <a:noFill/>
                    <a:ln>
                      <a:noFill/>
                    </a:ln>
                  </pic:spPr>
                </pic:pic>
              </a:graphicData>
            </a:graphic>
          </wp:inline>
        </w:drawing>
      </w:r>
    </w:p>
    <w:p>
      <w:pPr>
        <w:spacing w:after="100" w:afterAutospacing="1"/>
        <w:jc w:val="center"/>
        <w:rPr>
          <w:rFonts w:eastAsia="Times New Roman"/>
          <w:i/>
          <w:noProof/>
          <w:sz w:val="20"/>
          <w:szCs w:val="20"/>
          <w:lang w:eastAsia="en-GB"/>
        </w:rPr>
      </w:pPr>
      <w:r>
        <w:rPr>
          <w:rFonts w:eastAsia="Times New Roman"/>
          <w:i/>
          <w:noProof/>
          <w:sz w:val="20"/>
          <w:szCs w:val="20"/>
          <w:lang w:eastAsia="en-GB"/>
        </w:rPr>
        <w:t>Figure 9: Value (mln EUR) of authorisations per type in 2014.</w:t>
      </w:r>
    </w:p>
    <w:p>
      <w:pPr>
        <w:spacing w:after="120"/>
        <w:jc w:val="both"/>
        <w:rPr>
          <w:noProof/>
        </w:rPr>
      </w:pPr>
      <w:r>
        <w:rPr>
          <w:rFonts w:eastAsia="Times New Roman"/>
          <w:noProof/>
          <w:lang w:eastAsia="en-GB"/>
        </w:rPr>
        <w:t>The total value</w:t>
      </w:r>
      <w:r>
        <w:rPr>
          <w:rFonts w:eastAsia="Times New Roman"/>
          <w:noProof/>
          <w:vertAlign w:val="superscript"/>
          <w:lang w:eastAsia="en-GB"/>
        </w:rPr>
        <w:footnoteReference w:id="12"/>
      </w:r>
      <w:r>
        <w:rPr>
          <w:rFonts w:eastAsia="Times New Roman"/>
          <w:noProof/>
          <w:lang w:eastAsia="en-GB"/>
        </w:rPr>
        <w:t xml:space="preserve"> of applications reached EUR 59 billion and controlled dual-use exports thus represented over 3.4% of total extra-EU exports. Authorised dual-use trade amounted to EUR 41.5 billion,</w:t>
      </w:r>
      <w:r>
        <w:rPr>
          <w:noProof/>
        </w:rPr>
        <w:t xml:space="preserve"> representing </w:t>
      </w:r>
      <w:r>
        <w:rPr>
          <w:bCs/>
          <w:noProof/>
        </w:rPr>
        <w:t xml:space="preserve">2.4% </w:t>
      </w:r>
      <w:r>
        <w:rPr>
          <w:noProof/>
        </w:rPr>
        <w:t>of total extra-EU exports,</w:t>
      </w:r>
      <w:r>
        <w:rPr>
          <w:rFonts w:eastAsia="Times New Roman"/>
          <w:noProof/>
          <w:lang w:eastAsia="en-GB"/>
        </w:rPr>
        <w:t xml:space="preserve"> with a majority of transactions authorised under individual licenses (approx. 25.000 single licenses issued in 2014). Only a small portion of exports were actually denied: approximately 472 denials were issued in 2014, representing about 11.5% of the value of controlled dual-use exports in that year, and 0.4% of total extra- EU exports</w:t>
      </w:r>
      <w:r>
        <w:rPr>
          <w:rStyle w:val="FootnoteReference"/>
          <w:rFonts w:eastAsia="Times New Roman"/>
          <w:noProof/>
          <w:lang w:eastAsia="en-GB"/>
        </w:rPr>
        <w:footnoteReference w:id="13"/>
      </w:r>
      <w:r>
        <w:rPr>
          <w:rFonts w:eastAsia="Times New Roman"/>
          <w:noProof/>
          <w:lang w:eastAsia="en-GB"/>
        </w:rPr>
        <w:t xml:space="preserve">. </w:t>
      </w:r>
    </w:p>
    <w:p>
      <w:pPr>
        <w:spacing w:after="120"/>
        <w:jc w:val="both"/>
        <w:rPr>
          <w:noProof/>
        </w:rPr>
      </w:pPr>
    </w:p>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3917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rPr>
          <w:sz w:val="20"/>
          <w:szCs w:val="20"/>
        </w:rPr>
      </w:pPr>
      <w:r>
        <w:rPr>
          <w:rStyle w:val="FootnoteReference"/>
        </w:rPr>
        <w:footnoteRef/>
      </w:r>
      <w:r>
        <w:t xml:space="preserve"> </w:t>
      </w:r>
      <w:r>
        <w:rPr>
          <w:noProof/>
          <w:sz w:val="20"/>
          <w:szCs w:val="20"/>
        </w:rPr>
        <w:t>Some competent authorities also publicly report on trade in dual-use items.</w:t>
      </w:r>
    </w:p>
  </w:footnote>
  <w:footnote w:id="2">
    <w:p>
      <w:pPr>
        <w:pStyle w:val="FootnoteText"/>
      </w:pPr>
      <w:r>
        <w:rPr>
          <w:rStyle w:val="FootnoteReference"/>
        </w:rPr>
        <w:footnoteRef/>
      </w:r>
      <w:r>
        <w:t xml:space="preserve"> The Stockholm International Peace Research Institute (SIPRI) implemented the project jointly with Ecorys.</w:t>
      </w:r>
    </w:p>
  </w:footnote>
  <w:footnote w:id="3">
    <w:p>
      <w:pPr>
        <w:pStyle w:val="FootnoteText"/>
      </w:pPr>
      <w:r>
        <w:rPr>
          <w:rStyle w:val="FootnoteReference"/>
        </w:rPr>
        <w:footnoteRef/>
      </w:r>
      <w:r>
        <w:t xml:space="preserve"> OJ L 340, 24.12.2015, p. 1.</w:t>
      </w:r>
    </w:p>
  </w:footnote>
  <w:footnote w:id="4">
    <w:p>
      <w:pPr>
        <w:rPr>
          <w:sz w:val="20"/>
          <w:szCs w:val="20"/>
          <w:lang w:val="en-US"/>
        </w:rPr>
      </w:pPr>
      <w:r>
        <w:rPr>
          <w:rStyle w:val="FootnoteReference"/>
        </w:rPr>
        <w:footnoteRef/>
      </w:r>
      <w:r>
        <w:t xml:space="preserve"> </w:t>
      </w:r>
      <w:r>
        <w:rPr>
          <w:sz w:val="20"/>
          <w:szCs w:val="20"/>
          <w:lang w:val="en-US"/>
        </w:rPr>
        <w:t>A corrigendum to Regulation 2015/2420 was published in OJ L 60, 5.3.2016, p. 93 (</w:t>
      </w:r>
      <w:hyperlink r:id="rId1" w:history="1">
        <w:r>
          <w:rPr>
            <w:rStyle w:val="Hyperlink"/>
            <w:sz w:val="20"/>
            <w:szCs w:val="20"/>
          </w:rPr>
          <w:t>http://eur-lex.europa.eu/legal-content/EN/TXT/PDF/?uri=OJ:JOL_2016_060_R_0012&amp;from=EN</w:t>
        </w:r>
      </w:hyperlink>
      <w:r>
        <w:rPr>
          <w:sz w:val="20"/>
          <w:szCs w:val="20"/>
          <w:lang w:val="en-US"/>
        </w:rPr>
        <w:t xml:space="preserve">). </w:t>
      </w:r>
    </w:p>
  </w:footnote>
  <w:footnote w:id="5">
    <w:p>
      <w:pPr>
        <w:pStyle w:val="FootnoteText"/>
      </w:pPr>
      <w:r>
        <w:rPr>
          <w:rStyle w:val="FootnoteReference"/>
        </w:rPr>
        <w:footnoteRef/>
      </w:r>
      <w:r>
        <w:t xml:space="preserve"> OJ C 51, 13.2.2015, p. 8.</w:t>
      </w:r>
    </w:p>
  </w:footnote>
  <w:footnote w:id="6">
    <w:p>
      <w:pPr>
        <w:pStyle w:val="Default"/>
        <w:jc w:val="both"/>
        <w:rPr>
          <w:rFonts w:ascii="Times New Roman" w:eastAsiaTheme="minorHAnsi" w:hAnsi="Times New Roman" w:cs="Times New Roman"/>
          <w:sz w:val="20"/>
          <w:szCs w:val="20"/>
          <w:lang w:eastAsia="en-US"/>
        </w:rPr>
      </w:pPr>
      <w:r>
        <w:rPr>
          <w:rStyle w:val="FootnoteReference"/>
        </w:rPr>
        <w:footnoteRef/>
      </w:r>
      <w:r>
        <w:t xml:space="preserve"> </w:t>
      </w:r>
      <w:r>
        <w:rPr>
          <w:rFonts w:ascii="Times New Roman" w:hAnsi="Times New Roman" w:cs="Times New Roman"/>
          <w:sz w:val="20"/>
          <w:szCs w:val="20"/>
        </w:rPr>
        <w:t xml:space="preserve">OJ L 229, 31.7.2014, p. 1. </w:t>
      </w:r>
      <w:r>
        <w:rPr>
          <w:rFonts w:ascii="Times New Roman" w:eastAsiaTheme="minorHAnsi" w:hAnsi="Times New Roman" w:cs="Times New Roman"/>
          <w:bCs/>
          <w:sz w:val="20"/>
          <w:szCs w:val="20"/>
        </w:rPr>
        <w:t>Council Regulation (EU) No 833/2014 of 31 July 2014 concerning restrictive measures in view of Russia's actions destabilising the situation in Ukraine.</w:t>
      </w:r>
    </w:p>
  </w:footnote>
  <w:footnote w:id="7">
    <w:p>
      <w:pPr>
        <w:autoSpaceDE w:val="0"/>
        <w:autoSpaceDN w:val="0"/>
        <w:adjustRightInd w:val="0"/>
        <w:jc w:val="both"/>
        <w:rPr>
          <w:sz w:val="20"/>
          <w:szCs w:val="20"/>
        </w:rPr>
      </w:pPr>
      <w:r>
        <w:rPr>
          <w:rStyle w:val="FootnoteReference"/>
          <w:sz w:val="20"/>
          <w:szCs w:val="20"/>
        </w:rPr>
        <w:footnoteRef/>
      </w:r>
      <w:r>
        <w:rPr>
          <w:sz w:val="20"/>
          <w:szCs w:val="20"/>
        </w:rPr>
        <w:t xml:space="preserve"> OJ L 200, 30.7.2005, p.1. C</w:t>
      </w:r>
      <w:r>
        <w:rPr>
          <w:rFonts w:eastAsiaTheme="minorHAnsi"/>
          <w:bCs/>
          <w:sz w:val="20"/>
          <w:szCs w:val="20"/>
        </w:rPr>
        <w:t>ouncil Regulation (EC) No 1236/2005 of 27 June 2005 concerning trade in certain goods which could be used for capital punishment, torture or other cruel, inhuman or degrading treatment or punishment.</w:t>
      </w:r>
    </w:p>
  </w:footnote>
  <w:footnote w:id="8">
    <w:p>
      <w:pPr>
        <w:pStyle w:val="FootnoteText"/>
        <w:jc w:val="both"/>
      </w:pPr>
      <w:r>
        <w:rPr>
          <w:rStyle w:val="FootnoteReference"/>
        </w:rPr>
        <w:footnoteRef/>
      </w:r>
      <w:r>
        <w:t xml:space="preserve"> The notion of </w:t>
      </w:r>
      <w:r>
        <w:rPr>
          <w:i/>
        </w:rPr>
        <w:t>dual-use export domain</w:t>
      </w:r>
      <w:r>
        <w:t xml:space="preserve"> refers to this large, mixed commodity area which includes dual-use items. The trade of dual-use items takes place </w:t>
      </w:r>
      <w:r>
        <w:rPr>
          <w:i/>
        </w:rPr>
        <w:t>within</w:t>
      </w:r>
      <w:r>
        <w:t xml:space="preserve"> this commodity area, but is not identical to it, since by far, not all of the commodities within the </w:t>
      </w:r>
      <w:r>
        <w:rPr>
          <w:i/>
        </w:rPr>
        <w:t>dual-use export domain</w:t>
      </w:r>
      <w:r>
        <w:t xml:space="preserve"> are export-controlled. Measurements by the Commission's Joint Research Centre, based on Eurostat’s COMEXT database, result in a stable estimate of a </w:t>
      </w:r>
      <w:r>
        <w:rPr>
          <w:i/>
        </w:rPr>
        <w:t>'dual-use export domain'</w:t>
      </w:r>
      <w:r>
        <w:t xml:space="preserve"> representing about 20% of EU total exports (including intra-EU trade). </w:t>
      </w:r>
    </w:p>
  </w:footnote>
  <w:footnote w:id="9">
    <w:p>
      <w:pPr>
        <w:pStyle w:val="FootnoteText"/>
      </w:pPr>
      <w:r>
        <w:rPr>
          <w:rStyle w:val="FootnoteReference"/>
        </w:rPr>
        <w:footnoteRef/>
      </w:r>
      <w:r>
        <w:t xml:space="preserve"> "Stores and provisions extra" are defined as delivery of ships' and aircraft's stores. "N.det.Extra" includes countries and territories not specified within the framework of trade with third countries (these codes are usually used for goods delivered for offshore installations).</w:t>
      </w:r>
    </w:p>
  </w:footnote>
  <w:footnote w:id="10">
    <w:p>
      <w:pPr>
        <w:pStyle w:val="FootnoteText"/>
        <w:tabs>
          <w:tab w:val="left" w:pos="0"/>
        </w:tabs>
      </w:pPr>
      <w:r>
        <w:rPr>
          <w:rStyle w:val="FootnoteReference"/>
        </w:rPr>
        <w:footnoteRef/>
      </w:r>
      <w:r>
        <w:t xml:space="preserve"> "Stores and provisions extra" are defined as delivery of ships' and aircraft's stores. "N.det.Extra" includes countries and territories not specified within the framework of trade with third countries. (These codes are usually used for goods delivered for offshore installations).</w:t>
      </w:r>
      <w:r>
        <w:tab/>
      </w:r>
    </w:p>
  </w:footnote>
  <w:footnote w:id="11">
    <w:p>
      <w:pPr>
        <w:pStyle w:val="FootnoteText"/>
        <w:jc w:val="both"/>
      </w:pPr>
      <w:r>
        <w:rPr>
          <w:rStyle w:val="FootnoteReference"/>
          <w:color w:val="808080"/>
        </w:rPr>
        <w:footnoteRef/>
      </w:r>
      <w:r>
        <w:rPr>
          <w:color w:val="808080"/>
        </w:rPr>
        <w:t xml:space="preserve"> </w:t>
      </w:r>
      <w:r>
        <w:t>In Figure 6 and Figure 7, "Applications" data include all applications for licenses, including notifications under general authorisations, thus providing an indication of "controlled exports". In cases where no application data is available, the charts makes use of authorisation data as estimate for application data. "Authorisations" data refers to dual-use exports authorised under individual and global licences. It should be noted that applications do not necessarily correspond to the sum of authorisations and denials, as a number of applications may be cancelled and some applications may not be finalised within the same year. "Denial" refers to the volume and value of denied exports.</w:t>
      </w:r>
    </w:p>
  </w:footnote>
  <w:footnote w:id="12">
    <w:p>
      <w:pPr>
        <w:pStyle w:val="FootnoteText"/>
      </w:pPr>
      <w:r>
        <w:rPr>
          <w:rStyle w:val="FootnoteReference"/>
        </w:rPr>
        <w:footnoteRef/>
      </w:r>
      <w:r>
        <w:t xml:space="preserve"> This figure includes value for applications and notifications under General Export Authorisations.</w:t>
      </w:r>
    </w:p>
  </w:footnote>
  <w:footnote w:id="13">
    <w:p>
      <w:pPr>
        <w:pStyle w:val="FootnoteText"/>
      </w:pPr>
      <w:r>
        <w:rPr>
          <w:rStyle w:val="FootnoteReference"/>
        </w:rPr>
        <w:footnoteRef/>
      </w:r>
      <w:r>
        <w:t xml:space="preserve"> The value of denials in 2014 (EUR 6.8 billion) reflects exceptional circumstances, as denials values are generally much lower as shown in Figure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8F672307B0449F5A7E2BD1426907CE9"/>
    <w:docVar w:name="LW_CROSSREFERENCE" w:val="&lt;UNUSED&gt;"/>
    <w:docVar w:name="LW_DocType" w:val="NORMAL"/>
    <w:docVar w:name="LW_EMISSION" w:val="24.8.2016"/>
    <w:docVar w:name="LW_EMISSION_ISODATE" w:val="2016-08-24"/>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521"/>
    <w:docVar w:name="LW_REF.INTERNE" w:val="&lt;UNUSED&gt;"/>
    <w:docVar w:name="LW_SOUS.TITRE.OBJ.CP" w:val="&lt;UNUSED&gt;"/>
    <w:docVar w:name="LW_SUPERTITRE" w:val="&lt;UNUSED&gt;"/>
    <w:docVar w:name="LW_TITRE.OBJ.CP" w:val="on the implementation of Regulation (EC) No 428/2009 setting up a Community regime for the control of exports, transfer, brokering and transit of dual-use item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Calibri"/>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customStyle="1" w:styleId="TypedudocumentChar">
    <w:name w:val="Type du document Char"/>
    <w:link w:val="Typedudocument"/>
    <w:rPr>
      <w:rFonts w:eastAsia="Calibri"/>
      <w:b/>
      <w:sz w:val="24"/>
      <w:szCs w:val="22"/>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en-GB"/>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paragraph" w:styleId="ListParagraph">
    <w:name w:val="List Paragraph"/>
    <w:basedOn w:val="Normal"/>
    <w:uiPriority w:val="34"/>
    <w:qFormat/>
    <w:pPr>
      <w:ind w:left="720"/>
    </w:pPr>
    <w:rPr>
      <w:rFonts w:ascii="Calibri" w:hAnsi="Calibri" w:cs="Calibri"/>
      <w:sz w:val="22"/>
      <w:szCs w:val="22"/>
      <w:lang w:eastAsia="en-GB"/>
    </w:rPr>
  </w:style>
  <w:style w:type="paragraph" w:customStyle="1" w:styleId="Default">
    <w:name w:val="Default"/>
    <w:pPr>
      <w:autoSpaceDE w:val="0"/>
      <w:autoSpaceDN w:val="0"/>
      <w:adjustRightInd w:val="0"/>
    </w:pPr>
    <w:rPr>
      <w:rFonts w:ascii="Calibri" w:eastAsia="Calibri" w:hAnsi="Calibri" w:cs="Calibri"/>
      <w:color w:val="000000"/>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eastAsia="Calibri"/>
      <w:sz w:val="24"/>
      <w:szCs w:val="24"/>
      <w:lang w:val="en-GB"/>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eastAsia="Calibri"/>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eastAsia="Calibri"/>
      <w:sz w:val="24"/>
      <w:szCs w:val="24"/>
      <w:lang w:val="fr-BE"/>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eastAsia="Calibri"/>
      <w:sz w:val="24"/>
      <w:szCs w:val="24"/>
      <w:lang w:val="fr-B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Calibri"/>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lang w:val="en-GB"/>
    </w:rPr>
  </w:style>
  <w:style w:type="character" w:styleId="FollowedHyperlink">
    <w:name w:val="FollowedHyperlink"/>
    <w:basedOn w:val="DefaultParagraphFont"/>
    <w:rPr>
      <w:color w:val="800080" w:themeColor="followedHyperlink"/>
      <w:u w:val="single"/>
    </w:rPr>
  </w:style>
  <w:style w:type="paragraph" w:customStyle="1" w:styleId="CM1">
    <w:name w:val="CM1"/>
    <w:basedOn w:val="Default"/>
    <w:next w:val="Default"/>
    <w:uiPriority w:val="99"/>
    <w:rPr>
      <w:rFonts w:ascii="EUAlbertina" w:eastAsiaTheme="minorHAnsi" w:hAnsi="EUAlbertina" w:cs="Times New Roman"/>
      <w:color w:val="auto"/>
      <w:lang w:eastAsia="en-US"/>
    </w:rPr>
  </w:style>
  <w:style w:type="paragraph" w:customStyle="1" w:styleId="CM3">
    <w:name w:val="CM3"/>
    <w:basedOn w:val="Default"/>
    <w:next w:val="Default"/>
    <w:uiPriority w:val="99"/>
    <w:rPr>
      <w:rFonts w:ascii="EUAlbertina" w:eastAsiaTheme="minorHAnsi" w:hAnsi="EUAlbertina" w:cs="Times New Roman"/>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Calibri"/>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customStyle="1" w:styleId="TypedudocumentChar">
    <w:name w:val="Type du document Char"/>
    <w:link w:val="Typedudocument"/>
    <w:rPr>
      <w:rFonts w:eastAsia="Calibri"/>
      <w:b/>
      <w:sz w:val="24"/>
      <w:szCs w:val="22"/>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en-GB"/>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paragraph" w:styleId="ListParagraph">
    <w:name w:val="List Paragraph"/>
    <w:basedOn w:val="Normal"/>
    <w:uiPriority w:val="34"/>
    <w:qFormat/>
    <w:pPr>
      <w:ind w:left="720"/>
    </w:pPr>
    <w:rPr>
      <w:rFonts w:ascii="Calibri" w:hAnsi="Calibri" w:cs="Calibri"/>
      <w:sz w:val="22"/>
      <w:szCs w:val="22"/>
      <w:lang w:eastAsia="en-GB"/>
    </w:rPr>
  </w:style>
  <w:style w:type="paragraph" w:customStyle="1" w:styleId="Default">
    <w:name w:val="Default"/>
    <w:pPr>
      <w:autoSpaceDE w:val="0"/>
      <w:autoSpaceDN w:val="0"/>
      <w:adjustRightInd w:val="0"/>
    </w:pPr>
    <w:rPr>
      <w:rFonts w:ascii="Calibri" w:eastAsia="Calibri" w:hAnsi="Calibri" w:cs="Calibri"/>
      <w:color w:val="000000"/>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eastAsia="Calibri"/>
      <w:sz w:val="24"/>
      <w:szCs w:val="24"/>
      <w:lang w:val="en-GB"/>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eastAsia="Calibri"/>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eastAsia="Calibri"/>
      <w:sz w:val="24"/>
      <w:szCs w:val="24"/>
      <w:lang w:val="fr-BE"/>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eastAsia="Calibri"/>
      <w:sz w:val="24"/>
      <w:szCs w:val="24"/>
      <w:lang w:val="fr-B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Calibri"/>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lang w:val="en-GB"/>
    </w:rPr>
  </w:style>
  <w:style w:type="character" w:styleId="FollowedHyperlink">
    <w:name w:val="FollowedHyperlink"/>
    <w:basedOn w:val="DefaultParagraphFont"/>
    <w:rPr>
      <w:color w:val="800080" w:themeColor="followedHyperlink"/>
      <w:u w:val="single"/>
    </w:rPr>
  </w:style>
  <w:style w:type="paragraph" w:customStyle="1" w:styleId="CM1">
    <w:name w:val="CM1"/>
    <w:basedOn w:val="Default"/>
    <w:next w:val="Default"/>
    <w:uiPriority w:val="99"/>
    <w:rPr>
      <w:rFonts w:ascii="EUAlbertina" w:eastAsiaTheme="minorHAnsi" w:hAnsi="EUAlbertina" w:cs="Times New Roman"/>
      <w:color w:val="auto"/>
      <w:lang w:eastAsia="en-US"/>
    </w:rPr>
  </w:style>
  <w:style w:type="paragraph" w:customStyle="1" w:styleId="CM3">
    <w:name w:val="CM3"/>
    <w:basedOn w:val="Default"/>
    <w:next w:val="Default"/>
    <w:uiPriority w:val="99"/>
    <w:rPr>
      <w:rFonts w:ascii="EUAlbertina" w:eastAsiaTheme="minorHAnsi" w:hAnsi="EUAlbertin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ec.europa.eu/trade/import-and-export-rules/export-from-eu/dual-use-controls/index_en.htm" TargetMode="External"/><Relationship Id="rId26"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image" Target="media/image3.emf"/><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trade.ec.europa.eu/doclib/docs/2015/december/tradoc_154041.pdf" TargetMode="External"/><Relationship Id="rId25" Type="http://schemas.openxmlformats.org/officeDocument/2006/relationships/chart" Target="charts/chart1.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trade.ec.europa.eu/doclib/docs/2015/november/tradoc_154003.pdf" TargetMode="External"/><Relationship Id="rId20" Type="http://schemas.openxmlformats.org/officeDocument/2006/relationships/image" Target="media/image2.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ec.europa.eu/smartregulation/"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rade.ec.europa.eu/doclib/docs/2015/october/tradoc_153892.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image" Target="media/image7.png"/><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PDF/?uri=OJ:JOL_2016_060_R_0012&amp;from=E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versicr\Desktop\DG_TRADE\2016.01.DUCGAnnualReport\Book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versicr\Desktop\DG_TRADE\2016.01.DUCGAnnualReport\Book4.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Controlled Export Volume</a:t>
            </a:r>
            <a:r>
              <a:rPr lang="en-US" sz="1400" baseline="0">
                <a:solidFill>
                  <a:schemeClr val="bg1"/>
                </a:solidFill>
              </a:rPr>
              <a:t>_____</a:t>
            </a:r>
            <a:endParaRPr lang="en-US" sz="1400">
              <a:solidFill>
                <a:schemeClr val="bg1"/>
              </a:solidFill>
            </a:endParaRPr>
          </a:p>
        </c:rich>
      </c:tx>
      <c:layout>
        <c:manualLayout>
          <c:xMode val="edge"/>
          <c:yMode val="edge"/>
          <c:x val="0.17383333333333334"/>
          <c:y val="2.9255516219726586E-2"/>
        </c:manualLayout>
      </c:layout>
      <c:overlay val="0"/>
    </c:title>
    <c:autoTitleDeleted val="0"/>
    <c:plotArea>
      <c:layout/>
      <c:lineChart>
        <c:grouping val="standard"/>
        <c:varyColors val="0"/>
        <c:ser>
          <c:idx val="0"/>
          <c:order val="0"/>
          <c:tx>
            <c:strRef>
              <c:f>'PROXIES VALUE-VOLUME BY YEAR'!$A$8</c:f>
              <c:strCache>
                <c:ptCount val="1"/>
                <c:pt idx="0">
                  <c:v>Applications 
(with Notifications)</c:v>
                </c:pt>
              </c:strCache>
            </c:strRef>
          </c:tx>
          <c:spPr>
            <a:ln>
              <a:solidFill>
                <a:srgbClr val="FFC000"/>
              </a:solidFill>
            </a:ln>
          </c:spPr>
          <c:marker>
            <c:symbol val="none"/>
          </c:marker>
          <c:cat>
            <c:strRef>
              <c:f>'PROXIES VALUE-VOLUME BY YEAR'!$G$3:$K$3</c:f>
              <c:strCache>
                <c:ptCount val="5"/>
                <c:pt idx="0">
                  <c:v>2010</c:v>
                </c:pt>
                <c:pt idx="1">
                  <c:v>2011</c:v>
                </c:pt>
                <c:pt idx="2">
                  <c:v>2012</c:v>
                </c:pt>
                <c:pt idx="3">
                  <c:v>2013</c:v>
                </c:pt>
                <c:pt idx="4">
                  <c:v>2014</c:v>
                </c:pt>
              </c:strCache>
            </c:strRef>
          </c:cat>
          <c:val>
            <c:numRef>
              <c:f>'PROXIES VALUE-VOLUME BY YEAR'!$G$8:$K$8</c:f>
              <c:numCache>
                <c:formatCode>0</c:formatCode>
                <c:ptCount val="5"/>
                <c:pt idx="0">
                  <c:v>36697</c:v>
                </c:pt>
                <c:pt idx="1">
                  <c:v>38170</c:v>
                </c:pt>
                <c:pt idx="2">
                  <c:v>41733</c:v>
                </c:pt>
                <c:pt idx="3">
                  <c:v>38613.32</c:v>
                </c:pt>
                <c:pt idx="4">
                  <c:v>44340</c:v>
                </c:pt>
              </c:numCache>
            </c:numRef>
          </c:val>
          <c:smooth val="0"/>
        </c:ser>
        <c:ser>
          <c:idx val="2"/>
          <c:order val="1"/>
          <c:tx>
            <c:strRef>
              <c:f>'PROXIES VALUE-VOLUME BY YEAR'!$A$6</c:f>
              <c:strCache>
                <c:ptCount val="1"/>
                <c:pt idx="0">
                  <c:v>Authorisations</c:v>
                </c:pt>
              </c:strCache>
            </c:strRef>
          </c:tx>
          <c:spPr>
            <a:ln>
              <a:solidFill>
                <a:srgbClr val="0070C0"/>
              </a:solidFill>
            </a:ln>
          </c:spPr>
          <c:marker>
            <c:symbol val="none"/>
          </c:marker>
          <c:cat>
            <c:strRef>
              <c:f>'PROXIES VALUE-VOLUME BY YEAR'!$G$3:$K$3</c:f>
              <c:strCache>
                <c:ptCount val="5"/>
                <c:pt idx="0">
                  <c:v>2010</c:v>
                </c:pt>
                <c:pt idx="1">
                  <c:v>2011</c:v>
                </c:pt>
                <c:pt idx="2">
                  <c:v>2012</c:v>
                </c:pt>
                <c:pt idx="3">
                  <c:v>2013</c:v>
                </c:pt>
                <c:pt idx="4">
                  <c:v>2014</c:v>
                </c:pt>
              </c:strCache>
            </c:strRef>
          </c:cat>
          <c:val>
            <c:numRef>
              <c:f>'PROXIES VALUE-VOLUME BY YEAR'!$G$6:$K$6</c:f>
              <c:numCache>
                <c:formatCode>0</c:formatCode>
                <c:ptCount val="5"/>
                <c:pt idx="0">
                  <c:v>22775</c:v>
                </c:pt>
                <c:pt idx="1">
                  <c:v>25129</c:v>
                </c:pt>
                <c:pt idx="2">
                  <c:v>25160</c:v>
                </c:pt>
                <c:pt idx="3">
                  <c:v>27807</c:v>
                </c:pt>
                <c:pt idx="4">
                  <c:v>29534</c:v>
                </c:pt>
              </c:numCache>
            </c:numRef>
          </c:val>
          <c:smooth val="0"/>
        </c:ser>
        <c:ser>
          <c:idx val="3"/>
          <c:order val="2"/>
          <c:tx>
            <c:strRef>
              <c:f>'PROXIES VALUE-VOLUME BY YEAR'!$A$7</c:f>
              <c:strCache>
                <c:ptCount val="1"/>
                <c:pt idx="0">
                  <c:v>Denials</c:v>
                </c:pt>
              </c:strCache>
            </c:strRef>
          </c:tx>
          <c:spPr>
            <a:ln>
              <a:solidFill>
                <a:srgbClr val="C00000"/>
              </a:solidFill>
            </a:ln>
          </c:spPr>
          <c:marker>
            <c:symbol val="none"/>
          </c:marker>
          <c:cat>
            <c:strRef>
              <c:f>'PROXIES VALUE-VOLUME BY YEAR'!$G$3:$K$3</c:f>
              <c:strCache>
                <c:ptCount val="5"/>
                <c:pt idx="0">
                  <c:v>2010</c:v>
                </c:pt>
                <c:pt idx="1">
                  <c:v>2011</c:v>
                </c:pt>
                <c:pt idx="2">
                  <c:v>2012</c:v>
                </c:pt>
                <c:pt idx="3">
                  <c:v>2013</c:v>
                </c:pt>
                <c:pt idx="4">
                  <c:v>2014</c:v>
                </c:pt>
              </c:strCache>
            </c:strRef>
          </c:cat>
          <c:val>
            <c:numRef>
              <c:f>'PROXIES VALUE-VOLUME BY YEAR'!$G$7:$K$7</c:f>
              <c:numCache>
                <c:formatCode>0</c:formatCode>
                <c:ptCount val="5"/>
                <c:pt idx="0">
                  <c:v>614</c:v>
                </c:pt>
                <c:pt idx="1">
                  <c:v>417</c:v>
                </c:pt>
                <c:pt idx="2">
                  <c:v>382</c:v>
                </c:pt>
                <c:pt idx="3">
                  <c:v>373</c:v>
                </c:pt>
                <c:pt idx="4">
                  <c:v>472</c:v>
                </c:pt>
              </c:numCache>
            </c:numRef>
          </c:val>
          <c:smooth val="0"/>
        </c:ser>
        <c:dLbls>
          <c:showLegendKey val="0"/>
          <c:showVal val="0"/>
          <c:showCatName val="0"/>
          <c:showSerName val="0"/>
          <c:showPercent val="0"/>
          <c:showBubbleSize val="0"/>
        </c:dLbls>
        <c:marker val="1"/>
        <c:smooth val="0"/>
        <c:axId val="65826176"/>
        <c:axId val="65840256"/>
      </c:lineChart>
      <c:catAx>
        <c:axId val="65826176"/>
        <c:scaling>
          <c:orientation val="minMax"/>
        </c:scaling>
        <c:delete val="0"/>
        <c:axPos val="b"/>
        <c:numFmt formatCode="General" sourceLinked="1"/>
        <c:majorTickMark val="out"/>
        <c:minorTickMark val="none"/>
        <c:tickLblPos val="nextTo"/>
        <c:crossAx val="65840256"/>
        <c:crosses val="autoZero"/>
        <c:auto val="1"/>
        <c:lblAlgn val="ctr"/>
        <c:lblOffset val="100"/>
        <c:noMultiLvlLbl val="0"/>
      </c:catAx>
      <c:valAx>
        <c:axId val="65840256"/>
        <c:scaling>
          <c:orientation val="minMax"/>
        </c:scaling>
        <c:delete val="0"/>
        <c:axPos val="l"/>
        <c:title>
          <c:tx>
            <c:rich>
              <a:bodyPr rot="-5400000" vert="horz"/>
              <a:lstStyle/>
              <a:p>
                <a:pPr>
                  <a:defRPr/>
                </a:pPr>
                <a:r>
                  <a:rPr lang="en-US"/>
                  <a:t>Nr</a:t>
                </a:r>
              </a:p>
            </c:rich>
          </c:tx>
          <c:overlay val="0"/>
        </c:title>
        <c:numFmt formatCode="0" sourceLinked="1"/>
        <c:majorTickMark val="out"/>
        <c:minorTickMark val="none"/>
        <c:tickLblPos val="nextTo"/>
        <c:crossAx val="65826176"/>
        <c:crosses val="autoZero"/>
        <c:crossBetween val="between"/>
      </c:valAx>
      <c:spPr>
        <a:noFill/>
        <a:ln w="25400">
          <a:noFill/>
        </a:ln>
      </c:spPr>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baseline="0"/>
              <a:t>Controlled Export Value</a:t>
            </a:r>
            <a:r>
              <a:rPr lang="en-US" baseline="0">
                <a:solidFill>
                  <a:schemeClr val="bg1"/>
                </a:solidFill>
              </a:rPr>
              <a:t>____</a:t>
            </a:r>
            <a:r>
              <a:rPr lang="en-US" baseline="0"/>
              <a:t>        </a:t>
            </a:r>
          </a:p>
        </c:rich>
      </c:tx>
      <c:layout>
        <c:manualLayout>
          <c:xMode val="edge"/>
          <c:yMode val="edge"/>
          <c:x val="0.18562970470275378"/>
          <c:y val="2.9282565613890543E-2"/>
        </c:manualLayout>
      </c:layout>
      <c:overlay val="0"/>
    </c:title>
    <c:autoTitleDeleted val="0"/>
    <c:plotArea>
      <c:layout>
        <c:manualLayout>
          <c:layoutTarget val="inner"/>
          <c:xMode val="edge"/>
          <c:yMode val="edge"/>
          <c:x val="0.18007195975503063"/>
          <c:y val="0.19071519784369642"/>
          <c:w val="0.53499650043744529"/>
          <c:h val="0.67238073791296771"/>
        </c:manualLayout>
      </c:layout>
      <c:lineChart>
        <c:grouping val="standard"/>
        <c:varyColors val="0"/>
        <c:ser>
          <c:idx val="0"/>
          <c:order val="0"/>
          <c:tx>
            <c:strRef>
              <c:f>'PROXIES VALUE-VOLUME BY YEAR'!$A$8</c:f>
              <c:strCache>
                <c:ptCount val="1"/>
                <c:pt idx="0">
                  <c:v>Applications 
(with Notifications)</c:v>
                </c:pt>
              </c:strCache>
            </c:strRef>
          </c:tx>
          <c:spPr>
            <a:ln>
              <a:solidFill>
                <a:srgbClr val="FFC000"/>
              </a:solidFill>
            </a:ln>
          </c:spPr>
          <c:marker>
            <c:symbol val="none"/>
          </c:marker>
          <c:cat>
            <c:strRef>
              <c:f>'PROXIES VALUE-VOLUME BY YEAR'!$B$3:$F$3</c:f>
              <c:strCache>
                <c:ptCount val="5"/>
                <c:pt idx="0">
                  <c:v>2010</c:v>
                </c:pt>
                <c:pt idx="1">
                  <c:v>2011</c:v>
                </c:pt>
                <c:pt idx="2">
                  <c:v>2012</c:v>
                </c:pt>
                <c:pt idx="3">
                  <c:v>2013</c:v>
                </c:pt>
                <c:pt idx="4">
                  <c:v>2014</c:v>
                </c:pt>
              </c:strCache>
            </c:strRef>
          </c:cat>
          <c:val>
            <c:numRef>
              <c:f>'PROXIES VALUE-VOLUME BY YEAR'!$B$8:$F$8</c:f>
              <c:numCache>
                <c:formatCode>0.00;\-0.00</c:formatCode>
                <c:ptCount val="5"/>
                <c:pt idx="0">
                  <c:v>34569.762179479992</c:v>
                </c:pt>
                <c:pt idx="1">
                  <c:v>52232.530269250004</c:v>
                </c:pt>
                <c:pt idx="2">
                  <c:v>54733.660804380001</c:v>
                </c:pt>
                <c:pt idx="3">
                  <c:v>85483.263543999987</c:v>
                </c:pt>
                <c:pt idx="4">
                  <c:v>59154.525058530002</c:v>
                </c:pt>
              </c:numCache>
            </c:numRef>
          </c:val>
          <c:smooth val="0"/>
        </c:ser>
        <c:ser>
          <c:idx val="2"/>
          <c:order val="1"/>
          <c:tx>
            <c:strRef>
              <c:f>'PROXIES VALUE-VOLUME BY YEAR'!$A$6</c:f>
              <c:strCache>
                <c:ptCount val="1"/>
                <c:pt idx="0">
                  <c:v>Authorisations</c:v>
                </c:pt>
              </c:strCache>
            </c:strRef>
          </c:tx>
          <c:spPr>
            <a:ln>
              <a:solidFill>
                <a:srgbClr val="0070C0"/>
              </a:solidFill>
            </a:ln>
          </c:spPr>
          <c:marker>
            <c:symbol val="none"/>
          </c:marker>
          <c:cat>
            <c:strRef>
              <c:f>'PROXIES VALUE-VOLUME BY YEAR'!$B$3:$F$3</c:f>
              <c:strCache>
                <c:ptCount val="5"/>
                <c:pt idx="0">
                  <c:v>2010</c:v>
                </c:pt>
                <c:pt idx="1">
                  <c:v>2011</c:v>
                </c:pt>
                <c:pt idx="2">
                  <c:v>2012</c:v>
                </c:pt>
                <c:pt idx="3">
                  <c:v>2013</c:v>
                </c:pt>
                <c:pt idx="4">
                  <c:v>2014</c:v>
                </c:pt>
              </c:strCache>
            </c:strRef>
          </c:cat>
          <c:val>
            <c:numRef>
              <c:f>'PROXIES VALUE-VOLUME BY YEAR'!$B$6:$F$6</c:f>
              <c:numCache>
                <c:formatCode>0.00;\-0.00</c:formatCode>
                <c:ptCount val="5"/>
                <c:pt idx="0">
                  <c:v>24658.720065560003</c:v>
                </c:pt>
                <c:pt idx="1">
                  <c:v>42715.08364474999</c:v>
                </c:pt>
                <c:pt idx="2">
                  <c:v>44984.28202287</c:v>
                </c:pt>
                <c:pt idx="3">
                  <c:v>49206.534251000005</c:v>
                </c:pt>
                <c:pt idx="4">
                  <c:v>41573.574517019995</c:v>
                </c:pt>
              </c:numCache>
            </c:numRef>
          </c:val>
          <c:smooth val="0"/>
        </c:ser>
        <c:ser>
          <c:idx val="3"/>
          <c:order val="2"/>
          <c:tx>
            <c:strRef>
              <c:f>'PROXIES VALUE-VOLUME BY YEAR'!$A$7</c:f>
              <c:strCache>
                <c:ptCount val="1"/>
                <c:pt idx="0">
                  <c:v>Denials</c:v>
                </c:pt>
              </c:strCache>
            </c:strRef>
          </c:tx>
          <c:spPr>
            <a:ln>
              <a:solidFill>
                <a:srgbClr val="C00000"/>
              </a:solidFill>
            </a:ln>
          </c:spPr>
          <c:marker>
            <c:symbol val="none"/>
          </c:marker>
          <c:cat>
            <c:strRef>
              <c:f>'PROXIES VALUE-VOLUME BY YEAR'!$B$3:$F$3</c:f>
              <c:strCache>
                <c:ptCount val="5"/>
                <c:pt idx="0">
                  <c:v>2010</c:v>
                </c:pt>
                <c:pt idx="1">
                  <c:v>2011</c:v>
                </c:pt>
                <c:pt idx="2">
                  <c:v>2012</c:v>
                </c:pt>
                <c:pt idx="3">
                  <c:v>2013</c:v>
                </c:pt>
                <c:pt idx="4">
                  <c:v>2014</c:v>
                </c:pt>
              </c:strCache>
            </c:strRef>
          </c:cat>
          <c:val>
            <c:numRef>
              <c:f>'PROXIES VALUE-VOLUME BY YEAR'!$B$7:$F$7</c:f>
              <c:numCache>
                <c:formatCode>0.00;\-0.00</c:formatCode>
                <c:ptCount val="5"/>
                <c:pt idx="0">
                  <c:v>189.69825971999998</c:v>
                </c:pt>
                <c:pt idx="1">
                  <c:v>181.69362490000003</c:v>
                </c:pt>
                <c:pt idx="2">
                  <c:v>143.73811806999998</c:v>
                </c:pt>
                <c:pt idx="3">
                  <c:v>53.194659999999999</c:v>
                </c:pt>
                <c:pt idx="4">
                  <c:v>6800.0481</c:v>
                </c:pt>
              </c:numCache>
            </c:numRef>
          </c:val>
          <c:smooth val="0"/>
        </c:ser>
        <c:dLbls>
          <c:showLegendKey val="0"/>
          <c:showVal val="0"/>
          <c:showCatName val="0"/>
          <c:showSerName val="0"/>
          <c:showPercent val="0"/>
          <c:showBubbleSize val="0"/>
        </c:dLbls>
        <c:marker val="1"/>
        <c:smooth val="0"/>
        <c:axId val="65858560"/>
        <c:axId val="66798336"/>
      </c:lineChart>
      <c:catAx>
        <c:axId val="65858560"/>
        <c:scaling>
          <c:orientation val="minMax"/>
        </c:scaling>
        <c:delete val="0"/>
        <c:axPos val="b"/>
        <c:numFmt formatCode="General" sourceLinked="1"/>
        <c:majorTickMark val="out"/>
        <c:minorTickMark val="none"/>
        <c:tickLblPos val="nextTo"/>
        <c:crossAx val="66798336"/>
        <c:crosses val="autoZero"/>
        <c:auto val="1"/>
        <c:lblAlgn val="ctr"/>
        <c:lblOffset val="100"/>
        <c:noMultiLvlLbl val="0"/>
      </c:catAx>
      <c:valAx>
        <c:axId val="66798336"/>
        <c:scaling>
          <c:orientation val="minMax"/>
        </c:scaling>
        <c:delete val="0"/>
        <c:axPos val="l"/>
        <c:title>
          <c:tx>
            <c:rich>
              <a:bodyPr rot="-5400000" vert="horz"/>
              <a:lstStyle/>
              <a:p>
                <a:pPr>
                  <a:defRPr/>
                </a:pPr>
                <a:r>
                  <a:rPr lang="en-US"/>
                  <a:t>Mln</a:t>
                </a:r>
                <a:r>
                  <a:rPr lang="en-US" baseline="0"/>
                  <a:t> </a:t>
                </a:r>
                <a:r>
                  <a:rPr lang="en-US" u="none" baseline="0"/>
                  <a:t>€</a:t>
                </a:r>
                <a:endParaRPr lang="en-US" u="none"/>
              </a:p>
            </c:rich>
          </c:tx>
          <c:overlay val="0"/>
        </c:title>
        <c:numFmt formatCode="#,##0" sourceLinked="0"/>
        <c:majorTickMark val="out"/>
        <c:minorTickMark val="none"/>
        <c:tickLblPos val="nextTo"/>
        <c:crossAx val="65858560"/>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CC4B-4885-4988-B47B-324EE4C7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2366</Words>
  <Characters>14058</Characters>
  <Application>Microsoft Office Word</Application>
  <DocSecurity>0</DocSecurity>
  <Lines>238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2016-06-16T12:01:00Z</cp:lastPrinted>
  <dcterms:created xsi:type="dcterms:W3CDTF">2016-08-02T11:50:00Z</dcterms:created>
  <dcterms:modified xsi:type="dcterms:W3CDTF">2016-08-17T11:29:00Z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