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255391643"/>
      <w:bookmarkStart w:id="1" w:name="_Toc286070785"/>
      <w:bookmarkStart w:id="2" w:name="_Toc286411786"/>
      <w:bookmarkStart w:id="3" w:name="_Toc286992067"/>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9DD599AD85214C5F96682D3618AAAEB9" style="width:450.35pt;height:375.6pt">
            <v:imagedata r:id="rId9" o:title=""/>
          </v:shape>
        </w:pict>
      </w:r>
    </w:p>
    <w:bookmarkEnd w:id="4"/>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after="60"/>
        <w:rPr>
          <w:rFonts w:ascii="Verdana" w:hAnsi="Verdana"/>
          <w:b/>
          <w:noProof/>
          <w:color w:val="000080"/>
        </w:rPr>
      </w:pPr>
      <w:bookmarkStart w:id="5" w:name="_GoBack"/>
      <w:bookmarkEnd w:id="5"/>
    </w:p>
    <w:sdt>
      <w:sdtPr>
        <w:rPr>
          <w:rFonts w:ascii="Times New Roman" w:eastAsia="Times New Roman" w:hAnsi="Times New Roman"/>
          <w:b w:val="0"/>
          <w:i w:val="0"/>
          <w:noProof/>
          <w:color w:val="auto"/>
          <w:sz w:val="24"/>
          <w:szCs w:val="24"/>
          <w:lang w:val="en-GB" w:eastAsia="en-GB"/>
        </w:rPr>
        <w:id w:val="-796521479"/>
        <w:docPartObj>
          <w:docPartGallery w:val="Table of Contents"/>
          <w:docPartUnique/>
        </w:docPartObj>
      </w:sdtPr>
      <w:sdtEndPr>
        <w:rPr>
          <w:bCs/>
        </w:rPr>
      </w:sdtEndPr>
      <w:sdtContent>
        <w:p>
          <w:pPr>
            <w:pStyle w:val="TOCHeading"/>
            <w:rPr>
              <w:noProof/>
              <w:lang w:val="bg-BG"/>
            </w:rPr>
          </w:pPr>
          <w:r>
            <w:rPr>
              <w:noProof/>
              <w:lang w:val="bg-BG"/>
            </w:rPr>
            <w:t>Съдържание</w:t>
          </w:r>
        </w:p>
        <w:p>
          <w:pPr>
            <w:pStyle w:val="TOC1"/>
            <w:rPr>
              <w:rFonts w:asciiTheme="minorHAnsi" w:eastAsiaTheme="minorEastAsia" w:hAnsiTheme="minorHAnsi" w:cstheme="minorBidi"/>
              <w:b w:val="0"/>
              <w:bCs w:val="0"/>
              <w:sz w:val="22"/>
              <w:szCs w:val="22"/>
              <w:lang w:val="en-US" w:eastAsia="en-US"/>
            </w:rPr>
          </w:pPr>
          <w:r>
            <w:fldChar w:fldCharType="begin"/>
          </w:r>
          <w:r>
            <w:instrText xml:space="preserve"> TOC \o "1-3" \h \z \u </w:instrText>
          </w:r>
          <w:r>
            <w:fldChar w:fldCharType="separate"/>
          </w:r>
          <w:hyperlink w:anchor="_Toc458765634" w:history="1">
            <w:r>
              <w:rPr>
                <w:rStyle w:val="Hyperlink"/>
              </w:rPr>
              <w:t xml:space="preserve">1. </w:t>
            </w:r>
            <w:r>
              <w:rPr>
                <w:rStyle w:val="Hyperlink"/>
                <w:lang w:val="bg-BG"/>
              </w:rPr>
              <w:t>Въведение</w:t>
            </w:r>
            <w:r>
              <w:rPr>
                <w:webHidden/>
              </w:rPr>
              <w:tab/>
            </w:r>
            <w:r>
              <w:rPr>
                <w:webHidden/>
              </w:rPr>
              <w:fldChar w:fldCharType="begin"/>
            </w:r>
            <w:r>
              <w:rPr>
                <w:webHidden/>
              </w:rPr>
              <w:instrText xml:space="preserve"> PAGEREF _Toc458765634 \h </w:instrText>
            </w:r>
            <w:r>
              <w:rPr>
                <w:webHidden/>
              </w:rPr>
            </w:r>
            <w:r>
              <w:rPr>
                <w:webHidden/>
              </w:rPr>
              <w:fldChar w:fldCharType="separate"/>
            </w:r>
            <w:r>
              <w:rPr>
                <w:webHidden/>
              </w:rPr>
              <w:t>3</w:t>
            </w:r>
            <w:r>
              <w:rPr>
                <w:webHidden/>
              </w:rPr>
              <w:fldChar w:fldCharType="end"/>
            </w:r>
          </w:hyperlink>
        </w:p>
        <w:p>
          <w:pPr>
            <w:pStyle w:val="TOC1"/>
            <w:rPr>
              <w:rFonts w:asciiTheme="minorHAnsi" w:eastAsiaTheme="minorEastAsia" w:hAnsiTheme="minorHAnsi" w:cstheme="minorBidi"/>
              <w:b w:val="0"/>
              <w:bCs w:val="0"/>
              <w:sz w:val="22"/>
              <w:szCs w:val="22"/>
              <w:lang w:val="en-US" w:eastAsia="en-US"/>
            </w:rPr>
          </w:pPr>
          <w:hyperlink w:anchor="_Toc458765635" w:history="1">
            <w:r>
              <w:rPr>
                <w:rStyle w:val="Hyperlink"/>
                <w:lang w:val="bg-BG"/>
              </w:rPr>
              <w:t>2. Изпълнение на бюджета през 2014 г.</w:t>
            </w:r>
            <w:r>
              <w:rPr>
                <w:webHidden/>
              </w:rPr>
              <w:tab/>
            </w:r>
            <w:r>
              <w:rPr>
                <w:webHidden/>
              </w:rPr>
              <w:fldChar w:fldCharType="begin"/>
            </w:r>
            <w:r>
              <w:rPr>
                <w:webHidden/>
              </w:rPr>
              <w:instrText xml:space="preserve"> PAGEREF _Toc458765635 \h </w:instrText>
            </w:r>
            <w:r>
              <w:rPr>
                <w:webHidden/>
              </w:rPr>
            </w:r>
            <w:r>
              <w:rPr>
                <w:webHidden/>
              </w:rPr>
              <w:fldChar w:fldCharType="separate"/>
            </w:r>
            <w:r>
              <w:rPr>
                <w:webHidden/>
              </w:rPr>
              <w:t>4</w:t>
            </w:r>
            <w:r>
              <w:rPr>
                <w:webHidden/>
              </w:rPr>
              <w:fldChar w:fldCharType="end"/>
            </w:r>
          </w:hyperlink>
        </w:p>
        <w:p>
          <w:pPr>
            <w:pStyle w:val="TOC1"/>
            <w:ind w:firstLine="360"/>
            <w:rPr>
              <w:rFonts w:asciiTheme="minorHAnsi" w:eastAsiaTheme="minorEastAsia" w:hAnsiTheme="minorHAnsi" w:cstheme="minorBidi"/>
              <w:b w:val="0"/>
              <w:bCs w:val="0"/>
              <w:sz w:val="22"/>
              <w:szCs w:val="22"/>
              <w:lang w:val="en-US" w:eastAsia="en-US"/>
            </w:rPr>
          </w:pPr>
          <w:hyperlink w:anchor="_Toc458765636" w:history="1">
            <w:r>
              <w:rPr>
                <w:rStyle w:val="Hyperlink"/>
              </w:rPr>
              <w:t xml:space="preserve">2.1 </w:t>
            </w:r>
            <w:r>
              <w:rPr>
                <w:rStyle w:val="Hyperlink"/>
                <w:lang w:val="bg-BG"/>
              </w:rPr>
              <w:t>Достъп до финансиране</w:t>
            </w:r>
            <w:r>
              <w:rPr>
                <w:webHidden/>
              </w:rPr>
              <w:tab/>
            </w:r>
            <w:r>
              <w:rPr>
                <w:webHidden/>
              </w:rPr>
              <w:fldChar w:fldCharType="begin"/>
            </w:r>
            <w:r>
              <w:rPr>
                <w:webHidden/>
              </w:rPr>
              <w:instrText xml:space="preserve"> PAGEREF _Toc458765636 \h </w:instrText>
            </w:r>
            <w:r>
              <w:rPr>
                <w:webHidden/>
              </w:rPr>
            </w:r>
            <w:r>
              <w:rPr>
                <w:webHidden/>
              </w:rPr>
              <w:fldChar w:fldCharType="separate"/>
            </w:r>
            <w:r>
              <w:rPr>
                <w:webHidden/>
              </w:rPr>
              <w:t>8</w:t>
            </w:r>
            <w:r>
              <w:rPr>
                <w:webHidden/>
              </w:rPr>
              <w:fldChar w:fldCharType="end"/>
            </w:r>
          </w:hyperlink>
        </w:p>
        <w:p>
          <w:pPr>
            <w:pStyle w:val="TOC1"/>
            <w:ind w:firstLine="360"/>
            <w:rPr>
              <w:rFonts w:asciiTheme="minorHAnsi" w:eastAsiaTheme="minorEastAsia" w:hAnsiTheme="minorHAnsi" w:cstheme="minorBidi"/>
              <w:b w:val="0"/>
              <w:bCs w:val="0"/>
              <w:sz w:val="22"/>
              <w:szCs w:val="22"/>
              <w:lang w:val="en-US" w:eastAsia="en-US"/>
            </w:rPr>
          </w:pPr>
          <w:hyperlink w:anchor="_Toc458765637" w:history="1">
            <w:r>
              <w:rPr>
                <w:rStyle w:val="Hyperlink"/>
                <w:lang w:val="bg-BG"/>
              </w:rPr>
              <w:t>2.2 Достъп до пазари</w:t>
            </w:r>
            <w:r>
              <w:rPr>
                <w:webHidden/>
              </w:rPr>
              <w:tab/>
            </w:r>
            <w:r>
              <w:rPr>
                <w:webHidden/>
              </w:rPr>
              <w:fldChar w:fldCharType="begin"/>
            </w:r>
            <w:r>
              <w:rPr>
                <w:webHidden/>
              </w:rPr>
              <w:instrText xml:space="preserve"> PAGEREF _Toc458765637 \h </w:instrText>
            </w:r>
            <w:r>
              <w:rPr>
                <w:webHidden/>
              </w:rPr>
            </w:r>
            <w:r>
              <w:rPr>
                <w:webHidden/>
              </w:rPr>
              <w:fldChar w:fldCharType="separate"/>
            </w:r>
            <w:r>
              <w:rPr>
                <w:webHidden/>
              </w:rPr>
              <w:t>9</w:t>
            </w:r>
            <w:r>
              <w:rPr>
                <w:webHidden/>
              </w:rPr>
              <w:fldChar w:fldCharType="end"/>
            </w:r>
          </w:hyperlink>
        </w:p>
        <w:p>
          <w:pPr>
            <w:pStyle w:val="TOC1"/>
            <w:ind w:firstLine="360"/>
            <w:rPr>
              <w:rFonts w:asciiTheme="minorHAnsi" w:eastAsiaTheme="minorEastAsia" w:hAnsiTheme="minorHAnsi" w:cstheme="minorBidi"/>
              <w:b w:val="0"/>
              <w:bCs w:val="0"/>
              <w:sz w:val="22"/>
              <w:szCs w:val="22"/>
              <w:lang w:val="en-US" w:eastAsia="en-US"/>
            </w:rPr>
          </w:pPr>
          <w:hyperlink w:anchor="_Toc458765638" w:history="1">
            <w:r>
              <w:rPr>
                <w:rStyle w:val="Hyperlink"/>
                <w:lang w:val="bg-BG"/>
              </w:rPr>
              <w:t>2.3 Подобряване на рамковите условия и конкурентоспособността</w:t>
            </w:r>
            <w:r>
              <w:rPr>
                <w:webHidden/>
              </w:rPr>
              <w:tab/>
            </w:r>
            <w:r>
              <w:rPr>
                <w:webHidden/>
              </w:rPr>
              <w:fldChar w:fldCharType="begin"/>
            </w:r>
            <w:r>
              <w:rPr>
                <w:webHidden/>
              </w:rPr>
              <w:instrText xml:space="preserve"> PAGEREF _Toc458765638 \h </w:instrText>
            </w:r>
            <w:r>
              <w:rPr>
                <w:webHidden/>
              </w:rPr>
            </w:r>
            <w:r>
              <w:rPr>
                <w:webHidden/>
              </w:rPr>
              <w:fldChar w:fldCharType="separate"/>
            </w:r>
            <w:r>
              <w:rPr>
                <w:webHidden/>
              </w:rPr>
              <w:t>10</w:t>
            </w:r>
            <w:r>
              <w:rPr>
                <w:webHidden/>
              </w:rPr>
              <w:fldChar w:fldCharType="end"/>
            </w:r>
          </w:hyperlink>
        </w:p>
        <w:p>
          <w:pPr>
            <w:pStyle w:val="TOC1"/>
            <w:ind w:firstLine="360"/>
            <w:rPr>
              <w:rFonts w:asciiTheme="minorHAnsi" w:eastAsiaTheme="minorEastAsia" w:hAnsiTheme="minorHAnsi" w:cstheme="minorBidi"/>
              <w:b w:val="0"/>
              <w:bCs w:val="0"/>
              <w:sz w:val="22"/>
              <w:szCs w:val="22"/>
              <w:lang w:val="en-US" w:eastAsia="en-US"/>
            </w:rPr>
          </w:pPr>
          <w:hyperlink w:anchor="_Toc458765639" w:history="1">
            <w:r>
              <w:rPr>
                <w:rStyle w:val="Hyperlink"/>
                <w:lang w:val="bg-BG"/>
              </w:rPr>
              <w:t>2.4 Насърчаване на предприемачеството и предприемаческата култура</w:t>
            </w:r>
            <w:r>
              <w:rPr>
                <w:webHidden/>
              </w:rPr>
              <w:tab/>
            </w:r>
            <w:r>
              <w:rPr>
                <w:webHidden/>
              </w:rPr>
              <w:fldChar w:fldCharType="begin"/>
            </w:r>
            <w:r>
              <w:rPr>
                <w:webHidden/>
              </w:rPr>
              <w:instrText xml:space="preserve"> PAGEREF _Toc458765639 \h </w:instrText>
            </w:r>
            <w:r>
              <w:rPr>
                <w:webHidden/>
              </w:rPr>
            </w:r>
            <w:r>
              <w:rPr>
                <w:webHidden/>
              </w:rPr>
              <w:fldChar w:fldCharType="separate"/>
            </w:r>
            <w:r>
              <w:rPr>
                <w:webHidden/>
              </w:rPr>
              <w:t>12</w:t>
            </w:r>
            <w:r>
              <w:rPr>
                <w:webHidden/>
              </w:rPr>
              <w:fldChar w:fldCharType="end"/>
            </w:r>
          </w:hyperlink>
        </w:p>
        <w:p>
          <w:pPr>
            <w:pStyle w:val="TOC1"/>
            <w:rPr>
              <w:rFonts w:asciiTheme="minorHAnsi" w:eastAsiaTheme="minorEastAsia" w:hAnsiTheme="minorHAnsi" w:cstheme="minorBidi"/>
              <w:b w:val="0"/>
              <w:bCs w:val="0"/>
              <w:sz w:val="22"/>
              <w:szCs w:val="22"/>
              <w:lang w:val="en-US" w:eastAsia="en-US"/>
            </w:rPr>
          </w:pPr>
          <w:hyperlink w:anchor="_Toc458765640" w:history="1">
            <w:r>
              <w:rPr>
                <w:rStyle w:val="Hyperlink"/>
                <w:lang w:val="fr-BE"/>
              </w:rPr>
              <w:t xml:space="preserve">3. </w:t>
            </w:r>
            <w:r>
              <w:rPr>
                <w:rStyle w:val="Hyperlink"/>
                <w:lang w:val="bg-BG"/>
              </w:rPr>
              <w:t>Мерки за подкрепа</w:t>
            </w:r>
            <w:r>
              <w:rPr>
                <w:webHidden/>
              </w:rPr>
              <w:tab/>
            </w:r>
            <w:r>
              <w:rPr>
                <w:webHidden/>
              </w:rPr>
              <w:fldChar w:fldCharType="begin"/>
            </w:r>
            <w:r>
              <w:rPr>
                <w:webHidden/>
              </w:rPr>
              <w:instrText xml:space="preserve"> PAGEREF _Toc458765640 \h </w:instrText>
            </w:r>
            <w:r>
              <w:rPr>
                <w:webHidden/>
              </w:rPr>
            </w:r>
            <w:r>
              <w:rPr>
                <w:webHidden/>
              </w:rPr>
              <w:fldChar w:fldCharType="separate"/>
            </w:r>
            <w:r>
              <w:rPr>
                <w:webHidden/>
              </w:rPr>
              <w:t>13</w:t>
            </w:r>
            <w:r>
              <w:rPr>
                <w:webHidden/>
              </w:rPr>
              <w:fldChar w:fldCharType="end"/>
            </w:r>
          </w:hyperlink>
        </w:p>
        <w:p>
          <w:pPr>
            <w:pStyle w:val="TOC1"/>
            <w:rPr>
              <w:rFonts w:asciiTheme="minorHAnsi" w:eastAsiaTheme="minorEastAsia" w:hAnsiTheme="minorHAnsi" w:cstheme="minorBidi"/>
              <w:b w:val="0"/>
              <w:bCs w:val="0"/>
              <w:sz w:val="22"/>
              <w:szCs w:val="22"/>
              <w:lang w:val="en-US" w:eastAsia="en-US"/>
            </w:rPr>
          </w:pPr>
          <w:hyperlink w:anchor="_Toc458765641" w:history="1">
            <w:r>
              <w:rPr>
                <w:rStyle w:val="Hyperlink"/>
              </w:rPr>
              <w:t xml:space="preserve">4. </w:t>
            </w:r>
            <w:r>
              <w:rPr>
                <w:rStyle w:val="Hyperlink"/>
                <w:lang w:val="bg-BG"/>
              </w:rPr>
              <w:t>Административни разходи</w:t>
            </w:r>
            <w:r>
              <w:rPr>
                <w:webHidden/>
              </w:rPr>
              <w:tab/>
            </w:r>
            <w:r>
              <w:rPr>
                <w:webHidden/>
              </w:rPr>
              <w:fldChar w:fldCharType="begin"/>
            </w:r>
            <w:r>
              <w:rPr>
                <w:webHidden/>
              </w:rPr>
              <w:instrText xml:space="preserve"> PAGEREF _Toc458765641 \h </w:instrText>
            </w:r>
            <w:r>
              <w:rPr>
                <w:webHidden/>
              </w:rPr>
            </w:r>
            <w:r>
              <w:rPr>
                <w:webHidden/>
              </w:rPr>
              <w:fldChar w:fldCharType="separate"/>
            </w:r>
            <w:r>
              <w:rPr>
                <w:webHidden/>
              </w:rPr>
              <w:t>13</w:t>
            </w:r>
            <w:r>
              <w:rPr>
                <w:webHidden/>
              </w:rPr>
              <w:fldChar w:fldCharType="end"/>
            </w:r>
          </w:hyperlink>
        </w:p>
        <w:p>
          <w:pPr>
            <w:pStyle w:val="TOC1"/>
            <w:rPr>
              <w:rFonts w:asciiTheme="minorHAnsi" w:eastAsiaTheme="minorEastAsia" w:hAnsiTheme="minorHAnsi" w:cstheme="minorBidi"/>
              <w:b w:val="0"/>
              <w:bCs w:val="0"/>
              <w:sz w:val="22"/>
              <w:szCs w:val="22"/>
              <w:lang w:val="en-US" w:eastAsia="en-US"/>
            </w:rPr>
          </w:pPr>
          <w:hyperlink w:anchor="_Toc458765642" w:history="1">
            <w:r>
              <w:rPr>
                <w:rStyle w:val="Hyperlink"/>
                <w:lang w:val="bg-BG"/>
              </w:rPr>
              <w:t>5. Принос към целта за интегриране на въпросите относно климата</w:t>
            </w:r>
            <w:r>
              <w:rPr>
                <w:webHidden/>
              </w:rPr>
              <w:tab/>
            </w:r>
            <w:r>
              <w:rPr>
                <w:webHidden/>
              </w:rPr>
              <w:fldChar w:fldCharType="begin"/>
            </w:r>
            <w:r>
              <w:rPr>
                <w:webHidden/>
              </w:rPr>
              <w:instrText xml:space="preserve"> PAGEREF _Toc458765642 \h </w:instrText>
            </w:r>
            <w:r>
              <w:rPr>
                <w:webHidden/>
              </w:rPr>
            </w:r>
            <w:r>
              <w:rPr>
                <w:webHidden/>
              </w:rPr>
              <w:fldChar w:fldCharType="separate"/>
            </w:r>
            <w:r>
              <w:rPr>
                <w:webHidden/>
              </w:rPr>
              <w:t>14</w:t>
            </w:r>
            <w:r>
              <w:rPr>
                <w:webHidden/>
              </w:rPr>
              <w:fldChar w:fldCharType="end"/>
            </w:r>
          </w:hyperlink>
        </w:p>
        <w:p>
          <w:pPr>
            <w:pStyle w:val="TOC1"/>
            <w:rPr>
              <w:rFonts w:asciiTheme="minorHAnsi" w:eastAsiaTheme="minorEastAsia" w:hAnsiTheme="minorHAnsi" w:cstheme="minorBidi"/>
              <w:b w:val="0"/>
              <w:bCs w:val="0"/>
              <w:sz w:val="22"/>
              <w:szCs w:val="22"/>
              <w:lang w:val="en-US" w:eastAsia="en-US"/>
            </w:rPr>
          </w:pPr>
          <w:hyperlink w:anchor="_Toc458765643" w:history="1">
            <w:r>
              <w:rPr>
                <w:rStyle w:val="Hyperlink"/>
              </w:rPr>
              <w:t xml:space="preserve">6. </w:t>
            </w:r>
            <w:r>
              <w:rPr>
                <w:rStyle w:val="Hyperlink"/>
                <w:lang w:val="bg-BG"/>
              </w:rPr>
              <w:t>Заключение</w:t>
            </w:r>
            <w:r>
              <w:rPr>
                <w:webHidden/>
              </w:rPr>
              <w:tab/>
            </w:r>
            <w:r>
              <w:rPr>
                <w:webHidden/>
              </w:rPr>
              <w:fldChar w:fldCharType="begin"/>
            </w:r>
            <w:r>
              <w:rPr>
                <w:webHidden/>
              </w:rPr>
              <w:instrText xml:space="preserve"> PAGEREF _Toc458765643 \h </w:instrText>
            </w:r>
            <w:r>
              <w:rPr>
                <w:webHidden/>
              </w:rPr>
            </w:r>
            <w:r>
              <w:rPr>
                <w:webHidden/>
              </w:rPr>
              <w:fldChar w:fldCharType="separate"/>
            </w:r>
            <w:r>
              <w:rPr>
                <w:webHidden/>
              </w:rPr>
              <w:t>14</w:t>
            </w:r>
            <w:r>
              <w:rPr>
                <w:webHidden/>
              </w:rPr>
              <w:fldChar w:fldCharType="end"/>
            </w:r>
          </w:hyperlink>
        </w:p>
        <w:p>
          <w:pPr>
            <w:rPr>
              <w:noProof/>
            </w:rPr>
          </w:pPr>
          <w:r>
            <w:rPr>
              <w:b/>
              <w:bCs/>
              <w:noProof/>
            </w:rPr>
            <w:fldChar w:fldCharType="end"/>
          </w:r>
        </w:p>
      </w:sdtContent>
    </w:sdt>
    <w:p>
      <w:pPr>
        <w:spacing w:after="200" w:line="276" w:lineRule="auto"/>
        <w:rPr>
          <w:b/>
          <w:bCs/>
          <w:noProof/>
        </w:rPr>
      </w:pPr>
      <w:r>
        <w:rPr>
          <w:b/>
          <w:bCs/>
          <w:noProof/>
        </w:rPr>
        <w:br w:type="page"/>
      </w:r>
    </w:p>
    <w:p>
      <w:pPr>
        <w:pStyle w:val="Heading1"/>
        <w:rPr>
          <w:noProof/>
          <w:sz w:val="32"/>
          <w:szCs w:val="32"/>
        </w:rPr>
      </w:pPr>
      <w:bookmarkStart w:id="6" w:name="_Toc458765634"/>
      <w:r>
        <w:rPr>
          <w:noProof/>
          <w:sz w:val="32"/>
          <w:szCs w:val="32"/>
        </w:rPr>
        <w:t xml:space="preserve">1. </w:t>
      </w:r>
      <w:r>
        <w:rPr>
          <w:noProof/>
          <w:sz w:val="32"/>
          <w:szCs w:val="32"/>
          <w:lang w:val="bg-BG"/>
        </w:rPr>
        <w:t>Въведение</w:t>
      </w:r>
      <w:bookmarkEnd w:id="6"/>
    </w:p>
    <w:p>
      <w:pPr>
        <w:spacing w:before="100" w:beforeAutospacing="1" w:after="100" w:afterAutospacing="1"/>
        <w:jc w:val="both"/>
        <w:rPr>
          <w:bCs/>
          <w:noProof/>
          <w:lang w:val="bg-BG"/>
        </w:rPr>
      </w:pPr>
      <w:r>
        <w:rPr>
          <w:noProof/>
          <w:lang w:val="bg-BG"/>
        </w:rPr>
        <w:t>COSME е програмата за действия на ЕС за подобряване на конкурентоспособността на предприятията със специална насоченост към малките и средните предприятия (МСП).</w:t>
      </w:r>
      <w:r>
        <w:rPr>
          <w:b/>
          <w:bCs/>
          <w:noProof/>
          <w:lang w:val="bg-BG"/>
        </w:rPr>
        <w:t xml:space="preserve"> </w:t>
      </w:r>
      <w:r>
        <w:rPr>
          <w:noProof/>
          <w:lang w:val="bg-BG"/>
        </w:rPr>
        <w:t>Тя се основава на Програмата за предприемачество и иновации (EIP) за периода 2007—2013 г. съгласно Рамковата програма за конкурентоспособност и иновации (ПКИ). Действията по линия на COSME целят да оптимизират полезните взаимодействия с други разходни програми на ЕС, и по-специално с европейските структурни и инвестиционни фондове (ЕСИ фондове) и програмата „Хоризонт 2020“, в рамките на която се осъществяват дейности за иновации, които преди това бяха част от EIP</w:t>
      </w:r>
      <w:r>
        <w:rPr>
          <w:bCs/>
          <w:noProof/>
          <w:lang w:val="bg-BG"/>
        </w:rPr>
        <w:t xml:space="preserve">. </w:t>
      </w:r>
    </w:p>
    <w:p>
      <w:pPr>
        <w:autoSpaceDE w:val="0"/>
        <w:autoSpaceDN w:val="0"/>
        <w:adjustRightInd w:val="0"/>
        <w:jc w:val="both"/>
        <w:rPr>
          <w:rFonts w:eastAsia="Calibri" w:cs="Arial"/>
          <w:noProof/>
          <w:szCs w:val="22"/>
          <w:lang w:val="bg-BG"/>
        </w:rPr>
      </w:pPr>
      <w:r>
        <w:rPr>
          <w:noProof/>
        </w:rPr>
        <w:t>COSME</w:t>
      </w:r>
      <w:r>
        <w:rPr>
          <w:noProof/>
          <w:lang w:val="bg-BG"/>
        </w:rPr>
        <w:t xml:space="preserve"> генерира добавена стойност чрез разглеждане на транснационални въпроси и въпроси, свързани с неефективността на пазара, в четири основни области, определени в правното основание</w:t>
      </w:r>
      <w:r>
        <w:rPr>
          <w:rStyle w:val="FootnoteReference"/>
          <w:rFonts w:eastAsia="Calibri" w:cs="Arial"/>
          <w:noProof/>
          <w:szCs w:val="22"/>
        </w:rPr>
        <w:footnoteReference w:id="1"/>
      </w:r>
      <w:r>
        <w:rPr>
          <w:rFonts w:eastAsia="Calibri" w:cs="Arial"/>
          <w:noProof/>
          <w:szCs w:val="22"/>
          <w:lang w:val="bg-BG"/>
        </w:rPr>
        <w:t>:</w:t>
      </w:r>
    </w:p>
    <w:p>
      <w:pPr>
        <w:autoSpaceDE w:val="0"/>
        <w:autoSpaceDN w:val="0"/>
        <w:adjustRightInd w:val="0"/>
        <w:jc w:val="both"/>
        <w:rPr>
          <w:rFonts w:eastAsia="Calibri" w:cs="Arial"/>
          <w:noProof/>
          <w:szCs w:val="22"/>
          <w:lang w:val="bg-BG"/>
        </w:rPr>
      </w:pPr>
    </w:p>
    <w:p>
      <w:pPr>
        <w:pStyle w:val="ListParagraph"/>
        <w:numPr>
          <w:ilvl w:val="0"/>
          <w:numId w:val="45"/>
        </w:numPr>
        <w:autoSpaceDE w:val="0"/>
        <w:autoSpaceDN w:val="0"/>
        <w:adjustRightInd w:val="0"/>
        <w:jc w:val="both"/>
        <w:rPr>
          <w:rFonts w:eastAsia="Calibri" w:cs="Arial"/>
          <w:noProof/>
          <w:szCs w:val="22"/>
          <w:lang w:val="bg-BG"/>
        </w:rPr>
      </w:pPr>
      <w:r>
        <w:rPr>
          <w:rFonts w:eastAsia="Calibri" w:cs="Arial"/>
          <w:noProof/>
          <w:szCs w:val="22"/>
          <w:lang w:val="bg-BG"/>
        </w:rPr>
        <w:t xml:space="preserve">подобряване на </w:t>
      </w:r>
      <w:r>
        <w:rPr>
          <w:rFonts w:eastAsia="Calibri" w:cs="Arial"/>
          <w:b/>
          <w:noProof/>
          <w:szCs w:val="22"/>
          <w:lang w:val="bg-BG"/>
        </w:rPr>
        <w:t>достъпа до финансиране</w:t>
      </w:r>
      <w:r>
        <w:rPr>
          <w:rFonts w:eastAsia="Calibri" w:cs="Arial"/>
          <w:noProof/>
          <w:szCs w:val="22"/>
          <w:lang w:val="bg-BG"/>
        </w:rPr>
        <w:t xml:space="preserve"> за МСП под формата на капиталови и дългови инструменти (поне 60 % от общия бюджетен пакет);</w:t>
      </w:r>
    </w:p>
    <w:p>
      <w:pPr>
        <w:autoSpaceDE w:val="0"/>
        <w:autoSpaceDN w:val="0"/>
        <w:adjustRightInd w:val="0"/>
        <w:jc w:val="both"/>
        <w:rPr>
          <w:rFonts w:eastAsia="Calibri" w:cs="Arial"/>
          <w:noProof/>
          <w:szCs w:val="22"/>
          <w:lang w:val="bg-BG"/>
        </w:rPr>
      </w:pPr>
    </w:p>
    <w:p>
      <w:pPr>
        <w:pStyle w:val="ListParagraph"/>
        <w:numPr>
          <w:ilvl w:val="0"/>
          <w:numId w:val="45"/>
        </w:numPr>
        <w:autoSpaceDE w:val="0"/>
        <w:autoSpaceDN w:val="0"/>
        <w:adjustRightInd w:val="0"/>
        <w:jc w:val="both"/>
        <w:rPr>
          <w:rFonts w:eastAsia="Calibri" w:cs="Arial"/>
          <w:noProof/>
          <w:szCs w:val="22"/>
          <w:lang w:val="bg-BG"/>
        </w:rPr>
      </w:pPr>
      <w:r>
        <w:rPr>
          <w:rFonts w:eastAsia="Calibri" w:cs="Arial"/>
          <w:noProof/>
          <w:szCs w:val="22"/>
          <w:lang w:val="bg-BG"/>
        </w:rPr>
        <w:t xml:space="preserve">подобряване на </w:t>
      </w:r>
      <w:r>
        <w:rPr>
          <w:rFonts w:eastAsia="Calibri" w:cs="Arial"/>
          <w:b/>
          <w:noProof/>
          <w:szCs w:val="22"/>
          <w:lang w:val="bg-BG"/>
        </w:rPr>
        <w:t>достъпа до пазарите</w:t>
      </w:r>
      <w:r>
        <w:rPr>
          <w:rFonts w:eastAsia="Calibri" w:cs="Arial"/>
          <w:noProof/>
          <w:szCs w:val="22"/>
          <w:lang w:val="bg-BG"/>
        </w:rPr>
        <w:t xml:space="preserve"> в рамките на Съюза и извън него (21,5 %);</w:t>
      </w:r>
    </w:p>
    <w:p>
      <w:pPr>
        <w:autoSpaceDE w:val="0"/>
        <w:autoSpaceDN w:val="0"/>
        <w:adjustRightInd w:val="0"/>
        <w:jc w:val="both"/>
        <w:rPr>
          <w:rFonts w:eastAsia="Calibri" w:cs="Arial"/>
          <w:noProof/>
          <w:szCs w:val="22"/>
          <w:lang w:val="bg-BG"/>
        </w:rPr>
      </w:pPr>
    </w:p>
    <w:p>
      <w:pPr>
        <w:pStyle w:val="ListParagraph"/>
        <w:numPr>
          <w:ilvl w:val="0"/>
          <w:numId w:val="45"/>
        </w:numPr>
        <w:autoSpaceDE w:val="0"/>
        <w:autoSpaceDN w:val="0"/>
        <w:adjustRightInd w:val="0"/>
        <w:jc w:val="both"/>
        <w:rPr>
          <w:rFonts w:eastAsia="Calibri" w:cs="Arial"/>
          <w:noProof/>
          <w:szCs w:val="22"/>
          <w:lang w:val="bg-BG"/>
        </w:rPr>
      </w:pPr>
      <w:r>
        <w:rPr>
          <w:rFonts w:eastAsia="Calibri" w:cs="Arial"/>
          <w:noProof/>
          <w:szCs w:val="22"/>
          <w:lang w:val="bg-BG"/>
        </w:rPr>
        <w:t xml:space="preserve">подобряване на </w:t>
      </w:r>
      <w:r>
        <w:rPr>
          <w:rFonts w:eastAsia="Calibri" w:cs="Arial"/>
          <w:b/>
          <w:noProof/>
          <w:szCs w:val="22"/>
          <w:lang w:val="bg-BG"/>
        </w:rPr>
        <w:t>рамковите условия</w:t>
      </w:r>
      <w:r>
        <w:rPr>
          <w:rFonts w:eastAsia="Calibri" w:cs="Arial"/>
          <w:noProof/>
          <w:szCs w:val="22"/>
          <w:lang w:val="bg-BG"/>
        </w:rPr>
        <w:t xml:space="preserve"> за дружествата </w:t>
      </w:r>
      <w:r>
        <w:rPr>
          <w:rFonts w:eastAsia="Calibri" w:cs="Arial"/>
          <w:b/>
          <w:noProof/>
          <w:szCs w:val="22"/>
          <w:lang w:val="bg-BG"/>
        </w:rPr>
        <w:t>и конкурентоспособността на предприятията</w:t>
      </w:r>
      <w:r>
        <w:rPr>
          <w:rFonts w:eastAsia="Calibri" w:cs="Arial"/>
          <w:noProof/>
          <w:szCs w:val="22"/>
          <w:lang w:val="bg-BG"/>
        </w:rPr>
        <w:t>, включително МСП (11 %);</w:t>
      </w:r>
    </w:p>
    <w:p>
      <w:pPr>
        <w:autoSpaceDE w:val="0"/>
        <w:autoSpaceDN w:val="0"/>
        <w:adjustRightInd w:val="0"/>
        <w:jc w:val="both"/>
        <w:rPr>
          <w:rFonts w:eastAsia="Calibri" w:cs="Arial"/>
          <w:noProof/>
          <w:szCs w:val="22"/>
          <w:lang w:val="bg-BG"/>
        </w:rPr>
      </w:pPr>
    </w:p>
    <w:p>
      <w:pPr>
        <w:pStyle w:val="ListParagraph"/>
        <w:numPr>
          <w:ilvl w:val="0"/>
          <w:numId w:val="45"/>
        </w:numPr>
        <w:autoSpaceDE w:val="0"/>
        <w:autoSpaceDN w:val="0"/>
        <w:adjustRightInd w:val="0"/>
        <w:jc w:val="both"/>
        <w:rPr>
          <w:rFonts w:eastAsia="Calibri" w:cs="Arial"/>
          <w:noProof/>
          <w:szCs w:val="22"/>
          <w:lang w:val="bg-BG"/>
        </w:rPr>
      </w:pPr>
      <w:r>
        <w:rPr>
          <w:rFonts w:eastAsia="Calibri" w:cs="Arial"/>
          <w:b/>
          <w:noProof/>
          <w:szCs w:val="22"/>
          <w:lang w:val="bg-BG"/>
        </w:rPr>
        <w:t xml:space="preserve">насърчаване на предприемачеството </w:t>
      </w:r>
      <w:r>
        <w:rPr>
          <w:rFonts w:eastAsia="Calibri" w:cs="Arial"/>
          <w:noProof/>
          <w:szCs w:val="22"/>
          <w:lang w:val="bg-BG"/>
        </w:rPr>
        <w:t>и на културата на предприемачество</w:t>
      </w:r>
      <w:r>
        <w:rPr>
          <w:rFonts w:eastAsia="Calibri" w:cs="Arial"/>
          <w:b/>
          <w:noProof/>
          <w:szCs w:val="22"/>
          <w:lang w:val="bg-BG"/>
        </w:rPr>
        <w:t xml:space="preserve"> </w:t>
      </w:r>
      <w:r>
        <w:rPr>
          <w:rFonts w:eastAsia="Calibri" w:cs="Arial"/>
          <w:noProof/>
          <w:szCs w:val="22"/>
          <w:lang w:val="bg-BG"/>
        </w:rPr>
        <w:t>(2,5 %).</w:t>
      </w:r>
    </w:p>
    <w:p>
      <w:pPr>
        <w:autoSpaceDE w:val="0"/>
        <w:autoSpaceDN w:val="0"/>
        <w:adjustRightInd w:val="0"/>
        <w:jc w:val="both"/>
        <w:rPr>
          <w:rFonts w:eastAsia="Calibri" w:cs="Arial"/>
          <w:noProof/>
          <w:szCs w:val="22"/>
          <w:lang w:val="bg-BG"/>
        </w:rPr>
      </w:pPr>
    </w:p>
    <w:p>
      <w:pPr>
        <w:spacing w:before="100" w:beforeAutospacing="1" w:after="100" w:afterAutospacing="1"/>
        <w:jc w:val="both"/>
        <w:rPr>
          <w:bCs/>
          <w:noProof/>
          <w:lang w:val="bg-BG"/>
        </w:rPr>
      </w:pPr>
      <w:r>
        <w:rPr>
          <w:noProof/>
          <w:lang w:val="bg-BG"/>
        </w:rPr>
        <w:t>Освен 28-те държави — членки на ЕС, през 2014 г. в COSME участваха следните трети държави: Исландия, Черна гора, Турция, Молдова и бившата югославска република Македония</w:t>
      </w:r>
      <w:r>
        <w:rPr>
          <w:bCs/>
          <w:noProof/>
          <w:lang w:val="bg-BG"/>
        </w:rPr>
        <w:t xml:space="preserve">. </w:t>
      </w:r>
    </w:p>
    <w:p>
      <w:pPr>
        <w:spacing w:before="100" w:beforeAutospacing="1" w:after="100" w:afterAutospacing="1"/>
        <w:jc w:val="both"/>
        <w:rPr>
          <w:bCs/>
          <w:noProof/>
          <w:lang w:val="bg-BG"/>
        </w:rPr>
      </w:pPr>
      <w:r>
        <w:rPr>
          <w:noProof/>
          <w:lang w:val="bg-BG"/>
        </w:rPr>
        <w:t>Комисията е отговорна за цялостното изпълнение на COSME. Първата цел се изпълнява чрез финансовите инструменти, поверени на Европейския инвестиционен фонд (ЕИФ). Изпълнението на действията по цели 2, 3 и 4 като цяло е делегирано на Изпълнителната агенция за малките и средните предприятия (EASME). За някои аналитични дейности и дейности по сравнителен анализ се предвижда и непряко управление от международни организации</w:t>
      </w:r>
      <w:r>
        <w:rPr>
          <w:bCs/>
          <w:noProof/>
          <w:lang w:val="bg-BG"/>
        </w:rPr>
        <w:t xml:space="preserve">. </w:t>
      </w:r>
    </w:p>
    <w:p>
      <w:pPr>
        <w:spacing w:before="100" w:beforeAutospacing="1" w:after="100" w:afterAutospacing="1"/>
        <w:jc w:val="both"/>
        <w:rPr>
          <w:rStyle w:val="ListDashChar"/>
          <w:noProof/>
          <w:lang w:val="bg-BG"/>
        </w:rPr>
      </w:pPr>
      <w:r>
        <w:rPr>
          <w:rStyle w:val="ListDashChar"/>
          <w:noProof/>
          <w:lang w:val="bg-BG"/>
        </w:rPr>
        <w:t xml:space="preserve">В настоящия доклад се представя преглед на изпълнението на бюджета на COSME през 2014 г. в съответствие с член 15 от Регламента за COSME, включително </w:t>
      </w:r>
      <w:r>
        <w:rPr>
          <w:noProof/>
          <w:lang w:val="bg-BG"/>
        </w:rPr>
        <w:t>мерките за подкрепа и разходите от административно естество</w:t>
      </w:r>
      <w:r>
        <w:rPr>
          <w:rStyle w:val="ListDashChar"/>
          <w:noProof/>
          <w:lang w:val="bg-BG"/>
        </w:rPr>
        <w:t>. Подробностите относно изпълнението на всяка цел са посочени в приложение 1. Приложение 2 съдържа списък на бенефициерите по поканите за представяне на предложения.</w:t>
      </w:r>
    </w:p>
    <w:p>
      <w:pPr>
        <w:spacing w:after="60"/>
        <w:jc w:val="both"/>
        <w:rPr>
          <w:rStyle w:val="ListDashChar"/>
          <w:noProof/>
          <w:lang w:val="bg-BG"/>
        </w:rPr>
      </w:pPr>
    </w:p>
    <w:p>
      <w:pPr>
        <w:spacing w:after="60"/>
        <w:jc w:val="both"/>
        <w:rPr>
          <w:bCs/>
          <w:noProof/>
          <w:lang w:val="bg-BG"/>
        </w:rPr>
      </w:pPr>
    </w:p>
    <w:p>
      <w:pPr>
        <w:spacing w:after="200" w:line="276" w:lineRule="auto"/>
        <w:rPr>
          <w:bCs/>
          <w:noProof/>
          <w:lang w:val="bg-BG"/>
        </w:rPr>
      </w:pPr>
      <w:r>
        <w:rPr>
          <w:bCs/>
          <w:noProof/>
          <w:lang w:val="bg-BG"/>
        </w:rPr>
        <w:br w:type="page"/>
      </w:r>
    </w:p>
    <w:p>
      <w:pPr>
        <w:pStyle w:val="Heading1"/>
        <w:rPr>
          <w:noProof/>
          <w:sz w:val="32"/>
          <w:szCs w:val="32"/>
          <w:lang w:val="bg-BG"/>
        </w:rPr>
      </w:pPr>
      <w:bookmarkStart w:id="7" w:name="_Toc444193149"/>
      <w:bookmarkStart w:id="8" w:name="_Toc458765635"/>
      <w:r>
        <w:rPr>
          <w:noProof/>
          <w:sz w:val="32"/>
          <w:szCs w:val="32"/>
          <w:lang w:val="bg-BG"/>
        </w:rPr>
        <w:t xml:space="preserve">2. </w:t>
      </w:r>
      <w:bookmarkEnd w:id="7"/>
      <w:r>
        <w:rPr>
          <w:noProof/>
          <w:sz w:val="32"/>
          <w:szCs w:val="32"/>
          <w:lang w:val="bg-BG"/>
        </w:rPr>
        <w:t>Изпълнение на бюджета през 2014 г.</w:t>
      </w:r>
      <w:bookmarkEnd w:id="8"/>
    </w:p>
    <w:p>
      <w:pPr>
        <w:spacing w:before="100" w:beforeAutospacing="1" w:after="100" w:afterAutospacing="1"/>
        <w:jc w:val="both"/>
        <w:rPr>
          <w:bCs/>
          <w:noProof/>
          <w:lang w:val="bg-BG"/>
        </w:rPr>
      </w:pPr>
      <w:r>
        <w:rPr>
          <w:noProof/>
          <w:lang w:val="bg-BG"/>
        </w:rPr>
        <w:t xml:space="preserve">В правното основание за </w:t>
      </w:r>
      <w:r>
        <w:rPr>
          <w:noProof/>
        </w:rPr>
        <w:t>COSME</w:t>
      </w:r>
      <w:r>
        <w:rPr>
          <w:noProof/>
          <w:lang w:val="bg-BG"/>
        </w:rPr>
        <w:t xml:space="preserve"> се посочва общ примерен бюджет в размер на 2,3 милиарда евро за седемгодишния период на </w:t>
      </w:r>
      <w:r>
        <w:rPr>
          <w:noProof/>
        </w:rPr>
        <w:t>COSME</w:t>
      </w:r>
      <w:r>
        <w:rPr>
          <w:noProof/>
          <w:lang w:val="bg-BG"/>
        </w:rPr>
        <w:t xml:space="preserve"> (2014—2020</w:t>
      </w:r>
      <w:r>
        <w:rPr>
          <w:noProof/>
        </w:rPr>
        <w:t> </w:t>
      </w:r>
      <w:r>
        <w:rPr>
          <w:noProof/>
          <w:lang w:val="bg-BG"/>
        </w:rPr>
        <w:t>г.). Бюджетът следва определен разходен цикъл, като се планира поетите задължения да се увеличават постепенно до последната година на програмата, т.е. 2020</w:t>
      </w:r>
      <w:r>
        <w:rPr>
          <w:noProof/>
        </w:rPr>
        <w:t> </w:t>
      </w:r>
      <w:r>
        <w:rPr>
          <w:noProof/>
          <w:lang w:val="bg-BG"/>
        </w:rPr>
        <w:t>г. Очаква се бюджетните кредити за плащания да следват същата тенденция, но при по-ниско ниво през 2014</w:t>
      </w:r>
      <w:r>
        <w:rPr>
          <w:noProof/>
        </w:rPr>
        <w:t> </w:t>
      </w:r>
      <w:r>
        <w:rPr>
          <w:noProof/>
          <w:lang w:val="bg-BG"/>
        </w:rPr>
        <w:t xml:space="preserve">г., тъй като по програмата все още не са създадени необходимите правни задължения за генериране на плащания. В правното основание за </w:t>
      </w:r>
      <w:r>
        <w:rPr>
          <w:noProof/>
        </w:rPr>
        <w:t>COSME</w:t>
      </w:r>
      <w:r>
        <w:rPr>
          <w:noProof/>
          <w:lang w:val="bg-BG"/>
        </w:rPr>
        <w:t xml:space="preserve"> се посочва, че програмата се изпълнява чрез годишна работна програма и чрез мерки за подкрепа. Бюджетът също така включва бюджетни кредити за административни разходи за управление на програмата</w:t>
      </w:r>
      <w:r>
        <w:rPr>
          <w:bCs/>
          <w:noProof/>
          <w:lang w:val="bg-BG"/>
        </w:rPr>
        <w:t>.</w:t>
      </w:r>
    </w:p>
    <w:p>
      <w:pPr>
        <w:autoSpaceDE w:val="0"/>
        <w:autoSpaceDN w:val="0"/>
        <w:adjustRightInd w:val="0"/>
        <w:spacing w:before="100" w:beforeAutospacing="1" w:after="100" w:afterAutospacing="1"/>
        <w:jc w:val="both"/>
        <w:rPr>
          <w:bCs/>
          <w:noProof/>
          <w:lang w:val="bg-BG"/>
        </w:rPr>
      </w:pPr>
      <w:r>
        <w:rPr>
          <w:noProof/>
          <w:lang w:val="bg-BG"/>
        </w:rPr>
        <w:t xml:space="preserve">Бюджетът на </w:t>
      </w:r>
      <w:r>
        <w:rPr>
          <w:noProof/>
        </w:rPr>
        <w:t>COSME</w:t>
      </w:r>
      <w:r>
        <w:rPr>
          <w:noProof/>
          <w:lang w:val="bg-BG"/>
        </w:rPr>
        <w:t xml:space="preserve"> се изпълнява чрез четири бюджетни реда, като бюджетните кредити са посочени в съответното преразгледано решение за финансиране за 2014</w:t>
      </w:r>
      <w:r>
        <w:rPr>
          <w:noProof/>
        </w:rPr>
        <w:t> </w:t>
      </w:r>
      <w:r>
        <w:rPr>
          <w:noProof/>
          <w:lang w:val="bg-BG"/>
        </w:rPr>
        <w:t>г.</w:t>
      </w:r>
      <w:r>
        <w:rPr>
          <w:rStyle w:val="FootnoteReference"/>
          <w:bCs/>
          <w:noProof/>
        </w:rPr>
        <w:footnoteReference w:id="2"/>
      </w:r>
      <w:r>
        <w:rPr>
          <w:noProof/>
          <w:lang w:val="bg-BG"/>
        </w:rPr>
        <w:t>.</w:t>
      </w:r>
      <w:r>
        <w:rPr>
          <w:bCs/>
          <w:noProof/>
          <w:lang w:val="bg-BG"/>
        </w:rPr>
        <w:t xml:space="preserve"> </w:t>
      </w:r>
      <w:r>
        <w:rPr>
          <w:noProof/>
          <w:lang w:val="bg-BG"/>
        </w:rPr>
        <w:t>След добавяне на вноските на трети държави, неизползваните бюджетни кредити от предходния програмен период и разни трансфери наличният бюджет за 2014</w:t>
      </w:r>
      <w:r>
        <w:rPr>
          <w:noProof/>
        </w:rPr>
        <w:t> </w:t>
      </w:r>
      <w:r>
        <w:rPr>
          <w:noProof/>
          <w:lang w:val="bg-BG"/>
        </w:rPr>
        <w:t>г. беше</w:t>
      </w:r>
      <w:r>
        <w:rPr>
          <w:bCs/>
          <w:noProof/>
          <w:lang w:val="bg-BG"/>
        </w:rPr>
        <w:t>:</w:t>
      </w:r>
    </w:p>
    <w:p>
      <w:pPr>
        <w:autoSpaceDE w:val="0"/>
        <w:autoSpaceDN w:val="0"/>
        <w:adjustRightInd w:val="0"/>
        <w:spacing w:before="100" w:beforeAutospacing="1" w:after="100" w:afterAutospacing="1"/>
        <w:jc w:val="both"/>
        <w:rPr>
          <w:rFonts w:eastAsiaTheme="minorHAnsi"/>
          <w:noProof/>
          <w:lang w:val="bg-BG" w:eastAsia="en-US"/>
        </w:rPr>
      </w:pPr>
      <w:r>
        <w:rPr>
          <w:rFonts w:eastAsiaTheme="minorHAnsi"/>
          <w:noProof/>
          <w:lang w:val="bg-BG" w:eastAsia="en-US"/>
        </w:rPr>
        <w:t xml:space="preserve">а) </w:t>
      </w:r>
      <w:r>
        <w:rPr>
          <w:noProof/>
          <w:lang w:val="bg-BG"/>
        </w:rPr>
        <w:t>бюджетен ред 02 01 04 01 за административни разходи: 5</w:t>
      </w:r>
      <w:r>
        <w:rPr>
          <w:noProof/>
        </w:rPr>
        <w:t> </w:t>
      </w:r>
      <w:r>
        <w:rPr>
          <w:noProof/>
          <w:lang w:val="bg-BG"/>
        </w:rPr>
        <w:t>118</w:t>
      </w:r>
      <w:r>
        <w:rPr>
          <w:noProof/>
        </w:rPr>
        <w:t> </w:t>
      </w:r>
      <w:r>
        <w:rPr>
          <w:noProof/>
          <w:lang w:val="bg-BG"/>
        </w:rPr>
        <w:t>063</w:t>
      </w:r>
      <w:r>
        <w:rPr>
          <w:noProof/>
        </w:rPr>
        <w:t> EUR</w:t>
      </w:r>
    </w:p>
    <w:p>
      <w:pPr>
        <w:autoSpaceDE w:val="0"/>
        <w:autoSpaceDN w:val="0"/>
        <w:adjustRightInd w:val="0"/>
        <w:spacing w:before="100" w:beforeAutospacing="1" w:after="100" w:afterAutospacing="1"/>
        <w:jc w:val="both"/>
        <w:rPr>
          <w:rFonts w:eastAsiaTheme="minorHAnsi"/>
          <w:noProof/>
          <w:lang w:val="bg-BG" w:eastAsia="en-US"/>
        </w:rPr>
      </w:pPr>
      <w:r>
        <w:rPr>
          <w:rFonts w:eastAsiaTheme="minorHAnsi"/>
          <w:noProof/>
          <w:lang w:val="bg-BG" w:eastAsia="en-US"/>
        </w:rPr>
        <w:t xml:space="preserve">б) </w:t>
      </w:r>
      <w:r>
        <w:rPr>
          <w:noProof/>
          <w:lang w:val="bg-BG"/>
        </w:rPr>
        <w:t xml:space="preserve">бюджетен ред 02 01 06 01 за функционирането на агенция </w:t>
      </w:r>
      <w:r>
        <w:rPr>
          <w:noProof/>
        </w:rPr>
        <w:t>EASME</w:t>
      </w:r>
      <w:r>
        <w:rPr>
          <w:noProof/>
          <w:lang w:val="bg-BG"/>
        </w:rPr>
        <w:t>: 6</w:t>
      </w:r>
      <w:r>
        <w:rPr>
          <w:noProof/>
        </w:rPr>
        <w:t> </w:t>
      </w:r>
      <w:r>
        <w:rPr>
          <w:noProof/>
          <w:lang w:val="bg-BG"/>
        </w:rPr>
        <w:t>667</w:t>
      </w:r>
      <w:r>
        <w:rPr>
          <w:noProof/>
        </w:rPr>
        <w:t> </w:t>
      </w:r>
      <w:r>
        <w:rPr>
          <w:noProof/>
          <w:lang w:val="bg-BG"/>
        </w:rPr>
        <w:t>313</w:t>
      </w:r>
      <w:r>
        <w:rPr>
          <w:noProof/>
        </w:rPr>
        <w:t> EUR</w:t>
      </w:r>
    </w:p>
    <w:p>
      <w:pPr>
        <w:autoSpaceDE w:val="0"/>
        <w:autoSpaceDN w:val="0"/>
        <w:adjustRightInd w:val="0"/>
        <w:spacing w:before="100" w:beforeAutospacing="1" w:after="100" w:afterAutospacing="1"/>
        <w:jc w:val="both"/>
        <w:rPr>
          <w:rFonts w:eastAsiaTheme="minorHAnsi"/>
          <w:noProof/>
          <w:lang w:val="bg-BG" w:eastAsia="en-US"/>
        </w:rPr>
      </w:pPr>
      <w:r>
        <w:rPr>
          <w:rFonts w:eastAsiaTheme="minorHAnsi"/>
          <w:noProof/>
          <w:lang w:val="bg-BG" w:eastAsia="en-US"/>
        </w:rPr>
        <w:t xml:space="preserve">в) </w:t>
      </w:r>
      <w:r>
        <w:rPr>
          <w:noProof/>
          <w:lang w:val="bg-BG"/>
        </w:rPr>
        <w:t>бюджетен ред 02 02 01 за всички други оперативни разходи: 106</w:t>
      </w:r>
      <w:r>
        <w:rPr>
          <w:noProof/>
        </w:rPr>
        <w:t> </w:t>
      </w:r>
      <w:r>
        <w:rPr>
          <w:noProof/>
          <w:lang w:val="bg-BG"/>
        </w:rPr>
        <w:t>411</w:t>
      </w:r>
      <w:r>
        <w:rPr>
          <w:noProof/>
        </w:rPr>
        <w:t> </w:t>
      </w:r>
      <w:r>
        <w:rPr>
          <w:noProof/>
          <w:lang w:val="bg-BG"/>
        </w:rPr>
        <w:t>140</w:t>
      </w:r>
      <w:r>
        <w:rPr>
          <w:noProof/>
        </w:rPr>
        <w:t> EUR</w:t>
      </w:r>
    </w:p>
    <w:p>
      <w:pPr>
        <w:spacing w:before="100" w:beforeAutospacing="1" w:after="100" w:afterAutospacing="1"/>
        <w:jc w:val="both"/>
        <w:rPr>
          <w:rFonts w:eastAsiaTheme="minorHAnsi"/>
          <w:noProof/>
          <w:lang w:val="bg-BG" w:eastAsia="en-US"/>
        </w:rPr>
      </w:pPr>
      <w:r>
        <w:rPr>
          <w:rFonts w:eastAsiaTheme="minorHAnsi"/>
          <w:noProof/>
          <w:lang w:val="bg-BG" w:eastAsia="en-US"/>
        </w:rPr>
        <w:t xml:space="preserve">г) </w:t>
      </w:r>
      <w:r>
        <w:rPr>
          <w:noProof/>
          <w:lang w:val="bg-BG"/>
        </w:rPr>
        <w:t>бюджетен ред 02 02 02 за достъп до финансиране на оперативни разходи: 140</w:t>
      </w:r>
      <w:r>
        <w:rPr>
          <w:noProof/>
        </w:rPr>
        <w:t> </w:t>
      </w:r>
      <w:r>
        <w:rPr>
          <w:noProof/>
          <w:lang w:val="bg-BG"/>
        </w:rPr>
        <w:t>787</w:t>
      </w:r>
      <w:r>
        <w:rPr>
          <w:noProof/>
        </w:rPr>
        <w:t> </w:t>
      </w:r>
      <w:r>
        <w:rPr>
          <w:noProof/>
          <w:lang w:val="bg-BG"/>
        </w:rPr>
        <w:t>114</w:t>
      </w:r>
      <w:r>
        <w:rPr>
          <w:noProof/>
        </w:rPr>
        <w:t> EUR</w:t>
      </w:r>
    </w:p>
    <w:p>
      <w:pPr>
        <w:spacing w:before="100" w:beforeAutospacing="1" w:after="100" w:afterAutospacing="1"/>
        <w:jc w:val="both"/>
        <w:rPr>
          <w:rFonts w:eastAsiaTheme="minorHAnsi"/>
          <w:noProof/>
          <w:lang w:val="bg-BG" w:eastAsia="en-US"/>
        </w:rPr>
      </w:pPr>
      <w:r>
        <w:rPr>
          <w:noProof/>
          <w:lang w:val="bg-BG"/>
        </w:rPr>
        <w:t>В решението за финансиране на мерки за подкрепа</w:t>
      </w:r>
      <w:r>
        <w:rPr>
          <w:rStyle w:val="FootnoteReference"/>
          <w:rFonts w:eastAsiaTheme="minorHAnsi"/>
          <w:noProof/>
          <w:lang w:val="en-US" w:eastAsia="en-US"/>
        </w:rPr>
        <w:footnoteReference w:id="3"/>
      </w:r>
      <w:r>
        <w:rPr>
          <w:rFonts w:eastAsiaTheme="minorHAnsi"/>
          <w:noProof/>
          <w:lang w:val="bg-BG" w:eastAsia="en-US"/>
        </w:rPr>
        <w:t xml:space="preserve"> </w:t>
      </w:r>
      <w:r>
        <w:rPr>
          <w:noProof/>
          <w:lang w:val="bg-BG"/>
        </w:rPr>
        <w:t>се предвижда принос в размер на 7</w:t>
      </w:r>
      <w:r>
        <w:rPr>
          <w:noProof/>
        </w:rPr>
        <w:t> </w:t>
      </w:r>
      <w:r>
        <w:rPr>
          <w:noProof/>
          <w:lang w:val="bg-BG"/>
        </w:rPr>
        <w:t>151</w:t>
      </w:r>
      <w:r>
        <w:rPr>
          <w:noProof/>
        </w:rPr>
        <w:t> </w:t>
      </w:r>
      <w:r>
        <w:rPr>
          <w:noProof/>
          <w:lang w:val="bg-BG"/>
        </w:rPr>
        <w:t>722</w:t>
      </w:r>
      <w:r>
        <w:rPr>
          <w:noProof/>
        </w:rPr>
        <w:t> EUR</w:t>
      </w:r>
      <w:r>
        <w:rPr>
          <w:noProof/>
          <w:lang w:val="bg-BG"/>
        </w:rPr>
        <w:t>, включен в бюджетен ред 02 02 01 от общия бюджет на Европейския съюз за 2014</w:t>
      </w:r>
      <w:r>
        <w:rPr>
          <w:noProof/>
        </w:rPr>
        <w:t> </w:t>
      </w:r>
      <w:r>
        <w:rPr>
          <w:noProof/>
          <w:lang w:val="bg-BG"/>
        </w:rPr>
        <w:t>г</w:t>
      </w:r>
      <w:r>
        <w:rPr>
          <w:rFonts w:eastAsiaTheme="minorHAnsi"/>
          <w:noProof/>
          <w:lang w:val="bg-BG" w:eastAsia="en-US"/>
        </w:rPr>
        <w:t>.</w:t>
      </w:r>
    </w:p>
    <w:p>
      <w:pPr>
        <w:spacing w:before="100" w:beforeAutospacing="1" w:after="100" w:afterAutospacing="1"/>
        <w:jc w:val="both"/>
        <w:rPr>
          <w:rFonts w:eastAsiaTheme="minorHAnsi"/>
          <w:bCs/>
          <w:noProof/>
          <w:lang w:val="bg-BG" w:eastAsia="en-US"/>
        </w:rPr>
      </w:pPr>
      <w:r>
        <w:rPr>
          <w:noProof/>
          <w:lang w:val="bg-BG"/>
        </w:rPr>
        <w:t>Общият наличен бюджет, включително бюджетните кредити за административни разходи, за изпълнение на 36-те действия в работната програма за 2014</w:t>
      </w:r>
      <w:r>
        <w:rPr>
          <w:noProof/>
        </w:rPr>
        <w:t> </w:t>
      </w:r>
      <w:r>
        <w:rPr>
          <w:noProof/>
          <w:lang w:val="bg-BG"/>
        </w:rPr>
        <w:t>г. беше в размер на 258</w:t>
      </w:r>
      <w:r>
        <w:rPr>
          <w:noProof/>
        </w:rPr>
        <w:t> </w:t>
      </w:r>
      <w:r>
        <w:rPr>
          <w:noProof/>
          <w:lang w:val="bg-BG"/>
        </w:rPr>
        <w:t>983</w:t>
      </w:r>
      <w:r>
        <w:rPr>
          <w:noProof/>
        </w:rPr>
        <w:t> </w:t>
      </w:r>
      <w:r>
        <w:rPr>
          <w:noProof/>
          <w:lang w:val="bg-BG"/>
        </w:rPr>
        <w:t>630</w:t>
      </w:r>
      <w:r>
        <w:rPr>
          <w:noProof/>
        </w:rPr>
        <w:t> EUR</w:t>
      </w:r>
      <w:r>
        <w:rPr>
          <w:rFonts w:eastAsiaTheme="minorHAnsi"/>
          <w:bCs/>
          <w:noProof/>
          <w:lang w:val="bg-BG" w:eastAsia="en-US"/>
        </w:rPr>
        <w:t xml:space="preserve">. </w:t>
      </w:r>
    </w:p>
    <w:p>
      <w:pPr>
        <w:spacing w:before="100" w:beforeAutospacing="1" w:after="100" w:afterAutospacing="1"/>
        <w:jc w:val="both"/>
        <w:rPr>
          <w:noProof/>
          <w:lang w:val="bg-BG"/>
        </w:rPr>
      </w:pPr>
      <w:r>
        <w:rPr>
          <w:noProof/>
          <w:lang w:val="bg-BG"/>
        </w:rPr>
        <w:t>2014</w:t>
      </w:r>
      <w:r>
        <w:rPr>
          <w:noProof/>
        </w:rPr>
        <w:t> </w:t>
      </w:r>
      <w:r>
        <w:rPr>
          <w:noProof/>
          <w:lang w:val="bg-BG"/>
        </w:rPr>
        <w:t xml:space="preserve">г. беше преходна година от Рамковата програма за конкурентоспособност и инвестиции (ПКИ) към </w:t>
      </w:r>
      <w:r>
        <w:rPr>
          <w:noProof/>
        </w:rPr>
        <w:t>COSME</w:t>
      </w:r>
      <w:r>
        <w:rPr>
          <w:noProof/>
          <w:lang w:val="bg-BG"/>
        </w:rPr>
        <w:t xml:space="preserve"> с делегиране на изпълнението на нова изпълнителна агенция, подновяване на един от основните елементи на програмата — мрежата „</w:t>
      </w:r>
      <w:r>
        <w:rPr>
          <w:noProof/>
        </w:rPr>
        <w:t>Enterprise</w:t>
      </w:r>
      <w:r>
        <w:rPr>
          <w:noProof/>
          <w:lang w:val="bg-BG"/>
        </w:rPr>
        <w:t xml:space="preserve"> </w:t>
      </w:r>
      <w:r>
        <w:rPr>
          <w:noProof/>
        </w:rPr>
        <w:t>Europe</w:t>
      </w:r>
      <w:r>
        <w:rPr>
          <w:noProof/>
          <w:lang w:val="bg-BG"/>
        </w:rPr>
        <w:t>“, и създаването на два нови финансови инструмента — дългов и капиталов. ПКИ (2007—2013</w:t>
      </w:r>
      <w:r>
        <w:rPr>
          <w:noProof/>
        </w:rPr>
        <w:t> </w:t>
      </w:r>
      <w:r>
        <w:rPr>
          <w:noProof/>
          <w:lang w:val="bg-BG"/>
        </w:rPr>
        <w:t xml:space="preserve">г.) обхвана преходния период за тези два инструмента, за да се избегне прекъсване на дейностите. </w:t>
      </w:r>
    </w:p>
    <w:p>
      <w:pPr>
        <w:spacing w:before="100" w:beforeAutospacing="1" w:after="100" w:afterAutospacing="1"/>
        <w:jc w:val="both"/>
        <w:rPr>
          <w:noProof/>
          <w:lang w:val="bg-BG"/>
        </w:rPr>
      </w:pPr>
      <w:r>
        <w:rPr>
          <w:noProof/>
          <w:lang w:val="bg-BG"/>
        </w:rPr>
        <w:t>Възлагането на изпълнението на разходните програми на външни изпълнители бе осъществено, както бе заложено в Съобщението на Комисията относно делегирането на управлението на програмите за периода 2014—2020</w:t>
      </w:r>
      <w:r>
        <w:rPr>
          <w:noProof/>
        </w:rPr>
        <w:t> </w:t>
      </w:r>
      <w:r>
        <w:rPr>
          <w:noProof/>
          <w:lang w:val="bg-BG"/>
        </w:rPr>
        <w:t>г. на изпълнителните агенции</w:t>
      </w:r>
      <w:r>
        <w:rPr>
          <w:bCs/>
          <w:noProof/>
          <w:vertAlign w:val="superscript"/>
        </w:rPr>
        <w:footnoteReference w:id="4"/>
      </w:r>
      <w:r>
        <w:rPr>
          <w:noProof/>
          <w:lang w:val="bg-BG"/>
        </w:rPr>
        <w:t>. Изпълнителната агенция за малките и средните предприятия (</w:t>
      </w:r>
      <w:r>
        <w:rPr>
          <w:noProof/>
        </w:rPr>
        <w:t>EASME</w:t>
      </w:r>
      <w:r>
        <w:rPr>
          <w:noProof/>
          <w:lang w:val="bg-BG"/>
        </w:rPr>
        <w:t>) беше създадена с Решение за изпълнение на Комисията от 17 декември 2013</w:t>
      </w:r>
      <w:r>
        <w:rPr>
          <w:noProof/>
        </w:rPr>
        <w:t> </w:t>
      </w:r>
      <w:r>
        <w:rPr>
          <w:noProof/>
          <w:lang w:val="bg-BG"/>
        </w:rPr>
        <w:t>г.</w:t>
      </w:r>
      <w:r>
        <w:rPr>
          <w:bCs/>
          <w:noProof/>
          <w:vertAlign w:val="superscript"/>
        </w:rPr>
        <w:footnoteReference w:id="5"/>
      </w:r>
      <w:r>
        <w:rPr>
          <w:noProof/>
          <w:lang w:val="bg-BG"/>
        </w:rPr>
        <w:t xml:space="preserve"> и с Акта за делегиране, приет на 23 декември</w:t>
      </w:r>
      <w:r>
        <w:rPr>
          <w:bCs/>
          <w:noProof/>
          <w:vertAlign w:val="superscript"/>
        </w:rPr>
        <w:footnoteReference w:id="6"/>
      </w:r>
      <w:r>
        <w:rPr>
          <w:noProof/>
          <w:lang w:val="bg-BG"/>
        </w:rPr>
        <w:t>. ГД „Вътрешен пазар, промишленост, предприемачество и МСП“ е основната отговорна ГД за EASME</w:t>
      </w:r>
      <w:r>
        <w:rPr>
          <w:bCs/>
          <w:noProof/>
          <w:vertAlign w:val="superscript"/>
          <w:lang w:val="bg-BG"/>
        </w:rPr>
        <w:footnoteReference w:id="7"/>
      </w:r>
      <w:r>
        <w:rPr>
          <w:noProof/>
          <w:lang w:val="bg-BG"/>
        </w:rPr>
        <w:t>. Средно 92 % от дейностите по линия на COSME, с изключение на достъпа до финансиране, бяха делегирани на EASME.</w:t>
      </w:r>
    </w:p>
    <w:p>
      <w:pPr>
        <w:spacing w:before="100" w:beforeAutospacing="1" w:after="100" w:afterAutospacing="1"/>
        <w:jc w:val="both"/>
        <w:rPr>
          <w:noProof/>
          <w:lang w:val="bg-BG"/>
        </w:rPr>
      </w:pPr>
      <w:r>
        <w:rPr>
          <w:noProof/>
          <w:lang w:val="bg-BG"/>
        </w:rPr>
        <w:t>2014 г. беше белязана от големи предизвикателства за EASME. Агенцията управляваше бюджет в размер на почти 1100 милиона евро (в сравнение с 586 милиона евро през 2013 г.). Броят на персонала се увеличи от 144 (през 2013 г.) на 300 еквивалента на пълно работно време (ЕПРВ) до края на годината. Това породи проблеми, свързани с разрастването, които доведоха до забавяне в изпълнението. В резултат на това 78,8 милиона евро от делегираните 95,5 милиона евро по Програмата COSME бяха пренесени за изпълнението през 2015 г. През 2015 г. Агенцията се справи с изоставането в работата и достигна степен на изпълнение от 98,3 % по действията от 2014 г., пренесени към 2015 г.</w:t>
      </w:r>
    </w:p>
    <w:p>
      <w:pPr>
        <w:spacing w:before="100" w:beforeAutospacing="1" w:after="100" w:afterAutospacing="1"/>
        <w:jc w:val="both"/>
        <w:rPr>
          <w:noProof/>
          <w:lang w:val="bg-BG" w:eastAsia="de-DE"/>
        </w:rPr>
      </w:pPr>
      <w:r>
        <w:rPr>
          <w:noProof/>
          <w:lang w:val="bg-BG"/>
        </w:rPr>
        <w:t xml:space="preserve">Общо </w:t>
      </w:r>
      <w:r>
        <w:rPr>
          <w:b/>
          <w:noProof/>
          <w:lang w:val="bg-BG"/>
        </w:rPr>
        <w:t>бяха поети задължения за 99,23 % от наличните 258 983 милиона евро</w:t>
      </w:r>
      <w:r>
        <w:rPr>
          <w:noProof/>
          <w:lang w:val="bg-BG"/>
        </w:rPr>
        <w:t>. По отношение на плащанията степента на изпълнение беше средно 93,08 % вследствие на равнищата по отношение на административните разходи, докато при оперативните редове беше постигнато изпълнение от 100</w:t>
      </w:r>
      <w:r>
        <w:rPr>
          <w:noProof/>
        </w:rPr>
        <w:t> </w:t>
      </w:r>
      <w:r>
        <w:rPr>
          <w:noProof/>
          <w:lang w:val="bg-BG"/>
        </w:rPr>
        <w:t>%</w:t>
      </w:r>
      <w:r>
        <w:rPr>
          <w:noProof/>
          <w:lang w:val="bg-BG" w:eastAsia="de-DE"/>
        </w:rPr>
        <w:t>.</w:t>
      </w:r>
    </w:p>
    <w:p>
      <w:pPr>
        <w:spacing w:after="200" w:line="276" w:lineRule="auto"/>
        <w:rPr>
          <w:noProof/>
          <w:lang w:val="bg-BG" w:eastAsia="de-DE"/>
        </w:rPr>
      </w:pPr>
      <w:r>
        <w:rPr>
          <w:noProof/>
          <w:lang w:val="bg-BG" w:eastAsia="de-DE"/>
        </w:rPr>
        <w:br w:type="page"/>
      </w:r>
    </w:p>
    <w:p>
      <w:pPr>
        <w:spacing w:after="60"/>
        <w:rPr>
          <w:i/>
          <w:noProof/>
          <w:lang w:val="bg-BG"/>
        </w:rPr>
      </w:pPr>
      <w:r>
        <w:rPr>
          <w:i/>
          <w:noProof/>
          <w:lang w:val="bg-BG"/>
        </w:rPr>
        <w:t xml:space="preserve">Таблица: Общ бюджет, наличен за COSME през 2014 г. за поети задължения </w:t>
      </w:r>
    </w:p>
    <w:p>
      <w:pPr>
        <w:rPr>
          <w:noProof/>
          <w:lang w:val="bg-BG" w:eastAsia="de-DE"/>
        </w:rPr>
      </w:pPr>
    </w:p>
    <w:p>
      <w:pPr>
        <w:rPr>
          <w:b/>
          <w:noProof/>
          <w:u w:val="single"/>
          <w:lang w:val="bg-BG" w:eastAsia="de-DE"/>
        </w:rPr>
      </w:pPr>
      <w:r>
        <w:rPr>
          <w:b/>
          <w:noProof/>
          <w:u w:val="single"/>
          <w:lang w:val="bg-BG"/>
        </w:rPr>
        <w:t>Бюджетен ред 02 01 04 01 за административни разходи</w:t>
      </w:r>
      <w:r>
        <w:rPr>
          <w:b/>
          <w:noProof/>
          <w:u w:val="single"/>
          <w:lang w:val="bg-BG" w:eastAsia="de-DE"/>
        </w:rPr>
        <w:t xml:space="preserve"> </w:t>
      </w:r>
    </w:p>
    <w:p>
      <w:pPr>
        <w:rPr>
          <w:noProof/>
          <w:u w:val="single"/>
          <w:lang w:val="bg-BG" w:eastAsia="de-DE"/>
        </w:rPr>
      </w:pPr>
    </w:p>
    <w:p>
      <w:pPr>
        <w:rPr>
          <w:noProof/>
          <w:u w:val="single"/>
          <w:lang w:val="bg-BG" w:eastAsia="de-DE"/>
        </w:rPr>
      </w:pPr>
      <w:r>
        <w:rPr>
          <w:noProof/>
          <w:u w:val="single"/>
          <w:lang w:val="bg-BG"/>
        </w:rPr>
        <w:t>Гласуван бюджет, наличен след трансфери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4 212 210</w:t>
      </w:r>
    </w:p>
    <w:p>
      <w:pPr>
        <w:rPr>
          <w:noProof/>
          <w:u w:val="single"/>
          <w:lang w:val="bg-BG" w:eastAsia="de-DE"/>
        </w:rPr>
      </w:pPr>
      <w:r>
        <w:rPr>
          <w:noProof/>
          <w:u w:val="single"/>
          <w:lang w:val="bg-BG"/>
        </w:rPr>
        <w:t>Други външни целеви приходи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300 314</w:t>
      </w:r>
    </w:p>
    <w:p>
      <w:pPr>
        <w:rPr>
          <w:noProof/>
          <w:u w:val="single"/>
          <w:lang w:val="bg-BG" w:eastAsia="de-DE"/>
        </w:rPr>
      </w:pPr>
      <w:r>
        <w:rPr>
          <w:noProof/>
          <w:u w:val="single"/>
          <w:lang w:val="bg-BG"/>
        </w:rPr>
        <w:t>Вноски от трети държави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600 529</w:t>
      </w:r>
    </w:p>
    <w:p>
      <w:pPr>
        <w:rPr>
          <w:noProof/>
          <w:u w:val="single"/>
          <w:lang w:val="bg-BG" w:eastAsia="de-DE"/>
        </w:rPr>
      </w:pPr>
    </w:p>
    <w:p>
      <w:pPr>
        <w:rPr>
          <w:noProof/>
          <w:u w:val="single"/>
          <w:lang w:val="bg-BG" w:eastAsia="de-DE"/>
        </w:rPr>
      </w:pPr>
      <w:r>
        <w:rPr>
          <w:noProof/>
          <w:u w:val="single"/>
          <w:lang w:val="bg-BG"/>
        </w:rPr>
        <w:t>Общ бюджет, наличен за поети задължения</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5 118 063</w:t>
      </w:r>
    </w:p>
    <w:p>
      <w:pPr>
        <w:rPr>
          <w:noProof/>
          <w:u w:val="single"/>
          <w:lang w:val="bg-BG" w:eastAsia="de-DE"/>
        </w:rPr>
      </w:pPr>
    </w:p>
    <w:p>
      <w:pPr>
        <w:rPr>
          <w:noProof/>
          <w:u w:val="single"/>
          <w:lang w:val="bg-BG" w:eastAsia="de-DE"/>
        </w:rPr>
      </w:pPr>
    </w:p>
    <w:p>
      <w:pPr>
        <w:rPr>
          <w:rFonts w:eastAsiaTheme="minorHAnsi"/>
          <w:b/>
          <w:noProof/>
          <w:u w:val="single"/>
          <w:lang w:val="bg-BG" w:eastAsia="en-US"/>
        </w:rPr>
      </w:pPr>
      <w:r>
        <w:rPr>
          <w:b/>
          <w:noProof/>
          <w:u w:val="single"/>
          <w:lang w:val="bg-BG"/>
        </w:rPr>
        <w:t>Бюджетен ред 02 01 06 01 за функционирането на агенция EASME</w:t>
      </w:r>
      <w:r>
        <w:rPr>
          <w:rFonts w:eastAsiaTheme="minorHAnsi"/>
          <w:b/>
          <w:noProof/>
          <w:u w:val="single"/>
          <w:lang w:val="bg-BG" w:eastAsia="en-US"/>
        </w:rPr>
        <w:t xml:space="preserve"> </w:t>
      </w:r>
    </w:p>
    <w:p>
      <w:pPr>
        <w:rPr>
          <w:rFonts w:eastAsiaTheme="minorHAnsi"/>
          <w:noProof/>
          <w:lang w:val="bg-BG" w:eastAsia="en-US"/>
        </w:rPr>
      </w:pPr>
    </w:p>
    <w:p>
      <w:pPr>
        <w:rPr>
          <w:noProof/>
          <w:u w:val="single"/>
          <w:lang w:val="bg-BG" w:eastAsia="de-DE"/>
        </w:rPr>
      </w:pPr>
      <w:r>
        <w:rPr>
          <w:noProof/>
          <w:u w:val="single"/>
          <w:lang w:val="bg-BG"/>
        </w:rPr>
        <w:t>Гласуван бюджет, наличен след трансфери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 xml:space="preserve"> 6 496 350</w:t>
      </w:r>
    </w:p>
    <w:p>
      <w:pPr>
        <w:rPr>
          <w:noProof/>
          <w:u w:val="single"/>
          <w:lang w:val="bg-BG" w:eastAsia="de-DE"/>
        </w:rPr>
      </w:pPr>
      <w:r>
        <w:rPr>
          <w:noProof/>
          <w:u w:val="single"/>
          <w:lang w:val="bg-BG"/>
        </w:rPr>
        <w:t>Други външни целеви приходи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166 769</w:t>
      </w:r>
    </w:p>
    <w:p>
      <w:pPr>
        <w:rPr>
          <w:noProof/>
          <w:u w:val="single"/>
          <w:lang w:val="bg-BG" w:eastAsia="de-DE"/>
        </w:rPr>
      </w:pPr>
      <w:r>
        <w:rPr>
          <w:noProof/>
          <w:u w:val="single"/>
          <w:lang w:val="bg-BG"/>
        </w:rPr>
        <w:t>Вноски от трети държави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 xml:space="preserve">        3984</w:t>
      </w:r>
    </w:p>
    <w:p>
      <w:pPr>
        <w:rPr>
          <w:noProof/>
          <w:u w:val="single"/>
          <w:lang w:val="bg-BG" w:eastAsia="de-DE"/>
        </w:rPr>
      </w:pPr>
    </w:p>
    <w:p>
      <w:pPr>
        <w:rPr>
          <w:noProof/>
          <w:u w:val="single"/>
          <w:lang w:val="bg-BG" w:eastAsia="de-DE"/>
        </w:rPr>
      </w:pPr>
    </w:p>
    <w:p>
      <w:pPr>
        <w:rPr>
          <w:noProof/>
          <w:u w:val="single"/>
          <w:lang w:val="bg-BG" w:eastAsia="de-DE"/>
        </w:rPr>
      </w:pPr>
      <w:r>
        <w:rPr>
          <w:noProof/>
          <w:u w:val="single"/>
          <w:lang w:val="bg-BG"/>
        </w:rPr>
        <w:t>Общ бюджет, наличен за поети задължения</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 xml:space="preserve"> 6 667 313</w:t>
      </w:r>
    </w:p>
    <w:p>
      <w:pPr>
        <w:rPr>
          <w:noProof/>
          <w:u w:val="single"/>
          <w:lang w:val="bg-BG" w:eastAsia="de-DE"/>
        </w:rPr>
      </w:pPr>
    </w:p>
    <w:p>
      <w:pPr>
        <w:rPr>
          <w:b/>
          <w:noProof/>
          <w:u w:val="single"/>
          <w:lang w:val="bg-BG" w:eastAsia="de-DE"/>
        </w:rPr>
      </w:pPr>
      <w:r>
        <w:rPr>
          <w:b/>
          <w:noProof/>
          <w:u w:val="single"/>
          <w:lang w:val="bg-BG"/>
        </w:rPr>
        <w:t>Бюджетен ред 02 02 01 за всички други оперативни разходи</w:t>
      </w:r>
    </w:p>
    <w:p>
      <w:pPr>
        <w:rPr>
          <w:noProof/>
          <w:u w:val="single"/>
          <w:lang w:val="bg-BG" w:eastAsia="de-DE"/>
        </w:rPr>
      </w:pPr>
    </w:p>
    <w:p>
      <w:pPr>
        <w:rPr>
          <w:noProof/>
          <w:u w:val="single"/>
          <w:lang w:val="bg-BG" w:eastAsia="de-DE"/>
        </w:rPr>
      </w:pPr>
      <w:r>
        <w:rPr>
          <w:noProof/>
          <w:u w:val="single"/>
          <w:lang w:val="bg-BG"/>
        </w:rPr>
        <w:t>Гласуван бюджет, наличен след трансфери</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 xml:space="preserve"> 102 709 687</w:t>
      </w:r>
    </w:p>
    <w:p>
      <w:pPr>
        <w:rPr>
          <w:noProof/>
          <w:u w:val="single"/>
          <w:lang w:val="bg-BG" w:eastAsia="de-DE"/>
        </w:rPr>
      </w:pPr>
      <w:r>
        <w:rPr>
          <w:noProof/>
          <w:u w:val="single"/>
          <w:lang w:val="bg-BG"/>
        </w:rPr>
        <w:t>Целеви приходи без пренос на остатъчни бюджетни кредити</w:t>
      </w:r>
      <w:r>
        <w:rPr>
          <w:noProof/>
          <w:u w:val="single"/>
          <w:lang w:val="bg-BG" w:eastAsia="de-DE"/>
        </w:rPr>
        <w:t>:</w:t>
      </w:r>
      <w:r>
        <w:rPr>
          <w:noProof/>
          <w:u w:val="single"/>
          <w:lang w:val="bg-BG" w:eastAsia="de-DE"/>
        </w:rPr>
        <w:tab/>
        <w:t xml:space="preserve">     3 619 285</w:t>
      </w:r>
    </w:p>
    <w:p>
      <w:pPr>
        <w:rPr>
          <w:noProof/>
          <w:u w:val="single"/>
          <w:lang w:val="bg-BG" w:eastAsia="de-DE"/>
        </w:rPr>
      </w:pPr>
      <w:r>
        <w:rPr>
          <w:noProof/>
          <w:u w:val="single"/>
          <w:lang w:val="bg-BG"/>
        </w:rPr>
        <w:t>Вноска на ЕАСТ</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 xml:space="preserve">          82 168</w:t>
      </w:r>
    </w:p>
    <w:p>
      <w:pPr>
        <w:rPr>
          <w:noProof/>
          <w:u w:val="single"/>
          <w:lang w:val="bg-BG" w:eastAsia="de-DE"/>
        </w:rPr>
      </w:pPr>
    </w:p>
    <w:p>
      <w:pPr>
        <w:rPr>
          <w:noProof/>
          <w:u w:val="single"/>
          <w:lang w:val="bg-BG" w:eastAsia="de-DE"/>
        </w:rPr>
      </w:pPr>
      <w:r>
        <w:rPr>
          <w:noProof/>
          <w:u w:val="single"/>
          <w:lang w:val="bg-BG"/>
        </w:rPr>
        <w:t>Общ бюджет, наличен за поети задължения</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 xml:space="preserve">  106 411 140</w:t>
      </w:r>
    </w:p>
    <w:p>
      <w:pPr>
        <w:rPr>
          <w:noProof/>
          <w:u w:val="single"/>
          <w:lang w:val="bg-BG" w:eastAsia="de-DE"/>
        </w:rPr>
      </w:pPr>
    </w:p>
    <w:p>
      <w:pPr>
        <w:rPr>
          <w:noProof/>
          <w:u w:val="single"/>
          <w:lang w:val="bg-BG" w:eastAsia="de-DE"/>
        </w:rPr>
      </w:pPr>
    </w:p>
    <w:p>
      <w:pPr>
        <w:rPr>
          <w:b/>
          <w:noProof/>
          <w:u w:val="single"/>
          <w:lang w:val="bg-BG" w:eastAsia="de-DE"/>
        </w:rPr>
      </w:pPr>
      <w:r>
        <w:rPr>
          <w:b/>
          <w:noProof/>
          <w:u w:val="single"/>
          <w:lang w:val="bg-BG"/>
        </w:rPr>
        <w:t>Бюджетен ред 02 02 02 за достъп до финансиране на оперативни разходи</w:t>
      </w:r>
      <w:r>
        <w:rPr>
          <w:b/>
          <w:noProof/>
          <w:u w:val="single"/>
          <w:lang w:val="bg-BG" w:eastAsia="de-DE"/>
        </w:rPr>
        <w:t xml:space="preserve"> </w:t>
      </w:r>
    </w:p>
    <w:p>
      <w:pPr>
        <w:rPr>
          <w:noProof/>
          <w:u w:val="single"/>
          <w:lang w:val="bg-BG" w:eastAsia="de-DE"/>
        </w:rPr>
      </w:pPr>
    </w:p>
    <w:p>
      <w:pPr>
        <w:rPr>
          <w:noProof/>
          <w:u w:val="single"/>
          <w:lang w:val="bg-BG" w:eastAsia="de-DE"/>
        </w:rPr>
      </w:pPr>
      <w:r>
        <w:rPr>
          <w:noProof/>
          <w:u w:val="single"/>
          <w:lang w:val="bg-BG"/>
        </w:rPr>
        <w:t>Гласуван бюджет</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 xml:space="preserve"> </w:t>
      </w:r>
      <w:r>
        <w:rPr>
          <w:noProof/>
          <w:u w:val="single"/>
          <w:lang w:val="bg-BG" w:eastAsia="de-DE"/>
        </w:rPr>
        <w:tab/>
      </w:r>
      <w:r>
        <w:rPr>
          <w:noProof/>
          <w:u w:val="single"/>
          <w:lang w:val="bg-BG" w:eastAsia="de-DE"/>
        </w:rPr>
        <w:tab/>
      </w:r>
      <w:r>
        <w:rPr>
          <w:noProof/>
          <w:u w:val="single"/>
          <w:lang w:val="bg-BG" w:eastAsia="de-DE"/>
        </w:rPr>
        <w:tab/>
      </w:r>
      <w:r>
        <w:rPr>
          <w:noProof/>
          <w:lang w:val="bg-BG" w:eastAsia="en-US"/>
        </w:rPr>
        <w:t>161 907 588</w:t>
      </w:r>
    </w:p>
    <w:p>
      <w:pPr>
        <w:rPr>
          <w:noProof/>
          <w:u w:val="single"/>
          <w:lang w:val="bg-BG" w:eastAsia="de-DE"/>
        </w:rPr>
      </w:pPr>
      <w:r>
        <w:rPr>
          <w:noProof/>
          <w:u w:val="single"/>
          <w:lang w:val="bg-BG"/>
        </w:rPr>
        <w:t>Трансфер за увеличение на капитала на ЕИФ</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 xml:space="preserve"> -21 250 000</w:t>
      </w:r>
    </w:p>
    <w:p>
      <w:pPr>
        <w:rPr>
          <w:noProof/>
          <w:u w:val="single"/>
          <w:lang w:val="bg-BG" w:eastAsia="de-DE"/>
        </w:rPr>
      </w:pPr>
      <w:r>
        <w:rPr>
          <w:noProof/>
          <w:u w:val="single"/>
          <w:lang w:val="bg-BG"/>
        </w:rPr>
        <w:t>Вноска на ЕАСТ</w:t>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r>
      <w:r>
        <w:rPr>
          <w:noProof/>
          <w:u w:val="single"/>
          <w:lang w:val="bg-BG" w:eastAsia="de-DE"/>
        </w:rPr>
        <w:tab/>
        <w:t xml:space="preserve">       129 526</w:t>
      </w:r>
    </w:p>
    <w:p>
      <w:pPr>
        <w:rPr>
          <w:noProof/>
          <w:u w:val="single"/>
          <w:lang w:val="bg-BG" w:eastAsia="de-DE"/>
        </w:rPr>
      </w:pPr>
    </w:p>
    <w:p>
      <w:pPr>
        <w:rPr>
          <w:noProof/>
          <w:u w:val="single"/>
          <w:lang w:val="bg-BG" w:eastAsia="de-DE"/>
        </w:rPr>
      </w:pPr>
      <w:r>
        <w:rPr>
          <w:noProof/>
          <w:u w:val="single"/>
          <w:lang w:val="bg-BG"/>
        </w:rPr>
        <w:t>Общ бюджет, наличен за поети задължения</w:t>
      </w:r>
      <w:r>
        <w:rPr>
          <w:noProof/>
          <w:u w:val="single"/>
          <w:lang w:val="bg-BG" w:eastAsia="de-DE"/>
        </w:rPr>
        <w:t>:</w:t>
      </w:r>
      <w:r>
        <w:rPr>
          <w:noProof/>
          <w:u w:val="single"/>
          <w:lang w:val="bg-BG" w:eastAsia="de-DE"/>
        </w:rPr>
        <w:tab/>
      </w:r>
      <w:r>
        <w:rPr>
          <w:noProof/>
          <w:u w:val="single"/>
          <w:lang w:val="bg-BG" w:eastAsia="de-DE"/>
        </w:rPr>
        <w:tab/>
      </w:r>
      <w:r>
        <w:rPr>
          <w:noProof/>
          <w:u w:val="single"/>
          <w:lang w:val="bg-BG" w:eastAsia="de-DE"/>
        </w:rPr>
        <w:tab/>
        <w:t xml:space="preserve">  140 787 114</w:t>
      </w:r>
    </w:p>
    <w:p>
      <w:pPr>
        <w:rPr>
          <w:noProof/>
          <w:u w:val="single"/>
          <w:lang w:val="bg-BG" w:eastAsia="de-DE"/>
        </w:rPr>
      </w:pPr>
      <w:r>
        <w:rPr>
          <w:noProof/>
          <w:u w:val="single"/>
          <w:lang w:val="bg-BG" w:eastAsia="de-DE"/>
        </w:rPr>
        <w:tab/>
      </w:r>
    </w:p>
    <w:p>
      <w:pPr>
        <w:rPr>
          <w:noProof/>
          <w:u w:val="single"/>
          <w:lang w:val="bg-BG"/>
        </w:rPr>
        <w:sectPr>
          <w:headerReference w:type="even" r:id="rId16"/>
          <w:headerReference w:type="default" r:id="rId17"/>
          <w:footerReference w:type="even" r:id="rId18"/>
          <w:footerReference w:type="default" r:id="rId19"/>
          <w:headerReference w:type="first" r:id="rId20"/>
          <w:footerReference w:type="first" r:id="rId21"/>
          <w:pgSz w:w="11906" w:h="16838"/>
          <w:pgMar w:top="1247" w:right="1418" w:bottom="1134" w:left="1418" w:header="709" w:footer="709" w:gutter="0"/>
          <w:cols w:space="720"/>
        </w:sectPr>
      </w:pPr>
      <w:r>
        <w:rPr>
          <w:noProof/>
          <w:u w:val="single"/>
          <w:lang w:val="bg-BG" w:eastAsia="de-DE"/>
        </w:rPr>
        <w:br w:type="page"/>
      </w:r>
    </w:p>
    <w:p>
      <w:pPr>
        <w:spacing w:after="60"/>
        <w:rPr>
          <w:i/>
          <w:noProof/>
          <w:lang w:val="bg-BG"/>
        </w:rPr>
      </w:pPr>
      <w:r>
        <w:rPr>
          <w:i/>
          <w:noProof/>
          <w:lang w:val="bg-BG"/>
        </w:rPr>
        <w:t xml:space="preserve">Таблица: изпълнение на бюджета на </w:t>
      </w:r>
      <w:r>
        <w:rPr>
          <w:i/>
          <w:noProof/>
        </w:rPr>
        <w:t>COSME</w:t>
      </w:r>
      <w:r>
        <w:rPr>
          <w:i/>
          <w:noProof/>
          <w:lang w:val="bg-BG"/>
        </w:rPr>
        <w:t xml:space="preserve"> през 2014 г.</w:t>
      </w:r>
    </w:p>
    <w:p>
      <w:pPr>
        <w:spacing w:after="60"/>
        <w:rPr>
          <w:noProof/>
          <w:lang w:val="bg-BG"/>
        </w:rPr>
      </w:pPr>
    </w:p>
    <w:p>
      <w:pPr>
        <w:spacing w:after="60"/>
        <w:rPr>
          <w:noProof/>
          <w:lang w:val="bg-BG"/>
        </w:rPr>
      </w:pPr>
    </w:p>
    <w:p>
      <w:pPr>
        <w:spacing w:after="60"/>
        <w:rPr>
          <w:noProof/>
          <w:lang w:val="bg-BG"/>
        </w:rPr>
      </w:pPr>
    </w:p>
    <w:tbl>
      <w:tblPr>
        <w:tblW w:w="6650" w:type="pct"/>
        <w:tblCellMar>
          <w:left w:w="70" w:type="dxa"/>
          <w:right w:w="70" w:type="dxa"/>
        </w:tblCellMar>
        <w:tblLook w:val="04A0" w:firstRow="1" w:lastRow="0" w:firstColumn="1" w:lastColumn="0" w:noHBand="0" w:noVBand="1"/>
      </w:tblPr>
      <w:tblGrid>
        <w:gridCol w:w="146"/>
        <w:gridCol w:w="1525"/>
        <w:gridCol w:w="2667"/>
        <w:gridCol w:w="1040"/>
        <w:gridCol w:w="1040"/>
        <w:gridCol w:w="1070"/>
        <w:gridCol w:w="950"/>
        <w:gridCol w:w="1021"/>
        <w:gridCol w:w="1070"/>
        <w:gridCol w:w="673"/>
        <w:gridCol w:w="900"/>
        <w:gridCol w:w="903"/>
      </w:tblGrid>
      <w:tr>
        <w:trPr>
          <w:gridAfter w:val="3"/>
          <w:wAfter w:w="1180" w:type="pct"/>
          <w:trHeight w:val="255"/>
        </w:trPr>
        <w:tc>
          <w:tcPr>
            <w:tcW w:w="65" w:type="pct"/>
            <w:noWrap/>
            <w:vAlign w:val="bottom"/>
            <w:hideMark/>
          </w:tcPr>
          <w:p>
            <w:pPr>
              <w:spacing w:after="200" w:line="276" w:lineRule="auto"/>
              <w:rPr>
                <w:rFonts w:asciiTheme="minorHAnsi" w:eastAsiaTheme="minorHAnsi" w:hAnsiTheme="minorHAnsi" w:cstheme="minorBidi"/>
                <w:noProof/>
                <w:lang w:val="bg-BG" w:eastAsia="en-US"/>
              </w:rPr>
            </w:pPr>
          </w:p>
        </w:tc>
        <w:tc>
          <w:tcPr>
            <w:tcW w:w="458" w:type="pct"/>
            <w:shd w:val="clear" w:color="auto" w:fill="FFFFFF"/>
            <w:vAlign w:val="center"/>
            <w:hideMark/>
          </w:tcPr>
          <w:p>
            <w:pPr>
              <w:spacing w:line="276" w:lineRule="auto"/>
              <w:rPr>
                <w:noProof/>
                <w:color w:val="000000"/>
                <w:sz w:val="18"/>
                <w:szCs w:val="18"/>
                <w:lang w:val="bg-BG" w:eastAsia="es-ES_tradnl"/>
              </w:rPr>
            </w:pPr>
            <w:r>
              <w:rPr>
                <w:noProof/>
                <w:color w:val="000000"/>
                <w:sz w:val="18"/>
                <w:szCs w:val="18"/>
                <w:lang w:eastAsia="es-ES_tradnl"/>
              </w:rPr>
              <w:t> </w:t>
            </w:r>
          </w:p>
        </w:tc>
        <w:tc>
          <w:tcPr>
            <w:tcW w:w="915" w:type="pct"/>
            <w:shd w:val="clear" w:color="auto" w:fill="FFFFFF"/>
            <w:vAlign w:val="center"/>
            <w:hideMark/>
          </w:tcPr>
          <w:p>
            <w:pPr>
              <w:spacing w:line="276" w:lineRule="auto"/>
              <w:rPr>
                <w:noProof/>
                <w:color w:val="000000"/>
                <w:sz w:val="18"/>
                <w:szCs w:val="18"/>
                <w:lang w:val="bg-BG" w:eastAsia="es-ES_tradnl"/>
              </w:rPr>
            </w:pPr>
            <w:r>
              <w:rPr>
                <w:noProof/>
                <w:color w:val="000000"/>
                <w:sz w:val="18"/>
                <w:szCs w:val="18"/>
                <w:lang w:eastAsia="es-ES_tradnl"/>
              </w:rPr>
              <w:t> </w:t>
            </w:r>
          </w:p>
        </w:tc>
        <w:tc>
          <w:tcPr>
            <w:tcW w:w="1222" w:type="pct"/>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pPr>
              <w:spacing w:line="276" w:lineRule="auto"/>
              <w:jc w:val="center"/>
              <w:rPr>
                <w:noProof/>
                <w:color w:val="000000"/>
                <w:sz w:val="18"/>
                <w:szCs w:val="18"/>
                <w:lang w:val="bg-BG" w:eastAsia="es-ES_tradnl"/>
              </w:rPr>
            </w:pPr>
          </w:p>
          <w:p>
            <w:pPr>
              <w:spacing w:line="276" w:lineRule="auto"/>
              <w:jc w:val="center"/>
              <w:rPr>
                <w:b/>
                <w:bCs/>
                <w:noProof/>
                <w:color w:val="000000"/>
                <w:sz w:val="18"/>
                <w:szCs w:val="18"/>
                <w:lang w:eastAsia="es-ES_tradnl"/>
              </w:rPr>
            </w:pPr>
            <w:r>
              <w:rPr>
                <w:b/>
                <w:bCs/>
                <w:noProof/>
                <w:color w:val="000000"/>
                <w:sz w:val="18"/>
                <w:szCs w:val="18"/>
                <w:lang w:val="bg-BG" w:eastAsia="es-ES_tradnl"/>
              </w:rPr>
              <w:t>Поети задължения</w:t>
            </w:r>
            <w:r>
              <w:rPr>
                <w:rStyle w:val="FootnoteReference"/>
                <w:b/>
                <w:bCs/>
                <w:noProof/>
                <w:color w:val="000000"/>
                <w:sz w:val="18"/>
                <w:szCs w:val="18"/>
                <w:lang w:eastAsia="es-ES_tradnl"/>
              </w:rPr>
              <w:footnoteReference w:id="8"/>
            </w:r>
          </w:p>
        </w:tc>
        <w:tc>
          <w:tcPr>
            <w:tcW w:w="1159" w:type="pct"/>
            <w:gridSpan w:val="3"/>
            <w:tcBorders>
              <w:top w:val="single" w:sz="4" w:space="0" w:color="000000"/>
              <w:left w:val="nil"/>
              <w:bottom w:val="single" w:sz="4" w:space="0" w:color="000000"/>
              <w:right w:val="single" w:sz="4" w:space="0" w:color="000000"/>
            </w:tcBorders>
            <w:shd w:val="clear" w:color="auto" w:fill="C0C0C0"/>
            <w:vAlign w:val="center"/>
            <w:hideMark/>
          </w:tcPr>
          <w:p>
            <w:pPr>
              <w:spacing w:line="276" w:lineRule="auto"/>
              <w:jc w:val="right"/>
              <w:rPr>
                <w:noProof/>
                <w:color w:val="000000"/>
                <w:sz w:val="18"/>
                <w:szCs w:val="18"/>
                <w:lang w:eastAsia="es-ES_tradnl"/>
              </w:rPr>
            </w:pPr>
            <w:r>
              <w:rPr>
                <w:noProof/>
                <w:color w:val="000000"/>
                <w:sz w:val="18"/>
                <w:szCs w:val="18"/>
                <w:lang w:eastAsia="es-ES_tradnl"/>
              </w:rPr>
              <w:t> </w:t>
            </w:r>
          </w:p>
          <w:p>
            <w:pPr>
              <w:spacing w:line="276" w:lineRule="auto"/>
              <w:jc w:val="center"/>
              <w:rPr>
                <w:b/>
                <w:bCs/>
                <w:noProof/>
                <w:color w:val="000000"/>
                <w:sz w:val="18"/>
                <w:szCs w:val="18"/>
                <w:lang w:eastAsia="es-ES_tradnl"/>
              </w:rPr>
            </w:pPr>
            <w:r>
              <w:rPr>
                <w:b/>
                <w:bCs/>
                <w:noProof/>
                <w:color w:val="000000"/>
                <w:sz w:val="18"/>
                <w:szCs w:val="18"/>
                <w:lang w:val="bg-BG" w:eastAsia="es-ES_tradnl"/>
              </w:rPr>
              <w:t>Плащания</w:t>
            </w:r>
            <w:r>
              <w:rPr>
                <w:rStyle w:val="FootnoteReference"/>
                <w:b/>
                <w:bCs/>
                <w:noProof/>
                <w:color w:val="000000"/>
                <w:sz w:val="18"/>
                <w:szCs w:val="18"/>
                <w:lang w:eastAsia="es-ES_tradnl"/>
              </w:rPr>
              <w:footnoteReference w:id="9"/>
            </w:r>
          </w:p>
          <w:p>
            <w:pPr>
              <w:spacing w:line="276" w:lineRule="auto"/>
              <w:jc w:val="right"/>
              <w:rPr>
                <w:noProof/>
                <w:color w:val="000000"/>
                <w:sz w:val="18"/>
                <w:szCs w:val="18"/>
                <w:lang w:eastAsia="es-ES_tradnl"/>
              </w:rPr>
            </w:pPr>
            <w:r>
              <w:rPr>
                <w:noProof/>
                <w:color w:val="000000"/>
                <w:sz w:val="18"/>
                <w:szCs w:val="18"/>
                <w:lang w:eastAsia="es-ES_tradnl"/>
              </w:rPr>
              <w:t> </w:t>
            </w:r>
          </w:p>
        </w:tc>
      </w:tr>
      <w:tr>
        <w:trPr>
          <w:gridAfter w:val="3"/>
          <w:wAfter w:w="1180" w:type="pct"/>
          <w:trHeight w:val="765"/>
        </w:trPr>
        <w:tc>
          <w:tcPr>
            <w:tcW w:w="65" w:type="pct"/>
            <w:noWrap/>
            <w:vAlign w:val="bottom"/>
            <w:hideMark/>
          </w:tcPr>
          <w:p>
            <w:pPr>
              <w:spacing w:line="276" w:lineRule="auto"/>
              <w:rPr>
                <w:rFonts w:asciiTheme="minorHAnsi" w:eastAsiaTheme="minorHAnsi" w:hAnsiTheme="minorHAnsi" w:cstheme="minorBidi"/>
                <w:noProof/>
                <w:lang w:eastAsia="en-US"/>
              </w:rPr>
            </w:pPr>
          </w:p>
        </w:tc>
        <w:tc>
          <w:tcPr>
            <w:tcW w:w="458" w:type="pct"/>
            <w:tcBorders>
              <w:top w:val="single" w:sz="4" w:space="0" w:color="000000"/>
              <w:left w:val="single" w:sz="4" w:space="0" w:color="000000"/>
              <w:bottom w:val="nil"/>
              <w:right w:val="single" w:sz="4" w:space="0" w:color="000000"/>
            </w:tcBorders>
            <w:shd w:val="clear" w:color="auto" w:fill="C0C0C0"/>
            <w:vAlign w:val="center"/>
            <w:hideMark/>
          </w:tcPr>
          <w:p>
            <w:pPr>
              <w:spacing w:line="276" w:lineRule="auto"/>
              <w:rPr>
                <w:noProof/>
                <w:color w:val="000000"/>
                <w:sz w:val="18"/>
                <w:szCs w:val="18"/>
                <w:lang w:val="bg-BG" w:eastAsia="es-ES_tradnl"/>
              </w:rPr>
            </w:pPr>
            <w:r>
              <w:rPr>
                <w:noProof/>
                <w:color w:val="000000"/>
                <w:sz w:val="18"/>
                <w:szCs w:val="18"/>
                <w:lang w:val="bg-BG" w:eastAsia="es-ES_tradnl"/>
              </w:rPr>
              <w:t>Бюджетен ред</w:t>
            </w:r>
          </w:p>
        </w:tc>
        <w:tc>
          <w:tcPr>
            <w:tcW w:w="915" w:type="pct"/>
            <w:tcBorders>
              <w:top w:val="single" w:sz="4" w:space="0" w:color="000000"/>
              <w:left w:val="nil"/>
              <w:bottom w:val="nil"/>
              <w:right w:val="single" w:sz="4" w:space="0" w:color="000000"/>
            </w:tcBorders>
            <w:shd w:val="clear" w:color="auto" w:fill="C0C0C0"/>
            <w:vAlign w:val="center"/>
            <w:hideMark/>
          </w:tcPr>
          <w:p>
            <w:pPr>
              <w:spacing w:line="276" w:lineRule="auto"/>
              <w:rPr>
                <w:noProof/>
                <w:color w:val="000000"/>
                <w:sz w:val="18"/>
                <w:szCs w:val="18"/>
                <w:lang w:eastAsia="es-ES_tradnl"/>
              </w:rPr>
            </w:pPr>
            <w:r>
              <w:rPr>
                <w:noProof/>
                <w:color w:val="000000"/>
                <w:sz w:val="18"/>
                <w:szCs w:val="18"/>
                <w:lang w:eastAsia="es-ES_tradnl"/>
              </w:rPr>
              <w:t> </w:t>
            </w:r>
          </w:p>
        </w:tc>
        <w:tc>
          <w:tcPr>
            <w:tcW w:w="433" w:type="pct"/>
            <w:tcBorders>
              <w:top w:val="nil"/>
              <w:left w:val="nil"/>
              <w:bottom w:val="nil"/>
              <w:right w:val="single" w:sz="4" w:space="0" w:color="000000"/>
            </w:tcBorders>
            <w:shd w:val="clear" w:color="auto" w:fill="C0C0C0"/>
            <w:vAlign w:val="center"/>
            <w:hideMark/>
          </w:tcPr>
          <w:p>
            <w:pPr>
              <w:spacing w:line="276" w:lineRule="auto"/>
              <w:jc w:val="center"/>
              <w:rPr>
                <w:noProof/>
                <w:color w:val="000000"/>
                <w:sz w:val="18"/>
                <w:szCs w:val="18"/>
                <w:lang w:val="bg-BG" w:eastAsia="es-ES_tradnl"/>
              </w:rPr>
            </w:pPr>
            <w:r>
              <w:rPr>
                <w:noProof/>
                <w:color w:val="000000"/>
                <w:sz w:val="18"/>
                <w:szCs w:val="18"/>
                <w:lang w:val="bg-BG" w:eastAsia="es-ES_tradnl"/>
              </w:rPr>
              <w:t>Наличен бюджет</w:t>
            </w:r>
          </w:p>
        </w:tc>
        <w:tc>
          <w:tcPr>
            <w:tcW w:w="432" w:type="pct"/>
            <w:tcBorders>
              <w:top w:val="nil"/>
              <w:left w:val="nil"/>
              <w:bottom w:val="nil"/>
              <w:right w:val="single" w:sz="4" w:space="0" w:color="000000"/>
            </w:tcBorders>
            <w:shd w:val="clear" w:color="auto" w:fill="C0C0C0"/>
            <w:vAlign w:val="center"/>
            <w:hideMark/>
          </w:tcPr>
          <w:p>
            <w:pPr>
              <w:spacing w:line="276" w:lineRule="auto"/>
              <w:jc w:val="center"/>
              <w:rPr>
                <w:noProof/>
                <w:color w:val="000000"/>
                <w:sz w:val="18"/>
                <w:szCs w:val="18"/>
                <w:lang w:val="bg-BG" w:eastAsia="es-ES_tradnl"/>
              </w:rPr>
            </w:pPr>
            <w:r>
              <w:rPr>
                <w:noProof/>
                <w:color w:val="000000"/>
                <w:sz w:val="18"/>
                <w:szCs w:val="18"/>
                <w:lang w:val="bg-BG" w:eastAsia="es-ES_tradnl"/>
              </w:rPr>
              <w:t>Изпълнен бюджет</w:t>
            </w:r>
          </w:p>
        </w:tc>
        <w:tc>
          <w:tcPr>
            <w:tcW w:w="357" w:type="pct"/>
            <w:tcBorders>
              <w:top w:val="nil"/>
              <w:left w:val="nil"/>
              <w:bottom w:val="nil"/>
              <w:right w:val="single" w:sz="4" w:space="0" w:color="000000"/>
            </w:tcBorders>
            <w:shd w:val="clear" w:color="auto" w:fill="C0C0C0"/>
            <w:vAlign w:val="center"/>
            <w:hideMark/>
          </w:tcPr>
          <w:p>
            <w:pPr>
              <w:spacing w:line="276" w:lineRule="auto"/>
              <w:jc w:val="center"/>
              <w:rPr>
                <w:noProof/>
                <w:color w:val="000000"/>
                <w:sz w:val="18"/>
                <w:szCs w:val="18"/>
                <w:lang w:val="bg-BG" w:eastAsia="es-ES_tradnl"/>
              </w:rPr>
            </w:pPr>
            <w:r>
              <w:rPr>
                <w:noProof/>
                <w:color w:val="000000"/>
                <w:sz w:val="18"/>
                <w:szCs w:val="18"/>
                <w:lang w:val="bg-BG" w:eastAsia="es-ES_tradnl"/>
              </w:rPr>
              <w:t>Изпълнение</w:t>
            </w:r>
          </w:p>
          <w:p>
            <w:pPr>
              <w:spacing w:line="276" w:lineRule="auto"/>
              <w:jc w:val="center"/>
              <w:rPr>
                <w:noProof/>
                <w:color w:val="000000"/>
                <w:sz w:val="18"/>
                <w:szCs w:val="18"/>
                <w:lang w:eastAsia="es-ES_tradnl"/>
              </w:rPr>
            </w:pPr>
            <w:r>
              <w:rPr>
                <w:noProof/>
                <w:color w:val="000000"/>
                <w:sz w:val="18"/>
                <w:szCs w:val="18"/>
                <w:lang w:eastAsia="es-ES_tradnl"/>
              </w:rPr>
              <w:t>%</w:t>
            </w:r>
          </w:p>
        </w:tc>
        <w:tc>
          <w:tcPr>
            <w:tcW w:w="393" w:type="pct"/>
            <w:tcBorders>
              <w:top w:val="nil"/>
              <w:left w:val="nil"/>
              <w:bottom w:val="nil"/>
              <w:right w:val="single" w:sz="4" w:space="0" w:color="000000"/>
            </w:tcBorders>
            <w:shd w:val="clear" w:color="auto" w:fill="C0C0C0"/>
            <w:vAlign w:val="center"/>
            <w:hideMark/>
          </w:tcPr>
          <w:p>
            <w:pPr>
              <w:spacing w:line="276" w:lineRule="auto"/>
              <w:jc w:val="center"/>
              <w:rPr>
                <w:noProof/>
                <w:color w:val="000000"/>
                <w:sz w:val="18"/>
                <w:szCs w:val="18"/>
                <w:lang w:val="bg-BG" w:eastAsia="es-ES_tradnl"/>
              </w:rPr>
            </w:pPr>
            <w:r>
              <w:rPr>
                <w:noProof/>
                <w:color w:val="000000"/>
                <w:sz w:val="18"/>
                <w:szCs w:val="18"/>
                <w:lang w:val="bg-BG" w:eastAsia="es-ES_tradnl"/>
              </w:rPr>
              <w:t>Налични кредити за плащания</w:t>
            </w:r>
          </w:p>
        </w:tc>
        <w:tc>
          <w:tcPr>
            <w:tcW w:w="387" w:type="pct"/>
            <w:tcBorders>
              <w:top w:val="nil"/>
              <w:left w:val="nil"/>
              <w:bottom w:val="nil"/>
              <w:right w:val="single" w:sz="4" w:space="0" w:color="000000"/>
            </w:tcBorders>
            <w:shd w:val="clear" w:color="auto" w:fill="C0C0C0"/>
            <w:vAlign w:val="center"/>
            <w:hideMark/>
          </w:tcPr>
          <w:p>
            <w:pPr>
              <w:spacing w:line="276" w:lineRule="auto"/>
              <w:jc w:val="center"/>
              <w:rPr>
                <w:noProof/>
                <w:color w:val="000000"/>
                <w:sz w:val="18"/>
                <w:szCs w:val="18"/>
                <w:lang w:val="bg-BG" w:eastAsia="es-ES_tradnl"/>
              </w:rPr>
            </w:pPr>
            <w:r>
              <w:rPr>
                <w:noProof/>
                <w:color w:val="000000"/>
                <w:sz w:val="18"/>
                <w:szCs w:val="18"/>
                <w:lang w:val="bg-BG" w:eastAsia="es-ES_tradnl"/>
              </w:rPr>
              <w:t>Извършени плащания</w:t>
            </w:r>
          </w:p>
        </w:tc>
        <w:tc>
          <w:tcPr>
            <w:tcW w:w="379" w:type="pct"/>
            <w:tcBorders>
              <w:top w:val="nil"/>
              <w:left w:val="nil"/>
              <w:bottom w:val="nil"/>
              <w:right w:val="single" w:sz="4" w:space="0" w:color="000000"/>
            </w:tcBorders>
            <w:shd w:val="clear" w:color="auto" w:fill="C0C0C0"/>
            <w:vAlign w:val="center"/>
            <w:hideMark/>
          </w:tcPr>
          <w:p>
            <w:pPr>
              <w:spacing w:line="276" w:lineRule="auto"/>
              <w:jc w:val="center"/>
              <w:rPr>
                <w:noProof/>
                <w:color w:val="000000"/>
                <w:sz w:val="18"/>
                <w:szCs w:val="18"/>
                <w:lang w:val="bg-BG" w:eastAsia="es-ES_tradnl"/>
              </w:rPr>
            </w:pPr>
            <w:r>
              <w:rPr>
                <w:noProof/>
                <w:color w:val="000000"/>
                <w:sz w:val="18"/>
                <w:szCs w:val="18"/>
                <w:lang w:val="bg-BG" w:eastAsia="es-ES_tradnl"/>
              </w:rPr>
              <w:t>Изпълнение</w:t>
            </w:r>
          </w:p>
          <w:p>
            <w:pPr>
              <w:spacing w:line="276" w:lineRule="auto"/>
              <w:jc w:val="center"/>
              <w:rPr>
                <w:noProof/>
                <w:color w:val="000000"/>
                <w:sz w:val="18"/>
                <w:szCs w:val="18"/>
                <w:lang w:eastAsia="es-ES_tradnl"/>
              </w:rPr>
            </w:pPr>
            <w:r>
              <w:rPr>
                <w:noProof/>
                <w:color w:val="000000"/>
                <w:sz w:val="18"/>
                <w:szCs w:val="18"/>
                <w:lang w:eastAsia="es-ES_tradnl"/>
              </w:rPr>
              <w:t>%</w:t>
            </w:r>
          </w:p>
        </w:tc>
      </w:tr>
      <w:tr>
        <w:trPr>
          <w:gridAfter w:val="3"/>
          <w:wAfter w:w="1180" w:type="pct"/>
          <w:trHeight w:val="402"/>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single" w:sz="4" w:space="0" w:color="auto"/>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02 02 02</w:t>
            </w:r>
          </w:p>
        </w:tc>
        <w:tc>
          <w:tcPr>
            <w:tcW w:w="915" w:type="pct"/>
            <w:tcBorders>
              <w:top w:val="single" w:sz="4" w:space="0" w:color="auto"/>
              <w:left w:val="nil"/>
              <w:bottom w:val="single" w:sz="4" w:space="0" w:color="auto"/>
              <w:right w:val="single" w:sz="4" w:space="0" w:color="auto"/>
            </w:tcBorders>
            <w:noWrap/>
            <w:vAlign w:val="center"/>
            <w:hideMark/>
          </w:tcPr>
          <w:p>
            <w:pPr>
              <w:spacing w:line="276" w:lineRule="auto"/>
              <w:rPr>
                <w:b/>
                <w:bCs/>
                <w:noProof/>
                <w:color w:val="000000"/>
                <w:sz w:val="18"/>
                <w:szCs w:val="18"/>
                <w:lang w:val="bg-BG" w:eastAsia="es-ES_tradnl"/>
              </w:rPr>
            </w:pPr>
            <w:r>
              <w:rPr>
                <w:b/>
                <w:bCs/>
                <w:noProof/>
                <w:color w:val="000000"/>
                <w:sz w:val="18"/>
                <w:szCs w:val="18"/>
                <w:lang w:val="bg-BG" w:eastAsia="es-ES_tradnl"/>
              </w:rPr>
              <w:t>Достъп до финансиране</w:t>
            </w:r>
          </w:p>
        </w:tc>
        <w:tc>
          <w:tcPr>
            <w:tcW w:w="433" w:type="pct"/>
            <w:tcBorders>
              <w:top w:val="single" w:sz="4" w:space="0" w:color="auto"/>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140 787 114</w:t>
            </w:r>
          </w:p>
        </w:tc>
        <w:tc>
          <w:tcPr>
            <w:tcW w:w="432" w:type="pct"/>
            <w:tcBorders>
              <w:top w:val="single" w:sz="4" w:space="0" w:color="auto"/>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140 787 114</w:t>
            </w:r>
          </w:p>
        </w:tc>
        <w:tc>
          <w:tcPr>
            <w:tcW w:w="357" w:type="pct"/>
            <w:tcBorders>
              <w:top w:val="single" w:sz="4" w:space="0" w:color="auto"/>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100,00</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single" w:sz="4" w:space="0" w:color="auto"/>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74 244 830</w:t>
            </w:r>
          </w:p>
        </w:tc>
        <w:tc>
          <w:tcPr>
            <w:tcW w:w="387" w:type="pct"/>
            <w:tcBorders>
              <w:top w:val="single" w:sz="4" w:space="0" w:color="auto"/>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74 244 830</w:t>
            </w:r>
          </w:p>
        </w:tc>
        <w:tc>
          <w:tcPr>
            <w:tcW w:w="379" w:type="pct"/>
            <w:tcBorders>
              <w:top w:val="single" w:sz="4" w:space="0" w:color="auto"/>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100,00</w:t>
            </w:r>
            <w:r>
              <w:rPr>
                <w:b/>
                <w:bCs/>
                <w:noProof/>
                <w:color w:val="000000"/>
                <w:sz w:val="18"/>
                <w:szCs w:val="18"/>
                <w:lang w:val="bg-BG" w:eastAsia="es-ES_tradnl"/>
              </w:rPr>
              <w:t> </w:t>
            </w:r>
            <w:r>
              <w:rPr>
                <w:b/>
                <w:bCs/>
                <w:noProof/>
                <w:color w:val="000000"/>
                <w:sz w:val="18"/>
                <w:szCs w:val="18"/>
                <w:lang w:eastAsia="es-ES_tradnl"/>
              </w:rPr>
              <w:t>%</w:t>
            </w:r>
          </w:p>
        </w:tc>
      </w:tr>
      <w:tr>
        <w:trPr>
          <w:trHeight w:val="530"/>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02 02 01</w:t>
            </w:r>
          </w:p>
        </w:tc>
        <w:tc>
          <w:tcPr>
            <w:tcW w:w="915" w:type="pct"/>
            <w:tcBorders>
              <w:top w:val="nil"/>
              <w:left w:val="nil"/>
              <w:bottom w:val="single" w:sz="4" w:space="0" w:color="auto"/>
              <w:right w:val="single" w:sz="4" w:space="0" w:color="auto"/>
            </w:tcBorders>
            <w:vAlign w:val="center"/>
            <w:hideMark/>
          </w:tcPr>
          <w:p>
            <w:pPr>
              <w:spacing w:line="276" w:lineRule="auto"/>
              <w:rPr>
                <w:b/>
                <w:bCs/>
                <w:noProof/>
                <w:sz w:val="18"/>
                <w:szCs w:val="18"/>
                <w:lang w:val="bg-BG" w:eastAsia="es-ES_tradnl"/>
              </w:rPr>
            </w:pPr>
            <w:r>
              <w:rPr>
                <w:b/>
                <w:bCs/>
                <w:noProof/>
                <w:sz w:val="18"/>
                <w:szCs w:val="18"/>
                <w:lang w:val="bg-BG" w:eastAsia="es-ES_tradnl"/>
              </w:rPr>
              <w:t>Достъп до пазари</w:t>
            </w:r>
            <w:r>
              <w:rPr>
                <w:b/>
                <w:bCs/>
                <w:noProof/>
                <w:sz w:val="18"/>
                <w:szCs w:val="18"/>
                <w:lang w:eastAsia="es-ES_tradnl"/>
              </w:rPr>
              <w:t xml:space="preserve">, </w:t>
            </w:r>
            <w:r>
              <w:rPr>
                <w:b/>
                <w:bCs/>
                <w:noProof/>
                <w:sz w:val="18"/>
                <w:szCs w:val="18"/>
                <w:lang w:val="bg-BG" w:eastAsia="es-ES_tradnl"/>
              </w:rPr>
              <w:t>бизнес среда и предприемачество</w:t>
            </w:r>
          </w:p>
        </w:tc>
        <w:tc>
          <w:tcPr>
            <w:tcW w:w="433" w:type="pct"/>
            <w:tcBorders>
              <w:top w:val="nil"/>
              <w:left w:val="nil"/>
              <w:bottom w:val="single" w:sz="4" w:space="0" w:color="auto"/>
              <w:right w:val="single" w:sz="4" w:space="0" w:color="auto"/>
            </w:tcBorders>
            <w:noWrap/>
            <w:vAlign w:val="center"/>
          </w:tcPr>
          <w:p>
            <w:pPr>
              <w:spacing w:line="276" w:lineRule="auto"/>
              <w:jc w:val="right"/>
              <w:rPr>
                <w:b/>
                <w:bCs/>
                <w:noProof/>
                <w:color w:val="000000"/>
                <w:sz w:val="18"/>
                <w:szCs w:val="18"/>
                <w:lang w:eastAsia="es-ES_tradnl"/>
              </w:rPr>
            </w:pPr>
          </w:p>
        </w:tc>
        <w:tc>
          <w:tcPr>
            <w:tcW w:w="432" w:type="pct"/>
            <w:tcBorders>
              <w:top w:val="nil"/>
              <w:left w:val="nil"/>
              <w:bottom w:val="single" w:sz="4" w:space="0" w:color="auto"/>
              <w:right w:val="single" w:sz="4" w:space="0" w:color="auto"/>
            </w:tcBorders>
            <w:noWrap/>
            <w:vAlign w:val="center"/>
          </w:tcPr>
          <w:p>
            <w:pPr>
              <w:spacing w:line="276" w:lineRule="auto"/>
              <w:jc w:val="right"/>
              <w:rPr>
                <w:b/>
                <w:bCs/>
                <w:noProof/>
                <w:color w:val="000000"/>
                <w:sz w:val="18"/>
                <w:szCs w:val="18"/>
                <w:lang w:eastAsia="es-ES_tradnl"/>
              </w:rPr>
            </w:pPr>
          </w:p>
        </w:tc>
        <w:tc>
          <w:tcPr>
            <w:tcW w:w="357" w:type="pct"/>
            <w:tcBorders>
              <w:top w:val="nil"/>
              <w:left w:val="nil"/>
              <w:bottom w:val="single" w:sz="4" w:space="0" w:color="auto"/>
              <w:right w:val="single" w:sz="4" w:space="0" w:color="auto"/>
            </w:tcBorders>
            <w:noWrap/>
            <w:vAlign w:val="center"/>
          </w:tcPr>
          <w:p>
            <w:pPr>
              <w:spacing w:line="276" w:lineRule="auto"/>
              <w:jc w:val="right"/>
              <w:rPr>
                <w:b/>
                <w:bCs/>
                <w:noProof/>
                <w:color w:val="000000"/>
                <w:sz w:val="18"/>
                <w:szCs w:val="18"/>
                <w:lang w:eastAsia="es-ES_tradnl"/>
              </w:rPr>
            </w:pPr>
          </w:p>
        </w:tc>
        <w:tc>
          <w:tcPr>
            <w:tcW w:w="393" w:type="pct"/>
            <w:tcBorders>
              <w:top w:val="nil"/>
              <w:left w:val="nil"/>
              <w:bottom w:val="single" w:sz="4" w:space="0" w:color="auto"/>
              <w:right w:val="single" w:sz="4" w:space="0" w:color="auto"/>
            </w:tcBorders>
            <w:noWrap/>
            <w:vAlign w:val="center"/>
          </w:tcPr>
          <w:p>
            <w:pPr>
              <w:spacing w:line="276" w:lineRule="auto"/>
              <w:jc w:val="right"/>
              <w:rPr>
                <w:b/>
                <w:bCs/>
                <w:noProof/>
                <w:color w:val="000000"/>
                <w:sz w:val="18"/>
                <w:szCs w:val="18"/>
                <w:lang w:eastAsia="es-ES_tradnl"/>
              </w:rPr>
            </w:pPr>
          </w:p>
        </w:tc>
        <w:tc>
          <w:tcPr>
            <w:tcW w:w="387" w:type="pct"/>
            <w:tcBorders>
              <w:top w:val="nil"/>
              <w:left w:val="nil"/>
              <w:bottom w:val="single" w:sz="4" w:space="0" w:color="auto"/>
              <w:right w:val="single" w:sz="4" w:space="0" w:color="auto"/>
            </w:tcBorders>
            <w:noWrap/>
            <w:vAlign w:val="center"/>
          </w:tcPr>
          <w:p>
            <w:pPr>
              <w:spacing w:line="276" w:lineRule="auto"/>
              <w:jc w:val="right"/>
              <w:rPr>
                <w:b/>
                <w:bCs/>
                <w:noProof/>
                <w:color w:val="000000"/>
                <w:sz w:val="18"/>
                <w:szCs w:val="18"/>
                <w:lang w:eastAsia="es-ES_tradnl"/>
              </w:rPr>
            </w:pPr>
          </w:p>
        </w:tc>
        <w:tc>
          <w:tcPr>
            <w:tcW w:w="379" w:type="pct"/>
            <w:tcBorders>
              <w:top w:val="nil"/>
              <w:left w:val="nil"/>
              <w:bottom w:val="single" w:sz="4" w:space="0" w:color="auto"/>
              <w:right w:val="single" w:sz="4" w:space="0" w:color="auto"/>
            </w:tcBorders>
            <w:noWrap/>
            <w:vAlign w:val="center"/>
          </w:tcPr>
          <w:p>
            <w:pPr>
              <w:spacing w:line="276" w:lineRule="auto"/>
              <w:jc w:val="right"/>
              <w:rPr>
                <w:b/>
                <w:bCs/>
                <w:noProof/>
                <w:color w:val="000000"/>
                <w:sz w:val="18"/>
                <w:szCs w:val="18"/>
                <w:lang w:eastAsia="es-ES_tradnl"/>
              </w:rPr>
            </w:pPr>
          </w:p>
        </w:tc>
        <w:tc>
          <w:tcPr>
            <w:tcW w:w="393" w:type="pct"/>
            <w:vAlign w:val="center"/>
            <w:hideMark/>
          </w:tcPr>
          <w:p>
            <w:pPr>
              <w:spacing w:after="200" w:line="276" w:lineRule="auto"/>
              <w:rPr>
                <w:noProof/>
                <w:sz w:val="18"/>
                <w:szCs w:val="18"/>
                <w:lang w:eastAsia="en-US"/>
              </w:rPr>
            </w:pPr>
            <w:r>
              <w:rPr>
                <w:b/>
                <w:bCs/>
                <w:noProof/>
                <w:color w:val="000000"/>
                <w:sz w:val="18"/>
                <w:szCs w:val="18"/>
                <w:lang w:eastAsia="es-ES_tradnl"/>
              </w:rPr>
              <w:t> </w:t>
            </w:r>
          </w:p>
        </w:tc>
        <w:tc>
          <w:tcPr>
            <w:tcW w:w="393" w:type="pct"/>
            <w:vAlign w:val="center"/>
            <w:hideMark/>
          </w:tcPr>
          <w:p>
            <w:pPr>
              <w:spacing w:after="200" w:line="276" w:lineRule="auto"/>
              <w:rPr>
                <w:noProof/>
                <w:sz w:val="18"/>
                <w:szCs w:val="18"/>
                <w:lang w:eastAsia="en-US"/>
              </w:rPr>
            </w:pPr>
            <w:r>
              <w:rPr>
                <w:b/>
                <w:bCs/>
                <w:noProof/>
                <w:color w:val="000000"/>
                <w:sz w:val="18"/>
                <w:szCs w:val="18"/>
                <w:lang w:eastAsia="es-ES_tradnl"/>
              </w:rPr>
              <w:t> </w:t>
            </w:r>
          </w:p>
        </w:tc>
        <w:tc>
          <w:tcPr>
            <w:tcW w:w="393" w:type="pct"/>
            <w:vAlign w:val="center"/>
            <w:hideMark/>
          </w:tcPr>
          <w:p>
            <w:pPr>
              <w:spacing w:after="200" w:line="276" w:lineRule="auto"/>
              <w:rPr>
                <w:noProof/>
                <w:sz w:val="18"/>
                <w:szCs w:val="18"/>
                <w:lang w:eastAsia="en-US"/>
              </w:rPr>
            </w:pPr>
            <w:r>
              <w:rPr>
                <w:b/>
                <w:bCs/>
                <w:noProof/>
                <w:color w:val="000000"/>
                <w:sz w:val="18"/>
                <w:szCs w:val="18"/>
                <w:lang w:eastAsia="es-ES_tradnl"/>
              </w:rPr>
              <w:t> </w:t>
            </w:r>
          </w:p>
        </w:tc>
      </w:tr>
      <w:tr>
        <w:trPr>
          <w:gridAfter w:val="3"/>
          <w:wAfter w:w="1180" w:type="pct"/>
          <w:trHeight w:val="349"/>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noProof/>
                <w:color w:val="000000"/>
                <w:sz w:val="18"/>
                <w:szCs w:val="18"/>
                <w:lang w:eastAsia="es-ES_tradnl"/>
              </w:rPr>
            </w:pPr>
            <w:r>
              <w:rPr>
                <w:noProof/>
                <w:color w:val="000000"/>
                <w:sz w:val="18"/>
                <w:szCs w:val="18"/>
                <w:lang w:eastAsia="es-ES_tradnl"/>
              </w:rPr>
              <w:t> </w:t>
            </w:r>
          </w:p>
        </w:tc>
        <w:tc>
          <w:tcPr>
            <w:tcW w:w="915" w:type="pct"/>
            <w:tcBorders>
              <w:top w:val="nil"/>
              <w:left w:val="nil"/>
              <w:bottom w:val="single" w:sz="4" w:space="0" w:color="auto"/>
              <w:right w:val="single" w:sz="4" w:space="0" w:color="auto"/>
            </w:tcBorders>
            <w:noWrap/>
            <w:vAlign w:val="center"/>
            <w:hideMark/>
          </w:tcPr>
          <w:p>
            <w:pPr>
              <w:spacing w:line="276" w:lineRule="auto"/>
              <w:rPr>
                <w:noProof/>
                <w:color w:val="000000"/>
                <w:sz w:val="18"/>
                <w:szCs w:val="18"/>
                <w:lang w:val="bg-BG" w:eastAsia="es-ES_tradnl"/>
              </w:rPr>
            </w:pPr>
            <w:r>
              <w:rPr>
                <w:noProof/>
                <w:color w:val="000000"/>
                <w:sz w:val="18"/>
                <w:szCs w:val="18"/>
                <w:lang w:val="bg-BG" w:eastAsia="es-ES_tradnl"/>
              </w:rPr>
              <w:t xml:space="preserve">Изпълнен от ГД „Вътрешен </w:t>
            </w:r>
          </w:p>
          <w:p>
            <w:pPr>
              <w:spacing w:line="276" w:lineRule="auto"/>
              <w:rPr>
                <w:noProof/>
                <w:color w:val="000000"/>
                <w:sz w:val="18"/>
                <w:szCs w:val="18"/>
                <w:lang w:val="bg-BG" w:eastAsia="es-ES_tradnl"/>
              </w:rPr>
            </w:pPr>
            <w:r>
              <w:rPr>
                <w:noProof/>
                <w:color w:val="000000"/>
                <w:sz w:val="18"/>
                <w:szCs w:val="18"/>
                <w:lang w:val="bg-BG" w:eastAsia="es-ES_tradnl"/>
              </w:rPr>
              <w:t xml:space="preserve">пазар, промишленост, </w:t>
            </w:r>
          </w:p>
          <w:p>
            <w:pPr>
              <w:spacing w:line="276" w:lineRule="auto"/>
              <w:rPr>
                <w:noProof/>
                <w:color w:val="000000"/>
                <w:sz w:val="18"/>
                <w:szCs w:val="18"/>
                <w:lang w:val="bg-BG" w:eastAsia="es-ES_tradnl"/>
              </w:rPr>
            </w:pPr>
            <w:r>
              <w:rPr>
                <w:noProof/>
                <w:color w:val="000000"/>
                <w:sz w:val="18"/>
                <w:szCs w:val="18"/>
                <w:lang w:val="bg-BG" w:eastAsia="es-ES_tradnl"/>
              </w:rPr>
              <w:t>предприемачество и МСП“</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10 836 633</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10 665 116</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98,42</w:t>
            </w:r>
            <w:r>
              <w:rPr>
                <w:noProof/>
                <w:color w:val="000000"/>
                <w:sz w:val="18"/>
                <w:szCs w:val="18"/>
                <w:lang w:val="bg-BG" w:eastAsia="es-ES_tradnl"/>
              </w:rPr>
              <w:t> </w:t>
            </w:r>
            <w:r>
              <w:rPr>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4 936 221</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1 299 946</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26,33</w:t>
            </w:r>
            <w:r>
              <w:rPr>
                <w:noProof/>
                <w:color w:val="000000"/>
                <w:sz w:val="18"/>
                <w:szCs w:val="18"/>
                <w:lang w:val="bg-BG" w:eastAsia="es-ES_tradnl"/>
              </w:rPr>
              <w:t> </w:t>
            </w:r>
            <w:r>
              <w:rPr>
                <w:noProof/>
                <w:color w:val="000000"/>
                <w:sz w:val="18"/>
                <w:szCs w:val="18"/>
                <w:lang w:eastAsia="es-ES_tradnl"/>
              </w:rPr>
              <w:t>%</w:t>
            </w:r>
          </w:p>
        </w:tc>
      </w:tr>
      <w:tr>
        <w:trPr>
          <w:gridAfter w:val="3"/>
          <w:wAfter w:w="1180" w:type="pct"/>
          <w:trHeight w:val="269"/>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noProof/>
                <w:color w:val="333333"/>
                <w:sz w:val="18"/>
                <w:szCs w:val="18"/>
                <w:lang w:eastAsia="es-ES_tradnl"/>
              </w:rPr>
            </w:pPr>
            <w:r>
              <w:rPr>
                <w:noProof/>
                <w:color w:val="333333"/>
                <w:sz w:val="18"/>
                <w:szCs w:val="18"/>
                <w:lang w:eastAsia="es-ES_tradnl"/>
              </w:rPr>
              <w:t> </w:t>
            </w:r>
          </w:p>
        </w:tc>
        <w:tc>
          <w:tcPr>
            <w:tcW w:w="915" w:type="pct"/>
            <w:tcBorders>
              <w:top w:val="nil"/>
              <w:left w:val="nil"/>
              <w:bottom w:val="single" w:sz="4" w:space="0" w:color="auto"/>
              <w:right w:val="single" w:sz="4" w:space="0" w:color="auto"/>
            </w:tcBorders>
            <w:noWrap/>
            <w:vAlign w:val="center"/>
            <w:hideMark/>
          </w:tcPr>
          <w:p>
            <w:pPr>
              <w:spacing w:line="276" w:lineRule="auto"/>
              <w:rPr>
                <w:noProof/>
                <w:color w:val="333333"/>
                <w:sz w:val="18"/>
                <w:szCs w:val="18"/>
                <w:lang w:eastAsia="es-ES_tradnl"/>
              </w:rPr>
            </w:pPr>
            <w:r>
              <w:rPr>
                <w:noProof/>
                <w:color w:val="333333"/>
                <w:sz w:val="18"/>
                <w:szCs w:val="18"/>
                <w:lang w:val="bg-BG" w:eastAsia="es-ES_tradnl"/>
              </w:rPr>
              <w:t>Делегиран на</w:t>
            </w:r>
            <w:r>
              <w:rPr>
                <w:noProof/>
                <w:color w:val="333333"/>
                <w:sz w:val="18"/>
                <w:szCs w:val="18"/>
                <w:lang w:eastAsia="es-ES_tradnl"/>
              </w:rPr>
              <w:t xml:space="preserve"> EASME</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color w:val="333333"/>
                <w:sz w:val="18"/>
                <w:szCs w:val="18"/>
                <w:lang w:eastAsia="es-ES_tradnl"/>
              </w:rPr>
            </w:pPr>
            <w:r>
              <w:rPr>
                <w:noProof/>
                <w:color w:val="333333"/>
                <w:sz w:val="18"/>
                <w:szCs w:val="18"/>
                <w:lang w:eastAsia="es-ES_tradnl"/>
              </w:rPr>
              <w:t>95 111 545</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color w:val="333333"/>
                <w:sz w:val="18"/>
                <w:szCs w:val="18"/>
                <w:lang w:eastAsia="es-ES_tradnl"/>
              </w:rPr>
            </w:pPr>
            <w:r>
              <w:rPr>
                <w:noProof/>
                <w:color w:val="333333"/>
                <w:sz w:val="18"/>
                <w:szCs w:val="18"/>
                <w:lang w:eastAsia="es-ES_tradnl"/>
              </w:rPr>
              <w:t>94 950 764</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noProof/>
                <w:color w:val="333333"/>
                <w:sz w:val="18"/>
                <w:szCs w:val="18"/>
                <w:lang w:eastAsia="es-ES_tradnl"/>
              </w:rPr>
            </w:pPr>
            <w:r>
              <w:rPr>
                <w:noProof/>
                <w:color w:val="333333"/>
                <w:sz w:val="18"/>
                <w:szCs w:val="18"/>
                <w:lang w:eastAsia="es-ES_tradnl"/>
              </w:rPr>
              <w:t>99,83</w:t>
            </w:r>
            <w:r>
              <w:rPr>
                <w:noProof/>
                <w:color w:val="333333"/>
                <w:sz w:val="18"/>
                <w:szCs w:val="18"/>
                <w:lang w:val="bg-BG" w:eastAsia="es-ES_tradnl"/>
              </w:rPr>
              <w:t> </w:t>
            </w:r>
            <w:r>
              <w:rPr>
                <w:noProof/>
                <w:color w:val="333333"/>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noProof/>
                <w:color w:val="333333"/>
                <w:sz w:val="18"/>
                <w:szCs w:val="18"/>
                <w:lang w:eastAsia="es-ES_tradnl"/>
              </w:rPr>
            </w:pPr>
            <w:r>
              <w:rPr>
                <w:noProof/>
                <w:color w:val="333333"/>
                <w:sz w:val="18"/>
                <w:szCs w:val="18"/>
                <w:lang w:eastAsia="es-ES_tradnl"/>
              </w:rPr>
              <w:t>6 000 720</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noProof/>
                <w:color w:val="333333"/>
                <w:sz w:val="18"/>
                <w:szCs w:val="18"/>
                <w:lang w:eastAsia="es-ES_tradnl"/>
              </w:rPr>
            </w:pPr>
            <w:r>
              <w:rPr>
                <w:noProof/>
                <w:color w:val="333333"/>
                <w:sz w:val="18"/>
                <w:szCs w:val="18"/>
                <w:lang w:eastAsia="es-ES_tradnl"/>
              </w:rPr>
              <w:t>5 994 571</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noProof/>
                <w:color w:val="333333"/>
                <w:sz w:val="18"/>
                <w:szCs w:val="18"/>
                <w:lang w:eastAsia="es-ES_tradnl"/>
              </w:rPr>
            </w:pPr>
            <w:r>
              <w:rPr>
                <w:noProof/>
                <w:color w:val="333333"/>
                <w:sz w:val="18"/>
                <w:szCs w:val="18"/>
                <w:lang w:eastAsia="es-ES_tradnl"/>
              </w:rPr>
              <w:t>99,90</w:t>
            </w:r>
            <w:r>
              <w:rPr>
                <w:noProof/>
                <w:color w:val="333333"/>
                <w:sz w:val="18"/>
                <w:szCs w:val="18"/>
                <w:lang w:val="bg-BG" w:eastAsia="es-ES_tradnl"/>
              </w:rPr>
              <w:t> </w:t>
            </w:r>
            <w:r>
              <w:rPr>
                <w:noProof/>
                <w:color w:val="333333"/>
                <w:sz w:val="18"/>
                <w:szCs w:val="18"/>
                <w:lang w:eastAsia="es-ES_tradnl"/>
              </w:rPr>
              <w:t>%</w:t>
            </w:r>
          </w:p>
        </w:tc>
      </w:tr>
      <w:tr>
        <w:trPr>
          <w:gridAfter w:val="3"/>
          <w:wAfter w:w="1180" w:type="pct"/>
          <w:trHeight w:val="275"/>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noProof/>
                <w:color w:val="000000"/>
                <w:sz w:val="18"/>
                <w:szCs w:val="18"/>
                <w:lang w:eastAsia="es-ES_tradnl"/>
              </w:rPr>
            </w:pPr>
            <w:r>
              <w:rPr>
                <w:noProof/>
                <w:color w:val="000000"/>
                <w:sz w:val="18"/>
                <w:szCs w:val="18"/>
                <w:lang w:eastAsia="es-ES_tradnl"/>
              </w:rPr>
              <w:t> </w:t>
            </w:r>
          </w:p>
        </w:tc>
        <w:tc>
          <w:tcPr>
            <w:tcW w:w="915" w:type="pct"/>
            <w:tcBorders>
              <w:top w:val="nil"/>
              <w:left w:val="nil"/>
              <w:bottom w:val="single" w:sz="4" w:space="0" w:color="auto"/>
              <w:right w:val="single" w:sz="4" w:space="0" w:color="auto"/>
            </w:tcBorders>
            <w:noWrap/>
            <w:vAlign w:val="center"/>
            <w:hideMark/>
          </w:tcPr>
          <w:p>
            <w:pPr>
              <w:spacing w:line="276" w:lineRule="auto"/>
              <w:rPr>
                <w:noProof/>
                <w:color w:val="000000"/>
                <w:sz w:val="18"/>
                <w:szCs w:val="18"/>
                <w:lang w:eastAsia="es-ES_tradnl"/>
              </w:rPr>
            </w:pPr>
            <w:r>
              <w:rPr>
                <w:noProof/>
                <w:color w:val="000000"/>
                <w:sz w:val="18"/>
                <w:szCs w:val="18"/>
                <w:lang w:val="bg-BG" w:eastAsia="es-ES_tradnl"/>
              </w:rPr>
              <w:t>Делегиран на други ГД</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462 962</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462 962</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100,00</w:t>
            </w:r>
            <w:r>
              <w:rPr>
                <w:noProof/>
                <w:color w:val="000000"/>
                <w:sz w:val="18"/>
                <w:szCs w:val="18"/>
                <w:lang w:val="bg-BG" w:eastAsia="es-ES_tradnl"/>
              </w:rPr>
              <w:t> </w:t>
            </w:r>
            <w:r>
              <w:rPr>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33 100</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22 521</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68,04</w:t>
            </w:r>
            <w:r>
              <w:rPr>
                <w:noProof/>
                <w:color w:val="000000"/>
                <w:sz w:val="18"/>
                <w:szCs w:val="18"/>
                <w:lang w:val="bg-BG" w:eastAsia="es-ES_tradnl"/>
              </w:rPr>
              <w:t> </w:t>
            </w:r>
            <w:r>
              <w:rPr>
                <w:noProof/>
                <w:color w:val="000000"/>
                <w:sz w:val="18"/>
                <w:szCs w:val="18"/>
                <w:lang w:eastAsia="es-ES_tradnl"/>
              </w:rPr>
              <w:t>%</w:t>
            </w:r>
          </w:p>
        </w:tc>
      </w:tr>
      <w:tr>
        <w:trPr>
          <w:gridAfter w:val="3"/>
          <w:wAfter w:w="1180" w:type="pct"/>
          <w:trHeight w:val="645"/>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 </w:t>
            </w:r>
          </w:p>
        </w:tc>
        <w:tc>
          <w:tcPr>
            <w:tcW w:w="915" w:type="pct"/>
            <w:tcBorders>
              <w:top w:val="nil"/>
              <w:left w:val="nil"/>
              <w:bottom w:val="single" w:sz="4" w:space="0" w:color="auto"/>
              <w:right w:val="single" w:sz="4" w:space="0" w:color="auto"/>
            </w:tcBorders>
            <w:vAlign w:val="center"/>
            <w:hideMark/>
          </w:tcPr>
          <w:p>
            <w:pPr>
              <w:spacing w:line="276" w:lineRule="auto"/>
              <w:rPr>
                <w:b/>
                <w:bCs/>
                <w:noProof/>
                <w:sz w:val="18"/>
                <w:szCs w:val="18"/>
                <w:lang w:eastAsia="es-ES_tradnl"/>
              </w:rPr>
            </w:pPr>
            <w:r>
              <w:rPr>
                <w:b/>
                <w:bCs/>
                <w:noProof/>
                <w:sz w:val="18"/>
                <w:szCs w:val="18"/>
                <w:lang w:val="bg-BG" w:eastAsia="es-ES_tradnl"/>
              </w:rPr>
              <w:t xml:space="preserve">Общ бюджет за поети задължения през </w:t>
            </w:r>
            <w:r>
              <w:rPr>
                <w:b/>
                <w:bCs/>
                <w:noProof/>
                <w:sz w:val="18"/>
                <w:szCs w:val="18"/>
                <w:lang w:eastAsia="es-ES_tradnl"/>
              </w:rPr>
              <w:t>2014</w:t>
            </w:r>
            <w:r>
              <w:rPr>
                <w:b/>
                <w:bCs/>
                <w:noProof/>
                <w:sz w:val="18"/>
                <w:szCs w:val="18"/>
                <w:lang w:val="bg-BG" w:eastAsia="es-ES_tradnl"/>
              </w:rPr>
              <w:t> г., включително пренос за</w:t>
            </w:r>
            <w:r>
              <w:rPr>
                <w:b/>
                <w:bCs/>
                <w:noProof/>
                <w:sz w:val="18"/>
                <w:szCs w:val="18"/>
                <w:lang w:eastAsia="es-ES_tradnl"/>
              </w:rPr>
              <w:t xml:space="preserve"> 020201</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106 411 140</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106 078 842</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99,69</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10 970 041</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7 317 038</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66,70</w:t>
            </w:r>
            <w:r>
              <w:rPr>
                <w:b/>
                <w:bCs/>
                <w:noProof/>
                <w:color w:val="000000"/>
                <w:sz w:val="18"/>
                <w:szCs w:val="18"/>
                <w:lang w:val="bg-BG" w:eastAsia="es-ES_tradnl"/>
              </w:rPr>
              <w:t> </w:t>
            </w:r>
            <w:r>
              <w:rPr>
                <w:b/>
                <w:bCs/>
                <w:noProof/>
                <w:color w:val="000000"/>
                <w:sz w:val="18"/>
                <w:szCs w:val="18"/>
                <w:lang w:eastAsia="es-ES_tradnl"/>
              </w:rPr>
              <w:t>%</w:t>
            </w:r>
          </w:p>
        </w:tc>
      </w:tr>
      <w:tr>
        <w:trPr>
          <w:gridAfter w:val="3"/>
          <w:wAfter w:w="1180" w:type="pct"/>
          <w:trHeight w:val="329"/>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noProof/>
                <w:color w:val="000000"/>
                <w:sz w:val="18"/>
                <w:szCs w:val="18"/>
                <w:lang w:val="bg-BG" w:eastAsia="es-ES_tradnl"/>
              </w:rPr>
            </w:pPr>
            <w:r>
              <w:rPr>
                <w:noProof/>
                <w:color w:val="000000"/>
                <w:sz w:val="18"/>
                <w:szCs w:val="18"/>
                <w:lang w:val="bg-BG" w:eastAsia="es-ES_tradnl"/>
              </w:rPr>
              <w:t>Пренесени към</w:t>
            </w:r>
            <w:r>
              <w:rPr>
                <w:noProof/>
                <w:color w:val="000000"/>
                <w:sz w:val="18"/>
                <w:szCs w:val="18"/>
                <w:lang w:eastAsia="es-ES_tradnl"/>
              </w:rPr>
              <w:t xml:space="preserve"> </w:t>
            </w:r>
          </w:p>
          <w:p>
            <w:pPr>
              <w:spacing w:line="276" w:lineRule="auto"/>
              <w:rPr>
                <w:noProof/>
                <w:color w:val="000000"/>
                <w:sz w:val="18"/>
                <w:szCs w:val="18"/>
                <w:lang w:eastAsia="es-ES_tradnl"/>
              </w:rPr>
            </w:pPr>
            <w:r>
              <w:rPr>
                <w:noProof/>
                <w:color w:val="000000"/>
                <w:sz w:val="18"/>
                <w:szCs w:val="18"/>
                <w:lang w:eastAsia="es-ES_tradnl"/>
              </w:rPr>
              <w:t>EASME</w:t>
            </w:r>
          </w:p>
        </w:tc>
        <w:tc>
          <w:tcPr>
            <w:tcW w:w="915" w:type="pct"/>
            <w:tcBorders>
              <w:top w:val="nil"/>
              <w:left w:val="nil"/>
              <w:bottom w:val="single" w:sz="4" w:space="0" w:color="auto"/>
              <w:right w:val="single" w:sz="4" w:space="0" w:color="auto"/>
            </w:tcBorders>
            <w:noWrap/>
            <w:vAlign w:val="center"/>
            <w:hideMark/>
          </w:tcPr>
          <w:p>
            <w:pPr>
              <w:spacing w:line="276" w:lineRule="auto"/>
              <w:rPr>
                <w:noProof/>
                <w:sz w:val="18"/>
                <w:szCs w:val="18"/>
                <w:lang w:val="bg-BG" w:eastAsia="es-ES_tradnl"/>
              </w:rPr>
            </w:pPr>
            <w:r>
              <w:rPr>
                <w:noProof/>
                <w:sz w:val="18"/>
                <w:szCs w:val="18"/>
                <w:lang w:val="bg-BG" w:eastAsia="es-ES_tradnl"/>
              </w:rPr>
              <w:t>Пренесени действия към</w:t>
            </w:r>
            <w:r>
              <w:rPr>
                <w:noProof/>
                <w:sz w:val="18"/>
                <w:szCs w:val="18"/>
                <w:lang w:eastAsia="es-ES_tradnl"/>
              </w:rPr>
              <w:t xml:space="preserve"> 2015</w:t>
            </w:r>
            <w:r>
              <w:rPr>
                <w:noProof/>
                <w:sz w:val="18"/>
                <w:szCs w:val="18"/>
                <w:lang w:val="bg-BG" w:eastAsia="es-ES_tradnl"/>
              </w:rPr>
              <w:t> г.</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78 788 026</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77 449 753</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98,30</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tcPr>
          <w:p>
            <w:pPr>
              <w:spacing w:line="276" w:lineRule="auto"/>
              <w:rPr>
                <w:noProof/>
                <w:sz w:val="18"/>
                <w:szCs w:val="18"/>
                <w:lang w:eastAsia="es-ES_tradnl"/>
              </w:rPr>
            </w:pPr>
          </w:p>
        </w:tc>
        <w:tc>
          <w:tcPr>
            <w:tcW w:w="387" w:type="pct"/>
            <w:tcBorders>
              <w:top w:val="nil"/>
              <w:left w:val="nil"/>
              <w:bottom w:val="single" w:sz="4" w:space="0" w:color="auto"/>
              <w:right w:val="single" w:sz="4" w:space="0" w:color="auto"/>
            </w:tcBorders>
            <w:noWrap/>
            <w:vAlign w:val="center"/>
          </w:tcPr>
          <w:p>
            <w:pPr>
              <w:spacing w:line="276" w:lineRule="auto"/>
              <w:rPr>
                <w:noProof/>
                <w:sz w:val="18"/>
                <w:szCs w:val="18"/>
                <w:lang w:eastAsia="es-ES_tradnl"/>
              </w:rPr>
            </w:pPr>
          </w:p>
        </w:tc>
        <w:tc>
          <w:tcPr>
            <w:tcW w:w="379" w:type="pct"/>
            <w:tcBorders>
              <w:top w:val="nil"/>
              <w:left w:val="nil"/>
              <w:bottom w:val="single" w:sz="4" w:space="0" w:color="auto"/>
              <w:right w:val="single" w:sz="4" w:space="0" w:color="auto"/>
            </w:tcBorders>
            <w:noWrap/>
            <w:vAlign w:val="center"/>
          </w:tcPr>
          <w:p>
            <w:pPr>
              <w:spacing w:line="276" w:lineRule="auto"/>
              <w:rPr>
                <w:noProof/>
                <w:sz w:val="18"/>
                <w:szCs w:val="18"/>
                <w:lang w:eastAsia="es-ES_tradnl"/>
              </w:rPr>
            </w:pPr>
          </w:p>
        </w:tc>
      </w:tr>
      <w:tr>
        <w:trPr>
          <w:gridAfter w:val="3"/>
          <w:wAfter w:w="1180" w:type="pct"/>
          <w:trHeight w:val="263"/>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noProof/>
                <w:color w:val="000000"/>
                <w:sz w:val="18"/>
                <w:szCs w:val="18"/>
                <w:lang w:val="bg-BG" w:eastAsia="es-ES_tradnl"/>
              </w:rPr>
            </w:pPr>
            <w:r>
              <w:rPr>
                <w:noProof/>
                <w:color w:val="000000"/>
                <w:sz w:val="18"/>
                <w:szCs w:val="18"/>
                <w:lang w:val="bg-BG" w:eastAsia="es-ES_tradnl"/>
              </w:rPr>
              <w:t>Пренесени към</w:t>
            </w:r>
            <w:r>
              <w:rPr>
                <w:noProof/>
                <w:color w:val="000000"/>
                <w:sz w:val="18"/>
                <w:szCs w:val="18"/>
                <w:lang w:eastAsia="es-ES_tradnl"/>
              </w:rPr>
              <w:t xml:space="preserve"> </w:t>
            </w:r>
          </w:p>
          <w:p>
            <w:pPr>
              <w:spacing w:line="276" w:lineRule="auto"/>
              <w:ind w:left="-2" w:firstLine="2"/>
              <w:rPr>
                <w:noProof/>
                <w:color w:val="000000"/>
                <w:sz w:val="18"/>
                <w:szCs w:val="18"/>
                <w:lang w:eastAsia="es-ES_tradnl"/>
              </w:rPr>
            </w:pPr>
            <w:r>
              <w:rPr>
                <w:noProof/>
                <w:color w:val="000000"/>
                <w:sz w:val="18"/>
                <w:szCs w:val="18"/>
                <w:lang w:eastAsia="es-ES_tradnl"/>
              </w:rPr>
              <w:t>GROW</w:t>
            </w:r>
          </w:p>
        </w:tc>
        <w:tc>
          <w:tcPr>
            <w:tcW w:w="915" w:type="pct"/>
            <w:tcBorders>
              <w:top w:val="nil"/>
              <w:left w:val="nil"/>
              <w:bottom w:val="single" w:sz="4" w:space="0" w:color="auto"/>
              <w:right w:val="single" w:sz="4" w:space="0" w:color="auto"/>
            </w:tcBorders>
            <w:noWrap/>
            <w:vAlign w:val="center"/>
            <w:hideMark/>
          </w:tcPr>
          <w:p>
            <w:pPr>
              <w:spacing w:line="276" w:lineRule="auto"/>
              <w:rPr>
                <w:noProof/>
                <w:sz w:val="18"/>
                <w:szCs w:val="18"/>
                <w:lang w:eastAsia="es-ES_tradnl"/>
              </w:rPr>
            </w:pPr>
            <w:r>
              <w:rPr>
                <w:noProof/>
                <w:sz w:val="18"/>
                <w:szCs w:val="18"/>
                <w:lang w:val="bg-BG" w:eastAsia="es-ES_tradnl"/>
              </w:rPr>
              <w:t>Пренесени действия към</w:t>
            </w:r>
            <w:r>
              <w:rPr>
                <w:noProof/>
                <w:sz w:val="18"/>
                <w:szCs w:val="18"/>
                <w:lang w:eastAsia="es-ES_tradnl"/>
              </w:rPr>
              <w:t xml:space="preserve"> 2015</w:t>
            </w:r>
            <w:r>
              <w:rPr>
                <w:noProof/>
                <w:sz w:val="18"/>
                <w:szCs w:val="18"/>
                <w:lang w:val="bg-BG" w:eastAsia="es-ES_tradnl"/>
              </w:rPr>
              <w:t> г.</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4 536 240</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4 349 528</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95,88</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tcPr>
          <w:p>
            <w:pPr>
              <w:spacing w:line="276" w:lineRule="auto"/>
              <w:rPr>
                <w:noProof/>
                <w:sz w:val="18"/>
                <w:szCs w:val="18"/>
                <w:lang w:eastAsia="es-ES_tradnl"/>
              </w:rPr>
            </w:pPr>
          </w:p>
        </w:tc>
        <w:tc>
          <w:tcPr>
            <w:tcW w:w="387" w:type="pct"/>
            <w:tcBorders>
              <w:top w:val="nil"/>
              <w:left w:val="nil"/>
              <w:bottom w:val="single" w:sz="4" w:space="0" w:color="auto"/>
              <w:right w:val="single" w:sz="4" w:space="0" w:color="auto"/>
            </w:tcBorders>
            <w:noWrap/>
            <w:vAlign w:val="center"/>
          </w:tcPr>
          <w:p>
            <w:pPr>
              <w:spacing w:line="276" w:lineRule="auto"/>
              <w:rPr>
                <w:noProof/>
                <w:sz w:val="18"/>
                <w:szCs w:val="18"/>
                <w:lang w:eastAsia="es-ES_tradnl"/>
              </w:rPr>
            </w:pPr>
          </w:p>
        </w:tc>
        <w:tc>
          <w:tcPr>
            <w:tcW w:w="379" w:type="pct"/>
            <w:tcBorders>
              <w:top w:val="nil"/>
              <w:left w:val="nil"/>
              <w:bottom w:val="single" w:sz="4" w:space="0" w:color="auto"/>
              <w:right w:val="single" w:sz="4" w:space="0" w:color="auto"/>
            </w:tcBorders>
            <w:noWrap/>
            <w:vAlign w:val="center"/>
          </w:tcPr>
          <w:p>
            <w:pPr>
              <w:spacing w:line="276" w:lineRule="auto"/>
              <w:rPr>
                <w:noProof/>
                <w:sz w:val="18"/>
                <w:szCs w:val="18"/>
                <w:lang w:eastAsia="es-ES_tradnl"/>
              </w:rPr>
            </w:pPr>
          </w:p>
        </w:tc>
      </w:tr>
      <w:tr>
        <w:trPr>
          <w:gridAfter w:val="3"/>
          <w:wAfter w:w="1180" w:type="pct"/>
          <w:trHeight w:val="317"/>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 </w:t>
            </w:r>
          </w:p>
        </w:tc>
        <w:tc>
          <w:tcPr>
            <w:tcW w:w="915" w:type="pct"/>
            <w:tcBorders>
              <w:top w:val="nil"/>
              <w:left w:val="nil"/>
              <w:bottom w:val="single" w:sz="4" w:space="0" w:color="auto"/>
              <w:right w:val="single" w:sz="4" w:space="0" w:color="auto"/>
            </w:tcBorders>
            <w:noWrap/>
            <w:vAlign w:val="center"/>
            <w:hideMark/>
          </w:tcPr>
          <w:p>
            <w:pPr>
              <w:spacing w:line="276" w:lineRule="auto"/>
              <w:rPr>
                <w:b/>
                <w:bCs/>
                <w:noProof/>
                <w:sz w:val="18"/>
                <w:szCs w:val="18"/>
                <w:lang w:val="bg-BG" w:eastAsia="es-ES_tradnl"/>
              </w:rPr>
            </w:pPr>
            <w:r>
              <w:rPr>
                <w:b/>
                <w:bCs/>
                <w:noProof/>
                <w:sz w:val="18"/>
                <w:szCs w:val="18"/>
                <w:lang w:val="bg-BG" w:eastAsia="es-ES_tradnl"/>
              </w:rPr>
              <w:t xml:space="preserve">Окончателно изпълнение след </w:t>
            </w:r>
          </w:p>
          <w:p>
            <w:pPr>
              <w:spacing w:line="276" w:lineRule="auto"/>
              <w:rPr>
                <w:b/>
                <w:bCs/>
                <w:noProof/>
                <w:sz w:val="18"/>
                <w:szCs w:val="18"/>
                <w:lang w:val="bg-BG" w:eastAsia="es-ES_tradnl"/>
              </w:rPr>
            </w:pPr>
            <w:r>
              <w:rPr>
                <w:b/>
                <w:bCs/>
                <w:noProof/>
                <w:sz w:val="18"/>
                <w:szCs w:val="18"/>
                <w:lang w:val="bg-BG" w:eastAsia="es-ES_tradnl"/>
              </w:rPr>
              <w:t xml:space="preserve">осъществяване на пренесените </w:t>
            </w:r>
          </w:p>
          <w:p>
            <w:pPr>
              <w:spacing w:line="276" w:lineRule="auto"/>
              <w:rPr>
                <w:b/>
                <w:bCs/>
                <w:noProof/>
                <w:sz w:val="18"/>
                <w:szCs w:val="18"/>
                <w:lang w:val="bg-BG" w:eastAsia="es-ES_tradnl"/>
              </w:rPr>
            </w:pPr>
            <w:r>
              <w:rPr>
                <w:b/>
                <w:bCs/>
                <w:noProof/>
                <w:sz w:val="18"/>
                <w:szCs w:val="18"/>
                <w:lang w:val="bg-BG" w:eastAsia="es-ES_tradnl"/>
              </w:rPr>
              <w:t>действия през 2015 г.</w:t>
            </w:r>
          </w:p>
          <w:p>
            <w:pPr>
              <w:spacing w:line="276" w:lineRule="auto"/>
              <w:rPr>
                <w:b/>
                <w:bCs/>
                <w:noProof/>
                <w:sz w:val="18"/>
                <w:szCs w:val="18"/>
                <w:lang w:val="bg-BG" w:eastAsia="es-ES_tradnl"/>
              </w:rPr>
            </w:pPr>
          </w:p>
        </w:tc>
        <w:tc>
          <w:tcPr>
            <w:tcW w:w="43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106 411 140</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104 553 857</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98,25</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10 970 641</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7 317 638</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66,70</w:t>
            </w:r>
            <w:r>
              <w:rPr>
                <w:b/>
                <w:bCs/>
                <w:noProof/>
                <w:color w:val="000000"/>
                <w:sz w:val="18"/>
                <w:szCs w:val="18"/>
                <w:lang w:val="bg-BG" w:eastAsia="es-ES_tradnl"/>
              </w:rPr>
              <w:t> </w:t>
            </w:r>
            <w:r>
              <w:rPr>
                <w:b/>
                <w:bCs/>
                <w:noProof/>
                <w:color w:val="000000"/>
                <w:sz w:val="18"/>
                <w:szCs w:val="18"/>
                <w:lang w:eastAsia="es-ES_tradnl"/>
              </w:rPr>
              <w:t>%</w:t>
            </w:r>
          </w:p>
        </w:tc>
      </w:tr>
      <w:tr>
        <w:trPr>
          <w:gridAfter w:val="3"/>
          <w:wAfter w:w="1180" w:type="pct"/>
          <w:trHeight w:val="402"/>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02 01 04 01</w:t>
            </w:r>
          </w:p>
        </w:tc>
        <w:tc>
          <w:tcPr>
            <w:tcW w:w="915" w:type="pct"/>
            <w:tcBorders>
              <w:top w:val="nil"/>
              <w:left w:val="nil"/>
              <w:bottom w:val="single" w:sz="4" w:space="0" w:color="auto"/>
              <w:right w:val="single" w:sz="4" w:space="0" w:color="auto"/>
            </w:tcBorders>
            <w:noWrap/>
            <w:vAlign w:val="center"/>
            <w:hideMark/>
          </w:tcPr>
          <w:p>
            <w:pPr>
              <w:spacing w:line="276" w:lineRule="auto"/>
              <w:rPr>
                <w:b/>
                <w:bCs/>
                <w:noProof/>
                <w:sz w:val="18"/>
                <w:szCs w:val="18"/>
                <w:lang w:val="bg-BG" w:eastAsia="es-ES_tradnl"/>
              </w:rPr>
            </w:pPr>
            <w:r>
              <w:rPr>
                <w:b/>
                <w:bCs/>
                <w:noProof/>
                <w:sz w:val="18"/>
                <w:szCs w:val="18"/>
                <w:lang w:val="bg-BG" w:eastAsia="es-ES_tradnl"/>
              </w:rPr>
              <w:t>Административен бюджет</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5 118 063</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5 017 946</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98,04</w:t>
            </w:r>
            <w:r>
              <w:rPr>
                <w:noProof/>
                <w:color w:val="000000"/>
                <w:sz w:val="18"/>
                <w:szCs w:val="18"/>
                <w:lang w:val="bg-BG" w:eastAsia="es-ES_tradnl"/>
              </w:rPr>
              <w:t> </w:t>
            </w:r>
            <w:r>
              <w:rPr>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5 118 063</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2 103 647</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41,10</w:t>
            </w:r>
            <w:r>
              <w:rPr>
                <w:noProof/>
                <w:color w:val="000000"/>
                <w:sz w:val="18"/>
                <w:szCs w:val="18"/>
                <w:lang w:val="bg-BG" w:eastAsia="es-ES_tradnl"/>
              </w:rPr>
              <w:t> </w:t>
            </w:r>
            <w:r>
              <w:rPr>
                <w:noProof/>
                <w:color w:val="000000"/>
                <w:sz w:val="18"/>
                <w:szCs w:val="18"/>
                <w:lang w:eastAsia="es-ES_tradnl"/>
              </w:rPr>
              <w:t>%</w:t>
            </w:r>
          </w:p>
        </w:tc>
      </w:tr>
      <w:tr>
        <w:trPr>
          <w:gridAfter w:val="3"/>
          <w:wAfter w:w="1180" w:type="pct"/>
          <w:trHeight w:val="357"/>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02 01 06 01</w:t>
            </w:r>
          </w:p>
        </w:tc>
        <w:tc>
          <w:tcPr>
            <w:tcW w:w="915" w:type="pct"/>
            <w:tcBorders>
              <w:top w:val="nil"/>
              <w:left w:val="nil"/>
              <w:bottom w:val="single" w:sz="4" w:space="0" w:color="auto"/>
              <w:right w:val="single" w:sz="4" w:space="0" w:color="auto"/>
            </w:tcBorders>
            <w:noWrap/>
            <w:vAlign w:val="center"/>
            <w:hideMark/>
          </w:tcPr>
          <w:p>
            <w:pPr>
              <w:spacing w:line="276" w:lineRule="auto"/>
              <w:rPr>
                <w:b/>
                <w:bCs/>
                <w:noProof/>
                <w:sz w:val="18"/>
                <w:szCs w:val="18"/>
                <w:lang w:val="bg-BG" w:eastAsia="es-ES_tradnl"/>
              </w:rPr>
            </w:pPr>
            <w:r>
              <w:rPr>
                <w:b/>
                <w:bCs/>
                <w:noProof/>
                <w:sz w:val="18"/>
                <w:szCs w:val="18"/>
                <w:lang w:eastAsia="es-ES_tradnl"/>
              </w:rPr>
              <w:t xml:space="preserve">EASME </w:t>
            </w:r>
            <w:r>
              <w:rPr>
                <w:b/>
                <w:bCs/>
                <w:noProof/>
                <w:sz w:val="18"/>
                <w:szCs w:val="18"/>
                <w:lang w:val="bg-BG" w:eastAsia="es-ES_tradnl"/>
              </w:rPr>
              <w:t>—</w:t>
            </w:r>
            <w:r>
              <w:rPr>
                <w:b/>
                <w:bCs/>
                <w:noProof/>
                <w:sz w:val="18"/>
                <w:szCs w:val="18"/>
                <w:lang w:eastAsia="es-ES_tradnl"/>
              </w:rPr>
              <w:t xml:space="preserve"> </w:t>
            </w:r>
            <w:r>
              <w:rPr>
                <w:b/>
                <w:bCs/>
                <w:noProof/>
                <w:sz w:val="18"/>
                <w:szCs w:val="18"/>
                <w:lang w:val="bg-BG" w:eastAsia="es-ES_tradnl"/>
              </w:rPr>
              <w:t xml:space="preserve">административен </w:t>
            </w:r>
          </w:p>
          <w:p>
            <w:pPr>
              <w:spacing w:line="276" w:lineRule="auto"/>
              <w:rPr>
                <w:b/>
                <w:bCs/>
                <w:noProof/>
                <w:sz w:val="18"/>
                <w:szCs w:val="18"/>
                <w:lang w:eastAsia="es-ES_tradnl"/>
              </w:rPr>
            </w:pPr>
            <w:r>
              <w:rPr>
                <w:b/>
                <w:bCs/>
                <w:noProof/>
                <w:sz w:val="18"/>
                <w:szCs w:val="18"/>
                <w:lang w:val="bg-BG" w:eastAsia="es-ES_tradnl"/>
              </w:rPr>
              <w:t>бюджет</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6 667 313</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noProof/>
                <w:sz w:val="18"/>
                <w:szCs w:val="18"/>
                <w:lang w:eastAsia="es-ES_tradnl"/>
              </w:rPr>
            </w:pPr>
            <w:r>
              <w:rPr>
                <w:noProof/>
                <w:sz w:val="18"/>
                <w:szCs w:val="18"/>
                <w:lang w:eastAsia="es-ES_tradnl"/>
              </w:rPr>
              <w:t>6 626 000</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99,38</w:t>
            </w:r>
            <w:r>
              <w:rPr>
                <w:noProof/>
                <w:color w:val="000000"/>
                <w:sz w:val="18"/>
                <w:szCs w:val="18"/>
                <w:lang w:val="bg-BG" w:eastAsia="es-ES_tradnl"/>
              </w:rPr>
              <w:t> </w:t>
            </w:r>
            <w:r>
              <w:rPr>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6 667 313</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6 626 000</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noProof/>
                <w:color w:val="000000"/>
                <w:sz w:val="18"/>
                <w:szCs w:val="18"/>
                <w:lang w:eastAsia="es-ES_tradnl"/>
              </w:rPr>
            </w:pPr>
            <w:r>
              <w:rPr>
                <w:noProof/>
                <w:color w:val="000000"/>
                <w:sz w:val="18"/>
                <w:szCs w:val="18"/>
                <w:lang w:eastAsia="es-ES_tradnl"/>
              </w:rPr>
              <w:t>99,38</w:t>
            </w:r>
            <w:r>
              <w:rPr>
                <w:noProof/>
                <w:color w:val="000000"/>
                <w:sz w:val="18"/>
                <w:szCs w:val="18"/>
                <w:lang w:val="bg-BG" w:eastAsia="es-ES_tradnl"/>
              </w:rPr>
              <w:t> </w:t>
            </w:r>
            <w:r>
              <w:rPr>
                <w:noProof/>
                <w:color w:val="000000"/>
                <w:sz w:val="18"/>
                <w:szCs w:val="18"/>
                <w:lang w:eastAsia="es-ES_tradnl"/>
              </w:rPr>
              <w:t>%</w:t>
            </w:r>
          </w:p>
        </w:tc>
      </w:tr>
      <w:tr>
        <w:trPr>
          <w:gridAfter w:val="3"/>
          <w:wAfter w:w="1180" w:type="pct"/>
          <w:trHeight w:val="633"/>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 </w:t>
            </w:r>
          </w:p>
        </w:tc>
        <w:tc>
          <w:tcPr>
            <w:tcW w:w="915" w:type="pct"/>
            <w:tcBorders>
              <w:top w:val="nil"/>
              <w:left w:val="nil"/>
              <w:bottom w:val="single" w:sz="4" w:space="0" w:color="auto"/>
              <w:right w:val="single" w:sz="4" w:space="0" w:color="auto"/>
            </w:tcBorders>
            <w:vAlign w:val="center"/>
            <w:hideMark/>
          </w:tcPr>
          <w:p>
            <w:pPr>
              <w:spacing w:line="276" w:lineRule="auto"/>
              <w:rPr>
                <w:b/>
                <w:bCs/>
                <w:noProof/>
                <w:sz w:val="18"/>
                <w:szCs w:val="18"/>
                <w:lang w:eastAsia="es-ES_tradnl"/>
              </w:rPr>
            </w:pPr>
            <w:r>
              <w:rPr>
                <w:b/>
                <w:bCs/>
                <w:noProof/>
                <w:sz w:val="18"/>
                <w:szCs w:val="18"/>
                <w:lang w:val="bg-BG" w:eastAsia="es-ES_tradnl"/>
              </w:rPr>
              <w:t>Оперативен бюджет за поети задължения през</w:t>
            </w:r>
            <w:r>
              <w:rPr>
                <w:b/>
                <w:bCs/>
                <w:noProof/>
                <w:sz w:val="18"/>
                <w:szCs w:val="18"/>
                <w:lang w:eastAsia="es-ES_tradnl"/>
              </w:rPr>
              <w:t xml:space="preserve"> 2014</w:t>
            </w:r>
            <w:r>
              <w:rPr>
                <w:b/>
                <w:bCs/>
                <w:noProof/>
                <w:sz w:val="18"/>
                <w:szCs w:val="18"/>
                <w:lang w:val="bg-BG" w:eastAsia="es-ES_tradnl"/>
              </w:rPr>
              <w:t> г., включително пренесени действия</w:t>
            </w:r>
            <w:r>
              <w:rPr>
                <w:b/>
                <w:bCs/>
                <w:noProof/>
                <w:sz w:val="18"/>
                <w:szCs w:val="18"/>
                <w:lang w:eastAsia="es-ES_tradnl"/>
              </w:rPr>
              <w:t xml:space="preserve"> </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247 198 254</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246 865 956</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99,87</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85 214 871</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81 561 868</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95,71</w:t>
            </w:r>
            <w:r>
              <w:rPr>
                <w:b/>
                <w:bCs/>
                <w:noProof/>
                <w:color w:val="000000"/>
                <w:sz w:val="18"/>
                <w:szCs w:val="18"/>
                <w:lang w:val="bg-BG" w:eastAsia="es-ES_tradnl"/>
              </w:rPr>
              <w:t> </w:t>
            </w:r>
            <w:r>
              <w:rPr>
                <w:b/>
                <w:bCs/>
                <w:noProof/>
                <w:color w:val="000000"/>
                <w:sz w:val="18"/>
                <w:szCs w:val="18"/>
                <w:lang w:eastAsia="es-ES_tradnl"/>
              </w:rPr>
              <w:t>%</w:t>
            </w:r>
          </w:p>
        </w:tc>
      </w:tr>
      <w:tr>
        <w:trPr>
          <w:gridAfter w:val="3"/>
          <w:wAfter w:w="1180" w:type="pct"/>
          <w:trHeight w:val="836"/>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eastAsia="es-ES_tradnl"/>
              </w:rPr>
            </w:pPr>
            <w:r>
              <w:rPr>
                <w:b/>
                <w:bCs/>
                <w:noProof/>
                <w:color w:val="000000"/>
                <w:sz w:val="18"/>
                <w:szCs w:val="18"/>
                <w:lang w:eastAsia="es-ES_tradnl"/>
              </w:rPr>
              <w:t> </w:t>
            </w:r>
          </w:p>
        </w:tc>
        <w:tc>
          <w:tcPr>
            <w:tcW w:w="915" w:type="pct"/>
            <w:tcBorders>
              <w:top w:val="nil"/>
              <w:left w:val="nil"/>
              <w:bottom w:val="single" w:sz="4" w:space="0" w:color="auto"/>
              <w:right w:val="single" w:sz="4" w:space="0" w:color="auto"/>
            </w:tcBorders>
            <w:vAlign w:val="center"/>
            <w:hideMark/>
          </w:tcPr>
          <w:p>
            <w:pPr>
              <w:spacing w:line="276" w:lineRule="auto"/>
              <w:rPr>
                <w:b/>
                <w:bCs/>
                <w:noProof/>
                <w:sz w:val="18"/>
                <w:szCs w:val="18"/>
                <w:lang w:eastAsia="es-ES_tradnl"/>
              </w:rPr>
            </w:pPr>
            <w:r>
              <w:rPr>
                <w:b/>
                <w:bCs/>
                <w:noProof/>
                <w:sz w:val="18"/>
                <w:szCs w:val="18"/>
                <w:lang w:val="bg-BG" w:eastAsia="es-ES_tradnl"/>
              </w:rPr>
              <w:t xml:space="preserve">Оперативен бюджет за поети задължения през </w:t>
            </w:r>
            <w:r>
              <w:rPr>
                <w:b/>
                <w:bCs/>
                <w:noProof/>
                <w:sz w:val="18"/>
                <w:szCs w:val="18"/>
                <w:lang w:eastAsia="es-ES_tradnl"/>
              </w:rPr>
              <w:t>2014</w:t>
            </w:r>
            <w:r>
              <w:rPr>
                <w:b/>
                <w:bCs/>
                <w:noProof/>
                <w:sz w:val="18"/>
                <w:szCs w:val="18"/>
                <w:lang w:val="bg-BG" w:eastAsia="es-ES_tradnl"/>
              </w:rPr>
              <w:t> г. след окончателното изпълнение на пренесените действия през 2015 г.</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247 198 254</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245 340 971</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99,25</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tcPr>
          <w:p>
            <w:pPr>
              <w:spacing w:line="276" w:lineRule="auto"/>
              <w:rPr>
                <w:b/>
                <w:bCs/>
                <w:noProof/>
                <w:sz w:val="18"/>
                <w:szCs w:val="18"/>
                <w:lang w:eastAsia="es-ES_tradnl"/>
              </w:rPr>
            </w:pPr>
          </w:p>
        </w:tc>
        <w:tc>
          <w:tcPr>
            <w:tcW w:w="387" w:type="pct"/>
            <w:tcBorders>
              <w:top w:val="nil"/>
              <w:left w:val="nil"/>
              <w:bottom w:val="single" w:sz="4" w:space="0" w:color="auto"/>
              <w:right w:val="single" w:sz="4" w:space="0" w:color="auto"/>
            </w:tcBorders>
            <w:noWrap/>
            <w:vAlign w:val="center"/>
          </w:tcPr>
          <w:p>
            <w:pPr>
              <w:spacing w:line="276" w:lineRule="auto"/>
              <w:rPr>
                <w:b/>
                <w:bCs/>
                <w:noProof/>
                <w:sz w:val="18"/>
                <w:szCs w:val="18"/>
                <w:lang w:eastAsia="es-ES_tradnl"/>
              </w:rPr>
            </w:pPr>
          </w:p>
        </w:tc>
        <w:tc>
          <w:tcPr>
            <w:tcW w:w="379" w:type="pct"/>
            <w:tcBorders>
              <w:top w:val="nil"/>
              <w:left w:val="nil"/>
              <w:bottom w:val="single" w:sz="4" w:space="0" w:color="auto"/>
              <w:right w:val="single" w:sz="4" w:space="0" w:color="auto"/>
            </w:tcBorders>
            <w:noWrap/>
            <w:vAlign w:val="center"/>
          </w:tcPr>
          <w:p>
            <w:pPr>
              <w:spacing w:line="276" w:lineRule="auto"/>
              <w:rPr>
                <w:b/>
                <w:bCs/>
                <w:noProof/>
                <w:sz w:val="18"/>
                <w:szCs w:val="18"/>
                <w:lang w:eastAsia="es-ES_tradnl"/>
              </w:rPr>
            </w:pPr>
          </w:p>
        </w:tc>
      </w:tr>
      <w:tr>
        <w:trPr>
          <w:gridAfter w:val="3"/>
          <w:wAfter w:w="1180" w:type="pct"/>
          <w:trHeight w:val="930"/>
        </w:trPr>
        <w:tc>
          <w:tcPr>
            <w:tcW w:w="65" w:type="pct"/>
            <w:noWrap/>
            <w:vAlign w:val="center"/>
            <w:hideMark/>
          </w:tcPr>
          <w:p>
            <w:pPr>
              <w:spacing w:line="276" w:lineRule="auto"/>
              <w:rPr>
                <w:rFonts w:asciiTheme="minorHAnsi" w:eastAsiaTheme="minorHAnsi" w:hAnsiTheme="minorHAnsi" w:cstheme="minorBidi"/>
                <w:noProof/>
                <w:lang w:eastAsia="en-US"/>
              </w:rPr>
            </w:pPr>
          </w:p>
        </w:tc>
        <w:tc>
          <w:tcPr>
            <w:tcW w:w="458" w:type="pct"/>
            <w:tcBorders>
              <w:top w:val="nil"/>
              <w:left w:val="single" w:sz="4" w:space="0" w:color="auto"/>
              <w:bottom w:val="single" w:sz="4" w:space="0" w:color="auto"/>
              <w:right w:val="single" w:sz="4" w:space="0" w:color="auto"/>
            </w:tcBorders>
            <w:noWrap/>
            <w:vAlign w:val="center"/>
            <w:hideMark/>
          </w:tcPr>
          <w:p>
            <w:pPr>
              <w:spacing w:line="276" w:lineRule="auto"/>
              <w:rPr>
                <w:b/>
                <w:bCs/>
                <w:noProof/>
                <w:color w:val="000000"/>
                <w:sz w:val="18"/>
                <w:szCs w:val="18"/>
                <w:lang w:val="bg-BG" w:eastAsia="es-ES_tradnl"/>
              </w:rPr>
            </w:pPr>
            <w:r>
              <w:rPr>
                <w:b/>
                <w:bCs/>
                <w:noProof/>
                <w:color w:val="000000"/>
                <w:sz w:val="18"/>
                <w:szCs w:val="18"/>
                <w:lang w:val="bg-BG" w:eastAsia="es-ES_tradnl"/>
              </w:rPr>
              <w:t xml:space="preserve">Общо за </w:t>
            </w:r>
            <w:r>
              <w:rPr>
                <w:b/>
                <w:bCs/>
                <w:noProof/>
                <w:color w:val="000000"/>
                <w:sz w:val="18"/>
                <w:szCs w:val="18"/>
                <w:lang w:eastAsia="es-ES_tradnl"/>
              </w:rPr>
              <w:t xml:space="preserve">COSME </w:t>
            </w:r>
          </w:p>
        </w:tc>
        <w:tc>
          <w:tcPr>
            <w:tcW w:w="915" w:type="pct"/>
            <w:tcBorders>
              <w:top w:val="nil"/>
              <w:left w:val="nil"/>
              <w:bottom w:val="single" w:sz="4" w:space="0" w:color="auto"/>
              <w:right w:val="single" w:sz="4" w:space="0" w:color="auto"/>
            </w:tcBorders>
            <w:vAlign w:val="center"/>
            <w:hideMark/>
          </w:tcPr>
          <w:p>
            <w:pPr>
              <w:spacing w:line="276" w:lineRule="auto"/>
              <w:rPr>
                <w:b/>
                <w:bCs/>
                <w:noProof/>
                <w:sz w:val="18"/>
                <w:szCs w:val="18"/>
                <w:lang w:val="bg-BG" w:eastAsia="es-ES_tradnl"/>
              </w:rPr>
            </w:pPr>
            <w:r>
              <w:rPr>
                <w:b/>
                <w:bCs/>
                <w:noProof/>
                <w:sz w:val="18"/>
                <w:szCs w:val="18"/>
                <w:lang w:val="bg-BG" w:eastAsia="es-ES_tradnl"/>
              </w:rPr>
              <w:t xml:space="preserve">Общ размер на изпълнения бюджет, включително административни разходи, след изпълнение на пренесените действия </w:t>
            </w:r>
          </w:p>
        </w:tc>
        <w:tc>
          <w:tcPr>
            <w:tcW w:w="43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258 983 630</w:t>
            </w:r>
          </w:p>
        </w:tc>
        <w:tc>
          <w:tcPr>
            <w:tcW w:w="432"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256 984 918</w:t>
            </w:r>
          </w:p>
        </w:tc>
        <w:tc>
          <w:tcPr>
            <w:tcW w:w="357"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99,23</w:t>
            </w:r>
            <w:r>
              <w:rPr>
                <w:b/>
                <w:bCs/>
                <w:noProof/>
                <w:color w:val="000000"/>
                <w:sz w:val="18"/>
                <w:szCs w:val="18"/>
                <w:lang w:val="bg-BG" w:eastAsia="es-ES_tradnl"/>
              </w:rPr>
              <w:t> </w:t>
            </w:r>
            <w:r>
              <w:rPr>
                <w:b/>
                <w:bCs/>
                <w:noProof/>
                <w:color w:val="000000"/>
                <w:sz w:val="18"/>
                <w:szCs w:val="18"/>
                <w:lang w:eastAsia="es-ES_tradnl"/>
              </w:rPr>
              <w:t>%</w:t>
            </w:r>
          </w:p>
        </w:tc>
        <w:tc>
          <w:tcPr>
            <w:tcW w:w="393"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97 000 247</w:t>
            </w:r>
          </w:p>
        </w:tc>
        <w:tc>
          <w:tcPr>
            <w:tcW w:w="387" w:type="pct"/>
            <w:tcBorders>
              <w:top w:val="nil"/>
              <w:left w:val="nil"/>
              <w:bottom w:val="single" w:sz="4" w:space="0" w:color="auto"/>
              <w:right w:val="single" w:sz="4" w:space="0" w:color="auto"/>
            </w:tcBorders>
            <w:noWrap/>
            <w:vAlign w:val="center"/>
            <w:hideMark/>
          </w:tcPr>
          <w:p>
            <w:pPr>
              <w:spacing w:line="276" w:lineRule="auto"/>
              <w:jc w:val="right"/>
              <w:rPr>
                <w:b/>
                <w:bCs/>
                <w:noProof/>
                <w:sz w:val="18"/>
                <w:szCs w:val="18"/>
                <w:lang w:eastAsia="es-ES_tradnl"/>
              </w:rPr>
            </w:pPr>
            <w:r>
              <w:rPr>
                <w:b/>
                <w:bCs/>
                <w:noProof/>
                <w:sz w:val="18"/>
                <w:szCs w:val="18"/>
                <w:lang w:eastAsia="es-ES_tradnl"/>
              </w:rPr>
              <w:t>90 291 514</w:t>
            </w:r>
          </w:p>
        </w:tc>
        <w:tc>
          <w:tcPr>
            <w:tcW w:w="379" w:type="pct"/>
            <w:tcBorders>
              <w:top w:val="nil"/>
              <w:left w:val="nil"/>
              <w:bottom w:val="single" w:sz="4" w:space="0" w:color="auto"/>
              <w:right w:val="single" w:sz="4" w:space="0" w:color="auto"/>
            </w:tcBorders>
            <w:noWrap/>
            <w:vAlign w:val="center"/>
            <w:hideMark/>
          </w:tcPr>
          <w:p>
            <w:pPr>
              <w:spacing w:line="276" w:lineRule="auto"/>
              <w:jc w:val="right"/>
              <w:rPr>
                <w:b/>
                <w:bCs/>
                <w:noProof/>
                <w:color w:val="000000"/>
                <w:sz w:val="18"/>
                <w:szCs w:val="18"/>
                <w:lang w:eastAsia="es-ES_tradnl"/>
              </w:rPr>
            </w:pPr>
            <w:r>
              <w:rPr>
                <w:b/>
                <w:bCs/>
                <w:noProof/>
                <w:color w:val="000000"/>
                <w:sz w:val="18"/>
                <w:szCs w:val="18"/>
                <w:lang w:eastAsia="es-ES_tradnl"/>
              </w:rPr>
              <w:t>93,08</w:t>
            </w:r>
            <w:r>
              <w:rPr>
                <w:b/>
                <w:bCs/>
                <w:noProof/>
                <w:color w:val="000000"/>
                <w:sz w:val="18"/>
                <w:szCs w:val="18"/>
                <w:lang w:val="bg-BG" w:eastAsia="es-ES_tradnl"/>
              </w:rPr>
              <w:t> </w:t>
            </w:r>
            <w:r>
              <w:rPr>
                <w:b/>
                <w:bCs/>
                <w:noProof/>
                <w:color w:val="000000"/>
                <w:sz w:val="18"/>
                <w:szCs w:val="18"/>
                <w:lang w:eastAsia="es-ES_tradnl"/>
              </w:rPr>
              <w:t>%</w:t>
            </w:r>
          </w:p>
        </w:tc>
      </w:tr>
    </w:tbl>
    <w:p>
      <w:pPr>
        <w:spacing w:after="60"/>
        <w:jc w:val="center"/>
        <w:rPr>
          <w:noProof/>
          <w:sz w:val="18"/>
          <w:szCs w:val="18"/>
        </w:rPr>
      </w:pPr>
    </w:p>
    <w:p>
      <w:pPr>
        <w:rPr>
          <w:noProof/>
          <w:sz w:val="18"/>
          <w:szCs w:val="18"/>
        </w:rPr>
        <w:sectPr>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247" w:right="1134" w:bottom="1134" w:left="1134" w:header="709" w:footer="709" w:gutter="0"/>
          <w:cols w:space="720"/>
        </w:sectPr>
      </w:pPr>
    </w:p>
    <w:p>
      <w:pPr>
        <w:pStyle w:val="Heading1"/>
        <w:rPr>
          <w:bCs w:val="0"/>
          <w:noProof/>
          <w:sz w:val="32"/>
          <w:szCs w:val="32"/>
        </w:rPr>
      </w:pPr>
      <w:bookmarkStart w:id="9" w:name="_Toc458765636"/>
      <w:r>
        <w:rPr>
          <w:bCs w:val="0"/>
          <w:noProof/>
          <w:sz w:val="32"/>
          <w:szCs w:val="32"/>
        </w:rPr>
        <w:t xml:space="preserve">2.1 </w:t>
      </w:r>
      <w:r>
        <w:rPr>
          <w:bCs w:val="0"/>
          <w:noProof/>
          <w:sz w:val="32"/>
          <w:szCs w:val="32"/>
          <w:lang w:val="bg-BG"/>
        </w:rPr>
        <w:t>Достъп до финансиране</w:t>
      </w:r>
      <w:bookmarkEnd w:id="9"/>
      <w:r>
        <w:rPr>
          <w:bCs w:val="0"/>
          <w:noProof/>
          <w:sz w:val="32"/>
          <w:szCs w:val="32"/>
        </w:rPr>
        <w:t xml:space="preserve"> </w:t>
      </w:r>
    </w:p>
    <w:p>
      <w:pPr>
        <w:spacing w:before="100" w:beforeAutospacing="1" w:after="100" w:afterAutospacing="1"/>
        <w:jc w:val="both"/>
        <w:rPr>
          <w:b/>
          <w:bCs/>
          <w:noProof/>
        </w:rPr>
      </w:pPr>
      <w:r>
        <w:rPr>
          <w:b/>
          <w:bCs/>
          <w:noProof/>
          <w:lang w:val="bg-BG"/>
        </w:rPr>
        <w:t>В Регламента за</w:t>
      </w:r>
      <w:r>
        <w:rPr>
          <w:b/>
          <w:bCs/>
          <w:noProof/>
        </w:rPr>
        <w:t xml:space="preserve"> COSME </w:t>
      </w:r>
      <w:r>
        <w:rPr>
          <w:b/>
          <w:bCs/>
          <w:noProof/>
          <w:lang w:val="bg-BG"/>
        </w:rPr>
        <w:t>се посочва, че поне</w:t>
      </w:r>
      <w:r>
        <w:rPr>
          <w:b/>
          <w:bCs/>
          <w:noProof/>
        </w:rPr>
        <w:t xml:space="preserve"> 60</w:t>
      </w:r>
      <w:r>
        <w:rPr>
          <w:b/>
          <w:bCs/>
          <w:noProof/>
          <w:lang w:val="bg-BG"/>
        </w:rPr>
        <w:t> </w:t>
      </w:r>
      <w:r>
        <w:rPr>
          <w:b/>
          <w:bCs/>
          <w:noProof/>
        </w:rPr>
        <w:t xml:space="preserve">% </w:t>
      </w:r>
      <w:r>
        <w:rPr>
          <w:b/>
          <w:bCs/>
          <w:noProof/>
          <w:lang w:val="bg-BG"/>
        </w:rPr>
        <w:t>от общия бюджет</w:t>
      </w:r>
      <w:r>
        <w:rPr>
          <w:b/>
          <w:bCs/>
          <w:noProof/>
        </w:rPr>
        <w:t xml:space="preserve"> (1</w:t>
      </w:r>
      <w:r>
        <w:rPr>
          <w:b/>
          <w:bCs/>
          <w:noProof/>
          <w:lang w:val="bg-BG"/>
        </w:rPr>
        <w:t>,</w:t>
      </w:r>
      <w:r>
        <w:rPr>
          <w:b/>
          <w:bCs/>
          <w:noProof/>
        </w:rPr>
        <w:t xml:space="preserve">4 </w:t>
      </w:r>
      <w:r>
        <w:rPr>
          <w:b/>
          <w:bCs/>
          <w:noProof/>
          <w:lang w:val="bg-BG"/>
        </w:rPr>
        <w:t>милиона евро</w:t>
      </w:r>
      <w:r>
        <w:rPr>
          <w:b/>
          <w:bCs/>
          <w:noProof/>
        </w:rPr>
        <w:t xml:space="preserve">) </w:t>
      </w:r>
      <w:r>
        <w:rPr>
          <w:b/>
          <w:bCs/>
          <w:noProof/>
          <w:lang w:val="bg-BG"/>
        </w:rPr>
        <w:t>трябва да бъдат разпределени към финансовите инструменти за периода</w:t>
      </w:r>
      <w:r>
        <w:rPr>
          <w:b/>
          <w:bCs/>
          <w:noProof/>
        </w:rPr>
        <w:t xml:space="preserve"> 2014</w:t>
      </w:r>
      <w:r>
        <w:rPr>
          <w:b/>
          <w:bCs/>
          <w:noProof/>
          <w:lang w:val="bg-BG"/>
        </w:rPr>
        <w:t>—</w:t>
      </w:r>
      <w:r>
        <w:rPr>
          <w:b/>
          <w:bCs/>
          <w:noProof/>
        </w:rPr>
        <w:t>2020</w:t>
      </w:r>
      <w:r>
        <w:rPr>
          <w:b/>
          <w:bCs/>
          <w:noProof/>
          <w:lang w:val="bg-BG"/>
        </w:rPr>
        <w:t> г</w:t>
      </w:r>
      <w:r>
        <w:rPr>
          <w:b/>
          <w:bCs/>
          <w:noProof/>
        </w:rPr>
        <w:t>.</w:t>
      </w:r>
    </w:p>
    <w:p>
      <w:pPr>
        <w:spacing w:before="100" w:beforeAutospacing="1" w:after="100" w:afterAutospacing="1"/>
        <w:jc w:val="both"/>
        <w:rPr>
          <w:bCs/>
          <w:noProof/>
        </w:rPr>
      </w:pPr>
      <w:r>
        <w:rPr>
          <w:bCs/>
          <w:noProof/>
          <w:lang w:val="bg-BG"/>
        </w:rPr>
        <w:t>През</w:t>
      </w:r>
      <w:r>
        <w:rPr>
          <w:bCs/>
          <w:noProof/>
        </w:rPr>
        <w:t xml:space="preserve"> 2014</w:t>
      </w:r>
      <w:r>
        <w:rPr>
          <w:bCs/>
          <w:noProof/>
          <w:lang w:val="bg-BG"/>
        </w:rPr>
        <w:t> г. достъпът до финансиране представляваше</w:t>
      </w:r>
      <w:r>
        <w:rPr>
          <w:bCs/>
          <w:noProof/>
        </w:rPr>
        <w:t xml:space="preserve"> 58</w:t>
      </w:r>
      <w:r>
        <w:rPr>
          <w:bCs/>
          <w:noProof/>
          <w:lang w:val="bg-BG"/>
        </w:rPr>
        <w:t> </w:t>
      </w:r>
      <w:r>
        <w:rPr>
          <w:bCs/>
          <w:noProof/>
        </w:rPr>
        <w:t>% (163</w:t>
      </w:r>
      <w:r>
        <w:rPr>
          <w:bCs/>
          <w:noProof/>
          <w:lang w:val="bg-BG"/>
        </w:rPr>
        <w:t>,</w:t>
      </w:r>
      <w:r>
        <w:rPr>
          <w:bCs/>
          <w:noProof/>
        </w:rPr>
        <w:t xml:space="preserve">5 </w:t>
      </w:r>
      <w:r>
        <w:rPr>
          <w:bCs/>
          <w:noProof/>
          <w:lang w:val="bg-BG"/>
        </w:rPr>
        <w:t>милиона евро</w:t>
      </w:r>
      <w:r>
        <w:rPr>
          <w:bCs/>
          <w:noProof/>
        </w:rPr>
        <w:t xml:space="preserve">) </w:t>
      </w:r>
      <w:r>
        <w:rPr>
          <w:bCs/>
          <w:noProof/>
          <w:lang w:val="bg-BG"/>
        </w:rPr>
        <w:t xml:space="preserve">от наличния за </w:t>
      </w:r>
      <w:r>
        <w:rPr>
          <w:bCs/>
          <w:noProof/>
        </w:rPr>
        <w:t>COSME</w:t>
      </w:r>
      <w:r>
        <w:rPr>
          <w:bCs/>
          <w:noProof/>
          <w:lang w:val="bg-BG"/>
        </w:rPr>
        <w:t xml:space="preserve"> финансов пакет</w:t>
      </w:r>
      <w:r>
        <w:rPr>
          <w:bCs/>
          <w:noProof/>
        </w:rPr>
        <w:t xml:space="preserve">. </w:t>
      </w:r>
      <w:r>
        <w:rPr>
          <w:bCs/>
          <w:noProof/>
          <w:lang w:val="bg-BG"/>
        </w:rPr>
        <w:t>След прехвърляне на</w:t>
      </w:r>
      <w:r>
        <w:rPr>
          <w:bCs/>
          <w:noProof/>
        </w:rPr>
        <w:t xml:space="preserve"> 21</w:t>
      </w:r>
      <w:r>
        <w:rPr>
          <w:bCs/>
          <w:noProof/>
          <w:lang w:val="bg-BG"/>
        </w:rPr>
        <w:t>,</w:t>
      </w:r>
      <w:r>
        <w:rPr>
          <w:bCs/>
          <w:noProof/>
        </w:rPr>
        <w:t>25</w:t>
      </w:r>
      <w:r>
        <w:rPr>
          <w:bCs/>
          <w:noProof/>
          <w:lang w:val="bg-BG"/>
        </w:rPr>
        <w:t xml:space="preserve"> милиона евро към ЕИФ за увеличение на капитала наличният бюджет за улесняване на достъпа до финансиране на МСП чрез</w:t>
      </w:r>
      <w:r>
        <w:rPr>
          <w:bCs/>
          <w:noProof/>
        </w:rPr>
        <w:t xml:space="preserve"> </w:t>
      </w:r>
      <w:r>
        <w:rPr>
          <w:bCs/>
          <w:noProof/>
          <w:lang w:val="bg-BG"/>
        </w:rPr>
        <w:t>механизма за гарантиране на заеми</w:t>
      </w:r>
      <w:r>
        <w:rPr>
          <w:rFonts w:ascii="Lucida Sans Unicode" w:hAnsi="Lucida Sans Unicode" w:cs="Lucida Sans Unicode"/>
          <w:noProof/>
          <w:color w:val="444444"/>
          <w:sz w:val="15"/>
          <w:szCs w:val="15"/>
          <w:shd w:val="clear" w:color="auto" w:fill="FFFFFF"/>
          <w:lang w:val="bg-BG"/>
        </w:rPr>
        <w:t xml:space="preserve"> </w:t>
      </w:r>
      <w:r>
        <w:rPr>
          <w:bCs/>
          <w:noProof/>
        </w:rPr>
        <w:t xml:space="preserve">(МГЗ) </w:t>
      </w:r>
      <w:r>
        <w:rPr>
          <w:bCs/>
          <w:noProof/>
          <w:lang w:val="bg-BG"/>
        </w:rPr>
        <w:t>и</w:t>
      </w:r>
      <w:r>
        <w:rPr>
          <w:bCs/>
          <w:noProof/>
        </w:rPr>
        <w:t xml:space="preserve"> </w:t>
      </w:r>
      <w:r>
        <w:rPr>
          <w:bCs/>
          <w:noProof/>
          <w:lang w:val="bg-BG"/>
        </w:rPr>
        <w:t>капиталовия механизъм за растеж</w:t>
      </w:r>
      <w:r>
        <w:rPr>
          <w:bCs/>
          <w:noProof/>
        </w:rPr>
        <w:t xml:space="preserve"> (КМР) </w:t>
      </w:r>
      <w:r>
        <w:rPr>
          <w:bCs/>
          <w:noProof/>
          <w:lang w:val="bg-BG"/>
        </w:rPr>
        <w:t>беше в размер на</w:t>
      </w:r>
      <w:r>
        <w:rPr>
          <w:bCs/>
          <w:noProof/>
        </w:rPr>
        <w:t xml:space="preserve"> 140</w:t>
      </w:r>
      <w:r>
        <w:rPr>
          <w:bCs/>
          <w:noProof/>
          <w:lang w:val="bg-BG"/>
        </w:rPr>
        <w:t>,</w:t>
      </w:r>
      <w:r>
        <w:rPr>
          <w:bCs/>
          <w:noProof/>
        </w:rPr>
        <w:t xml:space="preserve">8 </w:t>
      </w:r>
      <w:r>
        <w:rPr>
          <w:bCs/>
          <w:noProof/>
          <w:lang w:val="bg-BG"/>
        </w:rPr>
        <w:t>милиона евро</w:t>
      </w:r>
      <w:r>
        <w:rPr>
          <w:bCs/>
          <w:noProof/>
        </w:rPr>
        <w:t xml:space="preserve">. </w:t>
      </w:r>
      <w:r>
        <w:rPr>
          <w:bCs/>
          <w:noProof/>
          <w:lang w:val="bg-BG"/>
        </w:rPr>
        <w:t>Общият бюджет за поети задължения за</w:t>
      </w:r>
      <w:r>
        <w:rPr>
          <w:bCs/>
          <w:noProof/>
          <w:lang w:eastAsia="fr-FR"/>
        </w:rPr>
        <w:t xml:space="preserve"> МГЗ</w:t>
      </w:r>
      <w:r>
        <w:rPr>
          <w:bCs/>
          <w:noProof/>
          <w:lang w:val="bg-BG" w:eastAsia="fr-FR"/>
        </w:rPr>
        <w:t xml:space="preserve"> беше в размер на</w:t>
      </w:r>
      <w:r>
        <w:rPr>
          <w:bCs/>
          <w:noProof/>
          <w:lang w:eastAsia="fr-FR"/>
        </w:rPr>
        <w:t xml:space="preserve"> 89</w:t>
      </w:r>
      <w:r>
        <w:rPr>
          <w:bCs/>
          <w:noProof/>
          <w:lang w:val="bg-BG" w:eastAsia="fr-FR"/>
        </w:rPr>
        <w:t>,</w:t>
      </w:r>
      <w:r>
        <w:rPr>
          <w:bCs/>
          <w:noProof/>
          <w:lang w:eastAsia="fr-FR"/>
        </w:rPr>
        <w:t xml:space="preserve">1 </w:t>
      </w:r>
      <w:r>
        <w:rPr>
          <w:bCs/>
          <w:noProof/>
          <w:lang w:val="bg-BG" w:eastAsia="fr-FR"/>
        </w:rPr>
        <w:t>милиона евро</w:t>
      </w:r>
      <w:r>
        <w:rPr>
          <w:bCs/>
          <w:noProof/>
          <w:lang w:eastAsia="fr-FR"/>
        </w:rPr>
        <w:t>,</w:t>
      </w:r>
      <w:r>
        <w:rPr>
          <w:bCs/>
          <w:noProof/>
          <w:lang w:val="bg-BG" w:eastAsia="fr-FR"/>
        </w:rPr>
        <w:t xml:space="preserve"> докато общият бюджет за поети задължения за</w:t>
      </w:r>
      <w:r>
        <w:rPr>
          <w:bCs/>
          <w:noProof/>
          <w:lang w:eastAsia="fr-FR"/>
        </w:rPr>
        <w:t xml:space="preserve"> </w:t>
      </w:r>
      <w:r>
        <w:rPr>
          <w:noProof/>
        </w:rPr>
        <w:t>КМР</w:t>
      </w:r>
      <w:r>
        <w:rPr>
          <w:noProof/>
          <w:lang w:val="bg-BG"/>
        </w:rPr>
        <w:t xml:space="preserve"> беше в размер на</w:t>
      </w:r>
      <w:r>
        <w:rPr>
          <w:noProof/>
        </w:rPr>
        <w:t xml:space="preserve"> 51</w:t>
      </w:r>
      <w:r>
        <w:rPr>
          <w:noProof/>
          <w:lang w:val="bg-BG"/>
        </w:rPr>
        <w:t>,</w:t>
      </w:r>
      <w:r>
        <w:rPr>
          <w:noProof/>
        </w:rPr>
        <w:t xml:space="preserve">7 </w:t>
      </w:r>
      <w:r>
        <w:rPr>
          <w:noProof/>
          <w:lang w:val="bg-BG"/>
        </w:rPr>
        <w:t>милиона евро</w:t>
      </w:r>
      <w:r>
        <w:rPr>
          <w:noProof/>
        </w:rPr>
        <w:t>.</w:t>
      </w:r>
    </w:p>
    <w:p>
      <w:pPr>
        <w:spacing w:before="100" w:beforeAutospacing="1" w:after="100" w:afterAutospacing="1"/>
        <w:jc w:val="both"/>
        <w:rPr>
          <w:noProof/>
          <w:lang w:val="bg-BG"/>
        </w:rPr>
      </w:pPr>
      <w:r>
        <w:rPr>
          <w:noProof/>
          <w:lang w:val="bg-BG"/>
        </w:rPr>
        <w:t xml:space="preserve">Споразумението за делегиране с Европейския инвестиционен фонд беше подписано през юли </w:t>
      </w:r>
      <w:r>
        <w:rPr>
          <w:noProof/>
        </w:rPr>
        <w:t>2014</w:t>
      </w:r>
      <w:r>
        <w:rPr>
          <w:noProof/>
          <w:lang w:val="bg-BG"/>
        </w:rPr>
        <w:t> г</w:t>
      </w:r>
      <w:r>
        <w:rPr>
          <w:noProof/>
        </w:rPr>
        <w:t xml:space="preserve">. </w:t>
      </w:r>
      <w:r>
        <w:rPr>
          <w:noProof/>
          <w:lang w:val="bg-BG"/>
        </w:rPr>
        <w:t>Впоследствие ЕИФ публикува две постоянни покани за</w:t>
      </w:r>
      <w:r>
        <w:rPr>
          <w:noProof/>
        </w:rPr>
        <w:t xml:space="preserve"> </w:t>
      </w:r>
      <w:r>
        <w:rPr>
          <w:noProof/>
          <w:lang w:val="bg-BG"/>
        </w:rPr>
        <w:t>изразяване на интерес</w:t>
      </w:r>
      <w:r>
        <w:rPr>
          <w:noProof/>
        </w:rPr>
        <w:t xml:space="preserve"> </w:t>
      </w:r>
      <w:r>
        <w:rPr>
          <w:noProof/>
          <w:lang w:val="bg-BG"/>
        </w:rPr>
        <w:t>за избор на финансови посредници, които на свой ред ще изберат крайните бенефициери по линия на</w:t>
      </w:r>
      <w:r>
        <w:rPr>
          <w:noProof/>
        </w:rPr>
        <w:t xml:space="preserve"> МГЗ </w:t>
      </w:r>
      <w:r>
        <w:rPr>
          <w:noProof/>
          <w:lang w:val="bg-BG"/>
        </w:rPr>
        <w:t>или</w:t>
      </w:r>
      <w:r>
        <w:rPr>
          <w:noProof/>
        </w:rPr>
        <w:t xml:space="preserve"> КМР </w:t>
      </w:r>
      <w:r>
        <w:rPr>
          <w:noProof/>
          <w:lang w:val="bg-BG"/>
        </w:rPr>
        <w:t>в съответствие със своята обичайна стопанска практика</w:t>
      </w:r>
      <w:r>
        <w:rPr>
          <w:noProof/>
        </w:rPr>
        <w:t xml:space="preserve"> </w:t>
      </w:r>
      <w:r>
        <w:rPr>
          <w:noProof/>
          <w:lang w:val="bg-BG"/>
        </w:rPr>
        <w:t>и като отчитат критериите за допустимост за</w:t>
      </w:r>
      <w:r>
        <w:rPr>
          <w:noProof/>
        </w:rPr>
        <w:t xml:space="preserve"> МГЗ </w:t>
      </w:r>
      <w:r>
        <w:rPr>
          <w:noProof/>
          <w:lang w:val="bg-BG"/>
        </w:rPr>
        <w:t>или</w:t>
      </w:r>
      <w:r>
        <w:rPr>
          <w:noProof/>
        </w:rPr>
        <w:t xml:space="preserve"> КМР. </w:t>
      </w:r>
      <w:r>
        <w:rPr>
          <w:noProof/>
          <w:lang w:val="bg-BG"/>
        </w:rPr>
        <w:t>Първите гаранционни споразумения съгласно</w:t>
      </w:r>
      <w:r>
        <w:rPr>
          <w:noProof/>
        </w:rPr>
        <w:t xml:space="preserve"> МГЗ </w:t>
      </w:r>
      <w:r>
        <w:rPr>
          <w:noProof/>
          <w:lang w:val="bg-BG"/>
        </w:rPr>
        <w:t>бяха подписани между ЕИФ и финансовите посредници в края на</w:t>
      </w:r>
      <w:r>
        <w:rPr>
          <w:noProof/>
        </w:rPr>
        <w:t xml:space="preserve"> 2014</w:t>
      </w:r>
      <w:r>
        <w:rPr>
          <w:noProof/>
          <w:lang w:val="bg-BG"/>
        </w:rPr>
        <w:t> г.</w:t>
      </w:r>
      <w:r>
        <w:rPr>
          <w:noProof/>
        </w:rPr>
        <w:t>,</w:t>
      </w:r>
      <w:r>
        <w:rPr>
          <w:noProof/>
          <w:lang w:val="bg-BG"/>
        </w:rPr>
        <w:t xml:space="preserve"> а първите заеми бяха отпуснати на МСП в началото на</w:t>
      </w:r>
      <w:r>
        <w:rPr>
          <w:noProof/>
        </w:rPr>
        <w:t xml:space="preserve"> 2015</w:t>
      </w:r>
      <w:r>
        <w:rPr>
          <w:noProof/>
          <w:lang w:val="bg-BG"/>
        </w:rPr>
        <w:t> г</w:t>
      </w:r>
      <w:r>
        <w:rPr>
          <w:noProof/>
        </w:rPr>
        <w:t>.</w:t>
      </w:r>
      <w:r>
        <w:rPr>
          <w:noProof/>
          <w:lang w:val="bg-BG"/>
        </w:rPr>
        <w:t xml:space="preserve"> Съгласно тези споразумения ще се предоставя финансиране на МСП, които в противен случай не биха могли да получат финансиране поради предположения за висок рисков профил или поради недостатъчна степен на обезпечение</w:t>
      </w:r>
      <w:r>
        <w:rPr>
          <w:noProof/>
        </w:rPr>
        <w:t>.</w:t>
      </w:r>
      <w:r>
        <w:rPr>
          <w:noProof/>
          <w:lang w:val="bg-BG"/>
        </w:rPr>
        <w:t xml:space="preserve"> Сключването на споразумения за отпускане на средства по линия на КМР е по-сложно и отнема значително време. Въпреки че ЕИФ извърши надлежна проверка на няколко предложения, до края на 2014 г. не бяха подписани споразумения за отпускане на средства.</w:t>
      </w:r>
    </w:p>
    <w:p>
      <w:pPr>
        <w:spacing w:before="100" w:beforeAutospacing="1" w:after="100" w:afterAutospacing="1"/>
        <w:jc w:val="both"/>
        <w:rPr>
          <w:bCs/>
          <w:noProof/>
          <w:lang w:val="bg-BG" w:eastAsia="fr-FR"/>
        </w:rPr>
      </w:pPr>
      <w:r>
        <w:rPr>
          <w:bCs/>
          <w:noProof/>
          <w:lang w:val="bg-BG" w:eastAsia="fr-FR"/>
        </w:rPr>
        <w:t>Гаранционният механизъм за МСП (</w:t>
      </w:r>
      <w:r>
        <w:rPr>
          <w:bCs/>
          <w:noProof/>
          <w:lang w:eastAsia="fr-FR"/>
        </w:rPr>
        <w:t>SMEG</w:t>
      </w:r>
      <w:r>
        <w:rPr>
          <w:bCs/>
          <w:noProof/>
          <w:lang w:val="bg-BG" w:eastAsia="fr-FR"/>
        </w:rPr>
        <w:t xml:space="preserve">) по линия на Програмата за конкурентоспособност и иновации, който предшества МГЗ, продължи да подкрепя МСП през цялата 2014 г. Над 56 000 МСП получиха финансиране в размер на общо над 3 милиарда евро с подкрепата на </w:t>
      </w:r>
      <w:r>
        <w:rPr>
          <w:bCs/>
          <w:noProof/>
          <w:lang w:eastAsia="fr-FR"/>
        </w:rPr>
        <w:t>SMEG</w:t>
      </w:r>
      <w:r>
        <w:rPr>
          <w:bCs/>
          <w:noProof/>
          <w:lang w:val="bg-BG" w:eastAsia="fr-FR"/>
        </w:rPr>
        <w:t xml:space="preserve">. От началото на своята дейност </w:t>
      </w:r>
      <w:r>
        <w:rPr>
          <w:bCs/>
          <w:noProof/>
          <w:lang w:eastAsia="fr-FR"/>
        </w:rPr>
        <w:t>SMEG</w:t>
      </w:r>
      <w:r>
        <w:rPr>
          <w:bCs/>
          <w:noProof/>
          <w:lang w:val="bg-BG" w:eastAsia="fr-FR"/>
        </w:rPr>
        <w:t xml:space="preserve"> е подпомогнал предоставянето на финансиране в размер на над 19 милиарда евро на почти 368 000 МСП. </w:t>
      </w:r>
    </w:p>
    <w:p>
      <w:pPr>
        <w:spacing w:before="100" w:beforeAutospacing="1" w:after="100" w:afterAutospacing="1"/>
        <w:jc w:val="both"/>
        <w:rPr>
          <w:noProof/>
          <w:lang w:val="bg-BG"/>
        </w:rPr>
      </w:pPr>
      <w:r>
        <w:rPr>
          <w:bCs/>
          <w:noProof/>
          <w:lang w:val="bg-BG" w:eastAsia="fr-FR"/>
        </w:rPr>
        <w:t>Инструментът</w:t>
      </w:r>
      <w:r>
        <w:rPr>
          <w:noProof/>
          <w:lang w:val="bg-BG"/>
        </w:rPr>
        <w:t xml:space="preserve"> </w:t>
      </w:r>
      <w:r>
        <w:rPr>
          <w:noProof/>
        </w:rPr>
        <w:t>GIF</w:t>
      </w:r>
      <w:r>
        <w:rPr>
          <w:noProof/>
          <w:lang w:val="bg-BG"/>
        </w:rPr>
        <w:t xml:space="preserve"> (Механизъм за висок растеж и иновации на МСП) продължава да осигурява рисков капитал на МСП, като е мобилизирано дялово финансиране в размер на над 288 милиона евро за подкрепа на 112 МСП. </w:t>
      </w:r>
      <w:r>
        <w:rPr>
          <w:bCs/>
          <w:noProof/>
          <w:lang w:val="bg-BG" w:eastAsia="fr-FR"/>
        </w:rPr>
        <w:t xml:space="preserve">От началото на своята дейност инструментът </w:t>
      </w:r>
      <w:r>
        <w:rPr>
          <w:noProof/>
        </w:rPr>
        <w:t>GIF</w:t>
      </w:r>
      <w:r>
        <w:rPr>
          <w:noProof/>
          <w:lang w:val="bg-BG"/>
        </w:rPr>
        <w:t xml:space="preserve"> е мобилизирал дялово финансиране в размер на над 3 милиарда евро за около 450 МСП. Този брой ще продължи да се увеличава през следващите няколко години, тъй като голяма част от средствата са все още в началния етап на приложимия за тях петгодишен инвестиционен период.</w:t>
      </w:r>
    </w:p>
    <w:p>
      <w:pPr>
        <w:spacing w:before="100" w:beforeAutospacing="1" w:after="100" w:afterAutospacing="1"/>
        <w:jc w:val="both"/>
        <w:rPr>
          <w:noProof/>
          <w:lang w:val="bg-BG"/>
        </w:rPr>
      </w:pPr>
      <w:r>
        <w:rPr>
          <w:noProof/>
          <w:lang w:val="bg-BG"/>
        </w:rPr>
        <w:t xml:space="preserve">До края на 2015 г. над 51 000 МСП бяха получили финансиране по линия МГЗ в размер на почти 1300 милиона евро, включително благодарение на разширяването на МГЗ на </w:t>
      </w:r>
      <w:r>
        <w:rPr>
          <w:noProof/>
        </w:rPr>
        <w:t>COSME</w:t>
      </w:r>
      <w:r>
        <w:rPr>
          <w:noProof/>
          <w:lang w:val="bg-BG"/>
        </w:rPr>
        <w:t xml:space="preserve"> чрез допълнителен капацитет за поемане на рискове, който беше осигурен от Европейския фонд за стратегически инвестиции (ЕФСИ) през юли 2015 г. Изпълнението надхвърли очакванията и потвърди голямото пазарно търсене на финансиране за по-рискови МСП, особено стартиращи и малки предприятия. </w:t>
      </w:r>
    </w:p>
    <w:p>
      <w:pPr>
        <w:spacing w:before="100" w:beforeAutospacing="1" w:after="100" w:afterAutospacing="1"/>
        <w:jc w:val="both"/>
        <w:rPr>
          <w:bCs/>
          <w:noProof/>
          <w:lang w:val="bg-BG" w:eastAsia="fr-FR"/>
        </w:rPr>
      </w:pPr>
      <w:r>
        <w:rPr>
          <w:bCs/>
          <w:noProof/>
          <w:lang w:val="bg-BG"/>
        </w:rPr>
        <w:t xml:space="preserve">Бяха предвидени съпътстващи мерки за популяризиране на двата финансови инструмента на </w:t>
      </w:r>
      <w:r>
        <w:rPr>
          <w:bCs/>
          <w:noProof/>
        </w:rPr>
        <w:t>COSME</w:t>
      </w:r>
      <w:r>
        <w:rPr>
          <w:bCs/>
          <w:noProof/>
          <w:lang w:val="bg-BG"/>
        </w:rPr>
        <w:t xml:space="preserve"> и допълнително насърчаване на достъпа до финансиране за МСП, но също така и за събиране на полезни факти и данни за мониторинг, както и за формиране на политиката за достъп до финансиране. </w:t>
      </w:r>
      <w:r>
        <w:rPr>
          <w:bCs/>
          <w:noProof/>
          <w:lang w:val="bg-BG" w:eastAsia="fr-FR"/>
        </w:rPr>
        <w:t>Бюджетът за поети задължения през 2014 г. за съпътстващи мерки е в размер на 1 241 252</w:t>
      </w:r>
      <w:r>
        <w:rPr>
          <w:bCs/>
          <w:noProof/>
          <w:lang w:val="en-US" w:eastAsia="fr-FR"/>
        </w:rPr>
        <w:t> EUR</w:t>
      </w:r>
      <w:r>
        <w:rPr>
          <w:rStyle w:val="FootnoteReference"/>
          <w:noProof/>
        </w:rPr>
        <w:footnoteReference w:id="10"/>
      </w:r>
      <w:r>
        <w:rPr>
          <w:noProof/>
          <w:lang w:val="bg-BG"/>
        </w:rPr>
        <w:t>.</w:t>
      </w:r>
    </w:p>
    <w:p>
      <w:pPr>
        <w:spacing w:before="100" w:beforeAutospacing="1" w:after="100" w:afterAutospacing="1"/>
        <w:rPr>
          <w:b/>
          <w:noProof/>
          <w:lang w:val="bg-BG" w:eastAsia="fr-FR"/>
        </w:rPr>
      </w:pPr>
    </w:p>
    <w:p>
      <w:pPr>
        <w:pStyle w:val="Heading1"/>
        <w:rPr>
          <w:bCs w:val="0"/>
          <w:noProof/>
          <w:sz w:val="32"/>
          <w:szCs w:val="32"/>
          <w:lang w:val="bg-BG"/>
        </w:rPr>
      </w:pPr>
      <w:bookmarkStart w:id="10" w:name="_Toc458765637"/>
      <w:r>
        <w:rPr>
          <w:bCs w:val="0"/>
          <w:noProof/>
          <w:sz w:val="32"/>
          <w:szCs w:val="32"/>
          <w:lang w:val="bg-BG"/>
        </w:rPr>
        <w:t>2.2 Достъп до пазари</w:t>
      </w:r>
      <w:bookmarkEnd w:id="10"/>
    </w:p>
    <w:p>
      <w:pPr>
        <w:spacing w:after="120"/>
        <w:jc w:val="both"/>
        <w:rPr>
          <w:b/>
          <w:bCs/>
          <w:noProof/>
          <w:lang w:val="bg-BG"/>
        </w:rPr>
      </w:pPr>
      <w:r>
        <w:rPr>
          <w:b/>
          <w:bCs/>
          <w:noProof/>
          <w:lang w:val="bg-BG"/>
        </w:rPr>
        <w:t xml:space="preserve">В Регламента за </w:t>
      </w:r>
      <w:r>
        <w:rPr>
          <w:b/>
          <w:bCs/>
          <w:noProof/>
        </w:rPr>
        <w:t>COSME</w:t>
      </w:r>
      <w:r>
        <w:rPr>
          <w:b/>
          <w:bCs/>
          <w:noProof/>
          <w:lang w:val="bg-BG"/>
        </w:rPr>
        <w:t xml:space="preserve"> се посочва, че ориентировъчно 21,5</w:t>
      </w:r>
      <w:r>
        <w:rPr>
          <w:noProof/>
          <w:lang w:val="bg-BG"/>
        </w:rPr>
        <w:t> </w:t>
      </w:r>
      <w:r>
        <w:rPr>
          <w:b/>
          <w:bCs/>
          <w:noProof/>
          <w:lang w:val="bg-BG"/>
        </w:rPr>
        <w:t>% от общия бюджет трябва да бъдат насочени към улесняване на достъпа до пазари.</w:t>
      </w:r>
    </w:p>
    <w:p>
      <w:pPr>
        <w:spacing w:before="100" w:beforeAutospacing="1" w:after="100" w:afterAutospacing="1"/>
        <w:jc w:val="both"/>
        <w:rPr>
          <w:bCs/>
          <w:noProof/>
          <w:lang w:val="bg-BG"/>
        </w:rPr>
      </w:pPr>
      <w:r>
        <w:rPr>
          <w:bCs/>
          <w:noProof/>
          <w:lang w:val="bg-BG"/>
        </w:rPr>
        <w:t>През 2014 г. бяха предвидени 61,5 милиона евро за интернационализация на МСП, което представлява 24 % от финансовия пакет за 2014 г.</w:t>
      </w:r>
    </w:p>
    <w:p>
      <w:pPr>
        <w:spacing w:before="100" w:beforeAutospacing="1" w:after="100" w:afterAutospacing="1"/>
        <w:jc w:val="both"/>
        <w:rPr>
          <w:bCs/>
          <w:noProof/>
          <w:lang w:val="bg-BG"/>
        </w:rPr>
      </w:pPr>
      <w:r>
        <w:rPr>
          <w:bCs/>
          <w:noProof/>
          <w:lang w:val="bg-BG"/>
        </w:rPr>
        <w:t>COSME осигурява подкрепа на европейски предприятия, и по-специално на МСП, като целта е да се възползват от единния пазар чрез създаване на стопански връзки извън тяхната държава и също така чрез износ извън Европа.</w:t>
      </w:r>
    </w:p>
    <w:p>
      <w:pPr>
        <w:spacing w:before="100" w:beforeAutospacing="1" w:after="100" w:afterAutospacing="1"/>
        <w:jc w:val="both"/>
        <w:rPr>
          <w:bCs/>
          <w:noProof/>
          <w:lang w:val="bg-BG"/>
        </w:rPr>
      </w:pPr>
      <w:r>
        <w:rPr>
          <w:bCs/>
          <w:noProof/>
          <w:lang w:val="bg-BG"/>
        </w:rPr>
        <w:t xml:space="preserve">Мрежата </w:t>
      </w:r>
      <w:r>
        <w:rPr>
          <w:noProof/>
          <w:lang w:val="bg-BG"/>
        </w:rPr>
        <w:t>„</w:t>
      </w:r>
      <w:r>
        <w:rPr>
          <w:noProof/>
        </w:rPr>
        <w:t>Enterprise</w:t>
      </w:r>
      <w:r>
        <w:rPr>
          <w:noProof/>
          <w:lang w:val="bg-BG"/>
        </w:rPr>
        <w:t xml:space="preserve"> </w:t>
      </w:r>
      <w:r>
        <w:rPr>
          <w:noProof/>
        </w:rPr>
        <w:t>Europe</w:t>
      </w:r>
      <w:r>
        <w:rPr>
          <w:noProof/>
          <w:lang w:val="bg-BG"/>
        </w:rPr>
        <w:t xml:space="preserve">“ </w:t>
      </w:r>
      <w:r>
        <w:rPr>
          <w:bCs/>
          <w:noProof/>
          <w:lang w:val="bg-BG"/>
        </w:rPr>
        <w:t>(</w:t>
      </w:r>
      <w:r>
        <w:rPr>
          <w:bCs/>
          <w:noProof/>
        </w:rPr>
        <w:t>EEN</w:t>
      </w:r>
      <w:r>
        <w:rPr>
          <w:bCs/>
          <w:noProof/>
          <w:lang w:val="bg-BG"/>
        </w:rPr>
        <w:t xml:space="preserve">) подпомага МСП на местно равнище чрез над 600 офиса в ЕС и извън него. Тя помага на МСП да намерят международни партньори в сферата на бизнеса, технологиите и научните изследвания в ЕС и други участващи държави. Посредством своите специализирани консултантски услуги мрежата насърчава участието на МСП в програми на ЕС за финансиране като </w:t>
      </w:r>
      <w:r>
        <w:rPr>
          <w:noProof/>
          <w:lang w:val="bg-BG"/>
        </w:rPr>
        <w:t>„Хоризонт 2020“ и европейските инвестиционни и структурни фондове</w:t>
      </w:r>
      <w:r>
        <w:rPr>
          <w:bCs/>
          <w:noProof/>
          <w:lang w:val="bg-BG"/>
        </w:rPr>
        <w:t>.</w:t>
      </w:r>
    </w:p>
    <w:p>
      <w:pPr>
        <w:spacing w:before="100" w:beforeAutospacing="1" w:after="100" w:afterAutospacing="1"/>
        <w:jc w:val="both"/>
        <w:rPr>
          <w:bCs/>
          <w:noProof/>
          <w:lang w:val="bg-BG"/>
        </w:rPr>
      </w:pPr>
      <w:r>
        <w:rPr>
          <w:bCs/>
          <w:noProof/>
          <w:lang w:val="bg-BG"/>
        </w:rPr>
        <w:t xml:space="preserve">През 2015 г. около 450 000 МСП получиха услуги чрез мрежата </w:t>
      </w:r>
      <w:r>
        <w:rPr>
          <w:noProof/>
          <w:lang w:val="bg-BG"/>
        </w:rPr>
        <w:t>„</w:t>
      </w:r>
      <w:r>
        <w:rPr>
          <w:noProof/>
        </w:rPr>
        <w:t>Enterprise</w:t>
      </w:r>
      <w:r>
        <w:rPr>
          <w:noProof/>
          <w:lang w:val="bg-BG"/>
        </w:rPr>
        <w:t xml:space="preserve"> </w:t>
      </w:r>
      <w:r>
        <w:rPr>
          <w:noProof/>
        </w:rPr>
        <w:t>Europe</w:t>
      </w:r>
      <w:r>
        <w:rPr>
          <w:noProof/>
          <w:lang w:val="bg-BG"/>
        </w:rPr>
        <w:t xml:space="preserve">“ </w:t>
      </w:r>
      <w:r>
        <w:rPr>
          <w:bCs/>
          <w:noProof/>
          <w:lang w:val="bg-BG"/>
        </w:rPr>
        <w:t xml:space="preserve">във всички региони на ЕС, като услугите варираха от предоставяне на информация относно законодателството и програмите на ЕС до специализирани консултантски услуги (например относно правата върху интелектуална собственост и ефективното използване на ресурсите) и </w:t>
      </w:r>
      <w:r>
        <w:rPr>
          <w:noProof/>
          <w:lang w:val="bg-BG"/>
        </w:rPr>
        <w:t>събития за намиране на партньори</w:t>
      </w:r>
      <w:r>
        <w:rPr>
          <w:bCs/>
          <w:noProof/>
          <w:lang w:val="bg-BG"/>
        </w:rPr>
        <w:t>.</w:t>
      </w:r>
    </w:p>
    <w:p>
      <w:pPr>
        <w:spacing w:before="100" w:beforeAutospacing="1" w:after="100" w:afterAutospacing="1"/>
        <w:jc w:val="both"/>
        <w:rPr>
          <w:noProof/>
          <w:lang w:val="bg-BG"/>
        </w:rPr>
      </w:pPr>
      <w:r>
        <w:rPr>
          <w:noProof/>
          <w:lang w:val="bg-BG"/>
        </w:rPr>
        <w:t xml:space="preserve">През 2014 г. бяха публикувани две покани за представяне на предложения — за подновяване на членството в мрежата и за подписване на рамкови споразумения за партньорство (РСП) с консорциумите, отговорни за местните звена за контакт. Подписването на РСП и на последващите конкретни споразумения за първите две години от операциите се забави и за някои споразумения се проточи до юни 2015 г. При все това за огромната част от успешните кандидати по първата покана дейностите по линия на </w:t>
      </w:r>
      <w:r>
        <w:rPr>
          <w:noProof/>
        </w:rPr>
        <w:t>EEN</w:t>
      </w:r>
      <w:r>
        <w:rPr>
          <w:noProof/>
          <w:lang w:val="bg-BG"/>
        </w:rPr>
        <w:t xml:space="preserve"> започнаха, считано от 1 януари 2015 г. Това е и датата, от която Комисията започна да допринася за покриване на техните допустими разходи. </w:t>
      </w:r>
    </w:p>
    <w:p>
      <w:pPr>
        <w:spacing w:before="100" w:beforeAutospacing="1" w:after="100" w:afterAutospacing="1"/>
        <w:jc w:val="both"/>
        <w:rPr>
          <w:bCs/>
          <w:noProof/>
          <w:lang w:val="bg-BG"/>
        </w:rPr>
      </w:pPr>
      <w:r>
        <w:rPr>
          <w:bCs/>
          <w:noProof/>
          <w:lang w:val="bg-BG"/>
        </w:rPr>
        <w:t xml:space="preserve">Дейностите на </w:t>
      </w:r>
      <w:r>
        <w:rPr>
          <w:bCs/>
          <w:noProof/>
        </w:rPr>
        <w:t>EEN</w:t>
      </w:r>
      <w:r>
        <w:rPr>
          <w:bCs/>
          <w:noProof/>
          <w:lang w:val="bg-BG"/>
        </w:rPr>
        <w:t xml:space="preserve"> през 2014 г. бяха финансирани чрез работната програма на ПКИ за 2013 г., за да се гарантира непрекъснатост на дейността, докато по работната програма на </w:t>
      </w:r>
      <w:r>
        <w:rPr>
          <w:bCs/>
          <w:noProof/>
        </w:rPr>
        <w:t>COSME</w:t>
      </w:r>
      <w:r>
        <w:rPr>
          <w:bCs/>
          <w:noProof/>
          <w:lang w:val="bg-BG"/>
        </w:rPr>
        <w:t xml:space="preserve"> за 2014 г. бе осигурено съфинансиране за дейности през 2015 г. (бюджет в размер на 49,5 милиона евро).</w:t>
      </w:r>
    </w:p>
    <w:p>
      <w:pPr>
        <w:spacing w:before="100" w:beforeAutospacing="1" w:after="100" w:afterAutospacing="1"/>
        <w:jc w:val="both"/>
        <w:rPr>
          <w:bCs/>
          <w:noProof/>
          <w:lang w:val="bg-BG"/>
        </w:rPr>
      </w:pPr>
      <w:r>
        <w:rPr>
          <w:bCs/>
          <w:noProof/>
          <w:lang w:val="bg-BG"/>
        </w:rPr>
        <w:t xml:space="preserve">По линия на </w:t>
      </w:r>
      <w:r>
        <w:rPr>
          <w:bCs/>
          <w:noProof/>
        </w:rPr>
        <w:t>COSME</w:t>
      </w:r>
      <w:r>
        <w:rPr>
          <w:bCs/>
          <w:noProof/>
          <w:lang w:val="bg-BG"/>
        </w:rPr>
        <w:t xml:space="preserve"> също така бяха финансирани няколко дейности за подкрепа на интернационализацията на МСП в трети държави, включително бюрата за защита на правата върху интелектуалната собственост на МСП. Те предоставиха консултации и подкрепа на европейски МСП, срещащи затруднения в областта на правата върху интелектуална собственост, възникващи във или свързани с Китай и държавите — членки на </w:t>
      </w:r>
      <w:r>
        <w:rPr>
          <w:noProof/>
          <w:lang w:val="bg-BG"/>
        </w:rPr>
        <w:t>Асоциацията на страните от Югоизточна Азия (АСЕАН) и Южноамериканския общ пазар (МЕРКОСУР), като бюджетът бе в размер на 7,2 милиона евро</w:t>
      </w:r>
      <w:r>
        <w:rPr>
          <w:bCs/>
          <w:noProof/>
          <w:lang w:val="bg-BG"/>
        </w:rPr>
        <w:t xml:space="preserve">. </w:t>
      </w:r>
      <w:r>
        <w:rPr>
          <w:noProof/>
          <w:lang w:val="bg-BG"/>
        </w:rPr>
        <w:t xml:space="preserve">Центърът за промишлено сътрудничество ЕО—Япония </w:t>
      </w:r>
      <w:r>
        <w:rPr>
          <w:bCs/>
          <w:noProof/>
          <w:lang w:val="bg-BG"/>
        </w:rPr>
        <w:t xml:space="preserve">(2,6 </w:t>
      </w:r>
      <w:r>
        <w:rPr>
          <w:noProof/>
          <w:lang w:val="bg-BG"/>
        </w:rPr>
        <w:t>милиона евро</w:t>
      </w:r>
      <w:r>
        <w:rPr>
          <w:bCs/>
          <w:noProof/>
          <w:lang w:val="bg-BG"/>
        </w:rPr>
        <w:t xml:space="preserve">), наред с другото, улесни достъпа на МСП до японския пазар. </w:t>
      </w:r>
    </w:p>
    <w:p>
      <w:pPr>
        <w:spacing w:after="120"/>
        <w:jc w:val="both"/>
        <w:rPr>
          <w:bCs/>
          <w:noProof/>
          <w:lang w:val="bg-BG"/>
        </w:rPr>
      </w:pPr>
    </w:p>
    <w:p>
      <w:pPr>
        <w:pStyle w:val="Heading1"/>
        <w:rPr>
          <w:bCs w:val="0"/>
          <w:noProof/>
          <w:sz w:val="32"/>
          <w:szCs w:val="32"/>
          <w:lang w:val="bg-BG"/>
        </w:rPr>
      </w:pPr>
      <w:bookmarkStart w:id="11" w:name="_Toc458765638"/>
      <w:r>
        <w:rPr>
          <w:bCs w:val="0"/>
          <w:noProof/>
          <w:sz w:val="32"/>
          <w:szCs w:val="32"/>
          <w:lang w:val="bg-BG"/>
        </w:rPr>
        <w:t>2.3 Подобряване на рамковите условия и конкурентоспособността</w:t>
      </w:r>
      <w:bookmarkEnd w:id="11"/>
    </w:p>
    <w:p>
      <w:pPr>
        <w:spacing w:after="120"/>
        <w:jc w:val="both"/>
        <w:rPr>
          <w:bCs/>
          <w:noProof/>
          <w:lang w:val="bg-BG"/>
        </w:rPr>
      </w:pPr>
      <w:r>
        <w:rPr>
          <w:b/>
          <w:bCs/>
          <w:noProof/>
          <w:lang w:val="bg-BG"/>
        </w:rPr>
        <w:t xml:space="preserve">В Регламента за </w:t>
      </w:r>
      <w:r>
        <w:rPr>
          <w:b/>
          <w:bCs/>
          <w:noProof/>
        </w:rPr>
        <w:t>COSME</w:t>
      </w:r>
      <w:r>
        <w:rPr>
          <w:b/>
          <w:bCs/>
          <w:noProof/>
          <w:lang w:val="bg-BG"/>
        </w:rPr>
        <w:t xml:space="preserve"> се посочва, че ориентировъчно 11 % от общия бюджет трябва да бъдат насочени към подобряване на рамковите условия и конкурентоспособността.</w:t>
      </w:r>
    </w:p>
    <w:p>
      <w:pPr>
        <w:spacing w:before="100" w:beforeAutospacing="1" w:after="100" w:afterAutospacing="1"/>
        <w:jc w:val="both"/>
        <w:rPr>
          <w:bCs/>
          <w:noProof/>
          <w:lang w:val="bg-BG"/>
        </w:rPr>
      </w:pPr>
      <w:r>
        <w:rPr>
          <w:bCs/>
          <w:noProof/>
          <w:lang w:val="bg-BG"/>
        </w:rPr>
        <w:t>През 2014 г. към тази цел бяха насочени 24,3 милиона евро от работната програма и</w:t>
      </w:r>
      <w:r>
        <w:rPr>
          <w:noProof/>
          <w:lang w:val="bg-BG" w:eastAsia="fr-FR"/>
        </w:rPr>
        <w:t xml:space="preserve"> </w:t>
      </w:r>
      <w:r>
        <w:rPr>
          <w:bCs/>
          <w:noProof/>
          <w:lang w:val="bg-BG"/>
        </w:rPr>
        <w:t>5,8 милиона евро от мерките за подкрепа, което представлява 11,7 % от финансовия пакет.</w:t>
      </w:r>
    </w:p>
    <w:p>
      <w:pPr>
        <w:spacing w:before="100" w:beforeAutospacing="1" w:after="100" w:afterAutospacing="1"/>
        <w:jc w:val="both"/>
        <w:rPr>
          <w:bCs/>
          <w:noProof/>
          <w:lang w:val="bg-BG"/>
        </w:rPr>
      </w:pPr>
      <w:r>
        <w:rPr>
          <w:bCs/>
          <w:noProof/>
          <w:lang w:val="bg-BG"/>
        </w:rPr>
        <w:t xml:space="preserve">По линия на </w:t>
      </w:r>
      <w:r>
        <w:rPr>
          <w:bCs/>
          <w:noProof/>
        </w:rPr>
        <w:t>COSME</w:t>
      </w:r>
      <w:r>
        <w:rPr>
          <w:bCs/>
          <w:noProof/>
          <w:lang w:val="bg-BG"/>
        </w:rPr>
        <w:t xml:space="preserve"> бяха финансирани дейности, насочени към намаляване на административната тежест, подкрепа на интелигентно и благоприятно за МСП регулиране, укрепване на координацията между индустриалните политики на държавите членки и по-активно използване на принципа </w:t>
      </w:r>
      <w:r>
        <w:rPr>
          <w:noProof/>
          <w:lang w:val="bg-BG"/>
        </w:rPr>
        <w:t>„Мисли първо за малките предприятия!“</w:t>
      </w:r>
      <w:r>
        <w:rPr>
          <w:bCs/>
          <w:noProof/>
          <w:lang w:val="bg-BG"/>
        </w:rPr>
        <w:t xml:space="preserve">. По линия на </w:t>
      </w:r>
      <w:r>
        <w:rPr>
          <w:bCs/>
          <w:noProof/>
        </w:rPr>
        <w:t>COSME</w:t>
      </w:r>
      <w:r>
        <w:rPr>
          <w:bCs/>
          <w:noProof/>
          <w:lang w:val="bg-BG"/>
        </w:rPr>
        <w:t xml:space="preserve"> също така бяха насърчени ефективното използване на ресурсите, устойчивостта и корпоративната социална отговорност. Бяха осъществени и действия за подобряване на конкурентоспособността на сектори от стратегическо значение в европейската икономика. </w:t>
      </w:r>
    </w:p>
    <w:p>
      <w:pPr>
        <w:spacing w:before="100" w:beforeAutospacing="1" w:after="100" w:afterAutospacing="1"/>
        <w:jc w:val="both"/>
        <w:rPr>
          <w:bCs/>
          <w:noProof/>
          <w:lang w:val="bg-BG"/>
        </w:rPr>
      </w:pPr>
      <w:r>
        <w:rPr>
          <w:bCs/>
          <w:noProof/>
          <w:lang w:val="bg-BG"/>
        </w:rPr>
        <w:t xml:space="preserve">В рамките на дейностите, насочени към </w:t>
      </w:r>
      <w:r>
        <w:rPr>
          <w:b/>
          <w:bCs/>
          <w:noProof/>
          <w:lang w:val="bg-BG"/>
        </w:rPr>
        <w:t xml:space="preserve">подобряване на рамковите условия за МСП, </w:t>
      </w:r>
      <w:r>
        <w:rPr>
          <w:bCs/>
          <w:noProof/>
          <w:lang w:val="bg-BG"/>
        </w:rPr>
        <w:t>бяха финансирани следните дейности:</w:t>
      </w:r>
    </w:p>
    <w:p>
      <w:pPr>
        <w:pStyle w:val="ListParagraph"/>
        <w:numPr>
          <w:ilvl w:val="0"/>
          <w:numId w:val="46"/>
        </w:numPr>
        <w:spacing w:before="100" w:beforeAutospacing="1" w:after="100" w:afterAutospacing="1"/>
        <w:jc w:val="both"/>
        <w:rPr>
          <w:bCs/>
          <w:noProof/>
          <w:lang w:val="bg-BG"/>
        </w:rPr>
      </w:pPr>
      <w:r>
        <w:rPr>
          <w:bCs/>
          <w:noProof/>
          <w:lang w:val="bg-BG"/>
        </w:rPr>
        <w:t>група на високо равнище относно административната тежест: 0,4 милиона евро;</w:t>
      </w:r>
    </w:p>
    <w:p>
      <w:pPr>
        <w:pStyle w:val="ListParagraph"/>
        <w:numPr>
          <w:ilvl w:val="0"/>
          <w:numId w:val="46"/>
        </w:numPr>
        <w:spacing w:before="100" w:beforeAutospacing="1" w:after="100" w:afterAutospacing="1"/>
        <w:jc w:val="both"/>
        <w:rPr>
          <w:bCs/>
          <w:noProof/>
          <w:lang w:val="bg-BG"/>
        </w:rPr>
      </w:pPr>
      <w:r>
        <w:rPr>
          <w:bCs/>
          <w:noProof/>
          <w:lang w:val="bg-BG"/>
        </w:rPr>
        <w:t xml:space="preserve">проследяване и мониторинг на </w:t>
      </w:r>
      <w:r>
        <w:rPr>
          <w:noProof/>
          <w:lang w:val="bg-BG"/>
        </w:rPr>
        <w:t xml:space="preserve">Законодателния акт за малкия бизнес </w:t>
      </w:r>
      <w:r>
        <w:rPr>
          <w:bCs/>
          <w:noProof/>
          <w:lang w:val="bg-BG"/>
        </w:rPr>
        <w:t>(</w:t>
      </w:r>
      <w:r>
        <w:rPr>
          <w:bCs/>
          <w:noProof/>
          <w:lang w:val="en-GB"/>
        </w:rPr>
        <w:t>SBA</w:t>
      </w:r>
      <w:r>
        <w:rPr>
          <w:bCs/>
          <w:noProof/>
          <w:lang w:val="bg-BG"/>
        </w:rPr>
        <w:t>), включително събранието на МСП, заседанията на мрежите от представители на МСП и Европейските награди за предприемачество: 1,8 милиона евро;</w:t>
      </w:r>
    </w:p>
    <w:p>
      <w:pPr>
        <w:pStyle w:val="ListParagraph"/>
        <w:numPr>
          <w:ilvl w:val="0"/>
          <w:numId w:val="46"/>
        </w:numPr>
        <w:spacing w:before="100" w:beforeAutospacing="1" w:after="100" w:afterAutospacing="1"/>
        <w:jc w:val="both"/>
        <w:rPr>
          <w:bCs/>
          <w:noProof/>
          <w:lang w:val="bg-BG"/>
        </w:rPr>
      </w:pPr>
      <w:r>
        <w:rPr>
          <w:bCs/>
          <w:noProof/>
          <w:lang w:val="bg-BG"/>
        </w:rPr>
        <w:t xml:space="preserve">прилагане на </w:t>
      </w:r>
      <w:r>
        <w:rPr>
          <w:noProof/>
          <w:lang w:val="bg-BG"/>
        </w:rPr>
        <w:t>Законодателния акт за малкия бизнес</w:t>
      </w:r>
      <w:r>
        <w:rPr>
          <w:bCs/>
          <w:noProof/>
          <w:lang w:val="bg-BG"/>
        </w:rPr>
        <w:t xml:space="preserve">, инструменти за повишаване на информираността, включително </w:t>
      </w:r>
      <w:r>
        <w:rPr>
          <w:noProof/>
          <w:lang w:val="bg-BG"/>
        </w:rPr>
        <w:t>„Бизнес планета“</w:t>
      </w:r>
      <w:r>
        <w:rPr>
          <w:bCs/>
          <w:noProof/>
          <w:lang w:val="bg-BG"/>
        </w:rPr>
        <w:t>, портала за малкия бизнес и публикуването на ръководства относно подкрепа на политиката за МСП от структурните фондове: 1,3 милиона евро;</w:t>
      </w:r>
    </w:p>
    <w:p>
      <w:pPr>
        <w:pStyle w:val="ListParagraph"/>
        <w:numPr>
          <w:ilvl w:val="0"/>
          <w:numId w:val="46"/>
        </w:numPr>
        <w:spacing w:before="100" w:beforeAutospacing="1" w:after="100" w:afterAutospacing="1"/>
        <w:jc w:val="both"/>
        <w:rPr>
          <w:bCs/>
          <w:noProof/>
          <w:lang w:val="bg-BG"/>
        </w:rPr>
      </w:pPr>
      <w:r>
        <w:rPr>
          <w:noProof/>
          <w:lang w:val="bg-BG" w:eastAsia="fr-FR"/>
        </w:rPr>
        <w:t>преглед на постиженията на МСП</w:t>
      </w:r>
      <w:r>
        <w:rPr>
          <w:bCs/>
          <w:noProof/>
          <w:lang w:val="bg-BG"/>
        </w:rPr>
        <w:t xml:space="preserve">: </w:t>
      </w:r>
      <w:r>
        <w:rPr>
          <w:bCs/>
          <w:noProof/>
          <w:lang w:val="en-GB"/>
        </w:rPr>
        <w:t>EUR</w:t>
      </w:r>
      <w:r>
        <w:rPr>
          <w:bCs/>
          <w:noProof/>
          <w:lang w:val="bg-BG"/>
        </w:rPr>
        <w:t xml:space="preserve"> 0,9 милиона евро;</w:t>
      </w:r>
    </w:p>
    <w:p>
      <w:pPr>
        <w:pStyle w:val="ListParagraph"/>
        <w:numPr>
          <w:ilvl w:val="0"/>
          <w:numId w:val="46"/>
        </w:numPr>
        <w:spacing w:before="100" w:beforeAutospacing="1" w:after="100" w:afterAutospacing="1"/>
        <w:jc w:val="both"/>
        <w:rPr>
          <w:bCs/>
          <w:noProof/>
          <w:lang w:val="bg-BG"/>
        </w:rPr>
      </w:pPr>
      <w:r>
        <w:rPr>
          <w:bCs/>
          <w:noProof/>
          <w:lang w:val="bg-BG"/>
        </w:rPr>
        <w:t>инструмент за самооценка на МСП по отношение на ефективното използване на ресурси: 0,5 милиона евро;</w:t>
      </w:r>
    </w:p>
    <w:p>
      <w:pPr>
        <w:pStyle w:val="ListParagraph"/>
        <w:numPr>
          <w:ilvl w:val="0"/>
          <w:numId w:val="46"/>
        </w:numPr>
        <w:spacing w:before="100" w:beforeAutospacing="1" w:after="100" w:afterAutospacing="1"/>
        <w:jc w:val="both"/>
        <w:rPr>
          <w:bCs/>
          <w:noProof/>
          <w:lang w:val="bg-BG"/>
        </w:rPr>
      </w:pPr>
      <w:r>
        <w:rPr>
          <w:bCs/>
          <w:noProof/>
          <w:lang w:val="bg-BG"/>
        </w:rPr>
        <w:t>организиране на многостранния форум (МСФ) относно корпоративната социална отговорност (КСО): 0,25 милиона евро.</w:t>
      </w:r>
    </w:p>
    <w:p>
      <w:pPr>
        <w:spacing w:before="100" w:beforeAutospacing="1" w:after="100" w:afterAutospacing="1"/>
        <w:rPr>
          <w:noProof/>
          <w:lang w:val="bg-BG" w:eastAsia="fr-FR"/>
        </w:rPr>
      </w:pPr>
      <w:r>
        <w:rPr>
          <w:noProof/>
          <w:lang w:val="bg-BG" w:eastAsia="fr-FR"/>
        </w:rPr>
        <w:t xml:space="preserve">В рамките на дейностите, насочени към подкрепа на </w:t>
      </w:r>
      <w:r>
        <w:rPr>
          <w:b/>
          <w:noProof/>
          <w:lang w:val="bg-BG" w:eastAsia="fr-FR"/>
        </w:rPr>
        <w:t>конкурентоспособността на предприятията в ЕС</w:t>
      </w:r>
      <w:r>
        <w:rPr>
          <w:noProof/>
          <w:lang w:val="bg-BG" w:eastAsia="fr-FR"/>
        </w:rPr>
        <w:t>, включително подкрепа на промишлените сектори, бяха финансирани следните дейности:</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подобряване на конкурентоспособността и устойчивостта на европейския туризъм: 8,7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програмата за интернационализация на клъстери, насочена към МСП: 5,65 </w:t>
      </w:r>
      <w:r>
        <w:rPr>
          <w:bCs/>
          <w:noProof/>
          <w:lang w:val="bg-BG"/>
        </w:rPr>
        <w:t xml:space="preserve">милиона евро </w:t>
      </w:r>
      <w:r>
        <w:rPr>
          <w:noProof/>
          <w:lang w:val="bg-BG" w:eastAsia="fr-FR"/>
        </w:rPr>
        <w:t>(съчетаване на 4,15 милиона евро от бюджета за 2014 г. и 1,5 милиона евро от бюджета за 2015 г.);</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електронни умения за конкурентоспособност и иновации: 2,5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програмата за клъстери за високи постижения: 1,5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изпълнение на плана за действие „Строителство 2020“: 1 </w:t>
      </w:r>
      <w:r>
        <w:rPr>
          <w:bCs/>
          <w:noProof/>
          <w:lang w:val="bg-BG"/>
        </w:rPr>
        <w:t>милион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популяризиране и подкрепа на европейската стратегия за главни базови технологии (ГБТ): 0,550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членство в международни проучвателни групи за каучук, никел, мед, олово и цинк: 0,2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изпълнение на плана за действие „По-ефективен сектор на отбраната за по-сигурна Европа“: 0,2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мониторинг на прилагането на принципите на добрите практики във вертикалните взаимоотношения по веригата на доставки на храни: 0,2 </w:t>
      </w:r>
      <w:r>
        <w:rPr>
          <w:bCs/>
          <w:noProof/>
          <w:lang w:val="bg-BG"/>
        </w:rPr>
        <w:t>милиона евро;</w:t>
      </w:r>
    </w:p>
    <w:p>
      <w:pPr>
        <w:pStyle w:val="ListParagraph"/>
        <w:numPr>
          <w:ilvl w:val="0"/>
          <w:numId w:val="47"/>
        </w:numPr>
        <w:spacing w:before="100" w:beforeAutospacing="1" w:after="100" w:afterAutospacing="1"/>
        <w:jc w:val="both"/>
        <w:rPr>
          <w:noProof/>
          <w:lang w:val="bg-BG" w:eastAsia="fr-FR"/>
        </w:rPr>
      </w:pPr>
      <w:r>
        <w:rPr>
          <w:noProof/>
          <w:lang w:val="bg-BG" w:eastAsia="fr-FR"/>
        </w:rPr>
        <w:t xml:space="preserve">обмен на добри практики за подкрепа на европейската конкурентоспособност: 0,2 </w:t>
      </w:r>
      <w:r>
        <w:rPr>
          <w:bCs/>
          <w:noProof/>
          <w:lang w:val="bg-BG"/>
        </w:rPr>
        <w:t>милиона евро</w:t>
      </w:r>
      <w:r>
        <w:rPr>
          <w:noProof/>
          <w:lang w:val="bg-BG" w:eastAsia="fr-FR"/>
        </w:rPr>
        <w:t>.</w:t>
      </w:r>
    </w:p>
    <w:p>
      <w:pPr>
        <w:spacing w:before="100" w:beforeAutospacing="1" w:after="100" w:afterAutospacing="1"/>
        <w:ind w:left="720"/>
        <w:jc w:val="both"/>
        <w:rPr>
          <w:noProof/>
          <w:lang w:val="bg-BG" w:eastAsia="fr-FR"/>
        </w:rPr>
      </w:pPr>
    </w:p>
    <w:p>
      <w:pPr>
        <w:spacing w:before="100" w:beforeAutospacing="1" w:after="100" w:afterAutospacing="1"/>
        <w:jc w:val="both"/>
        <w:rPr>
          <w:bCs/>
          <w:noProof/>
          <w:lang w:val="bg-BG"/>
        </w:rPr>
      </w:pPr>
      <w:r>
        <w:rPr>
          <w:bCs/>
          <w:noProof/>
          <w:lang w:val="bg-BG"/>
        </w:rPr>
        <w:t xml:space="preserve">Групата на високо равнище относно административната тежест допринесе за обмена на добри практики и последващите мерки по програмата за действие за намаляване на административната тежест за бизнеса, като проведе 7 пленарни заседания, 12 посещения в държави членки, публикува доклад и организира заключителна конференция, с които се проправя път за платформата на ЕС за </w:t>
      </w:r>
      <w:r>
        <w:rPr>
          <w:noProof/>
          <w:lang w:val="bg-BG"/>
        </w:rPr>
        <w:t>пригодност и резултатност на регулаторната рамка</w:t>
      </w:r>
      <w:r>
        <w:rPr>
          <w:bCs/>
          <w:noProof/>
          <w:lang w:val="bg-BG"/>
        </w:rPr>
        <w:t>.</w:t>
      </w:r>
    </w:p>
    <w:p>
      <w:pPr>
        <w:spacing w:before="100" w:beforeAutospacing="1" w:after="100" w:afterAutospacing="1"/>
        <w:jc w:val="both"/>
        <w:rPr>
          <w:noProof/>
          <w:lang w:val="bg-BG" w:eastAsia="fr-FR"/>
        </w:rPr>
      </w:pPr>
      <w:r>
        <w:rPr>
          <w:noProof/>
          <w:lang w:val="bg-BG" w:eastAsia="fr-FR"/>
        </w:rPr>
        <w:t xml:space="preserve">В рамките на Прегледа на постиженията на МСП бяха осигурени преглед на европейските МСП и подробна информация относно прилагането на </w:t>
      </w:r>
      <w:r>
        <w:rPr>
          <w:noProof/>
          <w:lang w:val="bg-BG"/>
        </w:rPr>
        <w:t>Законодателния акт за малкия бизнес в държавите членки и в някои трети държави</w:t>
      </w:r>
      <w:r>
        <w:rPr>
          <w:noProof/>
          <w:lang w:val="bg-BG" w:eastAsia="fr-FR"/>
        </w:rPr>
        <w:t xml:space="preserve">. В специфичните за всяка държава препоръки в рамките на европейския семестър беше включена специфична информация за държавите членки. Чрез мрежата от представители на МСП, годишното събрание на МСП и Европейската седмица на МСП бяха осигурени форуми за повишаване на осведомеността и обмен на добри практики във всички области от </w:t>
      </w:r>
      <w:r>
        <w:rPr>
          <w:noProof/>
          <w:lang w:val="bg-BG"/>
        </w:rPr>
        <w:t>Законодателния акт за малкия бизнес</w:t>
      </w:r>
      <w:r>
        <w:rPr>
          <w:noProof/>
          <w:lang w:val="bg-BG" w:eastAsia="fr-FR"/>
        </w:rPr>
        <w:t xml:space="preserve">. На последно място, но не и по важност, на 12 юни 2015 г. започна четвъртият сезон на </w:t>
      </w:r>
      <w:r>
        <w:rPr>
          <w:noProof/>
          <w:lang w:val="bg-BG"/>
        </w:rPr>
        <w:t xml:space="preserve">„Бизнес планета“ </w:t>
      </w:r>
      <w:r>
        <w:rPr>
          <w:noProof/>
          <w:lang w:val="bg-BG" w:eastAsia="fr-FR"/>
        </w:rPr>
        <w:t xml:space="preserve">по </w:t>
      </w:r>
      <w:r>
        <w:rPr>
          <w:noProof/>
          <w:lang w:eastAsia="fr-FR"/>
        </w:rPr>
        <w:t>Euronews</w:t>
      </w:r>
      <w:r>
        <w:rPr>
          <w:noProof/>
          <w:lang w:val="bg-BG" w:eastAsia="fr-FR"/>
        </w:rPr>
        <w:t xml:space="preserve"> </w:t>
      </w:r>
      <w:r>
        <w:rPr>
          <w:noProof/>
          <w:lang w:eastAsia="fr-FR"/>
        </w:rPr>
        <w:t>TV</w:t>
      </w:r>
      <w:r>
        <w:rPr>
          <w:noProof/>
          <w:lang w:val="bg-BG" w:eastAsia="fr-FR"/>
        </w:rPr>
        <w:t>.</w:t>
      </w:r>
    </w:p>
    <w:p>
      <w:pPr>
        <w:spacing w:before="100" w:beforeAutospacing="1" w:after="100" w:afterAutospacing="1"/>
        <w:jc w:val="both"/>
        <w:rPr>
          <w:noProof/>
          <w:lang w:val="bg-BG" w:eastAsia="fr-FR"/>
        </w:rPr>
      </w:pPr>
      <w:r>
        <w:rPr>
          <w:noProof/>
          <w:lang w:val="bg-BG" w:eastAsia="fr-FR"/>
        </w:rPr>
        <w:t>Кампанията „Електронни умения за работни места“ обхвана 30 държави, като привлече 384 организации и събра над 300 000 участници, а около 115 милиона души бяха обхванати от кампанията.</w:t>
      </w:r>
    </w:p>
    <w:p>
      <w:pPr>
        <w:spacing w:before="100" w:beforeAutospacing="1" w:after="100" w:afterAutospacing="1"/>
        <w:jc w:val="both"/>
        <w:rPr>
          <w:noProof/>
          <w:lang w:val="bg-BG" w:eastAsia="fr-FR"/>
        </w:rPr>
      </w:pPr>
      <w:r>
        <w:rPr>
          <w:noProof/>
          <w:lang w:val="bg-BG" w:eastAsia="fr-FR"/>
        </w:rPr>
        <w:t>В рамките на инициативата „Европейските клъстери излизат на световните пазари“ бе подпомогнато създаването на 15 съфинансирани европейски стратегически клъстерни партньорства за излизане на световните пазари, които обединяват 88 клъстерни организации от 21 държави от ЕС и достигат до над 10 000 МСП в цяла Европа.</w:t>
      </w:r>
    </w:p>
    <w:p>
      <w:pPr>
        <w:pStyle w:val="ListParagraph"/>
        <w:spacing w:after="120" w:line="276" w:lineRule="auto"/>
        <w:rPr>
          <w:noProof/>
          <w:lang w:val="bg-BG" w:eastAsia="fr-FR"/>
        </w:rPr>
      </w:pPr>
    </w:p>
    <w:p>
      <w:pPr>
        <w:pStyle w:val="Heading1"/>
        <w:rPr>
          <w:bCs w:val="0"/>
          <w:noProof/>
          <w:sz w:val="32"/>
          <w:szCs w:val="32"/>
          <w:lang w:val="bg-BG"/>
        </w:rPr>
      </w:pPr>
      <w:bookmarkStart w:id="12" w:name="_Toc458765639"/>
      <w:r>
        <w:rPr>
          <w:bCs w:val="0"/>
          <w:noProof/>
          <w:sz w:val="32"/>
          <w:szCs w:val="32"/>
          <w:lang w:val="bg-BG"/>
        </w:rPr>
        <w:t>2.4 Насърчаване на предприемачеството и предприемаческата култура</w:t>
      </w:r>
      <w:bookmarkEnd w:id="12"/>
    </w:p>
    <w:p>
      <w:pPr>
        <w:spacing w:after="120"/>
        <w:jc w:val="both"/>
        <w:rPr>
          <w:bCs/>
          <w:noProof/>
          <w:lang w:val="bg-BG"/>
        </w:rPr>
      </w:pPr>
      <w:r>
        <w:rPr>
          <w:b/>
          <w:bCs/>
          <w:noProof/>
          <w:lang w:val="bg-BG"/>
        </w:rPr>
        <w:t xml:space="preserve">В Регламента за </w:t>
      </w:r>
      <w:r>
        <w:rPr>
          <w:b/>
          <w:bCs/>
          <w:noProof/>
        </w:rPr>
        <w:t>COSME</w:t>
      </w:r>
      <w:r>
        <w:rPr>
          <w:b/>
          <w:bCs/>
          <w:noProof/>
          <w:lang w:val="bg-BG"/>
        </w:rPr>
        <w:t xml:space="preserve"> се посочва, че ориентировъчно 2,5 % от общия бюджет трябва да бъдат насочени към насърчаване на предприемачеството и предприемаческата култура.</w:t>
      </w:r>
    </w:p>
    <w:p>
      <w:pPr>
        <w:spacing w:before="100" w:beforeAutospacing="1" w:after="100" w:afterAutospacing="1"/>
        <w:jc w:val="both"/>
        <w:rPr>
          <w:bCs/>
          <w:noProof/>
          <w:lang w:val="bg-BG"/>
        </w:rPr>
      </w:pPr>
      <w:r>
        <w:rPr>
          <w:bCs/>
          <w:noProof/>
          <w:lang w:val="bg-BG"/>
        </w:rPr>
        <w:t xml:space="preserve">През 2014 г. бюджет в размер на 12,9 милиона евро беше заделен за </w:t>
      </w:r>
      <w:r>
        <w:rPr>
          <w:b/>
          <w:bCs/>
          <w:noProof/>
          <w:lang w:val="bg-BG"/>
        </w:rPr>
        <w:t>насърчаване на предприемачеството</w:t>
      </w:r>
      <w:r>
        <w:rPr>
          <w:bCs/>
          <w:noProof/>
          <w:lang w:val="bg-BG"/>
        </w:rPr>
        <w:t xml:space="preserve">, и по-специално за схемата за мобилност по програмата „Еразъм за млади предприемачи“, което представлява 5 % от общия финансов пакет за </w:t>
      </w:r>
      <w:r>
        <w:rPr>
          <w:bCs/>
          <w:noProof/>
        </w:rPr>
        <w:t>COSME</w:t>
      </w:r>
      <w:r>
        <w:rPr>
          <w:bCs/>
          <w:noProof/>
          <w:lang w:val="bg-BG"/>
        </w:rPr>
        <w:t>. Интересът във връзка с поканата за представяне на предложения по програмата „Еразъм за млади предприемачи“ надхвърли предвидените средства и бяха отпуснати допълнителни 1 милион евро от бюджетен излишък, останал от предходни дейности.</w:t>
      </w:r>
    </w:p>
    <w:p>
      <w:pPr>
        <w:spacing w:before="100" w:beforeAutospacing="1" w:after="100" w:afterAutospacing="1"/>
        <w:jc w:val="both"/>
        <w:rPr>
          <w:b/>
          <w:bCs/>
          <w:noProof/>
          <w:lang w:val="bg-BG"/>
        </w:rPr>
      </w:pPr>
      <w:r>
        <w:rPr>
          <w:bCs/>
          <w:noProof/>
          <w:lang w:val="bg-BG"/>
        </w:rPr>
        <w:t>Към настоящия момент</w:t>
      </w:r>
      <w:r>
        <w:rPr>
          <w:bCs/>
          <w:noProof/>
          <w:vertAlign w:val="superscript"/>
        </w:rPr>
        <w:footnoteReference w:id="11"/>
      </w:r>
      <w:r>
        <w:rPr>
          <w:bCs/>
          <w:noProof/>
          <w:lang w:val="bg-BG"/>
        </w:rPr>
        <w:t xml:space="preserve"> са регистрирани около 12 000 профила на предприемачи и са установени 3900 връзки с участието на 7700 предприемачи. Проведено проучване показва, че над една трета от потенциалните предприемачи, които са участвали в програмата, реално са създали нови предприятия.</w:t>
      </w:r>
    </w:p>
    <w:p>
      <w:pPr>
        <w:tabs>
          <w:tab w:val="num" w:pos="720"/>
        </w:tabs>
        <w:spacing w:before="100" w:beforeAutospacing="1" w:after="100" w:afterAutospacing="1"/>
        <w:jc w:val="both"/>
        <w:rPr>
          <w:bCs/>
          <w:noProof/>
          <w:lang w:val="bg-BG"/>
        </w:rPr>
      </w:pPr>
      <w:r>
        <w:rPr>
          <w:bCs/>
          <w:noProof/>
          <w:lang w:val="bg-BG"/>
        </w:rPr>
        <w:t xml:space="preserve">Освен това по линия на Програма </w:t>
      </w:r>
      <w:r>
        <w:rPr>
          <w:bCs/>
          <w:noProof/>
        </w:rPr>
        <w:t>COSME</w:t>
      </w:r>
      <w:r>
        <w:rPr>
          <w:bCs/>
          <w:noProof/>
          <w:lang w:val="bg-BG"/>
        </w:rPr>
        <w:t xml:space="preserve"> беше подкрепен обмен на най-добри практики за насърчаване на образованието в областта на предприемачеството в ЕС. Беше осигурена специфична подкрепа за интернет предприемачи. Някои от действията бяха насочени към конкретни групи, например млади хора, жени или възрастни предприемачи, като осигуриха наставничество и други специално съобразени мерки за улесняване на предприемачеството сред тези групи. </w:t>
      </w:r>
    </w:p>
    <w:p>
      <w:pPr>
        <w:spacing w:before="100" w:beforeAutospacing="1" w:after="100" w:afterAutospacing="1"/>
        <w:rPr>
          <w:noProof/>
          <w:lang w:eastAsia="fr-FR"/>
        </w:rPr>
      </w:pPr>
      <w:r>
        <w:rPr>
          <w:noProof/>
          <w:lang w:val="bg-BG" w:eastAsia="fr-FR"/>
        </w:rPr>
        <w:t>Бяха финансирани следните дейности</w:t>
      </w:r>
      <w:r>
        <w:rPr>
          <w:noProof/>
          <w:lang w:eastAsia="fr-FR"/>
        </w:rPr>
        <w:t>:</w:t>
      </w:r>
    </w:p>
    <w:p>
      <w:pPr>
        <w:pStyle w:val="ListParagraph"/>
        <w:numPr>
          <w:ilvl w:val="0"/>
          <w:numId w:val="47"/>
        </w:numPr>
        <w:spacing w:before="100" w:beforeAutospacing="1" w:after="100" w:afterAutospacing="1"/>
        <w:rPr>
          <w:noProof/>
          <w:lang w:val="en-GB" w:eastAsia="fr-FR"/>
        </w:rPr>
      </w:pPr>
      <w:r>
        <w:rPr>
          <w:bCs/>
          <w:noProof/>
          <w:lang w:val="bg-BG"/>
        </w:rPr>
        <w:t xml:space="preserve">„Еразъм за млади предприемачи“: </w:t>
      </w:r>
      <w:r>
        <w:rPr>
          <w:noProof/>
          <w:lang w:val="en-GB" w:eastAsia="fr-FR"/>
        </w:rPr>
        <w:t>7</w:t>
      </w:r>
      <w:r>
        <w:rPr>
          <w:noProof/>
          <w:lang w:val="bg-BG" w:eastAsia="fr-FR"/>
        </w:rPr>
        <w:t>,</w:t>
      </w:r>
      <w:r>
        <w:rPr>
          <w:noProof/>
          <w:lang w:val="en-GB" w:eastAsia="fr-FR"/>
        </w:rPr>
        <w:t xml:space="preserve">3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noProof/>
          <w:lang w:val="bg-BG" w:eastAsia="fr-FR"/>
        </w:rPr>
        <w:t>цифров наблюдател на предприемачеството</w:t>
      </w:r>
      <w:r>
        <w:rPr>
          <w:noProof/>
          <w:lang w:val="en-GB" w:eastAsia="fr-FR"/>
        </w:rPr>
        <w:t>: 2</w:t>
      </w:r>
      <w:r>
        <w:rPr>
          <w:noProof/>
          <w:lang w:val="bg-BG" w:eastAsia="fr-FR"/>
        </w:rPr>
        <w:t>,</w:t>
      </w:r>
      <w:r>
        <w:rPr>
          <w:noProof/>
          <w:lang w:val="en-GB" w:eastAsia="fr-FR"/>
        </w:rPr>
        <w:t xml:space="preserve">6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noProof/>
          <w:lang w:val="bg-BG" w:eastAsia="fr-FR"/>
        </w:rPr>
        <w:t>онлайн електронна платформа за предприемаческа дейност сред жените</w:t>
      </w:r>
      <w:r>
        <w:rPr>
          <w:noProof/>
          <w:lang w:val="en-GB" w:eastAsia="fr-FR"/>
        </w:rPr>
        <w:t>: 1</w:t>
      </w:r>
      <w:r>
        <w:rPr>
          <w:noProof/>
          <w:lang w:val="bg-BG" w:eastAsia="fr-FR"/>
        </w:rPr>
        <w:t>,</w:t>
      </w:r>
      <w:r>
        <w:rPr>
          <w:noProof/>
          <w:lang w:val="en-GB" w:eastAsia="fr-FR"/>
        </w:rPr>
        <w:t xml:space="preserve">05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noProof/>
          <w:lang w:val="bg-BG" w:eastAsia="fr-FR"/>
        </w:rPr>
        <w:t>обмен на най-добри практики за предприемаческа дейност сред възрастните</w:t>
      </w:r>
      <w:r>
        <w:rPr>
          <w:noProof/>
          <w:lang w:val="en-GB" w:eastAsia="fr-FR"/>
        </w:rPr>
        <w:t>: 0</w:t>
      </w:r>
      <w:r>
        <w:rPr>
          <w:noProof/>
          <w:lang w:val="bg-BG" w:eastAsia="fr-FR"/>
        </w:rPr>
        <w:t>,</w:t>
      </w:r>
      <w:r>
        <w:rPr>
          <w:noProof/>
          <w:lang w:val="en-GB" w:eastAsia="fr-FR"/>
        </w:rPr>
        <w:t xml:space="preserve">4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noProof/>
          <w:lang w:val="bg-BG" w:eastAsia="fr-FR"/>
        </w:rPr>
        <w:t>подкрепа за прилагане на политика за предприемачество</w:t>
      </w:r>
      <w:r>
        <w:rPr>
          <w:rStyle w:val="FootnoteReference"/>
          <w:noProof/>
          <w:lang w:val="en-GB" w:eastAsia="fr-FR"/>
        </w:rPr>
        <w:footnoteReference w:id="12"/>
      </w:r>
      <w:r>
        <w:rPr>
          <w:noProof/>
          <w:lang w:val="bg-BG" w:eastAsia="fr-FR"/>
        </w:rPr>
        <w:t>:</w:t>
      </w:r>
      <w:r>
        <w:rPr>
          <w:noProof/>
          <w:lang w:val="en-GB" w:eastAsia="fr-FR"/>
        </w:rPr>
        <w:t xml:space="preserve"> 0</w:t>
      </w:r>
      <w:r>
        <w:rPr>
          <w:noProof/>
          <w:lang w:val="bg-BG" w:eastAsia="fr-FR"/>
        </w:rPr>
        <w:t>,</w:t>
      </w:r>
      <w:r>
        <w:rPr>
          <w:noProof/>
          <w:lang w:val="en-GB" w:eastAsia="fr-FR"/>
        </w:rPr>
        <w:t xml:space="preserve">6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bCs/>
          <w:noProof/>
          <w:lang w:val="bg-BG"/>
        </w:rPr>
        <w:t xml:space="preserve">образованието в областта на предприемачеството </w:t>
      </w:r>
      <w:r>
        <w:rPr>
          <w:noProof/>
          <w:lang w:val="en-GB" w:eastAsia="fr-FR"/>
        </w:rPr>
        <w:t>(</w:t>
      </w:r>
      <w:r>
        <w:rPr>
          <w:noProof/>
          <w:lang w:val="bg-BG" w:eastAsia="fr-FR"/>
        </w:rPr>
        <w:t>общоевропейска</w:t>
      </w:r>
      <w:r>
        <w:rPr>
          <w:noProof/>
          <w:lang w:val="en-GB" w:eastAsia="fr-FR"/>
        </w:rPr>
        <w:t xml:space="preserve"> </w:t>
      </w:r>
      <w:r>
        <w:rPr>
          <w:noProof/>
          <w:lang w:val="bg-BG" w:eastAsia="fr-FR"/>
        </w:rPr>
        <w:t>инициатива в областта на образованието по предприемачество)</w:t>
      </w:r>
      <w:r>
        <w:rPr>
          <w:noProof/>
          <w:lang w:val="en-GB" w:eastAsia="fr-FR"/>
        </w:rPr>
        <w:t>: 0</w:t>
      </w:r>
      <w:r>
        <w:rPr>
          <w:noProof/>
          <w:lang w:val="bg-BG" w:eastAsia="fr-FR"/>
        </w:rPr>
        <w:t>,</w:t>
      </w:r>
      <w:r>
        <w:rPr>
          <w:noProof/>
          <w:lang w:val="en-GB" w:eastAsia="fr-FR"/>
        </w:rPr>
        <w:t xml:space="preserve">35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noProof/>
          <w:lang w:val="bg-BG" w:eastAsia="fr-FR"/>
        </w:rPr>
        <w:t>насърчаване на социалната икономика в Европа</w:t>
      </w:r>
      <w:r>
        <w:rPr>
          <w:noProof/>
          <w:lang w:val="en-GB" w:eastAsia="fr-FR"/>
        </w:rPr>
        <w:t>: 0</w:t>
      </w:r>
      <w:r>
        <w:rPr>
          <w:noProof/>
          <w:lang w:val="bg-BG" w:eastAsia="fr-FR"/>
        </w:rPr>
        <w:t>,</w:t>
      </w:r>
      <w:r>
        <w:rPr>
          <w:noProof/>
          <w:lang w:val="en-GB" w:eastAsia="fr-FR"/>
        </w:rPr>
        <w:t xml:space="preserve">1 </w:t>
      </w:r>
      <w:r>
        <w:rPr>
          <w:noProof/>
          <w:lang w:val="bg-BG" w:eastAsia="fr-FR"/>
        </w:rPr>
        <w:t>милиона евро;</w:t>
      </w:r>
    </w:p>
    <w:p>
      <w:pPr>
        <w:pStyle w:val="ListParagraph"/>
        <w:numPr>
          <w:ilvl w:val="0"/>
          <w:numId w:val="47"/>
        </w:numPr>
        <w:spacing w:before="100" w:beforeAutospacing="1" w:after="100" w:afterAutospacing="1"/>
        <w:rPr>
          <w:noProof/>
          <w:lang w:val="en-GB" w:eastAsia="fr-FR"/>
        </w:rPr>
      </w:pPr>
      <w:r>
        <w:rPr>
          <w:noProof/>
          <w:lang w:val="bg-BG" w:eastAsia="fr-FR"/>
        </w:rPr>
        <w:t>други действия по мерките за подкрепа</w:t>
      </w:r>
      <w:r>
        <w:rPr>
          <w:noProof/>
          <w:lang w:val="en-GB" w:eastAsia="fr-FR"/>
        </w:rPr>
        <w:t>: 0</w:t>
      </w:r>
      <w:r>
        <w:rPr>
          <w:noProof/>
          <w:lang w:val="bg-BG" w:eastAsia="fr-FR"/>
        </w:rPr>
        <w:t>,</w:t>
      </w:r>
      <w:r>
        <w:rPr>
          <w:noProof/>
          <w:lang w:val="en-GB" w:eastAsia="fr-FR"/>
        </w:rPr>
        <w:t xml:space="preserve">5 </w:t>
      </w:r>
      <w:r>
        <w:rPr>
          <w:noProof/>
          <w:lang w:val="bg-BG" w:eastAsia="fr-FR"/>
        </w:rPr>
        <w:t>милиона евро</w:t>
      </w:r>
      <w:r>
        <w:rPr>
          <w:noProof/>
          <w:lang w:val="en-GB" w:eastAsia="fr-FR"/>
        </w:rPr>
        <w:t>.</w:t>
      </w:r>
    </w:p>
    <w:p>
      <w:pPr>
        <w:spacing w:before="100" w:beforeAutospacing="1" w:after="100" w:afterAutospacing="1"/>
        <w:jc w:val="both"/>
        <w:rPr>
          <w:noProof/>
        </w:rPr>
      </w:pPr>
      <w:r>
        <w:rPr>
          <w:noProof/>
          <w:lang w:val="bg-BG"/>
        </w:rPr>
        <w:t>Конференцията за втори шанс за добросъвестно фалирали предприемачи</w:t>
      </w:r>
      <w:r>
        <w:rPr>
          <w:noProof/>
        </w:rPr>
        <w:t xml:space="preserve"> </w:t>
      </w:r>
      <w:r>
        <w:rPr>
          <w:noProof/>
          <w:lang w:val="bg-BG"/>
        </w:rPr>
        <w:t>събра</w:t>
      </w:r>
      <w:r>
        <w:rPr>
          <w:noProof/>
        </w:rPr>
        <w:t xml:space="preserve"> 280</w:t>
      </w:r>
      <w:r>
        <w:rPr>
          <w:noProof/>
          <w:lang w:val="bg-BG"/>
        </w:rPr>
        <w:t xml:space="preserve"> представители от национални/регионални администрации и заинтересовани страни, като бе последвана от втора конференция през</w:t>
      </w:r>
      <w:r>
        <w:rPr>
          <w:noProof/>
        </w:rPr>
        <w:t xml:space="preserve"> 2016</w:t>
      </w:r>
      <w:r>
        <w:rPr>
          <w:noProof/>
          <w:lang w:val="bg-BG"/>
        </w:rPr>
        <w:t> г</w:t>
      </w:r>
      <w:r>
        <w:rPr>
          <w:noProof/>
        </w:rPr>
        <w:t>.</w:t>
      </w:r>
      <w:r>
        <w:rPr>
          <w:noProof/>
          <w:lang w:val="bg-BG"/>
        </w:rPr>
        <w:t xml:space="preserve"> Тя проправи пътя за създаването на инициативата относно европейската мрежа за ранно предупреждение и консултантски услуги за втори шанс</w:t>
      </w:r>
      <w:r>
        <w:rPr>
          <w:noProof/>
        </w:rPr>
        <w:t xml:space="preserve"> </w:t>
      </w:r>
      <w:r>
        <w:rPr>
          <w:noProof/>
          <w:lang w:val="bg-BG"/>
        </w:rPr>
        <w:t>през</w:t>
      </w:r>
      <w:r>
        <w:rPr>
          <w:noProof/>
        </w:rPr>
        <w:t xml:space="preserve"> 2016</w:t>
      </w:r>
      <w:r>
        <w:rPr>
          <w:noProof/>
          <w:lang w:val="bg-BG"/>
        </w:rPr>
        <w:t> г</w:t>
      </w:r>
      <w:r>
        <w:rPr>
          <w:noProof/>
        </w:rPr>
        <w:t xml:space="preserve">. </w:t>
      </w:r>
    </w:p>
    <w:p>
      <w:pPr>
        <w:spacing w:before="100" w:beforeAutospacing="1" w:after="100" w:afterAutospacing="1"/>
        <w:jc w:val="both"/>
        <w:rPr>
          <w:noProof/>
        </w:rPr>
      </w:pPr>
      <w:r>
        <w:rPr>
          <w:noProof/>
          <w:lang w:val="bg-BG" w:eastAsia="fr-FR"/>
        </w:rPr>
        <w:t xml:space="preserve">Цифровият наблюдател на предприемачеството </w:t>
      </w:r>
      <w:r>
        <w:rPr>
          <w:noProof/>
          <w:lang w:val="bg-BG"/>
        </w:rPr>
        <w:t>позволява да се измери напредъкът по държави и отрасли, като се отправят конкретни препоръки</w:t>
      </w:r>
      <w:r>
        <w:rPr>
          <w:noProof/>
        </w:rPr>
        <w:t xml:space="preserve">. </w:t>
      </w:r>
      <w:r>
        <w:rPr>
          <w:noProof/>
          <w:lang w:val="bg-BG"/>
        </w:rPr>
        <w:t>През</w:t>
      </w:r>
      <w:r>
        <w:rPr>
          <w:noProof/>
        </w:rPr>
        <w:t xml:space="preserve"> 2016</w:t>
      </w:r>
      <w:r>
        <w:rPr>
          <w:noProof/>
          <w:lang w:val="bg-BG"/>
        </w:rPr>
        <w:t> г. в таблото с показатели бяха представени общо 9 отрасъла</w:t>
      </w:r>
      <w:r>
        <w:rPr>
          <w:noProof/>
        </w:rPr>
        <w:t xml:space="preserve">. </w:t>
      </w:r>
    </w:p>
    <w:p>
      <w:pPr>
        <w:spacing w:before="100" w:beforeAutospacing="1" w:after="100" w:afterAutospacing="1"/>
        <w:rPr>
          <w:noProof/>
        </w:rPr>
      </w:pPr>
    </w:p>
    <w:p>
      <w:pPr>
        <w:pStyle w:val="Heading1"/>
        <w:rPr>
          <w:noProof/>
          <w:sz w:val="32"/>
          <w:szCs w:val="32"/>
        </w:rPr>
      </w:pPr>
      <w:bookmarkStart w:id="13" w:name="_Toc458765640"/>
      <w:r>
        <w:rPr>
          <w:noProof/>
          <w:sz w:val="32"/>
          <w:szCs w:val="32"/>
        </w:rPr>
        <w:t xml:space="preserve">3. </w:t>
      </w:r>
      <w:r>
        <w:rPr>
          <w:noProof/>
          <w:sz w:val="32"/>
          <w:szCs w:val="32"/>
          <w:lang w:val="bg-BG"/>
        </w:rPr>
        <w:t>Мерки за подкрепа</w:t>
      </w:r>
      <w:bookmarkEnd w:id="13"/>
      <w:r>
        <w:rPr>
          <w:noProof/>
          <w:sz w:val="32"/>
          <w:szCs w:val="32"/>
        </w:rPr>
        <w:t xml:space="preserve"> </w:t>
      </w:r>
    </w:p>
    <w:p>
      <w:pPr>
        <w:spacing w:before="100" w:beforeAutospacing="1" w:after="100" w:afterAutospacing="1"/>
        <w:jc w:val="both"/>
        <w:rPr>
          <w:noProof/>
          <w:lang w:eastAsia="fr-FR"/>
        </w:rPr>
      </w:pPr>
      <w:r>
        <w:rPr>
          <w:noProof/>
          <w:lang w:val="bg-BG" w:eastAsia="fr-FR"/>
        </w:rPr>
        <w:t>В рамките на мерките за подкрепа се извършва анализ на структурните и микроикономическите фактори, които оказват въздействие върху конкурентоспособността на отделни сектори, както и конкурентоспособността и</w:t>
      </w:r>
      <w:r>
        <w:rPr>
          <w:noProof/>
          <w:lang w:eastAsia="fr-FR"/>
        </w:rPr>
        <w:t xml:space="preserve"> </w:t>
      </w:r>
      <w:r>
        <w:rPr>
          <w:noProof/>
          <w:lang w:val="bg-BG" w:eastAsia="fr-FR"/>
        </w:rPr>
        <w:t>междусекторните въпроси като цяло</w:t>
      </w:r>
      <w:r>
        <w:rPr>
          <w:noProof/>
          <w:lang w:eastAsia="fr-FR"/>
        </w:rPr>
        <w:t xml:space="preserve">. </w:t>
      </w:r>
      <w:r>
        <w:rPr>
          <w:noProof/>
          <w:lang w:val="bg-BG" w:eastAsia="fr-FR"/>
        </w:rPr>
        <w:t>Целта е да се повишат знанията относно факторите, които допринасят за конкурентоспособността на европейската икономика, и възпрепятстващите фактори</w:t>
      </w:r>
      <w:r>
        <w:rPr>
          <w:noProof/>
          <w:lang w:eastAsia="fr-FR"/>
        </w:rPr>
        <w:t xml:space="preserve">. </w:t>
      </w:r>
      <w:r>
        <w:rPr>
          <w:noProof/>
          <w:lang w:val="bg-BG" w:eastAsia="fr-FR"/>
        </w:rPr>
        <w:t>Мерките за подкрепа се използват и за оценка на въздействието на нови законодателни мерки и за определяне на области от съществуващото законодателство, които се нуждаят от опростяване</w:t>
      </w:r>
      <w:r>
        <w:rPr>
          <w:noProof/>
          <w:lang w:eastAsia="fr-FR"/>
        </w:rPr>
        <w:t>.</w:t>
      </w:r>
    </w:p>
    <w:p>
      <w:pPr>
        <w:spacing w:before="100" w:beforeAutospacing="1" w:after="100" w:afterAutospacing="1"/>
        <w:jc w:val="both"/>
        <w:rPr>
          <w:noProof/>
          <w:lang w:val="bg-BG" w:eastAsia="fr-FR"/>
        </w:rPr>
      </w:pPr>
      <w:r>
        <w:rPr>
          <w:noProof/>
          <w:lang w:val="bg-BG" w:eastAsia="fr-FR"/>
        </w:rPr>
        <w:t>Мерките за подкрепа се състоят от два вида дейности</w:t>
      </w:r>
      <w:r>
        <w:rPr>
          <w:noProof/>
          <w:lang w:eastAsia="fr-FR"/>
        </w:rPr>
        <w:t xml:space="preserve">: 1) </w:t>
      </w:r>
      <w:r>
        <w:rPr>
          <w:noProof/>
          <w:lang w:val="bg-BG" w:eastAsia="fr-FR"/>
        </w:rPr>
        <w:t>проучвания и оценки на въздействието и</w:t>
      </w:r>
      <w:r>
        <w:rPr>
          <w:noProof/>
          <w:lang w:eastAsia="fr-FR"/>
        </w:rPr>
        <w:t xml:space="preserve"> 2) </w:t>
      </w:r>
      <w:r>
        <w:rPr>
          <w:noProof/>
          <w:lang w:val="bg-BG" w:eastAsia="fr-FR"/>
        </w:rPr>
        <w:t>конференции</w:t>
      </w:r>
      <w:r>
        <w:rPr>
          <w:noProof/>
          <w:lang w:eastAsia="fr-FR"/>
        </w:rPr>
        <w:t>,</w:t>
      </w:r>
      <w:r>
        <w:rPr>
          <w:noProof/>
          <w:lang w:val="bg-BG" w:eastAsia="fr-FR"/>
        </w:rPr>
        <w:t xml:space="preserve"> срещи и</w:t>
      </w:r>
      <w:r>
        <w:rPr>
          <w:noProof/>
          <w:lang w:eastAsia="fr-FR"/>
        </w:rPr>
        <w:t xml:space="preserve"> </w:t>
      </w:r>
      <w:r>
        <w:rPr>
          <w:noProof/>
          <w:lang w:val="bg-BG" w:eastAsia="fr-FR"/>
        </w:rPr>
        <w:t>дейности за разпространение на резултатите</w:t>
      </w:r>
      <w:r>
        <w:rPr>
          <w:noProof/>
          <w:lang w:eastAsia="fr-FR"/>
        </w:rPr>
        <w:t>.</w:t>
      </w:r>
      <w:r>
        <w:rPr>
          <w:noProof/>
          <w:lang w:val="bg-BG" w:eastAsia="fr-FR"/>
        </w:rPr>
        <w:t xml:space="preserve"> Годишният доклад на Комисията за конкурентоспособността на европейската промишленост, който се използва в процеса на европейския семестър, беше финансиран по линия на мерките за подкрепа. В рамките на други проучвания бяха анализирани аспекти от конкурентоспособността на европейската промишленост, свързани с конкретни сектори (включително секторите на строителството, хранително-вкусовата промишленост и химическия сектор). Наред с другото, бяха извършени оценки на въздействието и на кумулативните ефекти на политиките в областта на изменението на климата, енергетиката и околната среда, както и на отраслите на ЕС, свързани с горското стопанство. </w:t>
      </w:r>
    </w:p>
    <w:p>
      <w:pPr>
        <w:spacing w:before="100" w:beforeAutospacing="1" w:after="100" w:afterAutospacing="1"/>
        <w:jc w:val="both"/>
        <w:rPr>
          <w:noProof/>
          <w:lang w:val="bg-BG" w:eastAsia="fr-FR"/>
        </w:rPr>
      </w:pPr>
      <w:r>
        <w:rPr>
          <w:noProof/>
          <w:lang w:val="bg-BG" w:eastAsia="fr-FR"/>
        </w:rPr>
        <w:t xml:space="preserve">Бяха организирани конференции, семинари и срещи на експерти с участието на различни заинтересовани страни (включително национални органи, отраслови и потребителски организации, представители на МСП, неправителствени организации) за обсъждане на предизвикателствата, пред които са изправени различните промишлени сектори. Особено внимание беше отделено на препоръките как да се отговори по-добре на потребностите на МСП и как да се стимулира допълнително конкурентоспособността. В допълнение към това бяха осъществени и информационни дейности, свързани с целите на </w:t>
      </w:r>
      <w:r>
        <w:rPr>
          <w:noProof/>
          <w:lang w:eastAsia="fr-FR"/>
        </w:rPr>
        <w:t>COSME</w:t>
      </w:r>
      <w:r>
        <w:rPr>
          <w:noProof/>
          <w:lang w:val="bg-BG" w:eastAsia="fr-FR"/>
        </w:rPr>
        <w:t>.</w:t>
      </w:r>
    </w:p>
    <w:p>
      <w:pPr>
        <w:jc w:val="both"/>
        <w:rPr>
          <w:noProof/>
          <w:lang w:val="bg-BG" w:eastAsia="fr-FR"/>
        </w:rPr>
      </w:pPr>
      <w:r>
        <w:rPr>
          <w:noProof/>
          <w:lang w:val="bg-BG" w:eastAsia="fr-FR"/>
        </w:rPr>
        <w:t>Общият бюджет за поети задължения за мерките за подкрепа през 2014 г. беше в размер на 7 милиона евро, което доведе до пълно изпълнение на общия бюджет, предвиден за 2014 г.</w:t>
      </w:r>
    </w:p>
    <w:p>
      <w:pPr>
        <w:pStyle w:val="Heading1"/>
        <w:rPr>
          <w:noProof/>
          <w:sz w:val="32"/>
          <w:szCs w:val="32"/>
          <w:lang w:val="bg-BG"/>
        </w:rPr>
      </w:pPr>
      <w:bookmarkStart w:id="14" w:name="_Toc444193196"/>
      <w:bookmarkStart w:id="15" w:name="_Toc458765641"/>
      <w:r>
        <w:rPr>
          <w:noProof/>
          <w:sz w:val="32"/>
          <w:szCs w:val="32"/>
          <w:lang w:val="bg-BG"/>
        </w:rPr>
        <w:t xml:space="preserve">4. </w:t>
      </w:r>
      <w:bookmarkEnd w:id="14"/>
      <w:r>
        <w:rPr>
          <w:noProof/>
          <w:sz w:val="32"/>
          <w:szCs w:val="32"/>
          <w:lang w:val="bg-BG"/>
        </w:rPr>
        <w:t>Административни разходи</w:t>
      </w:r>
      <w:bookmarkEnd w:id="15"/>
      <w:r>
        <w:rPr>
          <w:noProof/>
          <w:sz w:val="32"/>
          <w:szCs w:val="32"/>
          <w:lang w:val="bg-BG"/>
        </w:rPr>
        <w:t xml:space="preserve"> </w:t>
      </w:r>
    </w:p>
    <w:p>
      <w:pPr>
        <w:spacing w:before="100" w:beforeAutospacing="1" w:after="100" w:afterAutospacing="1"/>
        <w:jc w:val="both"/>
        <w:rPr>
          <w:noProof/>
          <w:lang w:val="bg-BG" w:eastAsia="fr-FR"/>
        </w:rPr>
      </w:pPr>
      <w:r>
        <w:rPr>
          <w:noProof/>
          <w:lang w:val="bg-BG" w:eastAsia="fr-FR"/>
        </w:rPr>
        <w:t xml:space="preserve">Бюджетът съгласно Регламента за </w:t>
      </w:r>
      <w:r>
        <w:rPr>
          <w:noProof/>
          <w:lang w:eastAsia="fr-FR"/>
        </w:rPr>
        <w:t>COSME</w:t>
      </w:r>
      <w:r>
        <w:rPr>
          <w:noProof/>
          <w:lang w:val="bg-BG" w:eastAsia="fr-FR"/>
        </w:rPr>
        <w:t xml:space="preserve"> включва бюджетни кредити за разходи, свързани с дейности по подготовката, мониторинга, контрола, одита и оценката, необходими за управлението на Програма COSME и за постигането на нейните цели. Тези разходи не трябва да надвишават 5 % от стойността на финансовия пакет.</w:t>
      </w:r>
    </w:p>
    <w:p>
      <w:pPr>
        <w:spacing w:before="100" w:beforeAutospacing="1" w:after="100" w:afterAutospacing="1"/>
        <w:jc w:val="both"/>
        <w:rPr>
          <w:noProof/>
          <w:lang w:val="bg-BG" w:eastAsia="fr-FR"/>
        </w:rPr>
      </w:pPr>
      <w:r>
        <w:rPr>
          <w:noProof/>
          <w:lang w:val="bg-BG" w:eastAsia="fr-FR"/>
        </w:rPr>
        <w:t xml:space="preserve">Административните разходи за </w:t>
      </w:r>
      <w:r>
        <w:rPr>
          <w:noProof/>
          <w:lang w:val="bg-BG"/>
        </w:rPr>
        <w:t xml:space="preserve">ГД „Вътрешен пазар, промишленост, предприемачество и МСП“ </w:t>
      </w:r>
      <w:r>
        <w:rPr>
          <w:noProof/>
          <w:lang w:val="bg-BG" w:eastAsia="fr-FR"/>
        </w:rPr>
        <w:t xml:space="preserve">бяха в размер на 5 017 946 EUR, което е по-малко от 2 % от общия размер на средствата за поети задължения. Използваният бюджет за функционирането на </w:t>
      </w:r>
      <w:r>
        <w:rPr>
          <w:noProof/>
          <w:lang w:val="bg-BG"/>
        </w:rPr>
        <w:t xml:space="preserve">Изпълнителната агенция за МСП бе в размер на </w:t>
      </w:r>
      <w:r>
        <w:rPr>
          <w:noProof/>
          <w:lang w:val="bg-BG" w:eastAsia="fr-FR"/>
        </w:rPr>
        <w:t>6 626 000 EUR, което представлява 2,6 % от общия бюджет за поети задължения. Общо административните разходи бяха в размер на 4,6 % от финансовия пакет през 2014 г.</w:t>
      </w:r>
    </w:p>
    <w:p>
      <w:pPr>
        <w:spacing w:before="100" w:beforeAutospacing="1" w:after="100" w:afterAutospacing="1"/>
        <w:jc w:val="both"/>
        <w:rPr>
          <w:noProof/>
          <w:lang w:val="bg-BG" w:eastAsia="fr-FR"/>
        </w:rPr>
      </w:pPr>
      <w:r>
        <w:rPr>
          <w:noProof/>
          <w:lang w:val="bg-BG" w:eastAsia="fr-FR"/>
        </w:rPr>
        <w:t xml:space="preserve">Административните разходи обхващат проучвания, срещи на експерти, информационни и комуникационни дейности, включително институционална комуникация на политическите приоритети на Съюза, доколкото те са свързани с общите цели на Програма COSME. Освен това бяха покрити разходите, свързани с информационно-технологичните мрежи и всякакви други разходи за техническа и административна помощ, направени от Комисията по управлението на Програма COSME. </w:t>
      </w:r>
    </w:p>
    <w:p>
      <w:pPr>
        <w:jc w:val="both"/>
        <w:rPr>
          <w:noProof/>
          <w:lang w:val="bg-BG" w:eastAsia="fr-FR"/>
        </w:rPr>
      </w:pPr>
    </w:p>
    <w:p>
      <w:pPr>
        <w:pStyle w:val="Heading1"/>
        <w:rPr>
          <w:noProof/>
          <w:sz w:val="32"/>
          <w:szCs w:val="32"/>
          <w:lang w:val="bg-BG"/>
        </w:rPr>
      </w:pPr>
      <w:bookmarkStart w:id="16" w:name="_Toc458765642"/>
      <w:r>
        <w:rPr>
          <w:noProof/>
          <w:sz w:val="32"/>
          <w:szCs w:val="32"/>
          <w:lang w:val="bg-BG"/>
        </w:rPr>
        <w:t>5. Принос към целта за интегриране на въпросите относно климата</w:t>
      </w:r>
      <w:bookmarkEnd w:id="16"/>
    </w:p>
    <w:p>
      <w:pPr>
        <w:spacing w:before="100" w:beforeAutospacing="1" w:after="100" w:afterAutospacing="1"/>
        <w:jc w:val="both"/>
        <w:rPr>
          <w:noProof/>
          <w:lang w:val="bg-BG"/>
        </w:rPr>
      </w:pPr>
      <w:r>
        <w:rPr>
          <w:noProof/>
          <w:lang w:val="bg-BG"/>
        </w:rPr>
        <w:t xml:space="preserve">Приносът на </w:t>
      </w:r>
      <w:r>
        <w:rPr>
          <w:noProof/>
          <w:lang w:val="bg-BG" w:eastAsia="fr-FR"/>
        </w:rPr>
        <w:t xml:space="preserve">Програма COSME към целта за интегриране на въпросите относно климата, определена за всички програми на Комисията, беше изчислен на </w:t>
      </w:r>
      <w:r>
        <w:rPr>
          <w:noProof/>
          <w:lang w:val="bg-BG"/>
        </w:rPr>
        <w:t>21,2 милиона евро, което представлява 8 % от предвидените финансови средства за 2014 г.</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6175"/>
        <w:gridCol w:w="2795"/>
      </w:tblGrid>
      <w:tr>
        <w:trPr>
          <w:trHeight w:val="468"/>
        </w:trPr>
        <w:tc>
          <w:tcPr>
            <w:tcW w:w="6178"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20"/>
                <w:szCs w:val="20"/>
                <w:lang w:val="bg-BG" w:eastAsia="en-US"/>
              </w:rPr>
            </w:pPr>
            <w:r>
              <w:rPr>
                <w:noProof/>
                <w:sz w:val="20"/>
                <w:szCs w:val="20"/>
                <w:lang w:val="bg-BG" w:eastAsia="en-US"/>
              </w:rPr>
              <w:t>Съответна цел</w:t>
            </w:r>
            <w:r>
              <w:rPr>
                <w:noProof/>
                <w:sz w:val="20"/>
                <w:szCs w:val="20"/>
                <w:lang w:eastAsia="en-US"/>
              </w:rPr>
              <w:t>/</w:t>
            </w:r>
            <w:r>
              <w:rPr>
                <w:noProof/>
                <w:sz w:val="20"/>
                <w:szCs w:val="20"/>
                <w:lang w:val="bg-BG" w:eastAsia="en-US"/>
              </w:rPr>
              <w:t>резултат</w:t>
            </w:r>
          </w:p>
        </w:tc>
        <w:tc>
          <w:tcPr>
            <w:tcW w:w="2796" w:type="dxa"/>
            <w:tcBorders>
              <w:top w:val="single" w:sz="4" w:space="0" w:color="auto"/>
              <w:left w:val="single" w:sz="4" w:space="0" w:color="auto"/>
              <w:bottom w:val="single" w:sz="4" w:space="0" w:color="auto"/>
              <w:right w:val="single" w:sz="4" w:space="0" w:color="auto"/>
            </w:tcBorders>
            <w:shd w:val="pct10" w:color="auto" w:fill="auto"/>
            <w:hideMark/>
          </w:tcPr>
          <w:p>
            <w:pPr>
              <w:spacing w:line="276" w:lineRule="auto"/>
              <w:jc w:val="center"/>
              <w:rPr>
                <w:noProof/>
                <w:sz w:val="20"/>
                <w:szCs w:val="20"/>
                <w:lang w:val="bg-BG" w:eastAsia="en-US"/>
              </w:rPr>
            </w:pPr>
            <w:r>
              <w:rPr>
                <w:noProof/>
                <w:sz w:val="20"/>
                <w:szCs w:val="20"/>
                <w:lang w:val="bg-BG" w:eastAsia="en-US"/>
              </w:rPr>
              <w:t>Бюджет за 2014 г.</w:t>
            </w:r>
          </w:p>
          <w:p>
            <w:pPr>
              <w:spacing w:line="276" w:lineRule="auto"/>
              <w:jc w:val="center"/>
              <w:rPr>
                <w:noProof/>
                <w:sz w:val="20"/>
                <w:szCs w:val="20"/>
                <w:lang w:val="bg-BG" w:eastAsia="en-US"/>
              </w:rPr>
            </w:pPr>
            <w:r>
              <w:rPr>
                <w:noProof/>
                <w:sz w:val="20"/>
                <w:szCs w:val="20"/>
                <w:lang w:val="bg-BG" w:eastAsia="en-US"/>
              </w:rPr>
              <w:t>(милиони евро)</w:t>
            </w:r>
          </w:p>
        </w:tc>
      </w:tr>
      <w:tr>
        <w:trPr>
          <w:trHeight w:val="371"/>
        </w:trPr>
        <w:tc>
          <w:tcPr>
            <w:tcW w:w="61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0"/>
                <w:szCs w:val="20"/>
                <w:lang w:val="bg-BG" w:eastAsia="en-US"/>
              </w:rPr>
            </w:pPr>
            <w:r>
              <w:rPr>
                <w:noProof/>
                <w:sz w:val="20"/>
                <w:szCs w:val="20"/>
                <w:lang w:val="bg-BG" w:eastAsia="en-US"/>
              </w:rPr>
              <w:t>Мрежа „Enterprise Europe“</w:t>
            </w:r>
            <w:r>
              <w:rPr>
                <w:noProof/>
                <w:lang w:val="bg-BG"/>
              </w:rPr>
              <w:t xml:space="preserve"> </w:t>
            </w:r>
          </w:p>
        </w:tc>
        <w:tc>
          <w:tcPr>
            <w:tcW w:w="2796" w:type="dxa"/>
            <w:tcBorders>
              <w:top w:val="single" w:sz="4" w:space="0" w:color="auto"/>
              <w:left w:val="single" w:sz="4" w:space="0" w:color="auto"/>
              <w:bottom w:val="single" w:sz="4" w:space="0" w:color="auto"/>
              <w:right w:val="single" w:sz="4" w:space="0" w:color="auto"/>
            </w:tcBorders>
            <w:hideMark/>
          </w:tcPr>
          <w:p>
            <w:pPr>
              <w:spacing w:line="276" w:lineRule="auto"/>
              <w:jc w:val="right"/>
              <w:rPr>
                <w:noProof/>
                <w:sz w:val="20"/>
                <w:szCs w:val="20"/>
                <w:lang w:eastAsia="en-US"/>
              </w:rPr>
            </w:pPr>
            <w:r>
              <w:rPr>
                <w:noProof/>
                <w:sz w:val="20"/>
                <w:szCs w:val="20"/>
                <w:lang w:eastAsia="en-US"/>
              </w:rPr>
              <w:t>15</w:t>
            </w:r>
            <w:r>
              <w:rPr>
                <w:noProof/>
                <w:sz w:val="20"/>
                <w:szCs w:val="20"/>
                <w:lang w:val="bg-BG" w:eastAsia="en-US"/>
              </w:rPr>
              <w:t>,</w:t>
            </w:r>
            <w:r>
              <w:rPr>
                <w:noProof/>
                <w:sz w:val="20"/>
                <w:szCs w:val="20"/>
                <w:lang w:eastAsia="en-US"/>
              </w:rPr>
              <w:t>4</w:t>
            </w:r>
          </w:p>
        </w:tc>
      </w:tr>
      <w:tr>
        <w:trPr>
          <w:trHeight w:val="420"/>
        </w:trPr>
        <w:tc>
          <w:tcPr>
            <w:tcW w:w="61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0"/>
                <w:szCs w:val="20"/>
                <w:lang w:val="bg-BG" w:eastAsia="en-US"/>
              </w:rPr>
            </w:pPr>
            <w:r>
              <w:rPr>
                <w:noProof/>
                <w:sz w:val="20"/>
                <w:szCs w:val="20"/>
                <w:lang w:val="bg-BG" w:eastAsia="en-US"/>
              </w:rPr>
              <w:t>Финансови инструменти</w:t>
            </w:r>
            <w:r>
              <w:rPr>
                <w:noProof/>
                <w:sz w:val="20"/>
                <w:szCs w:val="20"/>
                <w:lang w:eastAsia="en-US"/>
              </w:rPr>
              <w:t xml:space="preserve">: </w:t>
            </w:r>
            <w:r>
              <w:rPr>
                <w:noProof/>
                <w:sz w:val="20"/>
                <w:szCs w:val="20"/>
                <w:lang w:val="bg-BG" w:eastAsia="en-US"/>
              </w:rPr>
              <w:t>капиталов механизъм за растеж</w:t>
            </w:r>
          </w:p>
        </w:tc>
        <w:tc>
          <w:tcPr>
            <w:tcW w:w="2796" w:type="dxa"/>
            <w:tcBorders>
              <w:top w:val="single" w:sz="4" w:space="0" w:color="auto"/>
              <w:left w:val="single" w:sz="4" w:space="0" w:color="auto"/>
              <w:bottom w:val="single" w:sz="4" w:space="0" w:color="auto"/>
              <w:right w:val="single" w:sz="4" w:space="0" w:color="auto"/>
            </w:tcBorders>
            <w:hideMark/>
          </w:tcPr>
          <w:p>
            <w:pPr>
              <w:spacing w:line="276" w:lineRule="auto"/>
              <w:jc w:val="right"/>
              <w:rPr>
                <w:noProof/>
                <w:sz w:val="20"/>
                <w:szCs w:val="20"/>
                <w:lang w:eastAsia="en-US"/>
              </w:rPr>
            </w:pPr>
            <w:r>
              <w:rPr>
                <w:noProof/>
                <w:sz w:val="20"/>
                <w:szCs w:val="20"/>
                <w:lang w:eastAsia="en-US"/>
              </w:rPr>
              <w:t>5</w:t>
            </w:r>
            <w:r>
              <w:rPr>
                <w:noProof/>
                <w:sz w:val="20"/>
                <w:szCs w:val="20"/>
                <w:lang w:val="bg-BG" w:eastAsia="en-US"/>
              </w:rPr>
              <w:t>,</w:t>
            </w:r>
            <w:r>
              <w:rPr>
                <w:noProof/>
                <w:sz w:val="20"/>
                <w:szCs w:val="20"/>
                <w:lang w:eastAsia="en-US"/>
              </w:rPr>
              <w:t>82</w:t>
            </w:r>
          </w:p>
        </w:tc>
      </w:tr>
      <w:tr>
        <w:trPr>
          <w:trHeight w:val="357"/>
        </w:trPr>
        <w:tc>
          <w:tcPr>
            <w:tcW w:w="617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right"/>
              <w:rPr>
                <w:b/>
                <w:noProof/>
                <w:sz w:val="20"/>
                <w:szCs w:val="20"/>
                <w:lang w:val="bg-BG" w:eastAsia="en-US"/>
              </w:rPr>
            </w:pPr>
            <w:r>
              <w:rPr>
                <w:b/>
                <w:noProof/>
                <w:sz w:val="20"/>
                <w:szCs w:val="20"/>
                <w:lang w:val="bg-BG" w:eastAsia="en-US"/>
              </w:rPr>
              <w:t>Общо</w:t>
            </w:r>
          </w:p>
        </w:tc>
        <w:tc>
          <w:tcPr>
            <w:tcW w:w="2796" w:type="dxa"/>
            <w:tcBorders>
              <w:top w:val="single" w:sz="4" w:space="0" w:color="auto"/>
              <w:left w:val="single" w:sz="4" w:space="0" w:color="auto"/>
              <w:bottom w:val="single" w:sz="4" w:space="0" w:color="auto"/>
              <w:right w:val="single" w:sz="4" w:space="0" w:color="auto"/>
            </w:tcBorders>
            <w:hideMark/>
          </w:tcPr>
          <w:p>
            <w:pPr>
              <w:spacing w:line="276" w:lineRule="auto"/>
              <w:jc w:val="right"/>
              <w:rPr>
                <w:b/>
                <w:noProof/>
                <w:sz w:val="20"/>
                <w:szCs w:val="20"/>
                <w:lang w:eastAsia="en-US"/>
              </w:rPr>
            </w:pPr>
            <w:r>
              <w:rPr>
                <w:b/>
                <w:noProof/>
                <w:sz w:val="20"/>
                <w:szCs w:val="20"/>
                <w:lang w:eastAsia="en-US"/>
              </w:rPr>
              <w:t>21</w:t>
            </w:r>
            <w:r>
              <w:rPr>
                <w:b/>
                <w:noProof/>
                <w:sz w:val="20"/>
                <w:szCs w:val="20"/>
                <w:lang w:val="bg-BG" w:eastAsia="en-US"/>
              </w:rPr>
              <w:t>,</w:t>
            </w:r>
            <w:r>
              <w:rPr>
                <w:b/>
                <w:noProof/>
                <w:sz w:val="20"/>
                <w:szCs w:val="20"/>
                <w:lang w:eastAsia="en-US"/>
              </w:rPr>
              <w:t>22</w:t>
            </w:r>
          </w:p>
        </w:tc>
      </w:tr>
    </w:tbl>
    <w:p>
      <w:pPr>
        <w:spacing w:before="100" w:beforeAutospacing="1" w:after="100" w:afterAutospacing="1"/>
        <w:jc w:val="both"/>
        <w:rPr>
          <w:noProof/>
          <w:lang w:eastAsia="de-DE"/>
        </w:rPr>
      </w:pPr>
      <w:r>
        <w:rPr>
          <w:noProof/>
          <w:lang w:val="bg-BG" w:eastAsia="de-DE"/>
        </w:rPr>
        <w:t xml:space="preserve">По отношение на няколко действия по </w:t>
      </w:r>
      <w:r>
        <w:rPr>
          <w:noProof/>
          <w:lang w:val="bg-BG" w:eastAsia="fr-FR"/>
        </w:rPr>
        <w:t>Програма COSME</w:t>
      </w:r>
      <w:r>
        <w:rPr>
          <w:noProof/>
          <w:lang w:eastAsia="de-DE"/>
        </w:rPr>
        <w:t>,</w:t>
      </w:r>
      <w:r>
        <w:rPr>
          <w:noProof/>
          <w:lang w:val="bg-BG" w:eastAsia="de-DE"/>
        </w:rPr>
        <w:t xml:space="preserve"> като например</w:t>
      </w:r>
      <w:r>
        <w:rPr>
          <w:noProof/>
          <w:lang w:eastAsia="de-DE"/>
        </w:rPr>
        <w:t xml:space="preserve"> </w:t>
      </w:r>
      <w:r>
        <w:rPr>
          <w:noProof/>
          <w:lang w:val="bg-BG" w:eastAsia="de-DE"/>
        </w:rPr>
        <w:t>механизма за гарантиране на заеми</w:t>
      </w:r>
      <w:r>
        <w:rPr>
          <w:noProof/>
          <w:lang w:eastAsia="de-DE"/>
        </w:rPr>
        <w:t>,</w:t>
      </w:r>
      <w:r>
        <w:rPr>
          <w:noProof/>
          <w:lang w:val="bg-BG" w:eastAsia="de-DE"/>
        </w:rPr>
        <w:t xml:space="preserve"> е трудно да се проследи приносът към включването </w:t>
      </w:r>
      <w:r>
        <w:rPr>
          <w:noProof/>
          <w:lang w:val="bg-BG" w:eastAsia="fr-FR"/>
        </w:rPr>
        <w:t>на въпросите относно климата</w:t>
      </w:r>
      <w:r>
        <w:rPr>
          <w:noProof/>
          <w:lang w:val="bg-BG" w:eastAsia="de-DE"/>
        </w:rPr>
        <w:t>, без това да доведе до допълнителна административна тежест върху финансовите посредници и в крайна сметка върху стотиците хиляди участващи МСП, които представляват крайните бенефициери</w:t>
      </w:r>
      <w:r>
        <w:rPr>
          <w:noProof/>
          <w:lang w:eastAsia="de-DE"/>
        </w:rPr>
        <w:t xml:space="preserve">. </w:t>
      </w:r>
      <w:r>
        <w:rPr>
          <w:noProof/>
          <w:lang w:val="bg-BG" w:eastAsia="de-DE"/>
        </w:rPr>
        <w:t>Поради това методът за проследяване на приноса на</w:t>
      </w:r>
      <w:r>
        <w:rPr>
          <w:noProof/>
          <w:lang w:eastAsia="de-DE"/>
        </w:rPr>
        <w:t xml:space="preserve"> COSME </w:t>
      </w:r>
      <w:r>
        <w:rPr>
          <w:noProof/>
          <w:lang w:val="bg-BG" w:eastAsia="de-DE"/>
        </w:rPr>
        <w:t>трябва да се подобри, тъй като при него очевидно се подценява действителният потенциален принос на тази програма</w:t>
      </w:r>
      <w:r>
        <w:rPr>
          <w:noProof/>
          <w:lang w:eastAsia="de-DE"/>
        </w:rPr>
        <w:t>.</w:t>
      </w:r>
    </w:p>
    <w:p>
      <w:pPr>
        <w:spacing w:before="100" w:beforeAutospacing="1" w:after="100" w:afterAutospacing="1"/>
        <w:jc w:val="both"/>
        <w:rPr>
          <w:noProof/>
          <w:lang w:eastAsia="de-DE"/>
        </w:rPr>
      </w:pPr>
    </w:p>
    <w:p>
      <w:pPr>
        <w:pStyle w:val="Heading1"/>
        <w:rPr>
          <w:noProof/>
          <w:sz w:val="32"/>
          <w:szCs w:val="32"/>
          <w:lang w:val="bg-BG"/>
        </w:rPr>
      </w:pPr>
      <w:bookmarkStart w:id="17" w:name="_Toc458765643"/>
      <w:bookmarkEnd w:id="0"/>
      <w:bookmarkEnd w:id="1"/>
      <w:bookmarkEnd w:id="2"/>
      <w:bookmarkEnd w:id="3"/>
      <w:r>
        <w:rPr>
          <w:noProof/>
          <w:sz w:val="32"/>
          <w:szCs w:val="32"/>
        </w:rPr>
        <w:t xml:space="preserve">6. </w:t>
      </w:r>
      <w:r>
        <w:rPr>
          <w:noProof/>
          <w:sz w:val="32"/>
          <w:szCs w:val="32"/>
          <w:lang w:val="bg-BG"/>
        </w:rPr>
        <w:t>Заключение</w:t>
      </w:r>
      <w:bookmarkEnd w:id="17"/>
    </w:p>
    <w:p>
      <w:pPr>
        <w:spacing w:before="100" w:beforeAutospacing="1" w:after="100" w:afterAutospacing="1"/>
        <w:jc w:val="both"/>
        <w:rPr>
          <w:noProof/>
          <w:lang w:val="bg-BG" w:eastAsia="de-DE"/>
        </w:rPr>
      </w:pPr>
      <w:r>
        <w:rPr>
          <w:noProof/>
          <w:lang w:val="bg-BG" w:eastAsia="de-DE"/>
        </w:rPr>
        <w:t xml:space="preserve">По Програма </w:t>
      </w:r>
      <w:r>
        <w:rPr>
          <w:noProof/>
          <w:lang w:eastAsia="de-DE"/>
        </w:rPr>
        <w:t>COSME</w:t>
      </w:r>
      <w:r>
        <w:rPr>
          <w:noProof/>
          <w:lang w:val="bg-BG" w:eastAsia="de-DE"/>
        </w:rPr>
        <w:t xml:space="preserve"> бяха постигнати много добри нива на изпълнение на бюджета за 2014 г. въпреки значителното увеличение във в</w:t>
      </w:r>
      <w:r>
        <w:rPr>
          <w:noProof/>
          <w:lang w:val="bg-BG"/>
        </w:rPr>
        <w:t>ъзлагането на дейности на Изпълнителната агенция и подновяването на двете основни действия: финансовите инструменти и</w:t>
      </w:r>
      <w:r>
        <w:rPr>
          <w:noProof/>
          <w:lang w:val="bg-BG" w:eastAsia="de-DE"/>
        </w:rPr>
        <w:t xml:space="preserve"> м</w:t>
      </w:r>
      <w:r>
        <w:rPr>
          <w:noProof/>
          <w:lang w:val="bg-BG"/>
        </w:rPr>
        <w:t>режата „Enterprise Europe“</w:t>
      </w:r>
      <w:r>
        <w:rPr>
          <w:noProof/>
          <w:lang w:val="bg-BG" w:eastAsia="de-DE"/>
        </w:rPr>
        <w:t xml:space="preserve">. </w:t>
      </w:r>
    </w:p>
    <w:p>
      <w:pPr>
        <w:spacing w:before="100" w:beforeAutospacing="1" w:after="100" w:afterAutospacing="1"/>
        <w:jc w:val="both"/>
        <w:rPr>
          <w:noProof/>
          <w:lang w:val="bg-BG" w:eastAsia="de-DE"/>
        </w:rPr>
      </w:pPr>
      <w:r>
        <w:rPr>
          <w:noProof/>
          <w:lang w:val="bg-BG" w:eastAsia="de-DE"/>
        </w:rPr>
        <w:t xml:space="preserve">Чрез програмата бе подпомогнато финансирането на някои съответни действия за подкрепа на европейските МСП. С нея започна да се улеснява достъпът до финансиране за европейски предприятия чрез новосъздадената рамка с ЕИФ и финансовите посредници. Действия, финансирани от бюджета на </w:t>
      </w:r>
      <w:r>
        <w:rPr>
          <w:noProof/>
          <w:lang w:eastAsia="de-DE"/>
        </w:rPr>
        <w:t>COSME</w:t>
      </w:r>
      <w:r>
        <w:rPr>
          <w:noProof/>
          <w:lang w:val="bg-BG" w:eastAsia="de-DE"/>
        </w:rPr>
        <w:t xml:space="preserve"> за 2014 г., помогнаха на предприемачи да започнат свой бизнес. Значителен брой дружества извлякоха полза от услуги, които им помогнаха да навлязат на нови пазари, а няколко мерки по </w:t>
      </w:r>
      <w:r>
        <w:rPr>
          <w:noProof/>
          <w:lang w:eastAsia="de-DE"/>
        </w:rPr>
        <w:t>COSME</w:t>
      </w:r>
      <w:r>
        <w:rPr>
          <w:noProof/>
          <w:lang w:val="bg-BG" w:eastAsia="de-DE"/>
        </w:rPr>
        <w:t xml:space="preserve"> допринесоха за създаването на по-добра бизнес среда за предприятията, и по-специално за МСП. Комисията, в тясно сътрудничество с </w:t>
      </w:r>
      <w:r>
        <w:rPr>
          <w:noProof/>
          <w:lang w:eastAsia="de-DE"/>
        </w:rPr>
        <w:t>EASME</w:t>
      </w:r>
      <w:r>
        <w:rPr>
          <w:noProof/>
          <w:lang w:val="bg-BG" w:eastAsia="de-DE"/>
        </w:rPr>
        <w:t xml:space="preserve">, ще продължи да подобрява разпространението на резултатите от проектите по </w:t>
      </w:r>
      <w:r>
        <w:rPr>
          <w:noProof/>
          <w:lang w:eastAsia="de-DE"/>
        </w:rPr>
        <w:t>COSME</w:t>
      </w:r>
      <w:r>
        <w:rPr>
          <w:noProof/>
          <w:lang w:val="bg-BG" w:eastAsia="de-DE"/>
        </w:rPr>
        <w:t xml:space="preserve">, ще полага усилия за постигане на допълнителни полезни взаимодействия с други програми на Комисията и ще предоставя актуална информация относно бенефициерите по действията по Програма </w:t>
      </w:r>
      <w:r>
        <w:rPr>
          <w:noProof/>
          <w:lang w:eastAsia="de-DE"/>
        </w:rPr>
        <w:t>COSME</w:t>
      </w:r>
      <w:r>
        <w:rPr>
          <w:noProof/>
          <w:lang w:val="bg-BG" w:eastAsia="de-DE"/>
        </w:rPr>
        <w:t>.</w:t>
      </w:r>
    </w:p>
    <w:sectPr>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w:t>
      </w:r>
      <w:r>
        <w:rPr>
          <w:lang w:val="bg-BG"/>
        </w:rPr>
        <w:t>Регламент (ЕС) № 1287/2013 на Европейския парламент и на Съвета от 11 декември 2013</w:t>
      </w:r>
      <w:r>
        <w:t> г.</w:t>
      </w:r>
    </w:p>
  </w:footnote>
  <w:footnote w:id="2">
    <w:p>
      <w:pPr>
        <w:pStyle w:val="FootnoteText"/>
        <w:rPr>
          <w:lang w:val="bg-BG"/>
        </w:rPr>
      </w:pPr>
      <w:r>
        <w:rPr>
          <w:rStyle w:val="FootnoteReference"/>
        </w:rPr>
        <w:footnoteRef/>
      </w:r>
      <w:r>
        <w:t xml:space="preserve"> </w:t>
      </w:r>
      <w:r>
        <w:rPr>
          <w:rFonts w:eastAsiaTheme="minorHAnsi"/>
          <w:lang w:val="en-US" w:eastAsia="en-US"/>
        </w:rPr>
        <w:t>C(2014) 4993 final</w:t>
      </w:r>
      <w:r>
        <w:rPr>
          <w:rFonts w:eastAsiaTheme="minorHAnsi"/>
          <w:lang w:val="bg-BG" w:eastAsia="en-US"/>
        </w:rPr>
        <w:t>.</w:t>
      </w:r>
    </w:p>
  </w:footnote>
  <w:footnote w:id="3">
    <w:p>
      <w:pPr>
        <w:pStyle w:val="FootnoteText"/>
        <w:rPr>
          <w:lang w:val="bg-BG"/>
        </w:rPr>
      </w:pPr>
      <w:r>
        <w:rPr>
          <w:rStyle w:val="FootnoteReference"/>
        </w:rPr>
        <w:footnoteRef/>
      </w:r>
      <w:r>
        <w:t xml:space="preserve"> </w:t>
      </w:r>
      <w:r>
        <w:rPr>
          <w:rFonts w:eastAsiaTheme="minorHAnsi"/>
          <w:lang w:val="en-US" w:eastAsia="en-US"/>
        </w:rPr>
        <w:t>C(2014) 5590 final</w:t>
      </w:r>
      <w:r>
        <w:rPr>
          <w:rFonts w:eastAsiaTheme="minorHAnsi"/>
          <w:lang w:val="bg-BG" w:eastAsia="en-US"/>
        </w:rPr>
        <w:t>.</w:t>
      </w:r>
    </w:p>
  </w:footnote>
  <w:footnote w:id="4">
    <w:p>
      <w:pPr>
        <w:pStyle w:val="FootnoteText"/>
        <w:rPr>
          <w:lang w:val="bg-BG"/>
        </w:rPr>
      </w:pPr>
      <w:r>
        <w:rPr>
          <w:rStyle w:val="FootnoteReference"/>
        </w:rPr>
        <w:footnoteRef/>
      </w:r>
      <w:r>
        <w:rPr>
          <w:lang w:val="en-US"/>
        </w:rPr>
        <w:t xml:space="preserve"> SEC(2013) 493 final</w:t>
      </w:r>
      <w:r>
        <w:rPr>
          <w:lang w:val="bg-BG"/>
        </w:rPr>
        <w:t>.</w:t>
      </w:r>
    </w:p>
  </w:footnote>
  <w:footnote w:id="5">
    <w:p>
      <w:pPr>
        <w:pStyle w:val="FootnoteText"/>
        <w:rPr>
          <w:lang w:val="bg-BG"/>
        </w:rPr>
      </w:pPr>
      <w:r>
        <w:rPr>
          <w:rStyle w:val="FootnoteReference"/>
        </w:rPr>
        <w:footnoteRef/>
      </w:r>
      <w:r>
        <w:rPr>
          <w:lang w:val="bg-BG"/>
        </w:rPr>
        <w:t xml:space="preserve"> Решение за изпълнение 2013/771/ЕО на Комисията от 17.12.2013</w:t>
      </w:r>
      <w:r>
        <w:t> </w:t>
      </w:r>
      <w:r>
        <w:rPr>
          <w:lang w:val="bg-BG"/>
        </w:rPr>
        <w:t>г.</w:t>
      </w:r>
    </w:p>
  </w:footnote>
  <w:footnote w:id="6">
    <w:p>
      <w:pPr>
        <w:pStyle w:val="FootnoteText"/>
        <w:rPr>
          <w:lang w:val="bg-BG"/>
        </w:rPr>
      </w:pPr>
      <w:r>
        <w:rPr>
          <w:rStyle w:val="FootnoteReference"/>
        </w:rPr>
        <w:footnoteRef/>
      </w:r>
      <w:r>
        <w:rPr>
          <w:lang w:val="bg-BG"/>
        </w:rPr>
        <w:t xml:space="preserve"> </w:t>
      </w:r>
      <w:r>
        <w:rPr>
          <w:lang w:val="en-US"/>
        </w:rPr>
        <w:t>C</w:t>
      </w:r>
      <w:r>
        <w:rPr>
          <w:lang w:val="bg-BG"/>
        </w:rPr>
        <w:t xml:space="preserve">(2013)9414. </w:t>
      </w:r>
    </w:p>
  </w:footnote>
  <w:footnote w:id="7">
    <w:p>
      <w:pPr>
        <w:pStyle w:val="FootnoteText"/>
        <w:rPr>
          <w:lang w:val="bg-BG"/>
        </w:rPr>
      </w:pPr>
      <w:r>
        <w:rPr>
          <w:rStyle w:val="FootnoteReference"/>
        </w:rPr>
        <w:footnoteRef/>
      </w:r>
      <w:r>
        <w:rPr>
          <w:lang w:val="bg-BG"/>
        </w:rPr>
        <w:t xml:space="preserve"> Други отговорни ГД са: ГД „Научни изследвания и иновации“, ГД „Съобщителни мрежи, съдържание и технологии“, ГД „Околна среда“, ГД „Действия по климата“, ГД „Морско дело и рибарство“ и ГД „Енергетика“.</w:t>
      </w:r>
    </w:p>
  </w:footnote>
  <w:footnote w:id="8">
    <w:p>
      <w:pPr>
        <w:pStyle w:val="FootnoteText"/>
        <w:rPr>
          <w:lang w:val="bg-BG"/>
        </w:rPr>
      </w:pPr>
      <w:r>
        <w:rPr>
          <w:rStyle w:val="FootnoteReference"/>
        </w:rPr>
        <w:footnoteRef/>
      </w:r>
      <w:r>
        <w:rPr>
          <w:lang w:val="bg-BG"/>
        </w:rPr>
        <w:t xml:space="preserve"> Включително гласувания бюджет, пренесените кредити от ПКИ, вноски на трети държави и ЕАСТ и трансфери.</w:t>
      </w:r>
    </w:p>
  </w:footnote>
  <w:footnote w:id="9">
    <w:p>
      <w:pPr>
        <w:pStyle w:val="FootnoteText"/>
        <w:rPr>
          <w:lang w:val="bg-BG"/>
        </w:rPr>
      </w:pPr>
      <w:r>
        <w:rPr>
          <w:rStyle w:val="FootnoteReference"/>
        </w:rPr>
        <w:footnoteRef/>
      </w:r>
      <w:r>
        <w:rPr>
          <w:lang w:val="bg-BG"/>
        </w:rPr>
        <w:t xml:space="preserve"> Включително гласувания бюджет, пренесените кредити от ПКИ, вноски на трети държави и ЕАСТ и трансфери.</w:t>
      </w:r>
    </w:p>
    <w:p>
      <w:pPr>
        <w:pStyle w:val="FootnoteText"/>
        <w:rPr>
          <w:lang w:val="bg-BG"/>
        </w:rPr>
      </w:pPr>
    </w:p>
  </w:footnote>
  <w:footnote w:id="10">
    <w:p>
      <w:pPr>
        <w:pStyle w:val="FootnoteText"/>
        <w:rPr>
          <w:lang w:val="bg-BG"/>
        </w:rPr>
      </w:pPr>
      <w:r>
        <w:rPr>
          <w:rStyle w:val="FootnoteReference"/>
        </w:rPr>
        <w:footnoteRef/>
      </w:r>
      <w:r>
        <w:rPr>
          <w:lang w:val="bg-BG"/>
        </w:rPr>
        <w:t xml:space="preserve"> Вж. доклада на Комисията до Европейския парламент и Съвета относно финансовите инструменти, подкрепени от общия бюджет съгласно член 140, параграф 8 от Финансовия регламент към 31 декември 2014 г., публикуван на 13.11.2015 г. (</w:t>
      </w:r>
      <w:r>
        <w:t>COM</w:t>
      </w:r>
      <w:r>
        <w:rPr>
          <w:lang w:val="bg-BG"/>
        </w:rPr>
        <w:t xml:space="preserve">(2015)565 </w:t>
      </w:r>
      <w:r>
        <w:t>final</w:t>
      </w:r>
      <w:r>
        <w:rPr>
          <w:lang w:val="bg-BG"/>
        </w:rPr>
        <w:t>).</w:t>
      </w:r>
    </w:p>
  </w:footnote>
  <w:footnote w:id="11">
    <w:p>
      <w:pPr>
        <w:pStyle w:val="FootnoteText"/>
        <w:rPr>
          <w:lang w:val="bg-BG"/>
        </w:rPr>
      </w:pPr>
      <w:r>
        <w:rPr>
          <w:rStyle w:val="FootnoteReference"/>
        </w:rPr>
        <w:footnoteRef/>
      </w:r>
      <w:r>
        <w:rPr>
          <w:lang w:val="bg-BG"/>
        </w:rPr>
        <w:t xml:space="preserve"> Данните бяха събрани през 2015 г.</w:t>
      </w:r>
    </w:p>
  </w:footnote>
  <w:footnote w:id="12">
    <w:p>
      <w:pPr>
        <w:pStyle w:val="FootnoteText"/>
        <w:rPr>
          <w:lang w:val="bg-BG"/>
        </w:rPr>
      </w:pPr>
      <w:r>
        <w:rPr>
          <w:rStyle w:val="FootnoteReference"/>
        </w:rPr>
        <w:footnoteRef/>
      </w:r>
      <w:r>
        <w:rPr>
          <w:lang w:val="bg-BG"/>
        </w:rPr>
        <w:t xml:space="preserve"> Включително </w:t>
      </w:r>
      <w:r>
        <w:rPr>
          <w:lang w:val="bg-BG" w:eastAsia="fr-FR"/>
        </w:rPr>
        <w:t>конференцията за стимулиране на бизнеса на свободните професии, к</w:t>
      </w:r>
      <w:r>
        <w:rPr>
          <w:lang w:val="bg-BG"/>
        </w:rPr>
        <w:t>онференцията за втори шанс за добросъвестно фалирали предприемачи</w:t>
      </w:r>
      <w:r>
        <w:rPr>
          <w:lang w:val="bg-BG" w:eastAsia="fr-FR"/>
        </w:rPr>
        <w:t>, конференцията относно прехвърлянето на собствеността върху предприятията.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CEB"/>
    <w:multiLevelType w:val="hybridMultilevel"/>
    <w:tmpl w:val="8D2685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8420232"/>
    <w:multiLevelType w:val="hybridMultilevel"/>
    <w:tmpl w:val="611039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C0A1785"/>
    <w:multiLevelType w:val="hybridMultilevel"/>
    <w:tmpl w:val="FC82D556"/>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3">
    <w:nsid w:val="0CB51CF0"/>
    <w:multiLevelType w:val="hybridMultilevel"/>
    <w:tmpl w:val="97F622C8"/>
    <w:lvl w:ilvl="0" w:tplc="040A0001">
      <w:start w:val="1"/>
      <w:numFmt w:val="bullet"/>
      <w:lvlText w:val=""/>
      <w:lvlJc w:val="left"/>
      <w:pPr>
        <w:ind w:left="720" w:hanging="360"/>
      </w:pPr>
      <w:rPr>
        <w:rFonts w:ascii="Symbol" w:hAnsi="Symbol" w:hint="default"/>
      </w:rPr>
    </w:lvl>
    <w:lvl w:ilvl="1" w:tplc="BA26B3D6">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82027CC"/>
    <w:multiLevelType w:val="multilevel"/>
    <w:tmpl w:val="DF60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CA0485"/>
    <w:multiLevelType w:val="hybridMultilevel"/>
    <w:tmpl w:val="0D98C0D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34306"/>
    <w:multiLevelType w:val="multilevel"/>
    <w:tmpl w:val="8F006F84"/>
    <w:lvl w:ilvl="0">
      <w:start w:val="1"/>
      <w:numFmt w:val="upperLetter"/>
      <w:lvlText w:val="%1."/>
      <w:lvlJc w:val="left"/>
      <w:pPr>
        <w:tabs>
          <w:tab w:val="num" w:pos="360"/>
        </w:tabs>
        <w:ind w:left="360" w:hanging="360"/>
      </w:pPr>
      <w:rPr>
        <w:rFonts w:hint="default"/>
      </w:r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4D6D32"/>
    <w:multiLevelType w:val="hybridMultilevel"/>
    <w:tmpl w:val="ABDA431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21C4D82"/>
    <w:multiLevelType w:val="hybridMultilevel"/>
    <w:tmpl w:val="5E44F348"/>
    <w:lvl w:ilvl="0" w:tplc="040A0001">
      <w:start w:val="1"/>
      <w:numFmt w:val="bullet"/>
      <w:lvlText w:val=""/>
      <w:lvlJc w:val="left"/>
      <w:pPr>
        <w:ind w:left="719" w:hanging="435"/>
      </w:pPr>
      <w:rPr>
        <w:rFonts w:ascii="Symbol" w:hAnsi="Symbol" w:hint="default"/>
      </w:rPr>
    </w:lvl>
    <w:lvl w:ilvl="1" w:tplc="040A0001">
      <w:start w:val="1"/>
      <w:numFmt w:val="bullet"/>
      <w:lvlText w:val=""/>
      <w:lvlJc w:val="left"/>
      <w:pPr>
        <w:ind w:left="1439" w:hanging="435"/>
      </w:pPr>
      <w:rPr>
        <w:rFonts w:ascii="Symbol" w:hAnsi="Symbol"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9">
    <w:nsid w:val="22DD3599"/>
    <w:multiLevelType w:val="multilevel"/>
    <w:tmpl w:val="AE28B0DA"/>
    <w:lvl w:ilvl="0">
      <w:numFmt w:val="decimal"/>
      <w:pStyle w:val="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787B99"/>
    <w:multiLevelType w:val="hybridMultilevel"/>
    <w:tmpl w:val="9EEE99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CD1E14"/>
    <w:multiLevelType w:val="hybridMultilevel"/>
    <w:tmpl w:val="20024004"/>
    <w:lvl w:ilvl="0" w:tplc="5F7A5736">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nsid w:val="26792896"/>
    <w:multiLevelType w:val="hybridMultilevel"/>
    <w:tmpl w:val="569E424E"/>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13">
    <w:nsid w:val="28EA4FBB"/>
    <w:multiLevelType w:val="hybridMultilevel"/>
    <w:tmpl w:val="0B78479C"/>
    <w:lvl w:ilvl="0" w:tplc="04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4B1B7C"/>
    <w:multiLevelType w:val="hybridMultilevel"/>
    <w:tmpl w:val="2D044A3A"/>
    <w:lvl w:ilvl="0" w:tplc="040A0001">
      <w:start w:val="1"/>
      <w:numFmt w:val="bullet"/>
      <w:lvlText w:val=""/>
      <w:lvlJc w:val="left"/>
      <w:pPr>
        <w:ind w:left="3600" w:hanging="360"/>
      </w:pPr>
      <w:rPr>
        <w:rFonts w:ascii="Symbol" w:hAnsi="Symbol" w:hint="default"/>
      </w:rPr>
    </w:lvl>
    <w:lvl w:ilvl="1" w:tplc="040A0003" w:tentative="1">
      <w:start w:val="1"/>
      <w:numFmt w:val="bullet"/>
      <w:lvlText w:val="o"/>
      <w:lvlJc w:val="left"/>
      <w:pPr>
        <w:ind w:left="4320" w:hanging="360"/>
      </w:pPr>
      <w:rPr>
        <w:rFonts w:ascii="Courier New" w:hAnsi="Courier New" w:cs="Courier New" w:hint="default"/>
      </w:rPr>
    </w:lvl>
    <w:lvl w:ilvl="2" w:tplc="040A0005" w:tentative="1">
      <w:start w:val="1"/>
      <w:numFmt w:val="bullet"/>
      <w:lvlText w:val=""/>
      <w:lvlJc w:val="left"/>
      <w:pPr>
        <w:ind w:left="5040" w:hanging="360"/>
      </w:pPr>
      <w:rPr>
        <w:rFonts w:ascii="Wingdings" w:hAnsi="Wingdings" w:hint="default"/>
      </w:rPr>
    </w:lvl>
    <w:lvl w:ilvl="3" w:tplc="040A0001" w:tentative="1">
      <w:start w:val="1"/>
      <w:numFmt w:val="bullet"/>
      <w:lvlText w:val=""/>
      <w:lvlJc w:val="left"/>
      <w:pPr>
        <w:ind w:left="5760" w:hanging="360"/>
      </w:pPr>
      <w:rPr>
        <w:rFonts w:ascii="Symbol" w:hAnsi="Symbol" w:hint="default"/>
      </w:rPr>
    </w:lvl>
    <w:lvl w:ilvl="4" w:tplc="040A0003" w:tentative="1">
      <w:start w:val="1"/>
      <w:numFmt w:val="bullet"/>
      <w:lvlText w:val="o"/>
      <w:lvlJc w:val="left"/>
      <w:pPr>
        <w:ind w:left="6480" w:hanging="360"/>
      </w:pPr>
      <w:rPr>
        <w:rFonts w:ascii="Courier New" w:hAnsi="Courier New" w:cs="Courier New" w:hint="default"/>
      </w:rPr>
    </w:lvl>
    <w:lvl w:ilvl="5" w:tplc="040A0005" w:tentative="1">
      <w:start w:val="1"/>
      <w:numFmt w:val="bullet"/>
      <w:lvlText w:val=""/>
      <w:lvlJc w:val="left"/>
      <w:pPr>
        <w:ind w:left="7200" w:hanging="360"/>
      </w:pPr>
      <w:rPr>
        <w:rFonts w:ascii="Wingdings" w:hAnsi="Wingdings" w:hint="default"/>
      </w:rPr>
    </w:lvl>
    <w:lvl w:ilvl="6" w:tplc="040A0001" w:tentative="1">
      <w:start w:val="1"/>
      <w:numFmt w:val="bullet"/>
      <w:lvlText w:val=""/>
      <w:lvlJc w:val="left"/>
      <w:pPr>
        <w:ind w:left="7920" w:hanging="360"/>
      </w:pPr>
      <w:rPr>
        <w:rFonts w:ascii="Symbol" w:hAnsi="Symbol" w:hint="default"/>
      </w:rPr>
    </w:lvl>
    <w:lvl w:ilvl="7" w:tplc="040A0003" w:tentative="1">
      <w:start w:val="1"/>
      <w:numFmt w:val="bullet"/>
      <w:lvlText w:val="o"/>
      <w:lvlJc w:val="left"/>
      <w:pPr>
        <w:ind w:left="8640" w:hanging="360"/>
      </w:pPr>
      <w:rPr>
        <w:rFonts w:ascii="Courier New" w:hAnsi="Courier New" w:cs="Courier New" w:hint="default"/>
      </w:rPr>
    </w:lvl>
    <w:lvl w:ilvl="8" w:tplc="040A0005" w:tentative="1">
      <w:start w:val="1"/>
      <w:numFmt w:val="bullet"/>
      <w:lvlText w:val=""/>
      <w:lvlJc w:val="left"/>
      <w:pPr>
        <w:ind w:left="9360" w:hanging="360"/>
      </w:pPr>
      <w:rPr>
        <w:rFonts w:ascii="Wingdings" w:hAnsi="Wingdings" w:hint="default"/>
      </w:rPr>
    </w:lvl>
  </w:abstractNum>
  <w:abstractNum w:abstractNumId="15">
    <w:nsid w:val="2D7E098A"/>
    <w:multiLevelType w:val="hybridMultilevel"/>
    <w:tmpl w:val="4EAA560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6">
    <w:nsid w:val="30D170E2"/>
    <w:multiLevelType w:val="hybridMultilevel"/>
    <w:tmpl w:val="A5203BCE"/>
    <w:lvl w:ilvl="0" w:tplc="08090017">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nsid w:val="31141634"/>
    <w:multiLevelType w:val="hybridMultilevel"/>
    <w:tmpl w:val="0FFC75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1247B25"/>
    <w:multiLevelType w:val="hybridMultilevel"/>
    <w:tmpl w:val="3F121CB6"/>
    <w:lvl w:ilvl="0" w:tplc="9C249D90">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nsid w:val="32151CBF"/>
    <w:multiLevelType w:val="hybridMultilevel"/>
    <w:tmpl w:val="DF86D2F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nsid w:val="34293F3F"/>
    <w:multiLevelType w:val="singleLevel"/>
    <w:tmpl w:val="B074E4EC"/>
    <w:lvl w:ilvl="0">
      <w:numFmt w:val="decimal"/>
      <w:pStyle w:val="ListDash"/>
      <w:lvlText w:val=""/>
      <w:lvlJc w:val="left"/>
    </w:lvl>
  </w:abstractNum>
  <w:abstractNum w:abstractNumId="21">
    <w:nsid w:val="3D2C01B0"/>
    <w:multiLevelType w:val="hybridMultilevel"/>
    <w:tmpl w:val="B62C3C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44F53D50"/>
    <w:multiLevelType w:val="hybridMultilevel"/>
    <w:tmpl w:val="C2F0174A"/>
    <w:lvl w:ilvl="0" w:tplc="040A0001">
      <w:start w:val="1"/>
      <w:numFmt w:val="bullet"/>
      <w:lvlText w:val=""/>
      <w:lvlJc w:val="left"/>
      <w:pPr>
        <w:ind w:left="720" w:hanging="360"/>
      </w:pPr>
      <w:rPr>
        <w:rFonts w:ascii="Symbol" w:hAnsi="Symbol" w:hint="default"/>
      </w:rPr>
    </w:lvl>
    <w:lvl w:ilvl="1" w:tplc="BA26B3D6">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4B6C310D"/>
    <w:multiLevelType w:val="hybridMultilevel"/>
    <w:tmpl w:val="E662DD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4C7E3131"/>
    <w:multiLevelType w:val="hybridMultilevel"/>
    <w:tmpl w:val="8500B4D8"/>
    <w:lvl w:ilvl="0" w:tplc="040A0001">
      <w:start w:val="1"/>
      <w:numFmt w:val="bullet"/>
      <w:lvlText w:val=""/>
      <w:lvlJc w:val="left"/>
      <w:rPr>
        <w:rFonts w:ascii="Symbol" w:hAnsi="Symbol" w:hint="default"/>
      </w:rPr>
    </w:lvl>
    <w:lvl w:ilvl="1" w:tplc="040A0001">
      <w:start w:val="1"/>
      <w:numFmt w:val="bullet"/>
      <w:lvlText w:val=""/>
      <w:lvlJc w:val="left"/>
      <w:rPr>
        <w:rFonts w:ascii="Symbol" w:hAnsi="Symbol" w:hint="default"/>
      </w:r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nsid w:val="50602B7F"/>
    <w:multiLevelType w:val="hybridMultilevel"/>
    <w:tmpl w:val="CE40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F95557"/>
    <w:multiLevelType w:val="multilevel"/>
    <w:tmpl w:val="719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0227B0"/>
    <w:multiLevelType w:val="hybridMultilevel"/>
    <w:tmpl w:val="E74CCEC4"/>
    <w:lvl w:ilvl="0" w:tplc="4574C59E">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nsid w:val="55AC74C0"/>
    <w:multiLevelType w:val="hybridMultilevel"/>
    <w:tmpl w:val="10CE2A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564F4A77"/>
    <w:multiLevelType w:val="hybridMultilevel"/>
    <w:tmpl w:val="02D4F1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C3810DA"/>
    <w:multiLevelType w:val="hybridMultilevel"/>
    <w:tmpl w:val="3D4A8D4C"/>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31">
    <w:nsid w:val="5FEF30CE"/>
    <w:multiLevelType w:val="hybridMultilevel"/>
    <w:tmpl w:val="C38EBFA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67D10605"/>
    <w:multiLevelType w:val="hybridMultilevel"/>
    <w:tmpl w:val="108AF9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nsid w:val="69CB528A"/>
    <w:multiLevelType w:val="hybridMultilevel"/>
    <w:tmpl w:val="4A10C9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AC26060"/>
    <w:multiLevelType w:val="hybridMultilevel"/>
    <w:tmpl w:val="2FC8977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nsid w:val="79C00982"/>
    <w:multiLevelType w:val="hybridMultilevel"/>
    <w:tmpl w:val="E898D42C"/>
    <w:lvl w:ilvl="0" w:tplc="040A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6">
    <w:nsid w:val="7C4E0094"/>
    <w:multiLevelType w:val="hybridMultilevel"/>
    <w:tmpl w:val="F3DE2C04"/>
    <w:lvl w:ilvl="0" w:tplc="08BEB838">
      <w:numFmt w:val="bullet"/>
      <w:lvlText w:val="•"/>
      <w:lvlJc w:val="left"/>
      <w:pPr>
        <w:ind w:left="1080" w:hanging="72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7C7F7015"/>
    <w:multiLevelType w:val="hybridMultilevel"/>
    <w:tmpl w:val="76F03E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E7D61C2"/>
    <w:multiLevelType w:val="hybridMultilevel"/>
    <w:tmpl w:val="2FF2B626"/>
    <w:lvl w:ilvl="0" w:tplc="FB8231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9"/>
  </w:num>
  <w:num w:numId="4">
    <w:abstractNumId w:val="24"/>
  </w:num>
  <w:num w:numId="5">
    <w:abstractNumId w:val="11"/>
  </w:num>
  <w:num w:numId="6">
    <w:abstractNumId w:val="5"/>
  </w:num>
  <w:num w:numId="7">
    <w:abstractNumId w:val="16"/>
  </w:num>
  <w:num w:numId="8">
    <w:abstractNumId w:val="18"/>
  </w:num>
  <w:num w:numId="9">
    <w:abstractNumId w:val="1"/>
  </w:num>
  <w:num w:numId="10">
    <w:abstractNumId w:val="38"/>
  </w:num>
  <w:num w:numId="11">
    <w:abstractNumId w:val="10"/>
  </w:num>
  <w:num w:numId="12">
    <w:abstractNumId w:val="8"/>
  </w:num>
  <w:num w:numId="13">
    <w:abstractNumId w:val="36"/>
  </w:num>
  <w:num w:numId="14">
    <w:abstractNumId w:val="13"/>
  </w:num>
  <w:num w:numId="15">
    <w:abstractNumId w:val="30"/>
  </w:num>
  <w:num w:numId="16">
    <w:abstractNumId w:val="35"/>
  </w:num>
  <w:num w:numId="17">
    <w:abstractNumId w:val="12"/>
  </w:num>
  <w:num w:numId="18">
    <w:abstractNumId w:val="28"/>
  </w:num>
  <w:num w:numId="19">
    <w:abstractNumId w:val="27"/>
  </w:num>
  <w:num w:numId="20">
    <w:abstractNumId w:val="32"/>
  </w:num>
  <w:num w:numId="21">
    <w:abstractNumId w:val="33"/>
  </w:num>
  <w:num w:numId="22">
    <w:abstractNumId w:val="15"/>
  </w:num>
  <w:num w:numId="23">
    <w:abstractNumId w:val="31"/>
  </w:num>
  <w:num w:numId="24">
    <w:abstractNumId w:val="21"/>
  </w:num>
  <w:num w:numId="25">
    <w:abstractNumId w:val="26"/>
  </w:num>
  <w:num w:numId="26">
    <w:abstractNumId w:val="4"/>
  </w:num>
  <w:num w:numId="27">
    <w:abstractNumId w:val="19"/>
  </w:num>
  <w:num w:numId="28">
    <w:abstractNumId w:val="6"/>
  </w:num>
  <w:num w:numId="29">
    <w:abstractNumId w:val="23"/>
  </w:num>
  <w:num w:numId="30">
    <w:abstractNumId w:val="22"/>
  </w:num>
  <w:num w:numId="31">
    <w:abstractNumId w:val="7"/>
  </w:num>
  <w:num w:numId="32">
    <w:abstractNumId w:val="14"/>
  </w:num>
  <w:num w:numId="33">
    <w:abstractNumId w:val="2"/>
  </w:num>
  <w:num w:numId="34">
    <w:abstractNumId w:val="25"/>
  </w:num>
  <w:num w:numId="35">
    <w:abstractNumId w:val="6"/>
  </w:num>
  <w:num w:numId="36">
    <w:abstractNumId w:val="29"/>
  </w:num>
  <w:num w:numId="37">
    <w:abstractNumId w:val="6"/>
  </w:num>
  <w:num w:numId="38">
    <w:abstractNumId w:val="0"/>
  </w:num>
  <w:num w:numId="39">
    <w:abstractNumId w:val="6"/>
  </w:num>
  <w:num w:numId="40">
    <w:abstractNumId w:val="17"/>
  </w:num>
  <w:num w:numId="41">
    <w:abstractNumId w:val="3"/>
  </w:num>
  <w:num w:numId="42">
    <w:abstractNumId w:val="37"/>
  </w:num>
  <w:num w:numId="43">
    <w:abstractNumId w:val="34"/>
  </w:num>
  <w:num w:numId="44">
    <w:abstractNumId w:val="2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9DD599AD85214C5F96682D3618AAAEB9"/>
    <w:docVar w:name="LW_CROSSREFERENCE" w:val="{SWD(2016) 274 final}_x000b_{SWD(2016) 277 final}"/>
    <w:docVar w:name="LW_DocType" w:val="NORMAL"/>
    <w:docVar w:name="LW_EMISSION" w:val="24.8.2016"/>
    <w:docVar w:name="LW_EMISSION_ISODATE" w:val="2016-08-24"/>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526"/>
    <w:docVar w:name="LW_REF.INTERNE" w:val="&lt;UNUSED&gt;"/>
    <w:docVar w:name="LW_SOUS.TITRE.OBJ" w:val="\u1052?\u1086?\u1085?\u1080?\u1090?\u1086?\u1088?\u1080?\u1085?\u1075?\u1086?\u1074? \u1076?\u1086?\u1082?\u1083?\u1072?\u1076? \u1079?\u1072? 2014 \u1075?\u1086?\u1076?\u1080?\u1085?\u1072?_x000b_"/>
    <w:docVar w:name="LW_SOUS.TITRE.OBJ.CP" w:val="\u1052?\u1086?\u1085?\u1080?\u1090?\u1086?\u1088?\u1080?\u1085?\u1075?\u1086?\u1074? \u1076?\u1086?\u1082?\u1083?\u1072?\u1076? \u1079?\u1072? 2014 \u1075?\u1086?\u1076?\u1080?\u1085?\u1072?_x000b_"/>
    <w:docVar w:name="LW_SUPERTITRE" w:val="&lt;UNUSED&gt;"/>
    <w:docVar w:name="LW_TITRE.OBJ.CP" w:val="COSME _x000b_\u1055?\u1088?\u1086?\u1075?\u1088?\u1072?\u1084?\u1072? \u1079?\u1072? \u1082?\u1086?\u1085?\u1082?\u1091?\u1088?\u1077?\u1085?\u1090?\u1086?\u1089?\u1087?\u1086?\u1089?\u1086?\u1073?\u1085?\u1086?\u1089?\u1090? \u1085?\u1072? \u1087?\u1088?\u1077?\u1076?\u1087?\u1088?\u1080?\u1103?\u1090?\u1080?\u1103?\u1090?\u1072? \u1080? \u1079?\u1072? \u1052?\u1057?\u1055? \u1079?\u1072? 2014\u8212?2020 \u1075?\u1086?\u1076?\u1080?\u1085?\u1072?"/>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footnote reference"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pPr>
      <w:keepNext/>
      <w:pBdr>
        <w:bottom w:val="single" w:sz="4" w:space="1" w:color="auto"/>
      </w:pBdr>
      <w:spacing w:before="120" w:after="240"/>
      <w:jc w:val="both"/>
      <w:outlineLvl w:val="0"/>
    </w:pPr>
    <w:rPr>
      <w:b/>
      <w:bCs/>
      <w:i/>
      <w:smallCaps/>
      <w:sz w:val="56"/>
      <w:szCs w:val="56"/>
      <w:lang w:eastAsia="fr-FR"/>
    </w:rPr>
  </w:style>
  <w:style w:type="paragraph" w:styleId="Heading2">
    <w:name w:val="heading 2"/>
    <w:basedOn w:val="Normal"/>
    <w:next w:val="Normal"/>
    <w:link w:val="Heading2Char"/>
    <w:qFormat/>
    <w:pPr>
      <w:keepNext/>
      <w:numPr>
        <w:ilvl w:val="1"/>
        <w:numId w:val="1"/>
      </w:numPr>
      <w:spacing w:before="360" w:after="240"/>
      <w:outlineLvl w:val="1"/>
    </w:pPr>
    <w:rPr>
      <w:b/>
      <w:caps/>
      <w:lang w:val="fr-FR" w:eastAsia="fr-FR"/>
    </w:rPr>
  </w:style>
  <w:style w:type="paragraph" w:styleId="Heading3">
    <w:name w:val="heading 3"/>
    <w:basedOn w:val="Normal"/>
    <w:next w:val="Normal"/>
    <w:link w:val="Heading3Char"/>
    <w:qFormat/>
    <w:pPr>
      <w:keepNext/>
      <w:numPr>
        <w:ilvl w:val="2"/>
        <w:numId w:val="1"/>
      </w:numPr>
      <w:outlineLvl w:val="2"/>
    </w:pPr>
    <w:rPr>
      <w:i/>
      <w:sz w:val="22"/>
      <w:lang w:val="fr-FR" w:eastAsia="fr-FR"/>
    </w:rPr>
  </w:style>
  <w:style w:type="paragraph" w:styleId="Heading4">
    <w:name w:val="heading 4"/>
    <w:basedOn w:val="Normal"/>
    <w:next w:val="Normal"/>
    <w:link w:val="Heading4Char"/>
    <w:qFormat/>
    <w:pPr>
      <w:keepNext/>
      <w:numPr>
        <w:ilvl w:val="3"/>
        <w:numId w:val="1"/>
      </w:numPr>
      <w:outlineLvl w:val="3"/>
    </w:pPr>
    <w:rPr>
      <w:sz w:val="22"/>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i/>
      <w:smallCaps/>
      <w:sz w:val="56"/>
      <w:szCs w:val="56"/>
      <w:lang w:eastAsia="fr-FR"/>
    </w:rPr>
  </w:style>
  <w:style w:type="character" w:customStyle="1" w:styleId="Heading2Char">
    <w:name w:val="Heading 2 Char"/>
    <w:basedOn w:val="DefaultParagraphFont"/>
    <w:link w:val="Heading2"/>
    <w:rPr>
      <w:rFonts w:ascii="Times New Roman" w:eastAsia="Times New Roman" w:hAnsi="Times New Roman" w:cs="Times New Roman"/>
      <w:b/>
      <w:caps/>
      <w:sz w:val="24"/>
      <w:szCs w:val="24"/>
      <w:lang w:val="fr-FR" w:eastAsia="fr-FR"/>
    </w:rPr>
  </w:style>
  <w:style w:type="character" w:customStyle="1" w:styleId="Heading3Char">
    <w:name w:val="Heading 3 Char"/>
    <w:basedOn w:val="DefaultParagraphFont"/>
    <w:link w:val="Heading3"/>
    <w:rPr>
      <w:rFonts w:ascii="Times New Roman" w:eastAsia="Times New Roman" w:hAnsi="Times New Roman" w:cs="Times New Roman"/>
      <w:i/>
      <w:szCs w:val="24"/>
      <w:lang w:val="fr-FR" w:eastAsia="fr-FR"/>
    </w:rPr>
  </w:style>
  <w:style w:type="character" w:customStyle="1" w:styleId="Heading4Char">
    <w:name w:val="Heading 4 Char"/>
    <w:basedOn w:val="DefaultParagraphFont"/>
    <w:link w:val="Heading4"/>
    <w:rPr>
      <w:rFonts w:ascii="Times New Roman" w:eastAsia="Times New Roman" w:hAnsi="Times New Roman" w:cs="Times New Roman"/>
      <w:szCs w:val="24"/>
      <w:lang w:val="fr-FR" w:eastAsia="fr-FR"/>
    </w:rPr>
  </w:style>
  <w:style w:type="table" w:customStyle="1" w:styleId="TableStyle1">
    <w:name w:val="Table Style1"/>
    <w:basedOn w:val="TableNormal"/>
    <w:pPr>
      <w:spacing w:after="0" w:line="240" w:lineRule="auto"/>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style>
  <w:style w:type="character" w:styleId="Hyperlink">
    <w:name w:val="Hyperlink"/>
    <w:uiPriority w:val="99"/>
    <w:rPr>
      <w:color w:val="0000FF"/>
      <w:u w:val="single"/>
    </w:rPr>
  </w:style>
  <w:style w:type="paragraph" w:styleId="FootnoteText">
    <w:name w:val="footnote text"/>
    <w:aliases w:val="fn,Footnote Text Char1 Char,Footnote Text Char Char Char,Footnote Text Char1 Char Char Char,Footnote Text Char Char Char Char Char,Footnote Text Char1 Char1 Char,Footnote Text Char Char Char1 Char,EMPL6,Footnote Text Char1,Schriftart: 9 pt"/>
    <w:basedOn w:val="Normal"/>
    <w:link w:val="FootnoteTextChar"/>
    <w:uiPriority w:val="99"/>
    <w:qFormat/>
    <w:rPr>
      <w:sz w:val="20"/>
      <w:szCs w:val="20"/>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 Char1 Char Char Char Char"/>
    <w:link w:val="BVIfnrCarCarCarCarCharCharCharChar"/>
    <w:uiPriority w:val="99"/>
    <w:qFormat/>
    <w:rPr>
      <w:vertAlign w:val="superscript"/>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fr-FR" w:eastAsia="fr-FR"/>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link w:val="Text1Char"/>
    <w:pPr>
      <w:spacing w:after="240"/>
      <w:ind w:left="482"/>
      <w:jc w:val="both"/>
    </w:pPr>
    <w:rPr>
      <w:szCs w:val="20"/>
      <w:lang w:eastAsia="en-US"/>
    </w:rPr>
  </w:style>
  <w:style w:type="character" w:customStyle="1" w:styleId="Text1Char">
    <w:name w:val="Text 1 Char"/>
    <w:link w:val="Text1"/>
    <w:rPr>
      <w:rFonts w:ascii="Times New Roman" w:eastAsia="Times New Roman" w:hAnsi="Times New Roman" w:cs="Times New Roman"/>
      <w:sz w:val="24"/>
      <w:szCs w:val="20"/>
    </w:rPr>
  </w:style>
  <w:style w:type="paragraph" w:styleId="ListNumber">
    <w:name w:val="List Number"/>
    <w:basedOn w:val="Normal"/>
    <w:pPr>
      <w:numPr>
        <w:numId w:val="3"/>
      </w:numPr>
    </w:pPr>
    <w:rPr>
      <w:sz w:val="22"/>
      <w:lang w:val="fr-FR" w:eastAsia="fr-FR"/>
    </w:rPr>
  </w:style>
  <w:style w:type="paragraph" w:customStyle="1" w:styleId="ListDash">
    <w:name w:val="List Dash"/>
    <w:basedOn w:val="Normal"/>
    <w:link w:val="ListDashChar"/>
    <w:pPr>
      <w:numPr>
        <w:numId w:val="2"/>
      </w:numPr>
    </w:pPr>
    <w:rPr>
      <w:sz w:val="22"/>
      <w:lang w:val="fr-FR" w:eastAsia="fr-FR"/>
    </w:rPr>
  </w:style>
  <w:style w:type="character" w:customStyle="1" w:styleId="ListDashChar">
    <w:name w:val="List Dash Char"/>
    <w:link w:val="ListDash"/>
    <w:rPr>
      <w:rFonts w:ascii="Times New Roman" w:eastAsia="Times New Roman" w:hAnsi="Times New Roman" w:cs="Times New Roman"/>
      <w:szCs w:val="24"/>
      <w:lang w:val="fr-FR" w:eastAsia="fr-FR"/>
    </w:r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rFonts w:ascii="Times New Roman" w:eastAsia="Times New Roman" w:hAnsi="Times New Roman" w:cs="Times New Roman"/>
      <w:sz w:val="24"/>
      <w:szCs w:val="24"/>
      <w:lang w:eastAsia="en-GB"/>
    </w:rPr>
  </w:style>
  <w:style w:type="character" w:styleId="PageNumber">
    <w:name w:val="page number"/>
    <w:basedOn w:val="DefaultParagraphFont"/>
  </w:style>
  <w:style w:type="paragraph" w:customStyle="1" w:styleId="NormalJustified">
    <w:name w:val="Normal + Justified"/>
    <w:basedOn w:val="Normal"/>
    <w:link w:val="NormalJustifiedChar"/>
    <w:pPr>
      <w:autoSpaceDE w:val="0"/>
      <w:autoSpaceDN w:val="0"/>
      <w:adjustRightInd w:val="0"/>
      <w:jc w:val="both"/>
    </w:pPr>
  </w:style>
  <w:style w:type="character" w:customStyle="1" w:styleId="NormalJustifiedChar">
    <w:name w:val="Normal + Justified Char"/>
    <w:link w:val="NormalJustified"/>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qFormat/>
    <w:pPr>
      <w:tabs>
        <w:tab w:val="left" w:pos="660"/>
        <w:tab w:val="right" w:leader="dot" w:pos="9062"/>
      </w:tabs>
      <w:spacing w:line="360" w:lineRule="auto"/>
      <w:jc w:val="both"/>
    </w:pPr>
    <w:rPr>
      <w:b/>
      <w:bCs/>
      <w:noProof/>
    </w:rPr>
  </w:style>
  <w:style w:type="paragraph" w:styleId="TOC2">
    <w:name w:val="toc 2"/>
    <w:basedOn w:val="Normal"/>
    <w:next w:val="Normal"/>
    <w:autoRedefine/>
    <w:uiPriority w:val="39"/>
    <w:qFormat/>
    <w:pPr>
      <w:tabs>
        <w:tab w:val="right" w:leader="dot" w:pos="9062"/>
      </w:tabs>
      <w:spacing w:line="360" w:lineRule="auto"/>
      <w:jc w:val="both"/>
    </w:pPr>
    <w:rPr>
      <w:b/>
      <w:bCs/>
      <w:noProof/>
      <w:lang w:val="sv-SE" w:eastAsia="fr-FR"/>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eastAsia="en-GB"/>
    </w:rPr>
  </w:style>
  <w:style w:type="character" w:styleId="FollowedHyperlink">
    <w:name w:val="FollowedHyperlink"/>
    <w:rPr>
      <w:color w:val="606420"/>
      <w:u w:val="single"/>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character" w:styleId="Strong">
    <w:name w:val="Strong"/>
    <w:uiPriority w:val="22"/>
    <w:qFormat/>
    <w:rPr>
      <w:rFonts w:cs="Times New Roman"/>
      <w:b/>
    </w:rPr>
  </w:style>
  <w:style w:type="paragraph" w:customStyle="1" w:styleId="Body1">
    <w:name w:val="Body 1"/>
    <w:pPr>
      <w:spacing w:after="0" w:line="240" w:lineRule="auto"/>
    </w:pPr>
    <w:rPr>
      <w:rFonts w:ascii="Helvetica" w:eastAsia="Arial Unicode MS" w:hAnsi="Helvetica" w:cs="Times New Roman"/>
      <w:color w:val="000000"/>
      <w:sz w:val="24"/>
      <w:szCs w:val="20"/>
      <w:lang w:eastAsia="en-GB"/>
    </w:rPr>
  </w:style>
  <w:style w:type="paragraph" w:customStyle="1" w:styleId="ColorfulList-Accent11">
    <w:name w:val="Colorful List - Accent 11"/>
    <w:basedOn w:val="Normal"/>
    <w:uiPriority w:val="34"/>
    <w:qFormat/>
    <w:pPr>
      <w:ind w:left="720"/>
    </w:pPr>
    <w:rPr>
      <w:rFonts w:ascii="Calibri" w:eastAsia="Calibri" w:hAnsi="Calibri" w:cs="Calibri"/>
      <w:sz w:val="22"/>
      <w:szCs w:val="22"/>
      <w:lang w:eastAsia="en-US"/>
    </w:rPr>
  </w:style>
  <w:style w:type="character" w:customStyle="1" w:styleId="En-tte5">
    <w:name w:val="En-tête #5_"/>
    <w:link w:val="En-tte51"/>
    <w:uiPriority w:val="99"/>
    <w:rPr>
      <w:b/>
      <w:bCs/>
      <w:sz w:val="21"/>
      <w:szCs w:val="21"/>
      <w:shd w:val="clear" w:color="auto" w:fill="FFFFFF"/>
    </w:rPr>
  </w:style>
  <w:style w:type="paragraph" w:customStyle="1" w:styleId="En-tte51">
    <w:name w:val="En-tête #51"/>
    <w:basedOn w:val="Normal"/>
    <w:link w:val="En-tte5"/>
    <w:uiPriority w:val="99"/>
    <w:pPr>
      <w:widowControl w:val="0"/>
      <w:shd w:val="clear" w:color="auto" w:fill="FFFFFF"/>
      <w:spacing w:before="180" w:after="240" w:line="240" w:lineRule="atLeast"/>
      <w:jc w:val="both"/>
      <w:outlineLvl w:val="4"/>
    </w:pPr>
    <w:rPr>
      <w:rFonts w:asciiTheme="minorHAnsi" w:eastAsiaTheme="minorHAnsi" w:hAnsiTheme="minorHAnsi" w:cstheme="minorBidi"/>
      <w:b/>
      <w:bCs/>
      <w:sz w:val="21"/>
      <w:szCs w:val="21"/>
      <w:lang w:eastAsia="en-US"/>
    </w:rPr>
  </w:style>
  <w:style w:type="character" w:customStyle="1" w:styleId="Corpsdutexte">
    <w:name w:val="Corps du texte_"/>
    <w:link w:val="Corpsdutexte1"/>
    <w:uiPriority w:val="99"/>
    <w:rPr>
      <w:i/>
      <w:iCs/>
      <w:sz w:val="21"/>
      <w:szCs w:val="21"/>
      <w:shd w:val="clear" w:color="auto" w:fill="FFFFFF"/>
    </w:rPr>
  </w:style>
  <w:style w:type="character" w:customStyle="1" w:styleId="En-tte3">
    <w:name w:val="En-tête #3_"/>
    <w:link w:val="En-tte31"/>
    <w:uiPriority w:val="99"/>
    <w:rPr>
      <w:b/>
      <w:bCs/>
      <w:smallCaps/>
      <w:sz w:val="26"/>
      <w:szCs w:val="26"/>
      <w:shd w:val="clear" w:color="auto" w:fill="FFFFFF"/>
    </w:rPr>
  </w:style>
  <w:style w:type="paragraph" w:customStyle="1" w:styleId="Corpsdutexte1">
    <w:name w:val="Corps du texte1"/>
    <w:basedOn w:val="Normal"/>
    <w:link w:val="Corpsdutexte"/>
    <w:uiPriority w:val="99"/>
    <w:pPr>
      <w:widowControl w:val="0"/>
      <w:shd w:val="clear" w:color="auto" w:fill="FFFFFF"/>
      <w:spacing w:line="250" w:lineRule="exact"/>
      <w:ind w:hanging="340"/>
      <w:jc w:val="both"/>
    </w:pPr>
    <w:rPr>
      <w:rFonts w:asciiTheme="minorHAnsi" w:eastAsiaTheme="minorHAnsi" w:hAnsiTheme="minorHAnsi" w:cstheme="minorBidi"/>
      <w:i/>
      <w:iCs/>
      <w:sz w:val="21"/>
      <w:szCs w:val="21"/>
      <w:lang w:eastAsia="en-US"/>
    </w:rPr>
  </w:style>
  <w:style w:type="paragraph" w:customStyle="1" w:styleId="En-tte31">
    <w:name w:val="En-tête #31"/>
    <w:basedOn w:val="Normal"/>
    <w:link w:val="En-tte3"/>
    <w:uiPriority w:val="99"/>
    <w:pPr>
      <w:widowControl w:val="0"/>
      <w:shd w:val="clear" w:color="auto" w:fill="FFFFFF"/>
      <w:spacing w:before="720" w:line="250" w:lineRule="exact"/>
      <w:jc w:val="both"/>
      <w:outlineLvl w:val="2"/>
    </w:pPr>
    <w:rPr>
      <w:rFonts w:asciiTheme="minorHAnsi" w:eastAsiaTheme="minorHAnsi" w:hAnsiTheme="minorHAnsi" w:cstheme="minorBidi"/>
      <w:b/>
      <w:bCs/>
      <w:smallCaps/>
      <w:sz w:val="26"/>
      <w:szCs w:val="26"/>
      <w:lang w:eastAsia="en-US"/>
    </w:rPr>
  </w:style>
  <w:style w:type="paragraph" w:styleId="Caption">
    <w:name w:val="caption"/>
    <w:basedOn w:val="Normal"/>
    <w:next w:val="Normal"/>
    <w:unhideWhenUsed/>
    <w:qFormat/>
    <w:rPr>
      <w:b/>
      <w:bCs/>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pPr>
      <w:spacing w:after="360"/>
    </w:pPr>
  </w:style>
  <w:style w:type="character" w:customStyle="1" w:styleId="Corpsdutexte4">
    <w:name w:val="Corps du texte (4)_"/>
    <w:link w:val="Corpsdutexte41"/>
    <w:uiPriority w:val="99"/>
    <w:rPr>
      <w:i/>
      <w:iCs/>
      <w:sz w:val="23"/>
      <w:szCs w:val="23"/>
      <w:shd w:val="clear" w:color="auto" w:fill="FFFFFF"/>
    </w:rPr>
  </w:style>
  <w:style w:type="character" w:customStyle="1" w:styleId="Corpsdutexte4NonItalique">
    <w:name w:val="Corps du texte (4) + Non Italique"/>
    <w:uiPriority w:val="99"/>
    <w:rPr>
      <w:i w:val="0"/>
      <w:iCs w:val="0"/>
      <w:sz w:val="23"/>
      <w:szCs w:val="23"/>
      <w:shd w:val="clear" w:color="auto" w:fill="FFFFFF"/>
    </w:rPr>
  </w:style>
  <w:style w:type="character" w:customStyle="1" w:styleId="Corpsdutexte4NonItalique2">
    <w:name w:val="Corps du texte (4) + Non Italique2"/>
    <w:uiPriority w:val="99"/>
    <w:rPr>
      <w:i w:val="0"/>
      <w:iCs w:val="0"/>
      <w:sz w:val="23"/>
      <w:szCs w:val="23"/>
      <w:shd w:val="clear" w:color="auto" w:fill="FFFFFF"/>
    </w:rPr>
  </w:style>
  <w:style w:type="character" w:customStyle="1" w:styleId="Corpsdutexte40">
    <w:name w:val="Corps du texte (4)"/>
    <w:uiPriority w:val="99"/>
  </w:style>
  <w:style w:type="character" w:customStyle="1" w:styleId="Corpsdutexte6">
    <w:name w:val="Corps du texte6"/>
    <w:uiPriority w:val="99"/>
  </w:style>
  <w:style w:type="character" w:customStyle="1" w:styleId="CorpsdutexteItalique">
    <w:name w:val="Corps du texte + Italique"/>
    <w:uiPriority w:val="99"/>
    <w:rPr>
      <w:i/>
      <w:iCs/>
      <w:sz w:val="23"/>
      <w:szCs w:val="23"/>
      <w:shd w:val="clear" w:color="auto" w:fill="FFFFFF"/>
    </w:rPr>
  </w:style>
  <w:style w:type="paragraph" w:customStyle="1" w:styleId="Corpsdutexte41">
    <w:name w:val="Corps du texte (4)1"/>
    <w:basedOn w:val="Normal"/>
    <w:link w:val="Corpsdutexte4"/>
    <w:uiPriority w:val="99"/>
    <w:pPr>
      <w:widowControl w:val="0"/>
      <w:shd w:val="clear" w:color="auto" w:fill="FFFFFF"/>
      <w:spacing w:before="300" w:after="240" w:line="274" w:lineRule="exact"/>
      <w:jc w:val="both"/>
    </w:pPr>
    <w:rPr>
      <w:rFonts w:asciiTheme="minorHAnsi" w:eastAsiaTheme="minorHAnsi" w:hAnsiTheme="minorHAnsi" w:cstheme="minorBidi"/>
      <w:i/>
      <w:iCs/>
      <w:sz w:val="23"/>
      <w:szCs w:val="23"/>
      <w:lang w:eastAsia="en-US"/>
    </w:rPr>
  </w:style>
  <w:style w:type="paragraph" w:customStyle="1" w:styleId="EIP">
    <w:name w:val="EIP"/>
    <w:basedOn w:val="Normal"/>
    <w:link w:val="EIPChar"/>
    <w:autoRedefine/>
    <w:qFormat/>
    <w:pPr>
      <w:autoSpaceDE w:val="0"/>
      <w:autoSpaceDN w:val="0"/>
      <w:adjustRightInd w:val="0"/>
      <w:spacing w:before="120" w:after="60"/>
      <w:jc w:val="both"/>
    </w:pPr>
    <w:rPr>
      <w:b/>
      <w:bCs/>
      <w:lang w:val="en-US" w:eastAsia="fr-FR"/>
    </w:rPr>
  </w:style>
  <w:style w:type="character" w:customStyle="1" w:styleId="EIPChar">
    <w:name w:val="EIP Char"/>
    <w:link w:val="EIP"/>
    <w:rPr>
      <w:rFonts w:ascii="Times New Roman" w:eastAsia="Times New Roman" w:hAnsi="Times New Roman" w:cs="Times New Roman"/>
      <w:b/>
      <w:bCs/>
      <w:sz w:val="24"/>
      <w:szCs w:val="24"/>
      <w:lang w:val="en-US" w:eastAsia="fr-FR"/>
    </w:rPr>
  </w:style>
  <w:style w:type="paragraph" w:styleId="TOCHeading">
    <w:name w:val="TOC Heading"/>
    <w:basedOn w:val="Heading1"/>
    <w:next w:val="Normal"/>
    <w:uiPriority w:val="39"/>
    <w:semiHidden/>
    <w:unhideWhenUsed/>
    <w:qFormat/>
    <w:pPr>
      <w:keepLines/>
      <w:spacing w:before="480" w:line="276" w:lineRule="auto"/>
      <w:outlineLvl w:val="9"/>
    </w:pPr>
    <w:rPr>
      <w:rFonts w:ascii="Cambria" w:eastAsia="MS Gothic" w:hAnsi="Cambria"/>
      <w:bCs w:val="0"/>
      <w:smallCaps w:val="0"/>
      <w:color w:val="365F91"/>
      <w:szCs w:val="28"/>
      <w:lang w:val="en-US" w:eastAsia="ja-JP"/>
    </w:rPr>
  </w:style>
  <w:style w:type="paragraph" w:styleId="TOC3">
    <w:name w:val="toc 3"/>
    <w:basedOn w:val="Normal"/>
    <w:next w:val="Normal"/>
    <w:autoRedefine/>
    <w:uiPriority w:val="39"/>
    <w:unhideWhenUsed/>
    <w:qFormat/>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customStyle="1" w:styleId="Corpsdutexte4Exact">
    <w:name w:val="Corps du texte (4) Exact"/>
    <w:uiPriority w:val="99"/>
    <w:rPr>
      <w:spacing w:val="2"/>
      <w:sz w:val="19"/>
      <w:szCs w:val="19"/>
      <w:u w:val="none"/>
    </w:rPr>
  </w:style>
  <w:style w:type="character" w:customStyle="1" w:styleId="En-tte50">
    <w:name w:val="En-tête #5"/>
    <w:uiPriority w:val="99"/>
    <w:rPr>
      <w:b/>
      <w:bCs/>
      <w:sz w:val="21"/>
      <w:szCs w:val="21"/>
      <w:u w:val="single"/>
      <w:shd w:val="clear" w:color="auto" w:fill="FFFFFF"/>
    </w:rPr>
  </w:style>
  <w:style w:type="character" w:customStyle="1" w:styleId="CorpsdutexteGras">
    <w:name w:val="Corps du texte + Gras"/>
    <w:uiPriority w:val="99"/>
    <w:rPr>
      <w:b/>
      <w:bCs/>
      <w:i/>
      <w:iCs/>
      <w:sz w:val="21"/>
      <w:szCs w:val="21"/>
      <w:u w:val="none"/>
      <w:shd w:val="clear" w:color="auto" w:fill="FFFFFF"/>
    </w:rPr>
  </w:style>
  <w:style w:type="character" w:customStyle="1" w:styleId="CorpsdutexteGras1">
    <w:name w:val="Corps du texte + Gras1"/>
    <w:uiPriority w:val="99"/>
    <w:rPr>
      <w:b/>
      <w:bCs/>
      <w:i/>
      <w:iCs/>
      <w:sz w:val="21"/>
      <w:szCs w:val="21"/>
      <w:u w:val="none"/>
      <w:shd w:val="clear" w:color="auto" w:fill="FFFFFF"/>
    </w:rPr>
  </w:style>
  <w:style w:type="character" w:customStyle="1" w:styleId="Corpsdutexte2">
    <w:name w:val="Corps du texte2"/>
    <w:uiPriority w:val="99"/>
    <w:rPr>
      <w:i/>
      <w:iCs/>
      <w:sz w:val="21"/>
      <w:szCs w:val="21"/>
      <w:u w:val="single"/>
      <w:shd w:val="clear" w:color="auto" w:fill="FFFFFF"/>
    </w:rPr>
  </w:style>
  <w:style w:type="character" w:customStyle="1" w:styleId="En-tte30">
    <w:name w:val="En-tête #3"/>
    <w:uiPriority w:val="99"/>
    <w:rPr>
      <w:b/>
      <w:bCs/>
      <w:smallCaps/>
      <w:sz w:val="26"/>
      <w:szCs w:val="26"/>
      <w:u w:val="single"/>
      <w:shd w:val="clear" w:color="auto" w:fill="FFFFFF"/>
    </w:rPr>
  </w:style>
  <w:style w:type="character" w:customStyle="1" w:styleId="En-tte2">
    <w:name w:val="En-tête #2_"/>
    <w:link w:val="En-tte21"/>
    <w:uiPriority w:val="99"/>
    <w:rPr>
      <w:b/>
      <w:bCs/>
      <w:smallCaps/>
      <w:sz w:val="30"/>
      <w:szCs w:val="30"/>
      <w:shd w:val="clear" w:color="auto" w:fill="FFFFFF"/>
    </w:rPr>
  </w:style>
  <w:style w:type="character" w:customStyle="1" w:styleId="En-tte20">
    <w:name w:val="En-tête #2"/>
    <w:uiPriority w:val="99"/>
    <w:rPr>
      <w:b/>
      <w:bCs/>
      <w:smallCaps/>
      <w:sz w:val="30"/>
      <w:szCs w:val="30"/>
      <w:u w:val="single"/>
    </w:rPr>
  </w:style>
  <w:style w:type="paragraph" w:customStyle="1" w:styleId="En-tte21">
    <w:name w:val="En-tête #21"/>
    <w:basedOn w:val="Normal"/>
    <w:link w:val="En-tte2"/>
    <w:uiPriority w:val="99"/>
    <w:pPr>
      <w:widowControl w:val="0"/>
      <w:shd w:val="clear" w:color="auto" w:fill="FFFFFF"/>
      <w:spacing w:before="720" w:after="60" w:line="240" w:lineRule="atLeast"/>
      <w:jc w:val="both"/>
      <w:outlineLvl w:val="1"/>
    </w:pPr>
    <w:rPr>
      <w:rFonts w:asciiTheme="minorHAnsi" w:eastAsiaTheme="minorHAnsi" w:hAnsiTheme="minorHAnsi" w:cstheme="minorBidi"/>
      <w:b/>
      <w:bCs/>
      <w:smallCaps/>
      <w:sz w:val="30"/>
      <w:szCs w:val="30"/>
      <w:lang w:eastAsia="en-US"/>
    </w:rPr>
  </w:style>
  <w:style w:type="paragraph" w:styleId="ListParagraph">
    <w:name w:val="List Paragraph"/>
    <w:basedOn w:val="Normal"/>
    <w:uiPriority w:val="34"/>
    <w:qFormat/>
    <w:pPr>
      <w:widowControl w:val="0"/>
      <w:ind w:left="720"/>
      <w:contextualSpacing/>
    </w:pPr>
    <w:rPr>
      <w:color w:val="000000"/>
      <w:lang w:val="en-US" w:eastAsia="en-U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Pr>
      <w:rFonts w:ascii="Calibri" w:eastAsia="Calibri" w:hAnsi="Calibri" w:cs="Times New Roman"/>
      <w:sz w:val="20"/>
      <w:szCs w:val="20"/>
    </w:rPr>
  </w:style>
  <w:style w:type="character" w:styleId="EndnoteReference">
    <w:name w:val="endnote reference"/>
    <w:uiPriority w:val="99"/>
    <w:unhideWhenUsed/>
    <w:rPr>
      <w:vertAlign w:val="superscript"/>
    </w:rPr>
  </w:style>
  <w:style w:type="paragraph" w:customStyle="1" w:styleId="Briefingtext">
    <w:name w:val="Briefing text"/>
    <w:basedOn w:val="Normal"/>
    <w:link w:val="BriefingtextChar"/>
    <w:pPr>
      <w:spacing w:after="240"/>
      <w:jc w:val="both"/>
    </w:pPr>
    <w:rPr>
      <w:rFonts w:ascii="Arial" w:hAnsi="Arial" w:cs="Arial"/>
      <w:sz w:val="22"/>
      <w:lang w:eastAsia="en-US"/>
    </w:rPr>
  </w:style>
  <w:style w:type="character" w:customStyle="1" w:styleId="BriefingtextChar">
    <w:name w:val="Briefing text Char"/>
    <w:link w:val="Briefingtext"/>
    <w:rPr>
      <w:rFonts w:ascii="Arial" w:eastAsia="Times New Roman" w:hAnsi="Arial" w:cs="Arial"/>
      <w:szCs w:val="24"/>
    </w:rPr>
  </w:style>
  <w:style w:type="paragraph" w:customStyle="1" w:styleId="CM1">
    <w:name w:val="CM1"/>
    <w:basedOn w:val="Default"/>
    <w:next w:val="Default"/>
    <w:uiPriority w:val="99"/>
    <w:rPr>
      <w:rFonts w:ascii="EUAlbertina" w:eastAsiaTheme="minorHAnsi" w:hAnsi="EUAlbertina" w:cstheme="minorBidi"/>
      <w:color w:val="auto"/>
      <w:lang w:val="es-ES_tradnl" w:eastAsia="en-US"/>
    </w:rPr>
  </w:style>
  <w:style w:type="paragraph" w:customStyle="1" w:styleId="CM3">
    <w:name w:val="CM3"/>
    <w:basedOn w:val="Default"/>
    <w:next w:val="Default"/>
    <w:uiPriority w:val="99"/>
    <w:rPr>
      <w:rFonts w:ascii="EUAlbertina" w:eastAsiaTheme="minorHAnsi" w:hAnsi="EUAlbertina" w:cstheme="minorBidi"/>
      <w:color w:val="auto"/>
      <w:lang w:val="es-ES_tradnl" w:eastAsia="en-US"/>
    </w:rPr>
  </w:style>
  <w:style w:type="paragraph" w:customStyle="1" w:styleId="CM4">
    <w:name w:val="CM4"/>
    <w:basedOn w:val="Default"/>
    <w:next w:val="Default"/>
    <w:uiPriority w:val="99"/>
    <w:rPr>
      <w:rFonts w:ascii="EUAlbertina" w:eastAsiaTheme="minorHAnsi" w:hAnsi="EUAlbertina" w:cstheme="minorBidi"/>
      <w:color w:val="auto"/>
      <w:lang w:val="es-ES_tradnl" w:eastAsia="en-US"/>
    </w:rPr>
  </w:style>
  <w:style w:type="paragraph" w:customStyle="1" w:styleId="default0">
    <w:name w:val="default"/>
    <w:basedOn w:val="Normal"/>
    <w:uiPriority w:val="99"/>
    <w:semiHidden/>
    <w:pPr>
      <w:spacing w:before="100" w:beforeAutospacing="1" w:after="100" w:afterAutospacing="1"/>
    </w:pPr>
    <w:rPr>
      <w:rFonts w:eastAsiaTheme="minorHAnsi"/>
      <w:lang w:val="es-ES_tradnl" w:eastAsia="es-ES_tradnl"/>
    </w:rPr>
  </w:style>
  <w:style w:type="character" w:customStyle="1" w:styleId="timark5">
    <w:name w:val="timark5"/>
    <w:basedOn w:val="DefaultParagraphFont"/>
    <w:rPr>
      <w:b/>
      <w:bCs/>
      <w:vanish w:val="0"/>
      <w:webHidden w:val="0"/>
      <w:specVanish w:val="0"/>
    </w:rPr>
  </w:style>
  <w:style w:type="character" w:customStyle="1" w:styleId="calendarnode">
    <w:name w:val="calendar_node"/>
    <w:basedOn w:val="DefaultParagraphFont"/>
  </w:style>
  <w:style w:type="paragraph" w:customStyle="1" w:styleId="PStableamount">
    <w:name w:val="PS_table_amount"/>
    <w:basedOn w:val="Normal"/>
    <w:pPr>
      <w:jc w:val="right"/>
    </w:pPr>
    <w:rPr>
      <w:sz w:val="18"/>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widowControl w:val="0"/>
      <w:tabs>
        <w:tab w:val="center" w:pos="4535"/>
        <w:tab w:val="right" w:pos="9071"/>
        <w:tab w:val="right" w:pos="9921"/>
      </w:tabs>
      <w:autoSpaceDE w:val="0"/>
      <w:autoSpaceDN w:val="0"/>
      <w:adjustRightInd w:val="0"/>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widowControl w:val="0"/>
      <w:tabs>
        <w:tab w:val="center" w:pos="4535"/>
        <w:tab w:val="right" w:pos="9071"/>
      </w:tabs>
      <w:autoSpaceDE w:val="0"/>
      <w:autoSpaceDN w:val="0"/>
      <w:adjustRightInd w:val="0"/>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BVIfnrCarCarCarCarCharCharCharChar">
    <w:name w:val="BVI fnr Car Car Car Car Char Char Char Char"/>
    <w:basedOn w:val="Normal"/>
    <w:link w:val="FootnoteReference"/>
    <w:uiPriority w:val="99"/>
    <w:pPr>
      <w:spacing w:after="160" w:line="240" w:lineRule="exact"/>
    </w:pPr>
    <w:rPr>
      <w:rFonts w:asciiTheme="minorHAnsi" w:eastAsiaTheme="minorHAnsi" w:hAnsiTheme="minorHAnsi" w:cstheme="minorBidi"/>
      <w:sz w:val="22"/>
      <w:szCs w:val="22"/>
      <w:vertAlign w:val="superscrip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footnote reference"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6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F26B0"/>
    <w:pPr>
      <w:keepNext/>
      <w:pBdr>
        <w:bottom w:val="single" w:sz="4" w:space="1" w:color="auto"/>
      </w:pBdr>
      <w:spacing w:before="120" w:after="240"/>
      <w:jc w:val="both"/>
      <w:outlineLvl w:val="0"/>
    </w:pPr>
    <w:rPr>
      <w:b/>
      <w:bCs/>
      <w:i/>
      <w:smallCaps/>
      <w:sz w:val="56"/>
      <w:szCs w:val="56"/>
      <w:lang w:eastAsia="fr-FR"/>
    </w:rPr>
  </w:style>
  <w:style w:type="paragraph" w:styleId="Heading2">
    <w:name w:val="heading 2"/>
    <w:basedOn w:val="Normal"/>
    <w:next w:val="Normal"/>
    <w:link w:val="Heading2Char"/>
    <w:qFormat/>
    <w:rsid w:val="003E3863"/>
    <w:pPr>
      <w:keepNext/>
      <w:numPr>
        <w:ilvl w:val="1"/>
        <w:numId w:val="1"/>
      </w:numPr>
      <w:spacing w:before="360" w:after="240"/>
      <w:outlineLvl w:val="1"/>
    </w:pPr>
    <w:rPr>
      <w:b/>
      <w:caps/>
      <w:lang w:val="fr-FR" w:eastAsia="fr-FR"/>
    </w:rPr>
  </w:style>
  <w:style w:type="paragraph" w:styleId="Heading3">
    <w:name w:val="heading 3"/>
    <w:basedOn w:val="Normal"/>
    <w:next w:val="Normal"/>
    <w:link w:val="Heading3Char"/>
    <w:qFormat/>
    <w:rsid w:val="003E3863"/>
    <w:pPr>
      <w:keepNext/>
      <w:numPr>
        <w:ilvl w:val="2"/>
        <w:numId w:val="1"/>
      </w:numPr>
      <w:outlineLvl w:val="2"/>
    </w:pPr>
    <w:rPr>
      <w:i/>
      <w:sz w:val="22"/>
      <w:lang w:val="fr-FR" w:eastAsia="fr-FR"/>
    </w:rPr>
  </w:style>
  <w:style w:type="paragraph" w:styleId="Heading4">
    <w:name w:val="heading 4"/>
    <w:basedOn w:val="Normal"/>
    <w:next w:val="Normal"/>
    <w:link w:val="Heading4Char"/>
    <w:qFormat/>
    <w:rsid w:val="003E3863"/>
    <w:pPr>
      <w:keepNext/>
      <w:numPr>
        <w:ilvl w:val="3"/>
        <w:numId w:val="1"/>
      </w:numPr>
      <w:outlineLvl w:val="3"/>
    </w:pPr>
    <w:rPr>
      <w:sz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6B0"/>
    <w:rPr>
      <w:rFonts w:ascii="Times New Roman" w:eastAsia="Times New Roman" w:hAnsi="Times New Roman" w:cs="Times New Roman"/>
      <w:b/>
      <w:bCs/>
      <w:i/>
      <w:smallCaps/>
      <w:sz w:val="56"/>
      <w:szCs w:val="56"/>
      <w:lang w:eastAsia="fr-FR"/>
    </w:rPr>
  </w:style>
  <w:style w:type="character" w:customStyle="1" w:styleId="Heading2Char">
    <w:name w:val="Heading 2 Char"/>
    <w:basedOn w:val="DefaultParagraphFont"/>
    <w:link w:val="Heading2"/>
    <w:rsid w:val="003E3863"/>
    <w:rPr>
      <w:rFonts w:ascii="Times New Roman" w:eastAsia="Times New Roman" w:hAnsi="Times New Roman" w:cs="Times New Roman"/>
      <w:b/>
      <w:caps/>
      <w:sz w:val="24"/>
      <w:szCs w:val="24"/>
      <w:lang w:val="fr-FR" w:eastAsia="fr-FR"/>
    </w:rPr>
  </w:style>
  <w:style w:type="character" w:customStyle="1" w:styleId="Heading3Char">
    <w:name w:val="Heading 3 Char"/>
    <w:basedOn w:val="DefaultParagraphFont"/>
    <w:link w:val="Heading3"/>
    <w:rsid w:val="003E3863"/>
    <w:rPr>
      <w:rFonts w:ascii="Times New Roman" w:eastAsia="Times New Roman" w:hAnsi="Times New Roman" w:cs="Times New Roman"/>
      <w:i/>
      <w:szCs w:val="24"/>
      <w:lang w:val="fr-FR" w:eastAsia="fr-FR"/>
    </w:rPr>
  </w:style>
  <w:style w:type="character" w:customStyle="1" w:styleId="Heading4Char">
    <w:name w:val="Heading 4 Char"/>
    <w:basedOn w:val="DefaultParagraphFont"/>
    <w:link w:val="Heading4"/>
    <w:rsid w:val="003E3863"/>
    <w:rPr>
      <w:rFonts w:ascii="Times New Roman" w:eastAsia="Times New Roman" w:hAnsi="Times New Roman" w:cs="Times New Roman"/>
      <w:szCs w:val="24"/>
      <w:lang w:val="fr-FR" w:eastAsia="fr-FR"/>
    </w:rPr>
  </w:style>
  <w:style w:type="table" w:customStyle="1" w:styleId="TableStyle1">
    <w:name w:val="Table Style1"/>
    <w:basedOn w:val="TableNormal"/>
    <w:rsid w:val="003E3863"/>
    <w:pPr>
      <w:spacing w:after="0" w:line="240" w:lineRule="auto"/>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style>
  <w:style w:type="character" w:styleId="Hyperlink">
    <w:name w:val="Hyperlink"/>
    <w:uiPriority w:val="99"/>
    <w:rsid w:val="003E3863"/>
    <w:rPr>
      <w:color w:val="0000FF"/>
      <w:u w:val="single"/>
    </w:rPr>
  </w:style>
  <w:style w:type="paragraph" w:styleId="FootnoteText">
    <w:name w:val="footnote text"/>
    <w:aliases w:val="fn,Footnote Text Char1 Char,Footnote Text Char Char Char,Footnote Text Char1 Char Char Char,Footnote Text Char Char Char Char Char,Footnote Text Char1 Char1 Char,Footnote Text Char Char Char1 Char,EMPL6,Footnote Text Char1,Schriftart: 9 pt"/>
    <w:basedOn w:val="Normal"/>
    <w:link w:val="FootnoteTextChar"/>
    <w:uiPriority w:val="99"/>
    <w:qFormat/>
    <w:rsid w:val="003E3863"/>
    <w:rPr>
      <w:sz w:val="20"/>
      <w:szCs w:val="20"/>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sid w:val="003E3863"/>
    <w:rPr>
      <w:rFonts w:ascii="Times New Roman" w:eastAsia="Times New Roman" w:hAnsi="Times New Roman" w:cs="Times New Roman"/>
      <w:sz w:val="20"/>
      <w:szCs w:val="20"/>
      <w:lang w:eastAsia="en-GB"/>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 Char1 Char Char Char Char"/>
    <w:link w:val="BVIfnrCarCarCarCarCharCharCharChar"/>
    <w:uiPriority w:val="99"/>
    <w:qFormat/>
    <w:rsid w:val="003E3863"/>
    <w:rPr>
      <w:vertAlign w:val="superscript"/>
    </w:rPr>
  </w:style>
  <w:style w:type="paragraph" w:styleId="HTMLPreformatted">
    <w:name w:val="HTML Preformatted"/>
    <w:basedOn w:val="Normal"/>
    <w:link w:val="HTMLPreformattedChar"/>
    <w:rsid w:val="003E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rsid w:val="003E3863"/>
    <w:rPr>
      <w:rFonts w:ascii="Courier New" w:eastAsia="Times New Roman" w:hAnsi="Courier New" w:cs="Courier New"/>
      <w:sz w:val="20"/>
      <w:szCs w:val="20"/>
      <w:lang w:val="fr-FR" w:eastAsia="fr-FR"/>
    </w:rPr>
  </w:style>
  <w:style w:type="table" w:styleId="TableGrid">
    <w:name w:val="Table Grid"/>
    <w:basedOn w:val="TableNormal"/>
    <w:uiPriority w:val="59"/>
    <w:rsid w:val="003E386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link w:val="Text1Char"/>
    <w:rsid w:val="003E3863"/>
    <w:pPr>
      <w:spacing w:after="240"/>
      <w:ind w:left="482"/>
      <w:jc w:val="both"/>
    </w:pPr>
    <w:rPr>
      <w:szCs w:val="20"/>
      <w:lang w:eastAsia="en-US"/>
    </w:rPr>
  </w:style>
  <w:style w:type="character" w:customStyle="1" w:styleId="Text1Char">
    <w:name w:val="Text 1 Char"/>
    <w:link w:val="Text1"/>
    <w:rsid w:val="003E3863"/>
    <w:rPr>
      <w:rFonts w:ascii="Times New Roman" w:eastAsia="Times New Roman" w:hAnsi="Times New Roman" w:cs="Times New Roman"/>
      <w:sz w:val="24"/>
      <w:szCs w:val="20"/>
    </w:rPr>
  </w:style>
  <w:style w:type="paragraph" w:styleId="ListNumber">
    <w:name w:val="List Number"/>
    <w:basedOn w:val="Normal"/>
    <w:rsid w:val="003E3863"/>
    <w:pPr>
      <w:numPr>
        <w:numId w:val="3"/>
      </w:numPr>
    </w:pPr>
    <w:rPr>
      <w:sz w:val="22"/>
      <w:lang w:val="fr-FR" w:eastAsia="fr-FR"/>
    </w:rPr>
  </w:style>
  <w:style w:type="paragraph" w:customStyle="1" w:styleId="ListDash">
    <w:name w:val="List Dash"/>
    <w:basedOn w:val="Normal"/>
    <w:link w:val="ListDashChar"/>
    <w:rsid w:val="003E3863"/>
    <w:pPr>
      <w:numPr>
        <w:numId w:val="2"/>
      </w:numPr>
    </w:pPr>
    <w:rPr>
      <w:sz w:val="22"/>
      <w:lang w:val="fr-FR" w:eastAsia="fr-FR"/>
    </w:rPr>
  </w:style>
  <w:style w:type="character" w:customStyle="1" w:styleId="ListDashChar">
    <w:name w:val="List Dash Char"/>
    <w:link w:val="ListDash"/>
    <w:rsid w:val="003E3863"/>
    <w:rPr>
      <w:rFonts w:ascii="Times New Roman" w:eastAsia="Times New Roman" w:hAnsi="Times New Roman" w:cs="Times New Roman"/>
      <w:szCs w:val="24"/>
      <w:lang w:val="fr-FR" w:eastAsia="fr-FR"/>
    </w:rPr>
  </w:style>
  <w:style w:type="paragraph" w:styleId="Footer">
    <w:name w:val="footer"/>
    <w:basedOn w:val="Normal"/>
    <w:link w:val="FooterChar"/>
    <w:rsid w:val="003E3863"/>
    <w:pPr>
      <w:tabs>
        <w:tab w:val="center" w:pos="4536"/>
        <w:tab w:val="right" w:pos="9072"/>
      </w:tabs>
    </w:pPr>
  </w:style>
  <w:style w:type="character" w:customStyle="1" w:styleId="FooterChar">
    <w:name w:val="Footer Char"/>
    <w:basedOn w:val="DefaultParagraphFont"/>
    <w:link w:val="Footer"/>
    <w:rsid w:val="003E3863"/>
    <w:rPr>
      <w:rFonts w:ascii="Times New Roman" w:eastAsia="Times New Roman" w:hAnsi="Times New Roman" w:cs="Times New Roman"/>
      <w:sz w:val="24"/>
      <w:szCs w:val="24"/>
      <w:lang w:eastAsia="en-GB"/>
    </w:rPr>
  </w:style>
  <w:style w:type="character" w:styleId="PageNumber">
    <w:name w:val="page number"/>
    <w:basedOn w:val="DefaultParagraphFont"/>
    <w:rsid w:val="003E3863"/>
  </w:style>
  <w:style w:type="paragraph" w:customStyle="1" w:styleId="NormalJustified">
    <w:name w:val="Normal + Justified"/>
    <w:basedOn w:val="Normal"/>
    <w:link w:val="NormalJustifiedChar"/>
    <w:rsid w:val="003E3863"/>
    <w:pPr>
      <w:autoSpaceDE w:val="0"/>
      <w:autoSpaceDN w:val="0"/>
      <w:adjustRightInd w:val="0"/>
      <w:jc w:val="both"/>
    </w:pPr>
  </w:style>
  <w:style w:type="character" w:customStyle="1" w:styleId="NormalJustifiedChar">
    <w:name w:val="Normal + Justified Char"/>
    <w:link w:val="NormalJustified"/>
    <w:rsid w:val="003E3863"/>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qFormat/>
    <w:rsid w:val="003E3863"/>
    <w:pPr>
      <w:tabs>
        <w:tab w:val="left" w:pos="660"/>
        <w:tab w:val="right" w:leader="dot" w:pos="9062"/>
      </w:tabs>
      <w:spacing w:line="360" w:lineRule="auto"/>
      <w:jc w:val="both"/>
    </w:pPr>
    <w:rPr>
      <w:b/>
      <w:bCs/>
      <w:noProof/>
    </w:rPr>
  </w:style>
  <w:style w:type="paragraph" w:styleId="TOC2">
    <w:name w:val="toc 2"/>
    <w:basedOn w:val="Normal"/>
    <w:next w:val="Normal"/>
    <w:autoRedefine/>
    <w:uiPriority w:val="39"/>
    <w:qFormat/>
    <w:rsid w:val="003E3863"/>
    <w:pPr>
      <w:tabs>
        <w:tab w:val="right" w:leader="dot" w:pos="9062"/>
      </w:tabs>
      <w:spacing w:line="360" w:lineRule="auto"/>
      <w:jc w:val="both"/>
    </w:pPr>
    <w:rPr>
      <w:b/>
      <w:bCs/>
      <w:noProof/>
      <w:lang w:val="sv-SE" w:eastAsia="fr-FR"/>
    </w:rPr>
  </w:style>
  <w:style w:type="character" w:styleId="CommentReference">
    <w:name w:val="annotation reference"/>
    <w:uiPriority w:val="99"/>
    <w:semiHidden/>
    <w:rsid w:val="003E3863"/>
    <w:rPr>
      <w:sz w:val="16"/>
      <w:szCs w:val="16"/>
    </w:rPr>
  </w:style>
  <w:style w:type="paragraph" w:styleId="CommentText">
    <w:name w:val="annotation text"/>
    <w:basedOn w:val="Normal"/>
    <w:link w:val="CommentTextChar"/>
    <w:uiPriority w:val="99"/>
    <w:semiHidden/>
    <w:rsid w:val="003E3863"/>
    <w:rPr>
      <w:sz w:val="20"/>
      <w:szCs w:val="20"/>
    </w:rPr>
  </w:style>
  <w:style w:type="character" w:customStyle="1" w:styleId="CommentTextChar">
    <w:name w:val="Comment Text Char"/>
    <w:basedOn w:val="DefaultParagraphFont"/>
    <w:link w:val="CommentText"/>
    <w:uiPriority w:val="99"/>
    <w:semiHidden/>
    <w:rsid w:val="003E38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3E3863"/>
    <w:rPr>
      <w:b/>
      <w:bCs/>
    </w:rPr>
  </w:style>
  <w:style w:type="character" w:customStyle="1" w:styleId="CommentSubjectChar">
    <w:name w:val="Comment Subject Char"/>
    <w:basedOn w:val="CommentTextChar"/>
    <w:link w:val="CommentSubject"/>
    <w:semiHidden/>
    <w:rsid w:val="003E3863"/>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3E3863"/>
    <w:rPr>
      <w:rFonts w:ascii="Tahoma" w:hAnsi="Tahoma" w:cs="Tahoma"/>
      <w:sz w:val="16"/>
      <w:szCs w:val="16"/>
    </w:rPr>
  </w:style>
  <w:style w:type="character" w:customStyle="1" w:styleId="BalloonTextChar">
    <w:name w:val="Balloon Text Char"/>
    <w:basedOn w:val="DefaultParagraphFont"/>
    <w:link w:val="BalloonText"/>
    <w:semiHidden/>
    <w:rsid w:val="003E3863"/>
    <w:rPr>
      <w:rFonts w:ascii="Tahoma" w:eastAsia="Times New Roman" w:hAnsi="Tahoma" w:cs="Tahoma"/>
      <w:sz w:val="16"/>
      <w:szCs w:val="16"/>
      <w:lang w:eastAsia="en-GB"/>
    </w:rPr>
  </w:style>
  <w:style w:type="character" w:styleId="FollowedHyperlink">
    <w:name w:val="FollowedHyperlink"/>
    <w:rsid w:val="003E3863"/>
    <w:rPr>
      <w:color w:val="606420"/>
      <w:u w:val="single"/>
    </w:rPr>
  </w:style>
  <w:style w:type="paragraph" w:styleId="Header">
    <w:name w:val="header"/>
    <w:basedOn w:val="Normal"/>
    <w:link w:val="HeaderChar"/>
    <w:rsid w:val="003E3863"/>
    <w:pPr>
      <w:tabs>
        <w:tab w:val="center" w:pos="4536"/>
        <w:tab w:val="right" w:pos="9072"/>
      </w:tabs>
    </w:pPr>
    <w:rPr>
      <w:lang w:val="x-none" w:eastAsia="x-none"/>
    </w:rPr>
  </w:style>
  <w:style w:type="character" w:customStyle="1" w:styleId="HeaderChar">
    <w:name w:val="Header Char"/>
    <w:basedOn w:val="DefaultParagraphFont"/>
    <w:link w:val="Header"/>
    <w:rsid w:val="003E3863"/>
    <w:rPr>
      <w:rFonts w:ascii="Times New Roman" w:eastAsia="Times New Roman" w:hAnsi="Times New Roman" w:cs="Times New Roman"/>
      <w:sz w:val="24"/>
      <w:szCs w:val="24"/>
      <w:lang w:val="x-none" w:eastAsia="x-none"/>
    </w:rPr>
  </w:style>
  <w:style w:type="character" w:styleId="Strong">
    <w:name w:val="Strong"/>
    <w:uiPriority w:val="22"/>
    <w:qFormat/>
    <w:rsid w:val="003E3863"/>
    <w:rPr>
      <w:rFonts w:cs="Times New Roman"/>
      <w:b/>
    </w:rPr>
  </w:style>
  <w:style w:type="paragraph" w:customStyle="1" w:styleId="Body1">
    <w:name w:val="Body 1"/>
    <w:rsid w:val="003E3863"/>
    <w:pPr>
      <w:spacing w:after="0" w:line="240" w:lineRule="auto"/>
    </w:pPr>
    <w:rPr>
      <w:rFonts w:ascii="Helvetica" w:eastAsia="Arial Unicode MS" w:hAnsi="Helvetica" w:cs="Times New Roman"/>
      <w:color w:val="000000"/>
      <w:sz w:val="24"/>
      <w:szCs w:val="20"/>
      <w:lang w:eastAsia="en-GB"/>
    </w:rPr>
  </w:style>
  <w:style w:type="paragraph" w:customStyle="1" w:styleId="ColorfulList-Accent11">
    <w:name w:val="Colorful List - Accent 11"/>
    <w:basedOn w:val="Normal"/>
    <w:uiPriority w:val="34"/>
    <w:qFormat/>
    <w:rsid w:val="003E3863"/>
    <w:pPr>
      <w:ind w:left="720"/>
    </w:pPr>
    <w:rPr>
      <w:rFonts w:ascii="Calibri" w:eastAsia="Calibri" w:hAnsi="Calibri" w:cs="Calibri"/>
      <w:sz w:val="22"/>
      <w:szCs w:val="22"/>
      <w:lang w:eastAsia="en-US"/>
    </w:rPr>
  </w:style>
  <w:style w:type="character" w:customStyle="1" w:styleId="En-tte5">
    <w:name w:val="En-tête #5_"/>
    <w:link w:val="En-tte51"/>
    <w:uiPriority w:val="99"/>
    <w:rsid w:val="003E3863"/>
    <w:rPr>
      <w:b/>
      <w:bCs/>
      <w:sz w:val="21"/>
      <w:szCs w:val="21"/>
      <w:shd w:val="clear" w:color="auto" w:fill="FFFFFF"/>
    </w:rPr>
  </w:style>
  <w:style w:type="paragraph" w:customStyle="1" w:styleId="En-tte51">
    <w:name w:val="En-tête #51"/>
    <w:basedOn w:val="Normal"/>
    <w:link w:val="En-tte5"/>
    <w:uiPriority w:val="99"/>
    <w:rsid w:val="003E3863"/>
    <w:pPr>
      <w:widowControl w:val="0"/>
      <w:shd w:val="clear" w:color="auto" w:fill="FFFFFF"/>
      <w:spacing w:before="180" w:after="240" w:line="240" w:lineRule="atLeast"/>
      <w:jc w:val="both"/>
      <w:outlineLvl w:val="4"/>
    </w:pPr>
    <w:rPr>
      <w:rFonts w:asciiTheme="minorHAnsi" w:eastAsiaTheme="minorHAnsi" w:hAnsiTheme="minorHAnsi" w:cstheme="minorBidi"/>
      <w:b/>
      <w:bCs/>
      <w:sz w:val="21"/>
      <w:szCs w:val="21"/>
      <w:lang w:eastAsia="en-US"/>
    </w:rPr>
  </w:style>
  <w:style w:type="character" w:customStyle="1" w:styleId="Corpsdutexte">
    <w:name w:val="Corps du texte_"/>
    <w:link w:val="Corpsdutexte1"/>
    <w:uiPriority w:val="99"/>
    <w:rsid w:val="003E3863"/>
    <w:rPr>
      <w:i/>
      <w:iCs/>
      <w:sz w:val="21"/>
      <w:szCs w:val="21"/>
      <w:shd w:val="clear" w:color="auto" w:fill="FFFFFF"/>
    </w:rPr>
  </w:style>
  <w:style w:type="character" w:customStyle="1" w:styleId="En-tte3">
    <w:name w:val="En-tête #3_"/>
    <w:link w:val="En-tte31"/>
    <w:uiPriority w:val="99"/>
    <w:rsid w:val="003E3863"/>
    <w:rPr>
      <w:b/>
      <w:bCs/>
      <w:smallCaps/>
      <w:sz w:val="26"/>
      <w:szCs w:val="26"/>
      <w:shd w:val="clear" w:color="auto" w:fill="FFFFFF"/>
    </w:rPr>
  </w:style>
  <w:style w:type="paragraph" w:customStyle="1" w:styleId="Corpsdutexte1">
    <w:name w:val="Corps du texte1"/>
    <w:basedOn w:val="Normal"/>
    <w:link w:val="Corpsdutexte"/>
    <w:uiPriority w:val="99"/>
    <w:rsid w:val="003E3863"/>
    <w:pPr>
      <w:widowControl w:val="0"/>
      <w:shd w:val="clear" w:color="auto" w:fill="FFFFFF"/>
      <w:spacing w:line="250" w:lineRule="exact"/>
      <w:ind w:hanging="340"/>
      <w:jc w:val="both"/>
    </w:pPr>
    <w:rPr>
      <w:rFonts w:asciiTheme="minorHAnsi" w:eastAsiaTheme="minorHAnsi" w:hAnsiTheme="minorHAnsi" w:cstheme="minorBidi"/>
      <w:i/>
      <w:iCs/>
      <w:sz w:val="21"/>
      <w:szCs w:val="21"/>
      <w:lang w:eastAsia="en-US"/>
    </w:rPr>
  </w:style>
  <w:style w:type="paragraph" w:customStyle="1" w:styleId="En-tte31">
    <w:name w:val="En-tête #31"/>
    <w:basedOn w:val="Normal"/>
    <w:link w:val="En-tte3"/>
    <w:uiPriority w:val="99"/>
    <w:rsid w:val="003E3863"/>
    <w:pPr>
      <w:widowControl w:val="0"/>
      <w:shd w:val="clear" w:color="auto" w:fill="FFFFFF"/>
      <w:spacing w:before="720" w:line="250" w:lineRule="exact"/>
      <w:jc w:val="both"/>
      <w:outlineLvl w:val="2"/>
    </w:pPr>
    <w:rPr>
      <w:rFonts w:asciiTheme="minorHAnsi" w:eastAsiaTheme="minorHAnsi" w:hAnsiTheme="minorHAnsi" w:cstheme="minorBidi"/>
      <w:b/>
      <w:bCs/>
      <w:smallCaps/>
      <w:sz w:val="26"/>
      <w:szCs w:val="26"/>
      <w:lang w:eastAsia="en-US"/>
    </w:rPr>
  </w:style>
  <w:style w:type="paragraph" w:styleId="Caption">
    <w:name w:val="caption"/>
    <w:basedOn w:val="Normal"/>
    <w:next w:val="Normal"/>
    <w:unhideWhenUsed/>
    <w:qFormat/>
    <w:rsid w:val="003E3863"/>
    <w:rPr>
      <w:b/>
      <w:bCs/>
      <w:sz w:val="20"/>
      <w:szCs w:val="20"/>
    </w:rPr>
  </w:style>
  <w:style w:type="paragraph" w:customStyle="1" w:styleId="Default">
    <w:name w:val="Default"/>
    <w:rsid w:val="003E386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rsid w:val="003E3863"/>
    <w:pPr>
      <w:spacing w:after="360"/>
    </w:pPr>
  </w:style>
  <w:style w:type="character" w:customStyle="1" w:styleId="Corpsdutexte4">
    <w:name w:val="Corps du texte (4)_"/>
    <w:link w:val="Corpsdutexte41"/>
    <w:uiPriority w:val="99"/>
    <w:rsid w:val="003E3863"/>
    <w:rPr>
      <w:i/>
      <w:iCs/>
      <w:sz w:val="23"/>
      <w:szCs w:val="23"/>
      <w:shd w:val="clear" w:color="auto" w:fill="FFFFFF"/>
    </w:rPr>
  </w:style>
  <w:style w:type="character" w:customStyle="1" w:styleId="Corpsdutexte4NonItalique">
    <w:name w:val="Corps du texte (4) + Non Italique"/>
    <w:uiPriority w:val="99"/>
    <w:rsid w:val="003E3863"/>
    <w:rPr>
      <w:i w:val="0"/>
      <w:iCs w:val="0"/>
      <w:sz w:val="23"/>
      <w:szCs w:val="23"/>
      <w:shd w:val="clear" w:color="auto" w:fill="FFFFFF"/>
    </w:rPr>
  </w:style>
  <w:style w:type="character" w:customStyle="1" w:styleId="Corpsdutexte4NonItalique2">
    <w:name w:val="Corps du texte (4) + Non Italique2"/>
    <w:uiPriority w:val="99"/>
    <w:rsid w:val="003E3863"/>
    <w:rPr>
      <w:i w:val="0"/>
      <w:iCs w:val="0"/>
      <w:sz w:val="23"/>
      <w:szCs w:val="23"/>
      <w:shd w:val="clear" w:color="auto" w:fill="FFFFFF"/>
    </w:rPr>
  </w:style>
  <w:style w:type="character" w:customStyle="1" w:styleId="Corpsdutexte40">
    <w:name w:val="Corps du texte (4)"/>
    <w:uiPriority w:val="99"/>
    <w:rsid w:val="003E3863"/>
  </w:style>
  <w:style w:type="character" w:customStyle="1" w:styleId="Corpsdutexte6">
    <w:name w:val="Corps du texte6"/>
    <w:uiPriority w:val="99"/>
    <w:rsid w:val="003E3863"/>
  </w:style>
  <w:style w:type="character" w:customStyle="1" w:styleId="CorpsdutexteItalique">
    <w:name w:val="Corps du texte + Italique"/>
    <w:uiPriority w:val="99"/>
    <w:rsid w:val="003E3863"/>
    <w:rPr>
      <w:i/>
      <w:iCs/>
      <w:sz w:val="23"/>
      <w:szCs w:val="23"/>
      <w:shd w:val="clear" w:color="auto" w:fill="FFFFFF"/>
    </w:rPr>
  </w:style>
  <w:style w:type="paragraph" w:customStyle="1" w:styleId="Corpsdutexte41">
    <w:name w:val="Corps du texte (4)1"/>
    <w:basedOn w:val="Normal"/>
    <w:link w:val="Corpsdutexte4"/>
    <w:uiPriority w:val="99"/>
    <w:rsid w:val="003E3863"/>
    <w:pPr>
      <w:widowControl w:val="0"/>
      <w:shd w:val="clear" w:color="auto" w:fill="FFFFFF"/>
      <w:spacing w:before="300" w:after="240" w:line="274" w:lineRule="exact"/>
      <w:jc w:val="both"/>
    </w:pPr>
    <w:rPr>
      <w:rFonts w:asciiTheme="minorHAnsi" w:eastAsiaTheme="minorHAnsi" w:hAnsiTheme="minorHAnsi" w:cstheme="minorBidi"/>
      <w:i/>
      <w:iCs/>
      <w:sz w:val="23"/>
      <w:szCs w:val="23"/>
      <w:lang w:eastAsia="en-US"/>
    </w:rPr>
  </w:style>
  <w:style w:type="paragraph" w:customStyle="1" w:styleId="EIP">
    <w:name w:val="EIP"/>
    <w:basedOn w:val="Normal"/>
    <w:link w:val="EIPChar"/>
    <w:autoRedefine/>
    <w:qFormat/>
    <w:rsid w:val="003E3863"/>
    <w:pPr>
      <w:autoSpaceDE w:val="0"/>
      <w:autoSpaceDN w:val="0"/>
      <w:adjustRightInd w:val="0"/>
      <w:spacing w:before="120" w:after="60"/>
      <w:jc w:val="both"/>
    </w:pPr>
    <w:rPr>
      <w:b/>
      <w:bCs/>
      <w:lang w:val="en-US" w:eastAsia="fr-FR"/>
    </w:rPr>
  </w:style>
  <w:style w:type="character" w:customStyle="1" w:styleId="EIPChar">
    <w:name w:val="EIP Char"/>
    <w:link w:val="EIP"/>
    <w:rsid w:val="003E3863"/>
    <w:rPr>
      <w:rFonts w:ascii="Times New Roman" w:eastAsia="Times New Roman" w:hAnsi="Times New Roman" w:cs="Times New Roman"/>
      <w:b/>
      <w:bCs/>
      <w:sz w:val="24"/>
      <w:szCs w:val="24"/>
      <w:lang w:val="en-US" w:eastAsia="fr-FR"/>
    </w:rPr>
  </w:style>
  <w:style w:type="paragraph" w:styleId="TOCHeading">
    <w:name w:val="TOC Heading"/>
    <w:basedOn w:val="Heading1"/>
    <w:next w:val="Normal"/>
    <w:uiPriority w:val="39"/>
    <w:semiHidden/>
    <w:unhideWhenUsed/>
    <w:qFormat/>
    <w:rsid w:val="003E3863"/>
    <w:pPr>
      <w:keepLines/>
      <w:spacing w:before="480" w:line="276" w:lineRule="auto"/>
      <w:outlineLvl w:val="9"/>
    </w:pPr>
    <w:rPr>
      <w:rFonts w:ascii="Cambria" w:eastAsia="MS Gothic" w:hAnsi="Cambria"/>
      <w:bCs w:val="0"/>
      <w:smallCaps w:val="0"/>
      <w:color w:val="365F91"/>
      <w:szCs w:val="28"/>
      <w:lang w:val="en-US" w:eastAsia="ja-JP"/>
    </w:rPr>
  </w:style>
  <w:style w:type="paragraph" w:styleId="TOC3">
    <w:name w:val="toc 3"/>
    <w:basedOn w:val="Normal"/>
    <w:next w:val="Normal"/>
    <w:autoRedefine/>
    <w:uiPriority w:val="39"/>
    <w:unhideWhenUsed/>
    <w:qFormat/>
    <w:rsid w:val="003E386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3E386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E386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E386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E386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E386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E3863"/>
    <w:pPr>
      <w:spacing w:after="100" w:line="276" w:lineRule="auto"/>
      <w:ind w:left="1760"/>
    </w:pPr>
    <w:rPr>
      <w:rFonts w:ascii="Calibri" w:hAnsi="Calibri"/>
      <w:sz w:val="22"/>
      <w:szCs w:val="22"/>
    </w:rPr>
  </w:style>
  <w:style w:type="character" w:customStyle="1" w:styleId="Corpsdutexte4Exact">
    <w:name w:val="Corps du texte (4) Exact"/>
    <w:uiPriority w:val="99"/>
    <w:rsid w:val="003E3863"/>
    <w:rPr>
      <w:spacing w:val="2"/>
      <w:sz w:val="19"/>
      <w:szCs w:val="19"/>
      <w:u w:val="none"/>
    </w:rPr>
  </w:style>
  <w:style w:type="character" w:customStyle="1" w:styleId="En-tte50">
    <w:name w:val="En-tête #5"/>
    <w:uiPriority w:val="99"/>
    <w:rsid w:val="003E3863"/>
    <w:rPr>
      <w:b/>
      <w:bCs/>
      <w:sz w:val="21"/>
      <w:szCs w:val="21"/>
      <w:u w:val="single"/>
      <w:shd w:val="clear" w:color="auto" w:fill="FFFFFF"/>
    </w:rPr>
  </w:style>
  <w:style w:type="character" w:customStyle="1" w:styleId="CorpsdutexteGras">
    <w:name w:val="Corps du texte + Gras"/>
    <w:uiPriority w:val="99"/>
    <w:rsid w:val="003E3863"/>
    <w:rPr>
      <w:b/>
      <w:bCs/>
      <w:i/>
      <w:iCs/>
      <w:sz w:val="21"/>
      <w:szCs w:val="21"/>
      <w:u w:val="none"/>
      <w:shd w:val="clear" w:color="auto" w:fill="FFFFFF"/>
    </w:rPr>
  </w:style>
  <w:style w:type="character" w:customStyle="1" w:styleId="CorpsdutexteGras1">
    <w:name w:val="Corps du texte + Gras1"/>
    <w:uiPriority w:val="99"/>
    <w:rsid w:val="003E3863"/>
    <w:rPr>
      <w:b/>
      <w:bCs/>
      <w:i/>
      <w:iCs/>
      <w:sz w:val="21"/>
      <w:szCs w:val="21"/>
      <w:u w:val="none"/>
      <w:shd w:val="clear" w:color="auto" w:fill="FFFFFF"/>
    </w:rPr>
  </w:style>
  <w:style w:type="character" w:customStyle="1" w:styleId="Corpsdutexte2">
    <w:name w:val="Corps du texte2"/>
    <w:uiPriority w:val="99"/>
    <w:rsid w:val="003E3863"/>
    <w:rPr>
      <w:i/>
      <w:iCs/>
      <w:sz w:val="21"/>
      <w:szCs w:val="21"/>
      <w:u w:val="single"/>
      <w:shd w:val="clear" w:color="auto" w:fill="FFFFFF"/>
    </w:rPr>
  </w:style>
  <w:style w:type="character" w:customStyle="1" w:styleId="En-tte30">
    <w:name w:val="En-tête #3"/>
    <w:uiPriority w:val="99"/>
    <w:rsid w:val="003E3863"/>
    <w:rPr>
      <w:b/>
      <w:bCs/>
      <w:smallCaps/>
      <w:sz w:val="26"/>
      <w:szCs w:val="26"/>
      <w:u w:val="single"/>
      <w:shd w:val="clear" w:color="auto" w:fill="FFFFFF"/>
    </w:rPr>
  </w:style>
  <w:style w:type="character" w:customStyle="1" w:styleId="En-tte2">
    <w:name w:val="En-tête #2_"/>
    <w:link w:val="En-tte21"/>
    <w:uiPriority w:val="99"/>
    <w:rsid w:val="003E3863"/>
    <w:rPr>
      <w:b/>
      <w:bCs/>
      <w:smallCaps/>
      <w:sz w:val="30"/>
      <w:szCs w:val="30"/>
      <w:shd w:val="clear" w:color="auto" w:fill="FFFFFF"/>
    </w:rPr>
  </w:style>
  <w:style w:type="character" w:customStyle="1" w:styleId="En-tte20">
    <w:name w:val="En-tête #2"/>
    <w:uiPriority w:val="99"/>
    <w:rsid w:val="003E3863"/>
    <w:rPr>
      <w:b/>
      <w:bCs/>
      <w:smallCaps/>
      <w:sz w:val="30"/>
      <w:szCs w:val="30"/>
      <w:u w:val="single"/>
    </w:rPr>
  </w:style>
  <w:style w:type="paragraph" w:customStyle="1" w:styleId="En-tte21">
    <w:name w:val="En-tête #21"/>
    <w:basedOn w:val="Normal"/>
    <w:link w:val="En-tte2"/>
    <w:uiPriority w:val="99"/>
    <w:rsid w:val="003E3863"/>
    <w:pPr>
      <w:widowControl w:val="0"/>
      <w:shd w:val="clear" w:color="auto" w:fill="FFFFFF"/>
      <w:spacing w:before="720" w:after="60" w:line="240" w:lineRule="atLeast"/>
      <w:jc w:val="both"/>
      <w:outlineLvl w:val="1"/>
    </w:pPr>
    <w:rPr>
      <w:rFonts w:asciiTheme="minorHAnsi" w:eastAsiaTheme="minorHAnsi" w:hAnsiTheme="minorHAnsi" w:cstheme="minorBidi"/>
      <w:b/>
      <w:bCs/>
      <w:smallCaps/>
      <w:sz w:val="30"/>
      <w:szCs w:val="30"/>
      <w:lang w:eastAsia="en-US"/>
    </w:rPr>
  </w:style>
  <w:style w:type="paragraph" w:styleId="ListParagraph">
    <w:name w:val="List Paragraph"/>
    <w:basedOn w:val="Normal"/>
    <w:uiPriority w:val="34"/>
    <w:qFormat/>
    <w:rsid w:val="003E3863"/>
    <w:pPr>
      <w:widowControl w:val="0"/>
      <w:ind w:left="720"/>
      <w:contextualSpacing/>
    </w:pPr>
    <w:rPr>
      <w:color w:val="000000"/>
      <w:lang w:val="en-US" w:eastAsia="en-US"/>
    </w:rPr>
  </w:style>
  <w:style w:type="paragraph" w:styleId="Revision">
    <w:name w:val="Revision"/>
    <w:hidden/>
    <w:uiPriority w:val="99"/>
    <w:semiHidden/>
    <w:rsid w:val="003E3863"/>
    <w:pPr>
      <w:spacing w:after="0"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3E3863"/>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3E3863"/>
    <w:rPr>
      <w:rFonts w:ascii="Calibri" w:eastAsia="Calibri" w:hAnsi="Calibri" w:cs="Times New Roman"/>
      <w:sz w:val="20"/>
      <w:szCs w:val="20"/>
    </w:rPr>
  </w:style>
  <w:style w:type="character" w:styleId="EndnoteReference">
    <w:name w:val="endnote reference"/>
    <w:uiPriority w:val="99"/>
    <w:unhideWhenUsed/>
    <w:rsid w:val="003E3863"/>
    <w:rPr>
      <w:vertAlign w:val="superscript"/>
    </w:rPr>
  </w:style>
  <w:style w:type="paragraph" w:customStyle="1" w:styleId="Briefingtext">
    <w:name w:val="Briefing text"/>
    <w:basedOn w:val="Normal"/>
    <w:link w:val="BriefingtextChar"/>
    <w:rsid w:val="003E3863"/>
    <w:pPr>
      <w:spacing w:after="240"/>
      <w:jc w:val="both"/>
    </w:pPr>
    <w:rPr>
      <w:rFonts w:ascii="Arial" w:hAnsi="Arial" w:cs="Arial"/>
      <w:sz w:val="22"/>
      <w:lang w:eastAsia="en-US"/>
    </w:rPr>
  </w:style>
  <w:style w:type="character" w:customStyle="1" w:styleId="BriefingtextChar">
    <w:name w:val="Briefing text Char"/>
    <w:link w:val="Briefingtext"/>
    <w:rsid w:val="003E3863"/>
    <w:rPr>
      <w:rFonts w:ascii="Arial" w:eastAsia="Times New Roman" w:hAnsi="Arial" w:cs="Arial"/>
      <w:szCs w:val="24"/>
    </w:rPr>
  </w:style>
  <w:style w:type="paragraph" w:customStyle="1" w:styleId="CM1">
    <w:name w:val="CM1"/>
    <w:basedOn w:val="Default"/>
    <w:next w:val="Default"/>
    <w:uiPriority w:val="99"/>
    <w:rsid w:val="00B74BE4"/>
    <w:rPr>
      <w:rFonts w:ascii="EUAlbertina" w:eastAsiaTheme="minorHAnsi" w:hAnsi="EUAlbertina" w:cstheme="minorBidi"/>
      <w:color w:val="auto"/>
      <w:lang w:val="es-ES_tradnl" w:eastAsia="en-US"/>
    </w:rPr>
  </w:style>
  <w:style w:type="paragraph" w:customStyle="1" w:styleId="CM3">
    <w:name w:val="CM3"/>
    <w:basedOn w:val="Default"/>
    <w:next w:val="Default"/>
    <w:uiPriority w:val="99"/>
    <w:rsid w:val="00B74BE4"/>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B74BE4"/>
    <w:rPr>
      <w:rFonts w:ascii="EUAlbertina" w:eastAsiaTheme="minorHAnsi" w:hAnsi="EUAlbertina" w:cstheme="minorBidi"/>
      <w:color w:val="auto"/>
      <w:lang w:val="es-ES_tradnl" w:eastAsia="en-US"/>
    </w:rPr>
  </w:style>
  <w:style w:type="paragraph" w:customStyle="1" w:styleId="default0">
    <w:name w:val="default"/>
    <w:basedOn w:val="Normal"/>
    <w:uiPriority w:val="99"/>
    <w:semiHidden/>
    <w:rsid w:val="00CE09F2"/>
    <w:pPr>
      <w:spacing w:before="100" w:beforeAutospacing="1" w:after="100" w:afterAutospacing="1"/>
    </w:pPr>
    <w:rPr>
      <w:rFonts w:eastAsiaTheme="minorHAnsi"/>
      <w:lang w:val="es-ES_tradnl" w:eastAsia="es-ES_tradnl"/>
    </w:rPr>
  </w:style>
  <w:style w:type="character" w:customStyle="1" w:styleId="timark5">
    <w:name w:val="timark5"/>
    <w:basedOn w:val="DefaultParagraphFont"/>
    <w:rsid w:val="00434B78"/>
    <w:rPr>
      <w:b/>
      <w:bCs/>
      <w:vanish w:val="0"/>
      <w:webHidden w:val="0"/>
      <w:specVanish w:val="0"/>
    </w:rPr>
  </w:style>
  <w:style w:type="character" w:customStyle="1" w:styleId="calendarnode">
    <w:name w:val="calendar_node"/>
    <w:basedOn w:val="DefaultParagraphFont"/>
    <w:rsid w:val="00170B18"/>
  </w:style>
  <w:style w:type="paragraph" w:customStyle="1" w:styleId="PStableamount">
    <w:name w:val="PS_table_amount"/>
    <w:basedOn w:val="Normal"/>
    <w:rsid w:val="00E64727"/>
    <w:pPr>
      <w:jc w:val="right"/>
    </w:pPr>
    <w:rPr>
      <w:sz w:val="18"/>
      <w:szCs w:val="20"/>
    </w:rPr>
  </w:style>
  <w:style w:type="character" w:customStyle="1" w:styleId="Marker">
    <w:name w:val="Marker"/>
    <w:basedOn w:val="DefaultParagraphFont"/>
    <w:rsid w:val="00EC6F9B"/>
    <w:rPr>
      <w:color w:val="0000FF"/>
      <w:shd w:val="clear" w:color="auto" w:fill="auto"/>
    </w:rPr>
  </w:style>
  <w:style w:type="paragraph" w:customStyle="1" w:styleId="Pagedecouverture">
    <w:name w:val="Page de couverture"/>
    <w:basedOn w:val="Normal"/>
    <w:next w:val="Normal"/>
    <w:rsid w:val="00EC6F9B"/>
    <w:pPr>
      <w:jc w:val="both"/>
    </w:pPr>
    <w:rPr>
      <w:rFonts w:eastAsiaTheme="minorHAnsi"/>
      <w:szCs w:val="22"/>
      <w:lang w:eastAsia="en-US"/>
    </w:rPr>
  </w:style>
  <w:style w:type="paragraph" w:customStyle="1" w:styleId="FooterCoverPage">
    <w:name w:val="Footer Cover Page"/>
    <w:basedOn w:val="Normal"/>
    <w:link w:val="FooterCoverPageChar"/>
    <w:rsid w:val="00EC6F9B"/>
    <w:pPr>
      <w:widowControl w:val="0"/>
      <w:tabs>
        <w:tab w:val="center" w:pos="4535"/>
        <w:tab w:val="right" w:pos="9071"/>
        <w:tab w:val="right" w:pos="9921"/>
      </w:tabs>
      <w:autoSpaceDE w:val="0"/>
      <w:autoSpaceDN w:val="0"/>
      <w:adjustRightInd w:val="0"/>
      <w:spacing w:before="360"/>
      <w:ind w:left="-850" w:right="-850"/>
    </w:pPr>
  </w:style>
  <w:style w:type="character" w:customStyle="1" w:styleId="FooterCoverPageChar">
    <w:name w:val="Footer Cover Page Char"/>
    <w:basedOn w:val="DefaultParagraphFont"/>
    <w:link w:val="FooterCoverPage"/>
    <w:rsid w:val="00EC6F9B"/>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rsid w:val="00EC6F9B"/>
    <w:pPr>
      <w:widowControl w:val="0"/>
      <w:tabs>
        <w:tab w:val="center" w:pos="4535"/>
        <w:tab w:val="right" w:pos="9071"/>
      </w:tabs>
      <w:autoSpaceDE w:val="0"/>
      <w:autoSpaceDN w:val="0"/>
      <w:adjustRightInd w:val="0"/>
      <w:spacing w:after="120"/>
      <w:jc w:val="both"/>
    </w:pPr>
  </w:style>
  <w:style w:type="character" w:customStyle="1" w:styleId="HeaderCoverPageChar">
    <w:name w:val="Header Cover Page Char"/>
    <w:basedOn w:val="DefaultParagraphFont"/>
    <w:link w:val="HeaderCoverPage"/>
    <w:rsid w:val="00EC6F9B"/>
    <w:rPr>
      <w:rFonts w:ascii="Times New Roman" w:eastAsia="Times New Roman" w:hAnsi="Times New Roman" w:cs="Times New Roman"/>
      <w:sz w:val="24"/>
      <w:szCs w:val="24"/>
      <w:lang w:eastAsia="en-GB"/>
    </w:rPr>
  </w:style>
  <w:style w:type="paragraph" w:customStyle="1" w:styleId="BVIfnrCarCarCarCarCharCharCharChar">
    <w:name w:val="BVI fnr Car Car Car Car Char Char Char Char"/>
    <w:basedOn w:val="Normal"/>
    <w:link w:val="FootnoteReference"/>
    <w:uiPriority w:val="99"/>
    <w:rsid w:val="0016705A"/>
    <w:pPr>
      <w:spacing w:after="160" w:line="240" w:lineRule="exac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9652">
      <w:bodyDiv w:val="1"/>
      <w:marLeft w:val="0"/>
      <w:marRight w:val="0"/>
      <w:marTop w:val="0"/>
      <w:marBottom w:val="0"/>
      <w:divBdr>
        <w:top w:val="none" w:sz="0" w:space="0" w:color="auto"/>
        <w:left w:val="none" w:sz="0" w:space="0" w:color="auto"/>
        <w:bottom w:val="none" w:sz="0" w:space="0" w:color="auto"/>
        <w:right w:val="none" w:sz="0" w:space="0" w:color="auto"/>
      </w:divBdr>
    </w:div>
    <w:div w:id="91321430">
      <w:bodyDiv w:val="1"/>
      <w:marLeft w:val="0"/>
      <w:marRight w:val="0"/>
      <w:marTop w:val="0"/>
      <w:marBottom w:val="0"/>
      <w:divBdr>
        <w:top w:val="none" w:sz="0" w:space="0" w:color="auto"/>
        <w:left w:val="none" w:sz="0" w:space="0" w:color="auto"/>
        <w:bottom w:val="none" w:sz="0" w:space="0" w:color="auto"/>
        <w:right w:val="none" w:sz="0" w:space="0" w:color="auto"/>
      </w:divBdr>
      <w:divsChild>
        <w:div w:id="53895772">
          <w:marLeft w:val="0"/>
          <w:marRight w:val="0"/>
          <w:marTop w:val="0"/>
          <w:marBottom w:val="0"/>
          <w:divBdr>
            <w:top w:val="none" w:sz="0" w:space="0" w:color="auto"/>
            <w:left w:val="none" w:sz="0" w:space="0" w:color="auto"/>
            <w:bottom w:val="none" w:sz="0" w:space="0" w:color="auto"/>
            <w:right w:val="none" w:sz="0" w:space="0" w:color="auto"/>
          </w:divBdr>
          <w:divsChild>
            <w:div w:id="10862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3189">
      <w:bodyDiv w:val="1"/>
      <w:marLeft w:val="0"/>
      <w:marRight w:val="0"/>
      <w:marTop w:val="0"/>
      <w:marBottom w:val="0"/>
      <w:divBdr>
        <w:top w:val="none" w:sz="0" w:space="0" w:color="auto"/>
        <w:left w:val="none" w:sz="0" w:space="0" w:color="auto"/>
        <w:bottom w:val="none" w:sz="0" w:space="0" w:color="auto"/>
        <w:right w:val="none" w:sz="0" w:space="0" w:color="auto"/>
      </w:divBdr>
    </w:div>
    <w:div w:id="208609829">
      <w:bodyDiv w:val="1"/>
      <w:marLeft w:val="0"/>
      <w:marRight w:val="0"/>
      <w:marTop w:val="0"/>
      <w:marBottom w:val="0"/>
      <w:divBdr>
        <w:top w:val="none" w:sz="0" w:space="0" w:color="auto"/>
        <w:left w:val="none" w:sz="0" w:space="0" w:color="auto"/>
        <w:bottom w:val="none" w:sz="0" w:space="0" w:color="auto"/>
        <w:right w:val="none" w:sz="0" w:space="0" w:color="auto"/>
      </w:divBdr>
      <w:divsChild>
        <w:div w:id="1262303183">
          <w:marLeft w:val="0"/>
          <w:marRight w:val="0"/>
          <w:marTop w:val="0"/>
          <w:marBottom w:val="0"/>
          <w:divBdr>
            <w:top w:val="none" w:sz="0" w:space="0" w:color="auto"/>
            <w:left w:val="none" w:sz="0" w:space="0" w:color="auto"/>
            <w:bottom w:val="none" w:sz="0" w:space="0" w:color="auto"/>
            <w:right w:val="none" w:sz="0" w:space="0" w:color="auto"/>
          </w:divBdr>
          <w:divsChild>
            <w:div w:id="105975747">
              <w:marLeft w:val="0"/>
              <w:marRight w:val="0"/>
              <w:marTop w:val="0"/>
              <w:marBottom w:val="0"/>
              <w:divBdr>
                <w:top w:val="none" w:sz="0" w:space="0" w:color="auto"/>
                <w:left w:val="none" w:sz="0" w:space="0" w:color="auto"/>
                <w:bottom w:val="none" w:sz="0" w:space="0" w:color="auto"/>
                <w:right w:val="none" w:sz="0" w:space="0" w:color="auto"/>
              </w:divBdr>
              <w:divsChild>
                <w:div w:id="1289164945">
                  <w:marLeft w:val="0"/>
                  <w:marRight w:val="0"/>
                  <w:marTop w:val="0"/>
                  <w:marBottom w:val="300"/>
                  <w:divBdr>
                    <w:top w:val="none" w:sz="0" w:space="0" w:color="auto"/>
                    <w:left w:val="none" w:sz="0" w:space="0" w:color="auto"/>
                    <w:bottom w:val="none" w:sz="0" w:space="0" w:color="auto"/>
                    <w:right w:val="none" w:sz="0" w:space="0" w:color="auto"/>
                  </w:divBdr>
                  <w:divsChild>
                    <w:div w:id="1934586083">
                      <w:marLeft w:val="0"/>
                      <w:marRight w:val="0"/>
                      <w:marTop w:val="0"/>
                      <w:marBottom w:val="0"/>
                      <w:divBdr>
                        <w:top w:val="none" w:sz="0" w:space="0" w:color="auto"/>
                        <w:left w:val="none" w:sz="0" w:space="0" w:color="auto"/>
                        <w:bottom w:val="none" w:sz="0" w:space="0" w:color="auto"/>
                        <w:right w:val="none" w:sz="0" w:space="0" w:color="auto"/>
                      </w:divBdr>
                      <w:divsChild>
                        <w:div w:id="2091998331">
                          <w:marLeft w:val="0"/>
                          <w:marRight w:val="0"/>
                          <w:marTop w:val="0"/>
                          <w:marBottom w:val="0"/>
                          <w:divBdr>
                            <w:top w:val="none" w:sz="0" w:space="0" w:color="auto"/>
                            <w:left w:val="none" w:sz="0" w:space="0" w:color="auto"/>
                            <w:bottom w:val="none" w:sz="0" w:space="0" w:color="auto"/>
                            <w:right w:val="none" w:sz="0" w:space="0" w:color="auto"/>
                          </w:divBdr>
                          <w:divsChild>
                            <w:div w:id="2094861880">
                              <w:marLeft w:val="0"/>
                              <w:marRight w:val="0"/>
                              <w:marTop w:val="0"/>
                              <w:marBottom w:val="0"/>
                              <w:divBdr>
                                <w:top w:val="none" w:sz="0" w:space="0" w:color="auto"/>
                                <w:left w:val="none" w:sz="0" w:space="0" w:color="auto"/>
                                <w:bottom w:val="none" w:sz="0" w:space="0" w:color="auto"/>
                                <w:right w:val="none" w:sz="0" w:space="0" w:color="auto"/>
                              </w:divBdr>
                              <w:divsChild>
                                <w:div w:id="1796217988">
                                  <w:marLeft w:val="0"/>
                                  <w:marRight w:val="0"/>
                                  <w:marTop w:val="0"/>
                                  <w:marBottom w:val="0"/>
                                  <w:divBdr>
                                    <w:top w:val="none" w:sz="0" w:space="0" w:color="auto"/>
                                    <w:left w:val="none" w:sz="0" w:space="0" w:color="auto"/>
                                    <w:bottom w:val="none" w:sz="0" w:space="0" w:color="auto"/>
                                    <w:right w:val="none" w:sz="0" w:space="0" w:color="auto"/>
                                  </w:divBdr>
                                  <w:divsChild>
                                    <w:div w:id="88543796">
                                      <w:marLeft w:val="0"/>
                                      <w:marRight w:val="0"/>
                                      <w:marTop w:val="0"/>
                                      <w:marBottom w:val="0"/>
                                      <w:divBdr>
                                        <w:top w:val="none" w:sz="0" w:space="0" w:color="auto"/>
                                        <w:left w:val="none" w:sz="0" w:space="0" w:color="auto"/>
                                        <w:bottom w:val="none" w:sz="0" w:space="0" w:color="auto"/>
                                        <w:right w:val="none" w:sz="0" w:space="0" w:color="auto"/>
                                      </w:divBdr>
                                      <w:divsChild>
                                        <w:div w:id="2013757182">
                                          <w:marLeft w:val="0"/>
                                          <w:marRight w:val="0"/>
                                          <w:marTop w:val="0"/>
                                          <w:marBottom w:val="0"/>
                                          <w:divBdr>
                                            <w:top w:val="none" w:sz="0" w:space="0" w:color="auto"/>
                                            <w:left w:val="none" w:sz="0" w:space="0" w:color="auto"/>
                                            <w:bottom w:val="none" w:sz="0" w:space="0" w:color="auto"/>
                                            <w:right w:val="none" w:sz="0" w:space="0" w:color="auto"/>
                                          </w:divBdr>
                                          <w:divsChild>
                                            <w:div w:id="1640459244">
                                              <w:marLeft w:val="0"/>
                                              <w:marRight w:val="0"/>
                                              <w:marTop w:val="0"/>
                                              <w:marBottom w:val="0"/>
                                              <w:divBdr>
                                                <w:top w:val="none" w:sz="0" w:space="0" w:color="auto"/>
                                                <w:left w:val="none" w:sz="0" w:space="0" w:color="auto"/>
                                                <w:bottom w:val="none" w:sz="0" w:space="0" w:color="auto"/>
                                                <w:right w:val="none" w:sz="0" w:space="0" w:color="auto"/>
                                              </w:divBdr>
                                              <w:divsChild>
                                                <w:div w:id="461576927">
                                                  <w:marLeft w:val="0"/>
                                                  <w:marRight w:val="0"/>
                                                  <w:marTop w:val="0"/>
                                                  <w:marBottom w:val="0"/>
                                                  <w:divBdr>
                                                    <w:top w:val="none" w:sz="0" w:space="0" w:color="auto"/>
                                                    <w:left w:val="none" w:sz="0" w:space="0" w:color="auto"/>
                                                    <w:bottom w:val="none" w:sz="0" w:space="0" w:color="auto"/>
                                                    <w:right w:val="none" w:sz="0" w:space="0" w:color="auto"/>
                                                  </w:divBdr>
                                                  <w:divsChild>
                                                    <w:div w:id="3059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3758968">
      <w:bodyDiv w:val="1"/>
      <w:marLeft w:val="0"/>
      <w:marRight w:val="0"/>
      <w:marTop w:val="0"/>
      <w:marBottom w:val="0"/>
      <w:divBdr>
        <w:top w:val="none" w:sz="0" w:space="0" w:color="auto"/>
        <w:left w:val="none" w:sz="0" w:space="0" w:color="auto"/>
        <w:bottom w:val="none" w:sz="0" w:space="0" w:color="auto"/>
        <w:right w:val="none" w:sz="0" w:space="0" w:color="auto"/>
      </w:divBdr>
    </w:div>
    <w:div w:id="340352646">
      <w:bodyDiv w:val="1"/>
      <w:marLeft w:val="0"/>
      <w:marRight w:val="0"/>
      <w:marTop w:val="0"/>
      <w:marBottom w:val="0"/>
      <w:divBdr>
        <w:top w:val="none" w:sz="0" w:space="0" w:color="auto"/>
        <w:left w:val="none" w:sz="0" w:space="0" w:color="auto"/>
        <w:bottom w:val="none" w:sz="0" w:space="0" w:color="auto"/>
        <w:right w:val="none" w:sz="0" w:space="0" w:color="auto"/>
      </w:divBdr>
    </w:div>
    <w:div w:id="505368729">
      <w:bodyDiv w:val="1"/>
      <w:marLeft w:val="0"/>
      <w:marRight w:val="0"/>
      <w:marTop w:val="0"/>
      <w:marBottom w:val="0"/>
      <w:divBdr>
        <w:top w:val="none" w:sz="0" w:space="0" w:color="auto"/>
        <w:left w:val="none" w:sz="0" w:space="0" w:color="auto"/>
        <w:bottom w:val="none" w:sz="0" w:space="0" w:color="auto"/>
        <w:right w:val="none" w:sz="0" w:space="0" w:color="auto"/>
      </w:divBdr>
    </w:div>
    <w:div w:id="529683735">
      <w:bodyDiv w:val="1"/>
      <w:marLeft w:val="0"/>
      <w:marRight w:val="0"/>
      <w:marTop w:val="0"/>
      <w:marBottom w:val="0"/>
      <w:divBdr>
        <w:top w:val="none" w:sz="0" w:space="0" w:color="auto"/>
        <w:left w:val="none" w:sz="0" w:space="0" w:color="auto"/>
        <w:bottom w:val="none" w:sz="0" w:space="0" w:color="auto"/>
        <w:right w:val="none" w:sz="0" w:space="0" w:color="auto"/>
      </w:divBdr>
    </w:div>
    <w:div w:id="609513412">
      <w:bodyDiv w:val="1"/>
      <w:marLeft w:val="0"/>
      <w:marRight w:val="0"/>
      <w:marTop w:val="0"/>
      <w:marBottom w:val="0"/>
      <w:divBdr>
        <w:top w:val="none" w:sz="0" w:space="0" w:color="auto"/>
        <w:left w:val="none" w:sz="0" w:space="0" w:color="auto"/>
        <w:bottom w:val="none" w:sz="0" w:space="0" w:color="auto"/>
        <w:right w:val="none" w:sz="0" w:space="0" w:color="auto"/>
      </w:divBdr>
    </w:div>
    <w:div w:id="615988118">
      <w:bodyDiv w:val="1"/>
      <w:marLeft w:val="0"/>
      <w:marRight w:val="0"/>
      <w:marTop w:val="0"/>
      <w:marBottom w:val="0"/>
      <w:divBdr>
        <w:top w:val="none" w:sz="0" w:space="0" w:color="auto"/>
        <w:left w:val="none" w:sz="0" w:space="0" w:color="auto"/>
        <w:bottom w:val="none" w:sz="0" w:space="0" w:color="auto"/>
        <w:right w:val="none" w:sz="0" w:space="0" w:color="auto"/>
      </w:divBdr>
    </w:div>
    <w:div w:id="679357267">
      <w:bodyDiv w:val="1"/>
      <w:marLeft w:val="0"/>
      <w:marRight w:val="0"/>
      <w:marTop w:val="0"/>
      <w:marBottom w:val="0"/>
      <w:divBdr>
        <w:top w:val="none" w:sz="0" w:space="0" w:color="auto"/>
        <w:left w:val="none" w:sz="0" w:space="0" w:color="auto"/>
        <w:bottom w:val="none" w:sz="0" w:space="0" w:color="auto"/>
        <w:right w:val="none" w:sz="0" w:space="0" w:color="auto"/>
      </w:divBdr>
    </w:div>
    <w:div w:id="823660574">
      <w:bodyDiv w:val="1"/>
      <w:marLeft w:val="0"/>
      <w:marRight w:val="0"/>
      <w:marTop w:val="0"/>
      <w:marBottom w:val="0"/>
      <w:divBdr>
        <w:top w:val="none" w:sz="0" w:space="0" w:color="auto"/>
        <w:left w:val="none" w:sz="0" w:space="0" w:color="auto"/>
        <w:bottom w:val="none" w:sz="0" w:space="0" w:color="auto"/>
        <w:right w:val="none" w:sz="0" w:space="0" w:color="auto"/>
      </w:divBdr>
      <w:divsChild>
        <w:div w:id="54470256">
          <w:marLeft w:val="0"/>
          <w:marRight w:val="0"/>
          <w:marTop w:val="0"/>
          <w:marBottom w:val="0"/>
          <w:divBdr>
            <w:top w:val="none" w:sz="0" w:space="0" w:color="auto"/>
            <w:left w:val="none" w:sz="0" w:space="0" w:color="auto"/>
            <w:bottom w:val="none" w:sz="0" w:space="0" w:color="auto"/>
            <w:right w:val="none" w:sz="0" w:space="0" w:color="auto"/>
          </w:divBdr>
          <w:divsChild>
            <w:div w:id="1864200757">
              <w:marLeft w:val="3030"/>
              <w:marRight w:val="225"/>
              <w:marTop w:val="0"/>
              <w:marBottom w:val="300"/>
              <w:divBdr>
                <w:top w:val="none" w:sz="0" w:space="0" w:color="auto"/>
                <w:left w:val="none" w:sz="0" w:space="0" w:color="auto"/>
                <w:bottom w:val="none" w:sz="0" w:space="0" w:color="auto"/>
                <w:right w:val="none" w:sz="0" w:space="0" w:color="auto"/>
              </w:divBdr>
              <w:divsChild>
                <w:div w:id="1355182781">
                  <w:marLeft w:val="0"/>
                  <w:marRight w:val="0"/>
                  <w:marTop w:val="0"/>
                  <w:marBottom w:val="0"/>
                  <w:divBdr>
                    <w:top w:val="none" w:sz="0" w:space="0" w:color="auto"/>
                    <w:left w:val="single" w:sz="6" w:space="0" w:color="000000"/>
                    <w:bottom w:val="single" w:sz="6" w:space="0" w:color="000000"/>
                    <w:right w:val="single" w:sz="6" w:space="0" w:color="000000"/>
                  </w:divBdr>
                  <w:divsChild>
                    <w:div w:id="397245210">
                      <w:marLeft w:val="0"/>
                      <w:marRight w:val="0"/>
                      <w:marTop w:val="0"/>
                      <w:marBottom w:val="300"/>
                      <w:divBdr>
                        <w:top w:val="none" w:sz="0" w:space="0" w:color="auto"/>
                        <w:left w:val="none" w:sz="0" w:space="0" w:color="auto"/>
                        <w:bottom w:val="none" w:sz="0" w:space="0" w:color="auto"/>
                        <w:right w:val="none" w:sz="0" w:space="0" w:color="auto"/>
                      </w:divBdr>
                      <w:divsChild>
                        <w:div w:id="1348292204">
                          <w:marLeft w:val="0"/>
                          <w:marRight w:val="0"/>
                          <w:marTop w:val="0"/>
                          <w:marBottom w:val="0"/>
                          <w:divBdr>
                            <w:top w:val="none" w:sz="0" w:space="0" w:color="auto"/>
                            <w:left w:val="none" w:sz="0" w:space="0" w:color="auto"/>
                            <w:bottom w:val="none" w:sz="0" w:space="0" w:color="auto"/>
                            <w:right w:val="none" w:sz="0" w:space="0" w:color="auto"/>
                          </w:divBdr>
                          <w:divsChild>
                            <w:div w:id="1529483497">
                              <w:marLeft w:val="0"/>
                              <w:marRight w:val="0"/>
                              <w:marTop w:val="0"/>
                              <w:marBottom w:val="0"/>
                              <w:divBdr>
                                <w:top w:val="none" w:sz="0" w:space="0" w:color="auto"/>
                                <w:left w:val="none" w:sz="0" w:space="0" w:color="auto"/>
                                <w:bottom w:val="none" w:sz="0" w:space="0" w:color="auto"/>
                                <w:right w:val="none" w:sz="0" w:space="0" w:color="auto"/>
                              </w:divBdr>
                              <w:divsChild>
                                <w:div w:id="615212468">
                                  <w:marLeft w:val="0"/>
                                  <w:marRight w:val="0"/>
                                  <w:marTop w:val="0"/>
                                  <w:marBottom w:val="0"/>
                                  <w:divBdr>
                                    <w:top w:val="none" w:sz="0" w:space="0" w:color="auto"/>
                                    <w:left w:val="none" w:sz="0" w:space="0" w:color="auto"/>
                                    <w:bottom w:val="none" w:sz="0" w:space="0" w:color="auto"/>
                                    <w:right w:val="none" w:sz="0" w:space="0" w:color="auto"/>
                                  </w:divBdr>
                                  <w:divsChild>
                                    <w:div w:id="722555824">
                                      <w:marLeft w:val="0"/>
                                      <w:marRight w:val="0"/>
                                      <w:marTop w:val="150"/>
                                      <w:marBottom w:val="150"/>
                                      <w:divBdr>
                                        <w:top w:val="none" w:sz="0" w:space="0" w:color="auto"/>
                                        <w:left w:val="none" w:sz="0" w:space="0" w:color="auto"/>
                                        <w:bottom w:val="none" w:sz="0" w:space="0" w:color="auto"/>
                                        <w:right w:val="none" w:sz="0" w:space="0" w:color="auto"/>
                                      </w:divBdr>
                                      <w:divsChild>
                                        <w:div w:id="1269582007">
                                          <w:marLeft w:val="300"/>
                                          <w:marRight w:val="0"/>
                                          <w:marTop w:val="75"/>
                                          <w:marBottom w:val="0"/>
                                          <w:divBdr>
                                            <w:top w:val="none" w:sz="0" w:space="0" w:color="auto"/>
                                            <w:left w:val="none" w:sz="0" w:space="0" w:color="auto"/>
                                            <w:bottom w:val="none" w:sz="0" w:space="0" w:color="auto"/>
                                            <w:right w:val="none" w:sz="0" w:space="0" w:color="auto"/>
                                          </w:divBdr>
                                          <w:divsChild>
                                            <w:div w:id="21348606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320986">
      <w:bodyDiv w:val="1"/>
      <w:marLeft w:val="0"/>
      <w:marRight w:val="0"/>
      <w:marTop w:val="0"/>
      <w:marBottom w:val="0"/>
      <w:divBdr>
        <w:top w:val="none" w:sz="0" w:space="0" w:color="auto"/>
        <w:left w:val="none" w:sz="0" w:space="0" w:color="auto"/>
        <w:bottom w:val="none" w:sz="0" w:space="0" w:color="auto"/>
        <w:right w:val="none" w:sz="0" w:space="0" w:color="auto"/>
      </w:divBdr>
    </w:div>
    <w:div w:id="1021204695">
      <w:bodyDiv w:val="1"/>
      <w:marLeft w:val="0"/>
      <w:marRight w:val="0"/>
      <w:marTop w:val="0"/>
      <w:marBottom w:val="0"/>
      <w:divBdr>
        <w:top w:val="none" w:sz="0" w:space="0" w:color="auto"/>
        <w:left w:val="none" w:sz="0" w:space="0" w:color="auto"/>
        <w:bottom w:val="none" w:sz="0" w:space="0" w:color="auto"/>
        <w:right w:val="none" w:sz="0" w:space="0" w:color="auto"/>
      </w:divBdr>
    </w:div>
    <w:div w:id="1064718881">
      <w:bodyDiv w:val="1"/>
      <w:marLeft w:val="0"/>
      <w:marRight w:val="0"/>
      <w:marTop w:val="0"/>
      <w:marBottom w:val="0"/>
      <w:divBdr>
        <w:top w:val="none" w:sz="0" w:space="0" w:color="auto"/>
        <w:left w:val="none" w:sz="0" w:space="0" w:color="auto"/>
        <w:bottom w:val="none" w:sz="0" w:space="0" w:color="auto"/>
        <w:right w:val="none" w:sz="0" w:space="0" w:color="auto"/>
      </w:divBdr>
    </w:div>
    <w:div w:id="1144546695">
      <w:bodyDiv w:val="1"/>
      <w:marLeft w:val="0"/>
      <w:marRight w:val="0"/>
      <w:marTop w:val="0"/>
      <w:marBottom w:val="0"/>
      <w:divBdr>
        <w:top w:val="none" w:sz="0" w:space="0" w:color="auto"/>
        <w:left w:val="none" w:sz="0" w:space="0" w:color="auto"/>
        <w:bottom w:val="none" w:sz="0" w:space="0" w:color="auto"/>
        <w:right w:val="none" w:sz="0" w:space="0" w:color="auto"/>
      </w:divBdr>
    </w:div>
    <w:div w:id="1257902462">
      <w:bodyDiv w:val="1"/>
      <w:marLeft w:val="0"/>
      <w:marRight w:val="0"/>
      <w:marTop w:val="0"/>
      <w:marBottom w:val="0"/>
      <w:divBdr>
        <w:top w:val="none" w:sz="0" w:space="0" w:color="auto"/>
        <w:left w:val="none" w:sz="0" w:space="0" w:color="auto"/>
        <w:bottom w:val="none" w:sz="0" w:space="0" w:color="auto"/>
        <w:right w:val="none" w:sz="0" w:space="0" w:color="auto"/>
      </w:divBdr>
    </w:div>
    <w:div w:id="1267034186">
      <w:bodyDiv w:val="1"/>
      <w:marLeft w:val="0"/>
      <w:marRight w:val="0"/>
      <w:marTop w:val="0"/>
      <w:marBottom w:val="0"/>
      <w:divBdr>
        <w:top w:val="none" w:sz="0" w:space="0" w:color="auto"/>
        <w:left w:val="none" w:sz="0" w:space="0" w:color="auto"/>
        <w:bottom w:val="none" w:sz="0" w:space="0" w:color="auto"/>
        <w:right w:val="none" w:sz="0" w:space="0" w:color="auto"/>
      </w:divBdr>
    </w:div>
    <w:div w:id="1368677128">
      <w:bodyDiv w:val="1"/>
      <w:marLeft w:val="0"/>
      <w:marRight w:val="0"/>
      <w:marTop w:val="0"/>
      <w:marBottom w:val="0"/>
      <w:divBdr>
        <w:top w:val="none" w:sz="0" w:space="0" w:color="auto"/>
        <w:left w:val="none" w:sz="0" w:space="0" w:color="auto"/>
        <w:bottom w:val="none" w:sz="0" w:space="0" w:color="auto"/>
        <w:right w:val="none" w:sz="0" w:space="0" w:color="auto"/>
      </w:divBdr>
    </w:div>
    <w:div w:id="1454665702">
      <w:bodyDiv w:val="1"/>
      <w:marLeft w:val="0"/>
      <w:marRight w:val="0"/>
      <w:marTop w:val="0"/>
      <w:marBottom w:val="0"/>
      <w:divBdr>
        <w:top w:val="none" w:sz="0" w:space="0" w:color="auto"/>
        <w:left w:val="none" w:sz="0" w:space="0" w:color="auto"/>
        <w:bottom w:val="none" w:sz="0" w:space="0" w:color="auto"/>
        <w:right w:val="none" w:sz="0" w:space="0" w:color="auto"/>
      </w:divBdr>
    </w:div>
    <w:div w:id="1709866209">
      <w:bodyDiv w:val="1"/>
      <w:marLeft w:val="0"/>
      <w:marRight w:val="0"/>
      <w:marTop w:val="0"/>
      <w:marBottom w:val="0"/>
      <w:divBdr>
        <w:top w:val="none" w:sz="0" w:space="0" w:color="auto"/>
        <w:left w:val="none" w:sz="0" w:space="0" w:color="auto"/>
        <w:bottom w:val="none" w:sz="0" w:space="0" w:color="auto"/>
        <w:right w:val="none" w:sz="0" w:space="0" w:color="auto"/>
      </w:divBdr>
    </w:div>
    <w:div w:id="1897737356">
      <w:bodyDiv w:val="1"/>
      <w:marLeft w:val="0"/>
      <w:marRight w:val="0"/>
      <w:marTop w:val="0"/>
      <w:marBottom w:val="0"/>
      <w:divBdr>
        <w:top w:val="none" w:sz="0" w:space="0" w:color="auto"/>
        <w:left w:val="none" w:sz="0" w:space="0" w:color="auto"/>
        <w:bottom w:val="none" w:sz="0" w:space="0" w:color="auto"/>
        <w:right w:val="none" w:sz="0" w:space="0" w:color="auto"/>
      </w:divBdr>
    </w:div>
    <w:div w:id="1934629940">
      <w:bodyDiv w:val="1"/>
      <w:marLeft w:val="0"/>
      <w:marRight w:val="0"/>
      <w:marTop w:val="0"/>
      <w:marBottom w:val="0"/>
      <w:divBdr>
        <w:top w:val="none" w:sz="0" w:space="0" w:color="auto"/>
        <w:left w:val="none" w:sz="0" w:space="0" w:color="auto"/>
        <w:bottom w:val="none" w:sz="0" w:space="0" w:color="auto"/>
        <w:right w:val="none" w:sz="0" w:space="0" w:color="auto"/>
      </w:divBdr>
    </w:div>
    <w:div w:id="2040541028">
      <w:bodyDiv w:val="1"/>
      <w:marLeft w:val="0"/>
      <w:marRight w:val="0"/>
      <w:marTop w:val="0"/>
      <w:marBottom w:val="0"/>
      <w:divBdr>
        <w:top w:val="none" w:sz="0" w:space="0" w:color="auto"/>
        <w:left w:val="none" w:sz="0" w:space="0" w:color="auto"/>
        <w:bottom w:val="none" w:sz="0" w:space="0" w:color="auto"/>
        <w:right w:val="none" w:sz="0" w:space="0" w:color="auto"/>
      </w:divBdr>
    </w:div>
    <w:div w:id="2074961865">
      <w:bodyDiv w:val="1"/>
      <w:marLeft w:val="0"/>
      <w:marRight w:val="0"/>
      <w:marTop w:val="0"/>
      <w:marBottom w:val="0"/>
      <w:divBdr>
        <w:top w:val="none" w:sz="0" w:space="0" w:color="auto"/>
        <w:left w:val="none" w:sz="0" w:space="0" w:color="auto"/>
        <w:bottom w:val="none" w:sz="0" w:space="0" w:color="auto"/>
        <w:right w:val="none" w:sz="0" w:space="0" w:color="auto"/>
      </w:divBdr>
    </w:div>
    <w:div w:id="21087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1591-4A08-4FE9-848D-64ED2614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4446</Words>
  <Characters>24858</Characters>
  <Application>Microsoft Office Word</Application>
  <DocSecurity>0</DocSecurity>
  <Lines>654</Lines>
  <Paragraphs>299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1. Въведение</vt:lpstr>
      <vt:lpstr>2. Изпълнение на бюджета през 2014 г.</vt:lpstr>
      <vt:lpstr>2.1 Достъп до финансиране </vt:lpstr>
      <vt:lpstr>2.2 Достъп до пазари</vt:lpstr>
      <vt:lpstr>2.3 Подобряване на рамковите условия и конкурентоспособността</vt:lpstr>
      <vt:lpstr>2.4 Насърчаване на предприемачеството и предприемаческата култура</vt:lpstr>
      <vt:lpstr>3. Мерки за подкрепа </vt:lpstr>
      <vt:lpstr>4. Административни разходи </vt:lpstr>
      <vt:lpstr>5. Принос към целта за интегриране на въпросите относно климата</vt:lpstr>
      <vt:lpstr>6. Заключение</vt:lpstr>
    </vt:vector>
  </TitlesOfParts>
  <Manager/>
  <Company/>
  <LinksUpToDate>false</LinksUpToDate>
  <CharactersWithSpaces>29005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2016-07-13T14:17:00Z</cp:lastPrinted>
  <dcterms:created xsi:type="dcterms:W3CDTF">2016-08-18T19:43:00Z</dcterms:created>
  <dcterms:modified xsi:type="dcterms:W3CDTF">2016-08-19T13:20:00Z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