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255391643"/>
      <w:bookmarkStart w:id="1" w:name="_Toc286070785"/>
      <w:bookmarkStart w:id="2" w:name="_Toc286411786"/>
      <w:bookmarkStart w:id="3" w:name="_Toc286992067"/>
      <w:bookmarkStart w:id="4"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F2F2173BB3174B6DB8D5FBF6D56251F4" style="width:450.25pt;height:376.25pt">
            <v:imagedata r:id="rId9" o:title=""/>
          </v:shape>
        </w:pict>
      </w:r>
    </w:p>
    <w:bookmarkEnd w:id="4"/>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spacing w:after="60"/>
        <w:rPr>
          <w:rFonts w:ascii="Verdana" w:hAnsi="Verdana"/>
          <w:b/>
          <w:noProof/>
          <w:color w:val="000080"/>
        </w:rPr>
      </w:pPr>
      <w:bookmarkStart w:id="5" w:name="_GoBack"/>
      <w:bookmarkEnd w:id="5"/>
    </w:p>
    <w:sdt>
      <w:sdtPr>
        <w:rPr>
          <w:rFonts w:ascii="Times New Roman" w:eastAsia="Times New Roman" w:hAnsi="Times New Roman"/>
          <w:b w:val="0"/>
          <w:i w:val="0"/>
          <w:noProof/>
          <w:color w:val="auto"/>
          <w:sz w:val="24"/>
          <w:szCs w:val="24"/>
          <w:lang w:val="en-GB" w:eastAsia="en-GB"/>
        </w:rPr>
        <w:id w:val="-796521479"/>
        <w:docPartObj>
          <w:docPartGallery w:val="Table of Contents"/>
          <w:docPartUnique/>
        </w:docPartObj>
      </w:sdtPr>
      <w:sdtEndPr>
        <w:rPr>
          <w:bCs/>
        </w:rPr>
      </w:sdtEndPr>
      <w:sdtContent>
        <w:p>
          <w:pPr>
            <w:pStyle w:val="TOCHeading"/>
            <w:rPr>
              <w:noProof/>
            </w:rPr>
          </w:pPr>
          <w:r>
            <w:rPr>
              <w:noProof/>
            </w:rPr>
            <w:t>Contents</w:t>
          </w:r>
        </w:p>
        <w:p>
          <w:pPr>
            <w:pStyle w:val="TOC1"/>
            <w:rPr>
              <w:rFonts w:asciiTheme="minorHAnsi" w:eastAsiaTheme="minorEastAsia" w:hAnsiTheme="minorHAnsi" w:cstheme="minorBidi"/>
              <w:b w:val="0"/>
              <w:bCs w:val="0"/>
              <w:sz w:val="22"/>
              <w:szCs w:val="22"/>
              <w:lang w:val="es-ES_tradnl" w:eastAsia="es-ES_tradnl"/>
            </w:rPr>
          </w:pPr>
          <w:r>
            <w:fldChar w:fldCharType="begin"/>
          </w:r>
          <w:r>
            <w:instrText xml:space="preserve"> TOC \o "1-3" \h \z \u </w:instrText>
          </w:r>
          <w:r>
            <w:fldChar w:fldCharType="separate"/>
          </w:r>
          <w:hyperlink w:anchor="_Toc450148421" w:history="1">
            <w:r>
              <w:rPr>
                <w:rStyle w:val="Hyperlink"/>
              </w:rPr>
              <w:t>1. Introduction</w:t>
            </w:r>
            <w:r>
              <w:rPr>
                <w:webHidden/>
              </w:rPr>
              <w:tab/>
            </w:r>
            <w:r>
              <w:rPr>
                <w:webHidden/>
              </w:rPr>
              <w:fldChar w:fldCharType="begin"/>
            </w:r>
            <w:r>
              <w:rPr>
                <w:webHidden/>
              </w:rPr>
              <w:instrText xml:space="preserve"> PAGEREF _Toc450148421 \h </w:instrText>
            </w:r>
            <w:r>
              <w:rPr>
                <w:webHidden/>
              </w:rPr>
            </w:r>
            <w:r>
              <w:rPr>
                <w:webHidden/>
              </w:rPr>
              <w:fldChar w:fldCharType="separate"/>
            </w:r>
            <w:r>
              <w:rPr>
                <w:webHidden/>
              </w:rPr>
              <w:t>3</w:t>
            </w:r>
            <w:r>
              <w:rPr>
                <w:webHidden/>
              </w:rPr>
              <w:fldChar w:fldCharType="end"/>
            </w:r>
          </w:hyperlink>
        </w:p>
        <w:p>
          <w:pPr>
            <w:pStyle w:val="TOC1"/>
            <w:rPr>
              <w:rFonts w:asciiTheme="minorHAnsi" w:eastAsiaTheme="minorEastAsia" w:hAnsiTheme="minorHAnsi" w:cstheme="minorBidi"/>
              <w:b w:val="0"/>
              <w:bCs w:val="0"/>
              <w:sz w:val="22"/>
              <w:szCs w:val="22"/>
              <w:lang w:val="es-ES_tradnl" w:eastAsia="es-ES_tradnl"/>
            </w:rPr>
          </w:pPr>
          <w:hyperlink w:anchor="_Toc450148422" w:history="1">
            <w:r>
              <w:rPr>
                <w:rStyle w:val="Hyperlink"/>
              </w:rPr>
              <w:t>2. Budget execution in 2014</w:t>
            </w:r>
            <w:r>
              <w:rPr>
                <w:webHidden/>
              </w:rPr>
              <w:tab/>
            </w:r>
            <w:r>
              <w:rPr>
                <w:webHidden/>
              </w:rPr>
              <w:fldChar w:fldCharType="begin"/>
            </w:r>
            <w:r>
              <w:rPr>
                <w:webHidden/>
              </w:rPr>
              <w:instrText xml:space="preserve"> PAGEREF _Toc450148422 \h </w:instrText>
            </w:r>
            <w:r>
              <w:rPr>
                <w:webHidden/>
              </w:rPr>
            </w:r>
            <w:r>
              <w:rPr>
                <w:webHidden/>
              </w:rPr>
              <w:fldChar w:fldCharType="separate"/>
            </w:r>
            <w:r>
              <w:rPr>
                <w:webHidden/>
              </w:rPr>
              <w:t>4</w:t>
            </w:r>
            <w:r>
              <w:rPr>
                <w:webHidden/>
              </w:rPr>
              <w:fldChar w:fldCharType="end"/>
            </w:r>
          </w:hyperlink>
        </w:p>
        <w:p>
          <w:pPr>
            <w:pStyle w:val="TOC1"/>
            <w:ind w:left="400"/>
            <w:rPr>
              <w:rFonts w:asciiTheme="minorHAnsi" w:eastAsiaTheme="minorEastAsia" w:hAnsiTheme="minorHAnsi" w:cstheme="minorBidi"/>
              <w:b w:val="0"/>
              <w:bCs w:val="0"/>
              <w:sz w:val="22"/>
              <w:szCs w:val="22"/>
              <w:lang w:val="es-ES_tradnl" w:eastAsia="es-ES_tradnl"/>
            </w:rPr>
          </w:pPr>
          <w:hyperlink w:anchor="_Toc450148423" w:history="1">
            <w:r>
              <w:rPr>
                <w:rStyle w:val="Hyperlink"/>
              </w:rPr>
              <w:t>2.1 Access to Finance</w:t>
            </w:r>
            <w:r>
              <w:rPr>
                <w:webHidden/>
              </w:rPr>
              <w:tab/>
            </w:r>
            <w:r>
              <w:rPr>
                <w:webHidden/>
              </w:rPr>
              <w:fldChar w:fldCharType="begin"/>
            </w:r>
            <w:r>
              <w:rPr>
                <w:webHidden/>
              </w:rPr>
              <w:instrText xml:space="preserve"> PAGEREF _Toc450148423 \h </w:instrText>
            </w:r>
            <w:r>
              <w:rPr>
                <w:webHidden/>
              </w:rPr>
            </w:r>
            <w:r>
              <w:rPr>
                <w:webHidden/>
              </w:rPr>
              <w:fldChar w:fldCharType="separate"/>
            </w:r>
            <w:r>
              <w:rPr>
                <w:webHidden/>
              </w:rPr>
              <w:t>8</w:t>
            </w:r>
            <w:r>
              <w:rPr>
                <w:webHidden/>
              </w:rPr>
              <w:fldChar w:fldCharType="end"/>
            </w:r>
          </w:hyperlink>
        </w:p>
        <w:p>
          <w:pPr>
            <w:pStyle w:val="TOC1"/>
            <w:ind w:left="400"/>
            <w:rPr>
              <w:rFonts w:asciiTheme="minorHAnsi" w:eastAsiaTheme="minorEastAsia" w:hAnsiTheme="minorHAnsi" w:cstheme="minorBidi"/>
              <w:b w:val="0"/>
              <w:bCs w:val="0"/>
              <w:sz w:val="22"/>
              <w:szCs w:val="22"/>
              <w:lang w:val="es-ES_tradnl" w:eastAsia="es-ES_tradnl"/>
            </w:rPr>
          </w:pPr>
          <w:hyperlink w:anchor="_Toc450148424" w:history="1">
            <w:r>
              <w:rPr>
                <w:rStyle w:val="Hyperlink"/>
              </w:rPr>
              <w:t>2.2 Access to Markets</w:t>
            </w:r>
            <w:r>
              <w:rPr>
                <w:webHidden/>
              </w:rPr>
              <w:tab/>
            </w:r>
            <w:r>
              <w:rPr>
                <w:webHidden/>
              </w:rPr>
              <w:fldChar w:fldCharType="begin"/>
            </w:r>
            <w:r>
              <w:rPr>
                <w:webHidden/>
              </w:rPr>
              <w:instrText xml:space="preserve"> PAGEREF _Toc450148424 \h </w:instrText>
            </w:r>
            <w:r>
              <w:rPr>
                <w:webHidden/>
              </w:rPr>
            </w:r>
            <w:r>
              <w:rPr>
                <w:webHidden/>
              </w:rPr>
              <w:fldChar w:fldCharType="separate"/>
            </w:r>
            <w:r>
              <w:rPr>
                <w:webHidden/>
              </w:rPr>
              <w:t>9</w:t>
            </w:r>
            <w:r>
              <w:rPr>
                <w:webHidden/>
              </w:rPr>
              <w:fldChar w:fldCharType="end"/>
            </w:r>
          </w:hyperlink>
        </w:p>
        <w:p>
          <w:pPr>
            <w:pStyle w:val="TOC1"/>
            <w:ind w:left="400"/>
            <w:rPr>
              <w:rFonts w:asciiTheme="minorHAnsi" w:eastAsiaTheme="minorEastAsia" w:hAnsiTheme="minorHAnsi" w:cstheme="minorBidi"/>
              <w:b w:val="0"/>
              <w:bCs w:val="0"/>
              <w:sz w:val="22"/>
              <w:szCs w:val="22"/>
              <w:lang w:val="es-ES_tradnl" w:eastAsia="es-ES_tradnl"/>
            </w:rPr>
          </w:pPr>
          <w:hyperlink w:anchor="_Toc450148425" w:history="1">
            <w:r>
              <w:rPr>
                <w:rStyle w:val="Hyperlink"/>
              </w:rPr>
              <w:t>2.3 Improving Framework Conditions and Competitiveness</w:t>
            </w:r>
            <w:r>
              <w:rPr>
                <w:webHidden/>
              </w:rPr>
              <w:tab/>
            </w:r>
            <w:r>
              <w:rPr>
                <w:webHidden/>
              </w:rPr>
              <w:fldChar w:fldCharType="begin"/>
            </w:r>
            <w:r>
              <w:rPr>
                <w:webHidden/>
              </w:rPr>
              <w:instrText xml:space="preserve"> PAGEREF _Toc450148425 \h </w:instrText>
            </w:r>
            <w:r>
              <w:rPr>
                <w:webHidden/>
              </w:rPr>
            </w:r>
            <w:r>
              <w:rPr>
                <w:webHidden/>
              </w:rPr>
              <w:fldChar w:fldCharType="separate"/>
            </w:r>
            <w:r>
              <w:rPr>
                <w:webHidden/>
              </w:rPr>
              <w:t>10</w:t>
            </w:r>
            <w:r>
              <w:rPr>
                <w:webHidden/>
              </w:rPr>
              <w:fldChar w:fldCharType="end"/>
            </w:r>
          </w:hyperlink>
        </w:p>
        <w:p>
          <w:pPr>
            <w:pStyle w:val="TOC1"/>
            <w:ind w:left="400"/>
            <w:rPr>
              <w:rFonts w:asciiTheme="minorHAnsi" w:eastAsiaTheme="minorEastAsia" w:hAnsiTheme="minorHAnsi" w:cstheme="minorBidi"/>
              <w:b w:val="0"/>
              <w:bCs w:val="0"/>
              <w:sz w:val="22"/>
              <w:szCs w:val="22"/>
              <w:lang w:val="es-ES_tradnl" w:eastAsia="es-ES_tradnl"/>
            </w:rPr>
          </w:pPr>
          <w:hyperlink w:anchor="_Toc450148426" w:history="1">
            <w:r>
              <w:rPr>
                <w:rStyle w:val="Hyperlink"/>
              </w:rPr>
              <w:t>2.4 Promoting Entrepreneurship and Entrepreneurial Culture</w:t>
            </w:r>
            <w:r>
              <w:rPr>
                <w:webHidden/>
              </w:rPr>
              <w:tab/>
            </w:r>
            <w:r>
              <w:rPr>
                <w:webHidden/>
              </w:rPr>
              <w:fldChar w:fldCharType="begin"/>
            </w:r>
            <w:r>
              <w:rPr>
                <w:webHidden/>
              </w:rPr>
              <w:instrText xml:space="preserve"> PAGEREF _Toc450148426 \h </w:instrText>
            </w:r>
            <w:r>
              <w:rPr>
                <w:webHidden/>
              </w:rPr>
            </w:r>
            <w:r>
              <w:rPr>
                <w:webHidden/>
              </w:rPr>
              <w:fldChar w:fldCharType="separate"/>
            </w:r>
            <w:r>
              <w:rPr>
                <w:webHidden/>
              </w:rPr>
              <w:t>11</w:t>
            </w:r>
            <w:r>
              <w:rPr>
                <w:webHidden/>
              </w:rPr>
              <w:fldChar w:fldCharType="end"/>
            </w:r>
          </w:hyperlink>
        </w:p>
        <w:p>
          <w:pPr>
            <w:pStyle w:val="TOC1"/>
            <w:rPr>
              <w:rFonts w:asciiTheme="minorHAnsi" w:eastAsiaTheme="minorEastAsia" w:hAnsiTheme="minorHAnsi" w:cstheme="minorBidi"/>
              <w:b w:val="0"/>
              <w:bCs w:val="0"/>
              <w:sz w:val="22"/>
              <w:szCs w:val="22"/>
              <w:lang w:val="es-ES_tradnl" w:eastAsia="es-ES_tradnl"/>
            </w:rPr>
          </w:pPr>
          <w:hyperlink w:anchor="_Toc450148427" w:history="1">
            <w:r>
              <w:rPr>
                <w:rStyle w:val="Hyperlink"/>
              </w:rPr>
              <w:t>3. Support measures</w:t>
            </w:r>
            <w:r>
              <w:rPr>
                <w:webHidden/>
              </w:rPr>
              <w:tab/>
            </w:r>
            <w:r>
              <w:rPr>
                <w:webHidden/>
              </w:rPr>
              <w:fldChar w:fldCharType="begin"/>
            </w:r>
            <w:r>
              <w:rPr>
                <w:webHidden/>
              </w:rPr>
              <w:instrText xml:space="preserve"> PAGEREF _Toc450148427 \h </w:instrText>
            </w:r>
            <w:r>
              <w:rPr>
                <w:webHidden/>
              </w:rPr>
            </w:r>
            <w:r>
              <w:rPr>
                <w:webHidden/>
              </w:rPr>
              <w:fldChar w:fldCharType="separate"/>
            </w:r>
            <w:r>
              <w:rPr>
                <w:webHidden/>
              </w:rPr>
              <w:t>12</w:t>
            </w:r>
            <w:r>
              <w:rPr>
                <w:webHidden/>
              </w:rPr>
              <w:fldChar w:fldCharType="end"/>
            </w:r>
          </w:hyperlink>
        </w:p>
        <w:p>
          <w:pPr>
            <w:pStyle w:val="TOC1"/>
            <w:rPr>
              <w:rFonts w:asciiTheme="minorHAnsi" w:eastAsiaTheme="minorEastAsia" w:hAnsiTheme="minorHAnsi" w:cstheme="minorBidi"/>
              <w:b w:val="0"/>
              <w:bCs w:val="0"/>
              <w:sz w:val="22"/>
              <w:szCs w:val="22"/>
              <w:lang w:val="es-ES_tradnl" w:eastAsia="es-ES_tradnl"/>
            </w:rPr>
          </w:pPr>
          <w:hyperlink w:anchor="_Toc450148428" w:history="1">
            <w:r>
              <w:rPr>
                <w:rStyle w:val="Hyperlink"/>
              </w:rPr>
              <w:t>4. Administrative expenditures</w:t>
            </w:r>
            <w:r>
              <w:rPr>
                <w:webHidden/>
              </w:rPr>
              <w:tab/>
            </w:r>
            <w:r>
              <w:rPr>
                <w:webHidden/>
              </w:rPr>
              <w:fldChar w:fldCharType="begin"/>
            </w:r>
            <w:r>
              <w:rPr>
                <w:webHidden/>
              </w:rPr>
              <w:instrText xml:space="preserve"> PAGEREF _Toc450148428 \h </w:instrText>
            </w:r>
            <w:r>
              <w:rPr>
                <w:webHidden/>
              </w:rPr>
            </w:r>
            <w:r>
              <w:rPr>
                <w:webHidden/>
              </w:rPr>
              <w:fldChar w:fldCharType="separate"/>
            </w:r>
            <w:r>
              <w:rPr>
                <w:webHidden/>
              </w:rPr>
              <w:t>13</w:t>
            </w:r>
            <w:r>
              <w:rPr>
                <w:webHidden/>
              </w:rPr>
              <w:fldChar w:fldCharType="end"/>
            </w:r>
          </w:hyperlink>
        </w:p>
        <w:p>
          <w:pPr>
            <w:pStyle w:val="TOC1"/>
            <w:rPr>
              <w:rFonts w:asciiTheme="minorHAnsi" w:eastAsiaTheme="minorEastAsia" w:hAnsiTheme="minorHAnsi" w:cstheme="minorBidi"/>
              <w:b w:val="0"/>
              <w:bCs w:val="0"/>
              <w:sz w:val="22"/>
              <w:szCs w:val="22"/>
              <w:lang w:val="es-ES_tradnl" w:eastAsia="es-ES_tradnl"/>
            </w:rPr>
          </w:pPr>
          <w:hyperlink w:anchor="_Toc450148429" w:history="1">
            <w:r>
              <w:rPr>
                <w:rStyle w:val="Hyperlink"/>
              </w:rPr>
              <w:t>5. Contribution to the Climate Mainstreaming objective</w:t>
            </w:r>
            <w:r>
              <w:rPr>
                <w:webHidden/>
              </w:rPr>
              <w:tab/>
            </w:r>
            <w:r>
              <w:rPr>
                <w:webHidden/>
              </w:rPr>
              <w:fldChar w:fldCharType="begin"/>
            </w:r>
            <w:r>
              <w:rPr>
                <w:webHidden/>
              </w:rPr>
              <w:instrText xml:space="preserve"> PAGEREF _Toc450148429 \h </w:instrText>
            </w:r>
            <w:r>
              <w:rPr>
                <w:webHidden/>
              </w:rPr>
            </w:r>
            <w:r>
              <w:rPr>
                <w:webHidden/>
              </w:rPr>
              <w:fldChar w:fldCharType="separate"/>
            </w:r>
            <w:r>
              <w:rPr>
                <w:webHidden/>
              </w:rPr>
              <w:t>13</w:t>
            </w:r>
            <w:r>
              <w:rPr>
                <w:webHidden/>
              </w:rPr>
              <w:fldChar w:fldCharType="end"/>
            </w:r>
          </w:hyperlink>
        </w:p>
        <w:p>
          <w:pPr>
            <w:pStyle w:val="TOC1"/>
            <w:rPr>
              <w:rFonts w:asciiTheme="minorHAnsi" w:eastAsiaTheme="minorEastAsia" w:hAnsiTheme="minorHAnsi" w:cstheme="minorBidi"/>
              <w:b w:val="0"/>
              <w:bCs w:val="0"/>
              <w:sz w:val="22"/>
              <w:szCs w:val="22"/>
              <w:lang w:val="es-ES_tradnl" w:eastAsia="es-ES_tradnl"/>
            </w:rPr>
          </w:pPr>
          <w:hyperlink w:anchor="_Toc450148430" w:history="1">
            <w:r>
              <w:rPr>
                <w:rStyle w:val="Hyperlink"/>
              </w:rPr>
              <w:t>6. Conclusion</w:t>
            </w:r>
            <w:r>
              <w:rPr>
                <w:webHidden/>
              </w:rPr>
              <w:tab/>
            </w:r>
            <w:r>
              <w:rPr>
                <w:webHidden/>
              </w:rPr>
              <w:fldChar w:fldCharType="begin"/>
            </w:r>
            <w:r>
              <w:rPr>
                <w:webHidden/>
              </w:rPr>
              <w:instrText xml:space="preserve"> PAGEREF _Toc450148430 \h </w:instrText>
            </w:r>
            <w:r>
              <w:rPr>
                <w:webHidden/>
              </w:rPr>
            </w:r>
            <w:r>
              <w:rPr>
                <w:webHidden/>
              </w:rPr>
              <w:fldChar w:fldCharType="separate"/>
            </w:r>
            <w:r>
              <w:rPr>
                <w:webHidden/>
              </w:rPr>
              <w:t>13</w:t>
            </w:r>
            <w:r>
              <w:rPr>
                <w:webHidden/>
              </w:rPr>
              <w:fldChar w:fldCharType="end"/>
            </w:r>
          </w:hyperlink>
        </w:p>
        <w:p>
          <w:pPr>
            <w:rPr>
              <w:noProof/>
            </w:rPr>
          </w:pPr>
          <w:r>
            <w:rPr>
              <w:b/>
              <w:bCs/>
              <w:noProof/>
            </w:rPr>
            <w:fldChar w:fldCharType="end"/>
          </w:r>
        </w:p>
      </w:sdtContent>
    </w:sdt>
    <w:p>
      <w:pPr>
        <w:spacing w:after="200" w:line="276" w:lineRule="auto"/>
        <w:rPr>
          <w:b/>
          <w:bCs/>
          <w:noProof/>
        </w:rPr>
      </w:pPr>
      <w:r>
        <w:rPr>
          <w:b/>
          <w:bCs/>
          <w:noProof/>
        </w:rPr>
        <w:br w:type="page"/>
      </w:r>
    </w:p>
    <w:p>
      <w:pPr>
        <w:pStyle w:val="Heading1"/>
        <w:rPr>
          <w:noProof/>
          <w:sz w:val="32"/>
          <w:szCs w:val="32"/>
        </w:rPr>
      </w:pPr>
      <w:bookmarkStart w:id="6" w:name="_Toc450148421"/>
      <w:r>
        <w:rPr>
          <w:noProof/>
          <w:sz w:val="32"/>
          <w:szCs w:val="32"/>
        </w:rPr>
        <w:lastRenderedPageBreak/>
        <w:t>1. Introduction</w:t>
      </w:r>
      <w:bookmarkEnd w:id="6"/>
    </w:p>
    <w:p>
      <w:pPr>
        <w:spacing w:before="100" w:beforeAutospacing="1" w:after="100" w:afterAutospacing="1"/>
        <w:jc w:val="both"/>
        <w:rPr>
          <w:bCs/>
          <w:noProof/>
        </w:rPr>
      </w:pPr>
      <w:r>
        <w:rPr>
          <w:bCs/>
          <w:noProof/>
        </w:rPr>
        <w:t>COSME is the programme for EU actions to improve the competitiveness of enterprises, with special emphasis on small and medium-sized enterprises (SMEs).</w:t>
      </w:r>
      <w:r>
        <w:rPr>
          <w:b/>
          <w:bCs/>
          <w:noProof/>
        </w:rPr>
        <w:t xml:space="preserve"> </w:t>
      </w:r>
      <w:r>
        <w:rPr>
          <w:bCs/>
          <w:noProof/>
        </w:rPr>
        <w:t xml:space="preserve">It builds upon the Entrepreneurship and Innovation programme (EIP) established for 2007-2013 under the Competitiveness and Innovation Framework Programme (CIP). COSME actions seek to optimise synergies with other EU spending programmes, in particular the European Structural and Investment Funds (ESIF) and the Horizon 2020 programme which includes the innovation activities which were previously part of the EIP. </w:t>
      </w:r>
    </w:p>
    <w:p>
      <w:pPr>
        <w:autoSpaceDE w:val="0"/>
        <w:autoSpaceDN w:val="0"/>
        <w:adjustRightInd w:val="0"/>
        <w:jc w:val="both"/>
        <w:rPr>
          <w:rFonts w:eastAsia="Calibri" w:cs="Arial"/>
          <w:noProof/>
          <w:szCs w:val="22"/>
        </w:rPr>
      </w:pPr>
      <w:r>
        <w:rPr>
          <w:rFonts w:eastAsia="Calibri" w:cs="Arial"/>
          <w:noProof/>
          <w:szCs w:val="22"/>
        </w:rPr>
        <w:t>COSME brings added value by addressing transnational issues and market failures in four key areas defined by the legal base</w:t>
      </w:r>
      <w:r>
        <w:rPr>
          <w:rStyle w:val="FootnoteReference"/>
          <w:rFonts w:eastAsia="Calibri" w:cs="Arial"/>
          <w:noProof/>
          <w:szCs w:val="22"/>
        </w:rPr>
        <w:footnoteReference w:id="1"/>
      </w:r>
      <w:r>
        <w:rPr>
          <w:rFonts w:eastAsia="Calibri" w:cs="Arial"/>
          <w:noProof/>
          <w:szCs w:val="22"/>
        </w:rPr>
        <w:t>:</w:t>
      </w:r>
    </w:p>
    <w:p>
      <w:pPr>
        <w:autoSpaceDE w:val="0"/>
        <w:autoSpaceDN w:val="0"/>
        <w:adjustRightInd w:val="0"/>
        <w:jc w:val="both"/>
        <w:rPr>
          <w:rFonts w:eastAsia="Calibri" w:cs="Arial"/>
          <w:noProof/>
          <w:szCs w:val="22"/>
        </w:rPr>
      </w:pPr>
    </w:p>
    <w:p>
      <w:pPr>
        <w:pStyle w:val="ListParagraph"/>
        <w:numPr>
          <w:ilvl w:val="0"/>
          <w:numId w:val="45"/>
        </w:numPr>
        <w:autoSpaceDE w:val="0"/>
        <w:autoSpaceDN w:val="0"/>
        <w:adjustRightInd w:val="0"/>
        <w:jc w:val="both"/>
        <w:rPr>
          <w:rFonts w:eastAsia="Calibri" w:cs="Arial"/>
          <w:noProof/>
          <w:szCs w:val="22"/>
        </w:rPr>
      </w:pPr>
      <w:r>
        <w:rPr>
          <w:rFonts w:eastAsia="Calibri" w:cs="Arial"/>
          <w:noProof/>
          <w:szCs w:val="22"/>
        </w:rPr>
        <w:t>Improving</w:t>
      </w:r>
      <w:r>
        <w:rPr>
          <w:rFonts w:eastAsia="Calibri" w:cs="Arial"/>
          <w:b/>
          <w:noProof/>
          <w:szCs w:val="22"/>
        </w:rPr>
        <w:t xml:space="preserve"> access to finance</w:t>
      </w:r>
      <w:r>
        <w:rPr>
          <w:rFonts w:eastAsia="Calibri" w:cs="Arial"/>
          <w:noProof/>
          <w:szCs w:val="22"/>
        </w:rPr>
        <w:t xml:space="preserve"> for SMEs in the form of equity and debt (at least 60% of the global budget envelope);</w:t>
      </w:r>
    </w:p>
    <w:p>
      <w:pPr>
        <w:autoSpaceDE w:val="0"/>
        <w:autoSpaceDN w:val="0"/>
        <w:adjustRightInd w:val="0"/>
        <w:jc w:val="both"/>
        <w:rPr>
          <w:rFonts w:eastAsia="Calibri" w:cs="Arial"/>
          <w:noProof/>
          <w:szCs w:val="22"/>
        </w:rPr>
      </w:pPr>
    </w:p>
    <w:p>
      <w:pPr>
        <w:pStyle w:val="ListParagraph"/>
        <w:numPr>
          <w:ilvl w:val="0"/>
          <w:numId w:val="45"/>
        </w:numPr>
        <w:autoSpaceDE w:val="0"/>
        <w:autoSpaceDN w:val="0"/>
        <w:adjustRightInd w:val="0"/>
        <w:jc w:val="both"/>
        <w:rPr>
          <w:rFonts w:eastAsia="Calibri" w:cs="Arial"/>
          <w:noProof/>
          <w:szCs w:val="22"/>
        </w:rPr>
      </w:pPr>
      <w:r>
        <w:rPr>
          <w:rFonts w:eastAsia="Calibri" w:cs="Arial"/>
          <w:noProof/>
          <w:szCs w:val="22"/>
        </w:rPr>
        <w:t xml:space="preserve">Improving </w:t>
      </w:r>
      <w:r>
        <w:rPr>
          <w:rFonts w:eastAsia="Calibri" w:cs="Arial"/>
          <w:b/>
          <w:noProof/>
          <w:szCs w:val="22"/>
        </w:rPr>
        <w:t>access to markets</w:t>
      </w:r>
      <w:r>
        <w:rPr>
          <w:rFonts w:eastAsia="Calibri" w:cs="Arial"/>
          <w:noProof/>
          <w:szCs w:val="22"/>
        </w:rPr>
        <w:t xml:space="preserve"> inside and outside the Union (21.5%);</w:t>
      </w:r>
    </w:p>
    <w:p>
      <w:pPr>
        <w:autoSpaceDE w:val="0"/>
        <w:autoSpaceDN w:val="0"/>
        <w:adjustRightInd w:val="0"/>
        <w:jc w:val="both"/>
        <w:rPr>
          <w:rFonts w:eastAsia="Calibri" w:cs="Arial"/>
          <w:noProof/>
          <w:szCs w:val="22"/>
        </w:rPr>
      </w:pPr>
    </w:p>
    <w:p>
      <w:pPr>
        <w:pStyle w:val="ListParagraph"/>
        <w:numPr>
          <w:ilvl w:val="0"/>
          <w:numId w:val="45"/>
        </w:numPr>
        <w:autoSpaceDE w:val="0"/>
        <w:autoSpaceDN w:val="0"/>
        <w:adjustRightInd w:val="0"/>
        <w:jc w:val="both"/>
        <w:rPr>
          <w:rFonts w:eastAsia="Calibri" w:cs="Arial"/>
          <w:noProof/>
          <w:szCs w:val="22"/>
        </w:rPr>
      </w:pPr>
      <w:r>
        <w:rPr>
          <w:rFonts w:eastAsia="Calibri" w:cs="Arial"/>
          <w:noProof/>
          <w:szCs w:val="22"/>
        </w:rPr>
        <w:t>Improving</w:t>
      </w:r>
      <w:r>
        <w:rPr>
          <w:rFonts w:eastAsia="Calibri" w:cs="Arial"/>
          <w:b/>
          <w:noProof/>
          <w:szCs w:val="22"/>
        </w:rPr>
        <w:t xml:space="preserve"> framework conditions</w:t>
      </w:r>
      <w:r>
        <w:rPr>
          <w:rFonts w:eastAsia="Calibri" w:cs="Arial"/>
          <w:noProof/>
          <w:szCs w:val="22"/>
        </w:rPr>
        <w:t xml:space="preserve"> for businesses </w:t>
      </w:r>
      <w:r>
        <w:rPr>
          <w:rFonts w:eastAsia="Calibri" w:cs="Arial"/>
          <w:b/>
          <w:noProof/>
          <w:szCs w:val="22"/>
        </w:rPr>
        <w:t>and</w:t>
      </w:r>
      <w:r>
        <w:rPr>
          <w:rFonts w:eastAsia="Calibri" w:cs="Arial"/>
          <w:noProof/>
          <w:szCs w:val="22"/>
        </w:rPr>
        <w:t xml:space="preserve"> the </w:t>
      </w:r>
      <w:r>
        <w:rPr>
          <w:rFonts w:eastAsia="Calibri" w:cs="Arial"/>
          <w:b/>
          <w:noProof/>
          <w:szCs w:val="22"/>
        </w:rPr>
        <w:t>competitiveness of enterprises</w:t>
      </w:r>
      <w:r>
        <w:rPr>
          <w:rFonts w:eastAsia="Calibri" w:cs="Arial"/>
          <w:noProof/>
          <w:szCs w:val="22"/>
        </w:rPr>
        <w:t>, including SMEs (11%);</w:t>
      </w:r>
    </w:p>
    <w:p>
      <w:pPr>
        <w:autoSpaceDE w:val="0"/>
        <w:autoSpaceDN w:val="0"/>
        <w:adjustRightInd w:val="0"/>
        <w:jc w:val="both"/>
        <w:rPr>
          <w:rFonts w:eastAsia="Calibri" w:cs="Arial"/>
          <w:noProof/>
          <w:szCs w:val="22"/>
        </w:rPr>
      </w:pPr>
    </w:p>
    <w:p>
      <w:pPr>
        <w:pStyle w:val="ListParagraph"/>
        <w:numPr>
          <w:ilvl w:val="0"/>
          <w:numId w:val="45"/>
        </w:numPr>
        <w:autoSpaceDE w:val="0"/>
        <w:autoSpaceDN w:val="0"/>
        <w:adjustRightInd w:val="0"/>
        <w:jc w:val="both"/>
        <w:rPr>
          <w:rFonts w:eastAsia="Calibri" w:cs="Arial"/>
          <w:noProof/>
          <w:szCs w:val="22"/>
        </w:rPr>
      </w:pPr>
      <w:r>
        <w:rPr>
          <w:rFonts w:eastAsia="Calibri" w:cs="Arial"/>
          <w:b/>
          <w:noProof/>
          <w:szCs w:val="22"/>
        </w:rPr>
        <w:t>Promoting entrepreneurship</w:t>
      </w:r>
      <w:r>
        <w:rPr>
          <w:rFonts w:eastAsia="Calibri" w:cs="Arial"/>
          <w:noProof/>
          <w:szCs w:val="22"/>
        </w:rPr>
        <w:t xml:space="preserve"> and entrepreneurial culture (2.5%).</w:t>
      </w:r>
    </w:p>
    <w:p>
      <w:pPr>
        <w:autoSpaceDE w:val="0"/>
        <w:autoSpaceDN w:val="0"/>
        <w:adjustRightInd w:val="0"/>
        <w:jc w:val="both"/>
        <w:rPr>
          <w:rFonts w:eastAsia="Calibri" w:cs="Arial"/>
          <w:noProof/>
          <w:szCs w:val="22"/>
        </w:rPr>
      </w:pPr>
    </w:p>
    <w:p>
      <w:pPr>
        <w:spacing w:before="100" w:beforeAutospacing="1" w:after="100" w:afterAutospacing="1"/>
        <w:jc w:val="both"/>
        <w:rPr>
          <w:bCs/>
          <w:noProof/>
        </w:rPr>
      </w:pPr>
      <w:r>
        <w:rPr>
          <w:bCs/>
          <w:noProof/>
        </w:rPr>
        <w:t xml:space="preserve">In addition to the 28 EU Member States, the following third countries participated in COSME in 2014: Iceland, Montenegro, Turkey, Moldova and the former Yugoslav Republic of Macedonia. </w:t>
      </w:r>
    </w:p>
    <w:p>
      <w:pPr>
        <w:spacing w:before="100" w:beforeAutospacing="1" w:after="100" w:afterAutospacing="1"/>
        <w:jc w:val="both"/>
        <w:rPr>
          <w:bCs/>
          <w:noProof/>
        </w:rPr>
      </w:pPr>
      <w:r>
        <w:rPr>
          <w:bCs/>
          <w:noProof/>
        </w:rPr>
        <w:t xml:space="preserve">The Commission is responsible for the overall implementation of COSME. The first objective is implemented through the financial instruments that are entrusted to the European Investment Fund (EIF). The implementation of the actions under objectives 2, 3 and 4 is largely delegated to the Executive Agency for SMEs (EASME). Indirect management by international organisations is also envisaged for certain analytical and benchmarking activities. </w:t>
      </w:r>
    </w:p>
    <w:p>
      <w:pPr>
        <w:spacing w:before="100" w:beforeAutospacing="1" w:after="100" w:afterAutospacing="1"/>
        <w:jc w:val="both"/>
        <w:rPr>
          <w:rStyle w:val="ListDashChar"/>
          <w:noProof/>
          <w:lang w:val="en-GB"/>
        </w:rPr>
      </w:pPr>
      <w:r>
        <w:rPr>
          <w:rStyle w:val="ListDashChar"/>
          <w:noProof/>
          <w:lang w:val="en-GB"/>
        </w:rPr>
        <w:t xml:space="preserve">This report presents an overview of the COSME budget implementation in 2014, in accordance with Article 15 of the COSME regulation, including </w:t>
      </w:r>
      <w:r>
        <w:rPr>
          <w:noProof/>
          <w:lang w:eastAsia="fr-FR"/>
        </w:rPr>
        <w:t>support measures and expenses of an administrative nature</w:t>
      </w:r>
      <w:r>
        <w:rPr>
          <w:rStyle w:val="ListDashChar"/>
          <w:noProof/>
          <w:lang w:val="en-GB"/>
        </w:rPr>
        <w:t>. The details of implementation for each objective are included in annex 1. Annex 2 contains the list of beneficiaries for calls for proposals.</w:t>
      </w:r>
    </w:p>
    <w:p>
      <w:pPr>
        <w:spacing w:after="60"/>
        <w:jc w:val="both"/>
        <w:rPr>
          <w:rStyle w:val="ListDashChar"/>
          <w:noProof/>
          <w:lang w:val="en-GB"/>
        </w:rPr>
      </w:pPr>
    </w:p>
    <w:p>
      <w:pPr>
        <w:spacing w:after="60"/>
        <w:jc w:val="both"/>
        <w:rPr>
          <w:bCs/>
          <w:noProof/>
        </w:rPr>
      </w:pPr>
    </w:p>
    <w:p>
      <w:pPr>
        <w:spacing w:after="200" w:line="276" w:lineRule="auto"/>
        <w:rPr>
          <w:bCs/>
          <w:noProof/>
          <w:highlight w:val="lightGray"/>
        </w:rPr>
      </w:pPr>
      <w:r>
        <w:rPr>
          <w:bCs/>
          <w:noProof/>
          <w:highlight w:val="lightGray"/>
        </w:rPr>
        <w:br w:type="page"/>
      </w:r>
    </w:p>
    <w:p>
      <w:pPr>
        <w:pStyle w:val="Heading1"/>
        <w:rPr>
          <w:noProof/>
          <w:sz w:val="32"/>
          <w:szCs w:val="32"/>
        </w:rPr>
      </w:pPr>
      <w:bookmarkStart w:id="7" w:name="_Toc444193149"/>
      <w:bookmarkStart w:id="8" w:name="_Toc450148422"/>
      <w:r>
        <w:rPr>
          <w:noProof/>
          <w:sz w:val="32"/>
          <w:szCs w:val="32"/>
        </w:rPr>
        <w:t>2. Budget execution in 2014</w:t>
      </w:r>
      <w:bookmarkEnd w:id="7"/>
      <w:bookmarkEnd w:id="8"/>
    </w:p>
    <w:p>
      <w:pPr>
        <w:spacing w:before="100" w:beforeAutospacing="1" w:after="100" w:afterAutospacing="1"/>
        <w:jc w:val="both"/>
        <w:rPr>
          <w:bCs/>
          <w:noProof/>
        </w:rPr>
      </w:pPr>
      <w:r>
        <w:rPr>
          <w:bCs/>
          <w:noProof/>
        </w:rPr>
        <w:t>The COSME legal base specifies an overall indicative budget of EUR 2.3 billion for the seven-year period of COSME (2014-2020). The budget follows a spending cycle with commitments planned to increase progressively up to the last year of the programme in 2020.  Payment credits are expected to follow the same trend but with a lower level in 2014 as the programme had yet to create the legal commitments needed for generating payments. The COSME legal base specifies that the programme is implemented through an annual work programme and through support measures. The budget also includes administrative appropriations for managing the programme.</w:t>
      </w:r>
    </w:p>
    <w:p>
      <w:pPr>
        <w:autoSpaceDE w:val="0"/>
        <w:autoSpaceDN w:val="0"/>
        <w:adjustRightInd w:val="0"/>
        <w:spacing w:before="100" w:beforeAutospacing="1" w:after="100" w:afterAutospacing="1"/>
        <w:jc w:val="both"/>
        <w:rPr>
          <w:bCs/>
          <w:noProof/>
        </w:rPr>
      </w:pPr>
      <w:r>
        <w:rPr>
          <w:bCs/>
          <w:noProof/>
        </w:rPr>
        <w:t>The COSME budget is implemented through four budget lines with appropriations specified by the corresponding revised financing decision for 2014</w:t>
      </w:r>
      <w:r>
        <w:rPr>
          <w:rStyle w:val="FootnoteReference"/>
          <w:bCs/>
          <w:noProof/>
        </w:rPr>
        <w:footnoteReference w:id="2"/>
      </w:r>
      <w:r>
        <w:rPr>
          <w:bCs/>
          <w:noProof/>
        </w:rPr>
        <w:t>. After adding contributions from third countries, unused appropriations from the previous programming period and miscellaneous transfers the budget available for 2014 was:</w:t>
      </w:r>
    </w:p>
    <w:p>
      <w:pPr>
        <w:autoSpaceDE w:val="0"/>
        <w:autoSpaceDN w:val="0"/>
        <w:adjustRightInd w:val="0"/>
        <w:spacing w:before="100" w:beforeAutospacing="1" w:after="100" w:afterAutospacing="1"/>
        <w:jc w:val="both"/>
        <w:rPr>
          <w:rFonts w:eastAsiaTheme="minorHAnsi"/>
          <w:noProof/>
          <w:lang w:val="en-US" w:eastAsia="en-US"/>
        </w:rPr>
      </w:pPr>
      <w:r>
        <w:rPr>
          <w:rFonts w:eastAsiaTheme="minorHAnsi"/>
          <w:noProof/>
          <w:lang w:val="en-US" w:eastAsia="en-US"/>
        </w:rPr>
        <w:t>(a) budget line 02 01 04 01 for administrative expenditures: EUR 5 118 063</w:t>
      </w:r>
    </w:p>
    <w:p>
      <w:pPr>
        <w:autoSpaceDE w:val="0"/>
        <w:autoSpaceDN w:val="0"/>
        <w:adjustRightInd w:val="0"/>
        <w:spacing w:before="100" w:beforeAutospacing="1" w:after="100" w:afterAutospacing="1"/>
        <w:jc w:val="both"/>
        <w:rPr>
          <w:rFonts w:eastAsiaTheme="minorHAnsi"/>
          <w:noProof/>
          <w:lang w:val="en-US" w:eastAsia="en-US"/>
        </w:rPr>
      </w:pPr>
      <w:r>
        <w:rPr>
          <w:rFonts w:eastAsiaTheme="minorHAnsi"/>
          <w:noProof/>
          <w:lang w:val="en-US" w:eastAsia="en-US"/>
        </w:rPr>
        <w:t>(b) budget line 02 01 06 01 for the functioning of the EASME agency: EUR 6 667 313</w:t>
      </w:r>
    </w:p>
    <w:p>
      <w:pPr>
        <w:autoSpaceDE w:val="0"/>
        <w:autoSpaceDN w:val="0"/>
        <w:adjustRightInd w:val="0"/>
        <w:spacing w:before="100" w:beforeAutospacing="1" w:after="100" w:afterAutospacing="1"/>
        <w:jc w:val="both"/>
        <w:rPr>
          <w:rFonts w:eastAsiaTheme="minorHAnsi"/>
          <w:noProof/>
          <w:lang w:val="en-US" w:eastAsia="en-US"/>
        </w:rPr>
      </w:pPr>
      <w:r>
        <w:rPr>
          <w:rFonts w:eastAsiaTheme="minorHAnsi"/>
          <w:noProof/>
          <w:lang w:val="en-US" w:eastAsia="en-US"/>
        </w:rPr>
        <w:t>(c) budget line 02 02 01 for all other operational expenditure: EUR 106 411 140</w:t>
      </w:r>
    </w:p>
    <w:p>
      <w:pPr>
        <w:spacing w:before="100" w:beforeAutospacing="1" w:after="100" w:afterAutospacing="1"/>
        <w:jc w:val="both"/>
        <w:rPr>
          <w:rFonts w:eastAsiaTheme="minorHAnsi"/>
          <w:noProof/>
          <w:lang w:val="en-US" w:eastAsia="en-US"/>
        </w:rPr>
      </w:pPr>
      <w:r>
        <w:rPr>
          <w:rFonts w:eastAsiaTheme="minorHAnsi"/>
          <w:noProof/>
          <w:lang w:val="en-US" w:eastAsia="en-US"/>
        </w:rPr>
        <w:t>(d) budget line 02 02 02 for access to finance operational expenditure: EUR 140 787 114</w:t>
      </w:r>
    </w:p>
    <w:p>
      <w:pPr>
        <w:spacing w:before="100" w:beforeAutospacing="1" w:after="100" w:afterAutospacing="1"/>
        <w:jc w:val="both"/>
        <w:rPr>
          <w:rFonts w:eastAsiaTheme="minorHAnsi"/>
          <w:noProof/>
          <w:lang w:val="en-US" w:eastAsia="en-US"/>
        </w:rPr>
      </w:pPr>
      <w:r>
        <w:rPr>
          <w:rFonts w:eastAsiaTheme="minorHAnsi"/>
          <w:noProof/>
          <w:lang w:val="en-US" w:eastAsia="en-US"/>
        </w:rPr>
        <w:t>The financing decision for support measures</w:t>
      </w:r>
      <w:r>
        <w:rPr>
          <w:rStyle w:val="FootnoteReference"/>
          <w:rFonts w:eastAsiaTheme="minorHAnsi"/>
          <w:noProof/>
          <w:lang w:val="en-US" w:eastAsia="en-US"/>
        </w:rPr>
        <w:footnoteReference w:id="3"/>
      </w:r>
      <w:r>
        <w:rPr>
          <w:rFonts w:eastAsiaTheme="minorHAnsi"/>
          <w:noProof/>
          <w:lang w:val="en-US" w:eastAsia="en-US"/>
        </w:rPr>
        <w:t xml:space="preserve"> provides for a contribution of EUR 7 151 722, included in the budget line 02 02 01 of the general budget of the European Union for 2014.</w:t>
      </w:r>
    </w:p>
    <w:p>
      <w:pPr>
        <w:spacing w:before="100" w:beforeAutospacing="1" w:after="100" w:afterAutospacing="1"/>
        <w:jc w:val="both"/>
        <w:rPr>
          <w:rFonts w:eastAsiaTheme="minorHAnsi"/>
          <w:bCs/>
          <w:noProof/>
          <w:lang w:eastAsia="en-US"/>
        </w:rPr>
      </w:pPr>
      <w:r>
        <w:rPr>
          <w:rFonts w:eastAsiaTheme="minorHAnsi"/>
          <w:bCs/>
          <w:noProof/>
          <w:lang w:eastAsia="en-US"/>
        </w:rPr>
        <w:t xml:space="preserve">The total budget available, including the administrative appropriations, to implement the 36 actions in the work programme 2014 was EUR 258 983 630. </w:t>
      </w:r>
    </w:p>
    <w:p>
      <w:pPr>
        <w:spacing w:before="100" w:beforeAutospacing="1" w:after="100" w:afterAutospacing="1"/>
        <w:jc w:val="both"/>
        <w:rPr>
          <w:noProof/>
          <w:lang w:val="en-US"/>
        </w:rPr>
      </w:pPr>
      <w:r>
        <w:rPr>
          <w:noProof/>
          <w:lang w:val="en-US"/>
        </w:rPr>
        <w:t xml:space="preserve">2014 was a transition year from the Competitiveness and Innovation Framework Programme (CIP) to COSME with the delegation of implementation to a new executive agency, the renewal of one of the main components of the programme, the Enterprise Europe Network and the setting up of two new financial instruments, one for debt and one for equity. The CIP programme (2007-2013) covered the transitional period for these two instruments in order to avoid any disruption of activities. </w:t>
      </w:r>
    </w:p>
    <w:p>
      <w:pPr>
        <w:spacing w:before="100" w:beforeAutospacing="1" w:after="100" w:afterAutospacing="1"/>
        <w:jc w:val="both"/>
        <w:rPr>
          <w:noProof/>
        </w:rPr>
      </w:pPr>
      <w:r>
        <w:rPr>
          <w:noProof/>
        </w:rPr>
        <w:t>The externalization of the spending programmes took place as set out in the Commission Communication on the delegation of the management of the 2014-2020 programmes to executive agencies.</w:t>
      </w:r>
      <w:r>
        <w:rPr>
          <w:bCs/>
          <w:noProof/>
          <w:vertAlign w:val="superscript"/>
        </w:rPr>
        <w:footnoteReference w:id="4"/>
      </w:r>
      <w:r>
        <w:rPr>
          <w:noProof/>
        </w:rPr>
        <w:t xml:space="preserve"> The Executive Agency for Small and Medium-sized Enterprises (EASME) was created by Commission Implementing Decision on 17 December 2013</w:t>
      </w:r>
      <w:r>
        <w:rPr>
          <w:bCs/>
          <w:noProof/>
          <w:vertAlign w:val="superscript"/>
        </w:rPr>
        <w:footnoteReference w:id="5"/>
      </w:r>
      <w:r>
        <w:rPr>
          <w:noProof/>
        </w:rPr>
        <w:t xml:space="preserve"> and the Act of Delegation adopted on 23 December</w:t>
      </w:r>
      <w:r>
        <w:rPr>
          <w:bCs/>
          <w:noProof/>
          <w:vertAlign w:val="superscript"/>
        </w:rPr>
        <w:footnoteReference w:id="6"/>
      </w:r>
      <w:r>
        <w:rPr>
          <w:noProof/>
        </w:rPr>
        <w:t>. DG GROW is the lead parent-DG of EASME.</w:t>
      </w:r>
      <w:r>
        <w:rPr>
          <w:bCs/>
          <w:noProof/>
          <w:vertAlign w:val="superscript"/>
        </w:rPr>
        <w:footnoteReference w:id="7"/>
      </w:r>
      <w:r>
        <w:rPr>
          <w:noProof/>
        </w:rPr>
        <w:t xml:space="preserve"> On average 92% of the COSME activities, with the exception of access to finance, were delegated to EASME.</w:t>
      </w:r>
    </w:p>
    <w:p>
      <w:pPr>
        <w:spacing w:before="100" w:beforeAutospacing="1" w:after="100" w:afterAutospacing="1"/>
        <w:jc w:val="both"/>
        <w:rPr>
          <w:noProof/>
          <w:lang w:val="en-US"/>
        </w:rPr>
      </w:pPr>
      <w:r>
        <w:rPr>
          <w:noProof/>
          <w:lang w:val="en-US"/>
        </w:rPr>
        <w:t>2014 was a particularly challenging year for EASME. It managed a budget of nearly €1,100 million (compared to €586 million in 2013). The number of staff increased from 144 (in 2013) to 300 Full Time Equivalent (FTE) by the end of the year. This generated teething problems resulting in implementation delays. As a result €78,8 million from the €95,5 million delegated from the COSME programme were carried over for implementation in 2015. The agency eliminated the backlog in 2015 and reached an implementation level of 98.3% of the 2014 actions carried-over to 2015.</w:t>
      </w:r>
    </w:p>
    <w:p>
      <w:pPr>
        <w:spacing w:before="100" w:beforeAutospacing="1" w:after="100" w:afterAutospacing="1"/>
        <w:jc w:val="both"/>
        <w:rPr>
          <w:noProof/>
          <w:lang w:val="en-US" w:eastAsia="de-DE"/>
        </w:rPr>
      </w:pPr>
      <w:r>
        <w:rPr>
          <w:noProof/>
          <w:lang w:val="en-US"/>
        </w:rPr>
        <w:t xml:space="preserve">In total, </w:t>
      </w:r>
      <w:r>
        <w:rPr>
          <w:b/>
          <w:noProof/>
          <w:lang w:val="en-US" w:eastAsia="de-DE"/>
        </w:rPr>
        <w:t>99.23% of the €258,983 million euros available were committed.</w:t>
      </w:r>
      <w:r>
        <w:rPr>
          <w:noProof/>
          <w:lang w:val="en-US" w:eastAsia="de-DE"/>
        </w:rPr>
        <w:t xml:space="preserve">  For payments, the implementation rate was on average 93.08% due to administrative expenditure rates while in the operational lines 100% execution was reached.  </w:t>
      </w:r>
    </w:p>
    <w:p>
      <w:pPr>
        <w:spacing w:after="200" w:line="276" w:lineRule="auto"/>
        <w:rPr>
          <w:noProof/>
          <w:lang w:val="en-US" w:eastAsia="de-DE"/>
        </w:rPr>
      </w:pPr>
      <w:r>
        <w:rPr>
          <w:noProof/>
          <w:lang w:val="en-US" w:eastAsia="de-DE"/>
        </w:rPr>
        <w:br w:type="page"/>
      </w:r>
    </w:p>
    <w:p>
      <w:pPr>
        <w:spacing w:after="60"/>
        <w:rPr>
          <w:i/>
          <w:noProof/>
        </w:rPr>
      </w:pPr>
      <w:r>
        <w:rPr>
          <w:i/>
          <w:noProof/>
        </w:rPr>
        <w:t>Table: COSME total budget available in 2014 for commitments</w:t>
      </w:r>
    </w:p>
    <w:p>
      <w:pPr>
        <w:rPr>
          <w:noProof/>
          <w:lang w:val="en-US" w:eastAsia="de-DE"/>
        </w:rPr>
      </w:pPr>
    </w:p>
    <w:p>
      <w:pPr>
        <w:rPr>
          <w:b/>
          <w:noProof/>
          <w:u w:val="single"/>
          <w:lang w:val="en-US" w:eastAsia="de-DE"/>
        </w:rPr>
      </w:pPr>
      <w:r>
        <w:rPr>
          <w:rFonts w:eastAsiaTheme="minorHAnsi"/>
          <w:b/>
          <w:noProof/>
          <w:u w:val="single"/>
          <w:lang w:val="en-US" w:eastAsia="en-US"/>
        </w:rPr>
        <w:t>Budget line 02 01 04 01 for administrative expenditures</w:t>
      </w:r>
      <w:r>
        <w:rPr>
          <w:b/>
          <w:noProof/>
          <w:u w:val="single"/>
          <w:lang w:val="en-US" w:eastAsia="de-DE"/>
        </w:rPr>
        <w:t xml:space="preserve"> </w:t>
      </w:r>
    </w:p>
    <w:p>
      <w:pPr>
        <w:rPr>
          <w:noProof/>
          <w:u w:val="single"/>
          <w:lang w:val="en-US" w:eastAsia="de-DE"/>
        </w:rPr>
      </w:pPr>
    </w:p>
    <w:p>
      <w:pPr>
        <w:rPr>
          <w:noProof/>
          <w:u w:val="single"/>
          <w:lang w:val="en-US" w:eastAsia="de-DE"/>
        </w:rPr>
      </w:pPr>
      <w:r>
        <w:rPr>
          <w:noProof/>
          <w:u w:val="single"/>
          <w:lang w:val="en-US" w:eastAsia="de-DE"/>
        </w:rPr>
        <w:t xml:space="preserve">Voted budget, available after transfers:  </w:t>
      </w:r>
      <w:r>
        <w:rPr>
          <w:noProof/>
          <w:u w:val="single"/>
          <w:lang w:val="en-US" w:eastAsia="de-DE"/>
        </w:rPr>
        <w:tab/>
      </w:r>
      <w:r>
        <w:rPr>
          <w:noProof/>
          <w:u w:val="single"/>
          <w:lang w:val="en-US" w:eastAsia="de-DE"/>
        </w:rPr>
        <w:tab/>
        <w:t xml:space="preserve"> </w:t>
      </w:r>
      <w:r>
        <w:rPr>
          <w:noProof/>
          <w:u w:val="single"/>
          <w:lang w:val="en-US" w:eastAsia="de-DE"/>
        </w:rPr>
        <w:tab/>
      </w:r>
      <w:r>
        <w:rPr>
          <w:noProof/>
          <w:u w:val="single"/>
          <w:lang w:val="en-US" w:eastAsia="de-DE"/>
        </w:rPr>
        <w:tab/>
        <w:t>4.212.210</w:t>
      </w:r>
    </w:p>
    <w:p>
      <w:pPr>
        <w:rPr>
          <w:noProof/>
          <w:u w:val="single"/>
          <w:lang w:val="en-US" w:eastAsia="de-DE"/>
        </w:rPr>
      </w:pPr>
      <w:r>
        <w:rPr>
          <w:noProof/>
          <w:u w:val="single"/>
          <w:lang w:val="en-US" w:eastAsia="de-DE"/>
        </w:rPr>
        <w:t>Other external assigned revenue:</w:t>
      </w:r>
      <w:r>
        <w:rPr>
          <w:noProof/>
          <w:u w:val="single"/>
          <w:lang w:val="en-US" w:eastAsia="de-DE"/>
        </w:rPr>
        <w:tab/>
      </w:r>
      <w:r>
        <w:rPr>
          <w:noProof/>
          <w:u w:val="single"/>
          <w:lang w:val="en-US" w:eastAsia="de-DE"/>
        </w:rPr>
        <w:tab/>
      </w:r>
      <w:r>
        <w:rPr>
          <w:noProof/>
          <w:u w:val="single"/>
          <w:lang w:val="en-US" w:eastAsia="de-DE"/>
        </w:rPr>
        <w:tab/>
        <w:t xml:space="preserve">   </w:t>
      </w:r>
      <w:r>
        <w:rPr>
          <w:noProof/>
          <w:u w:val="single"/>
          <w:lang w:val="en-US" w:eastAsia="de-DE"/>
        </w:rPr>
        <w:tab/>
        <w:t xml:space="preserve">               300.314</w:t>
      </w:r>
    </w:p>
    <w:p>
      <w:pPr>
        <w:rPr>
          <w:noProof/>
          <w:u w:val="single"/>
          <w:lang w:val="en-US" w:eastAsia="de-DE"/>
        </w:rPr>
      </w:pPr>
      <w:r>
        <w:rPr>
          <w:noProof/>
          <w:u w:val="single"/>
          <w:lang w:val="en-US" w:eastAsia="de-DE"/>
        </w:rPr>
        <w:t>Contributions from third-countries:</w:t>
      </w:r>
      <w:r>
        <w:rPr>
          <w:noProof/>
          <w:u w:val="single"/>
          <w:lang w:val="en-US" w:eastAsia="de-DE"/>
        </w:rPr>
        <w:tab/>
      </w:r>
      <w:r>
        <w:rPr>
          <w:noProof/>
          <w:u w:val="single"/>
          <w:lang w:val="en-US" w:eastAsia="de-DE"/>
        </w:rPr>
        <w:tab/>
        <w:t xml:space="preserve">    </w:t>
      </w:r>
      <w:r>
        <w:rPr>
          <w:noProof/>
          <w:u w:val="single"/>
          <w:lang w:val="en-US" w:eastAsia="de-DE"/>
        </w:rPr>
        <w:tab/>
      </w:r>
      <w:r>
        <w:rPr>
          <w:noProof/>
          <w:u w:val="single"/>
          <w:lang w:val="en-US" w:eastAsia="de-DE"/>
        </w:rPr>
        <w:tab/>
      </w:r>
      <w:r>
        <w:rPr>
          <w:noProof/>
          <w:u w:val="single"/>
          <w:lang w:val="en-US" w:eastAsia="de-DE"/>
        </w:rPr>
        <w:tab/>
        <w:t xml:space="preserve">   600.529</w:t>
      </w:r>
    </w:p>
    <w:p>
      <w:pPr>
        <w:rPr>
          <w:noProof/>
          <w:u w:val="single"/>
          <w:lang w:val="en-US" w:eastAsia="de-DE"/>
        </w:rPr>
      </w:pPr>
    </w:p>
    <w:p>
      <w:pPr>
        <w:rPr>
          <w:noProof/>
          <w:u w:val="single"/>
          <w:lang w:val="en-US" w:eastAsia="de-DE"/>
        </w:rPr>
      </w:pPr>
      <w:r>
        <w:rPr>
          <w:noProof/>
          <w:u w:val="single"/>
          <w:lang w:val="en-US" w:eastAsia="de-DE"/>
        </w:rPr>
        <w:t>Total Budget available for commitments:</w:t>
      </w:r>
      <w:r>
        <w:rPr>
          <w:noProof/>
          <w:u w:val="single"/>
          <w:lang w:val="en-US" w:eastAsia="de-DE"/>
        </w:rPr>
        <w:tab/>
      </w:r>
      <w:r>
        <w:rPr>
          <w:noProof/>
          <w:u w:val="single"/>
          <w:lang w:val="en-US" w:eastAsia="de-DE"/>
        </w:rPr>
        <w:tab/>
      </w:r>
      <w:r>
        <w:rPr>
          <w:noProof/>
          <w:u w:val="single"/>
          <w:lang w:val="en-US" w:eastAsia="de-DE"/>
        </w:rPr>
        <w:tab/>
      </w:r>
      <w:r>
        <w:rPr>
          <w:noProof/>
          <w:u w:val="single"/>
          <w:lang w:val="en-US" w:eastAsia="de-DE"/>
        </w:rPr>
        <w:tab/>
        <w:t>5.118.063</w:t>
      </w:r>
    </w:p>
    <w:p>
      <w:pPr>
        <w:rPr>
          <w:noProof/>
          <w:u w:val="single"/>
          <w:lang w:val="en-US" w:eastAsia="de-DE"/>
        </w:rPr>
      </w:pPr>
    </w:p>
    <w:p>
      <w:pPr>
        <w:rPr>
          <w:noProof/>
          <w:u w:val="single"/>
          <w:lang w:val="en-US" w:eastAsia="de-DE"/>
        </w:rPr>
      </w:pPr>
    </w:p>
    <w:p>
      <w:pPr>
        <w:rPr>
          <w:rFonts w:eastAsiaTheme="minorHAnsi"/>
          <w:b/>
          <w:noProof/>
          <w:u w:val="single"/>
          <w:lang w:val="en-US" w:eastAsia="en-US"/>
        </w:rPr>
      </w:pPr>
      <w:r>
        <w:rPr>
          <w:rFonts w:eastAsiaTheme="minorHAnsi"/>
          <w:b/>
          <w:noProof/>
          <w:u w:val="single"/>
          <w:lang w:val="en-US" w:eastAsia="en-US"/>
        </w:rPr>
        <w:t xml:space="preserve">Budget line 02 01 06 01 for the functioning of the EASME agency: </w:t>
      </w:r>
    </w:p>
    <w:p>
      <w:pPr>
        <w:rPr>
          <w:rFonts w:eastAsiaTheme="minorHAnsi"/>
          <w:noProof/>
          <w:lang w:val="en-US" w:eastAsia="en-US"/>
        </w:rPr>
      </w:pPr>
    </w:p>
    <w:p>
      <w:pPr>
        <w:rPr>
          <w:noProof/>
          <w:u w:val="single"/>
          <w:lang w:val="en-US" w:eastAsia="de-DE"/>
        </w:rPr>
      </w:pPr>
      <w:r>
        <w:rPr>
          <w:noProof/>
          <w:u w:val="single"/>
          <w:lang w:val="en-US" w:eastAsia="de-DE"/>
        </w:rPr>
        <w:t>Voted budget, available after transfers:</w:t>
      </w:r>
      <w:r>
        <w:rPr>
          <w:noProof/>
          <w:u w:val="single"/>
          <w:lang w:val="en-US" w:eastAsia="de-DE"/>
        </w:rPr>
        <w:tab/>
      </w:r>
      <w:r>
        <w:rPr>
          <w:noProof/>
          <w:u w:val="single"/>
          <w:lang w:val="en-US" w:eastAsia="de-DE"/>
        </w:rPr>
        <w:tab/>
      </w:r>
      <w:r>
        <w:rPr>
          <w:noProof/>
          <w:u w:val="single"/>
          <w:lang w:val="en-US" w:eastAsia="de-DE"/>
        </w:rPr>
        <w:tab/>
      </w:r>
      <w:r>
        <w:rPr>
          <w:noProof/>
          <w:u w:val="single"/>
          <w:lang w:val="en-US" w:eastAsia="de-DE"/>
        </w:rPr>
        <w:tab/>
        <w:t xml:space="preserve"> 6.496.350</w:t>
      </w:r>
    </w:p>
    <w:p>
      <w:pPr>
        <w:rPr>
          <w:noProof/>
          <w:u w:val="single"/>
          <w:lang w:val="en-US" w:eastAsia="de-DE"/>
        </w:rPr>
      </w:pPr>
      <w:r>
        <w:rPr>
          <w:noProof/>
          <w:u w:val="single"/>
          <w:lang w:val="en-US" w:eastAsia="de-DE"/>
        </w:rPr>
        <w:t>Other external assigned revenue:</w:t>
      </w:r>
      <w:r>
        <w:rPr>
          <w:noProof/>
          <w:u w:val="single"/>
          <w:lang w:val="en-US" w:eastAsia="de-DE"/>
        </w:rPr>
        <w:tab/>
      </w:r>
      <w:r>
        <w:rPr>
          <w:noProof/>
          <w:u w:val="single"/>
          <w:lang w:val="en-US" w:eastAsia="de-DE"/>
        </w:rPr>
        <w:tab/>
      </w:r>
      <w:r>
        <w:rPr>
          <w:noProof/>
          <w:u w:val="single"/>
          <w:lang w:val="en-US" w:eastAsia="de-DE"/>
        </w:rPr>
        <w:tab/>
        <w:t xml:space="preserve">    </w:t>
      </w:r>
      <w:r>
        <w:rPr>
          <w:noProof/>
          <w:u w:val="single"/>
          <w:lang w:val="en-US" w:eastAsia="de-DE"/>
        </w:rPr>
        <w:tab/>
      </w:r>
      <w:r>
        <w:rPr>
          <w:noProof/>
          <w:u w:val="single"/>
          <w:lang w:val="en-US" w:eastAsia="de-DE"/>
        </w:rPr>
        <w:tab/>
        <w:t xml:space="preserve">    166.769</w:t>
      </w:r>
    </w:p>
    <w:p>
      <w:pPr>
        <w:rPr>
          <w:noProof/>
          <w:u w:val="single"/>
          <w:lang w:val="en-US" w:eastAsia="de-DE"/>
        </w:rPr>
      </w:pPr>
      <w:r>
        <w:rPr>
          <w:noProof/>
          <w:u w:val="single"/>
          <w:lang w:val="en-US" w:eastAsia="de-DE"/>
        </w:rPr>
        <w:t>Contributions from Third-countries:</w:t>
      </w:r>
      <w:r>
        <w:rPr>
          <w:noProof/>
          <w:u w:val="single"/>
          <w:lang w:val="en-US" w:eastAsia="de-DE"/>
        </w:rPr>
        <w:tab/>
      </w:r>
      <w:r>
        <w:rPr>
          <w:noProof/>
          <w:u w:val="single"/>
          <w:lang w:val="en-US" w:eastAsia="de-DE"/>
        </w:rPr>
        <w:tab/>
        <w:t xml:space="preserve">         </w:t>
      </w:r>
      <w:r>
        <w:rPr>
          <w:noProof/>
          <w:u w:val="single"/>
          <w:lang w:val="en-US" w:eastAsia="de-DE"/>
        </w:rPr>
        <w:tab/>
      </w:r>
      <w:r>
        <w:rPr>
          <w:noProof/>
          <w:u w:val="single"/>
          <w:lang w:val="en-US" w:eastAsia="de-DE"/>
        </w:rPr>
        <w:tab/>
      </w:r>
      <w:r>
        <w:rPr>
          <w:noProof/>
          <w:u w:val="single"/>
          <w:lang w:val="en-US" w:eastAsia="de-DE"/>
        </w:rPr>
        <w:tab/>
        <w:t xml:space="preserve">        3.984</w:t>
      </w:r>
    </w:p>
    <w:p>
      <w:pPr>
        <w:rPr>
          <w:noProof/>
          <w:u w:val="single"/>
          <w:lang w:val="en-US" w:eastAsia="de-DE"/>
        </w:rPr>
      </w:pPr>
    </w:p>
    <w:p>
      <w:pPr>
        <w:rPr>
          <w:noProof/>
          <w:u w:val="single"/>
          <w:lang w:val="en-US" w:eastAsia="de-DE"/>
        </w:rPr>
      </w:pPr>
    </w:p>
    <w:p>
      <w:pPr>
        <w:rPr>
          <w:noProof/>
          <w:u w:val="single"/>
          <w:lang w:val="en-US" w:eastAsia="de-DE"/>
        </w:rPr>
      </w:pPr>
      <w:r>
        <w:rPr>
          <w:noProof/>
          <w:u w:val="single"/>
          <w:lang w:val="en-US" w:eastAsia="de-DE"/>
        </w:rPr>
        <w:t>Total Budget available for commitments:</w:t>
      </w:r>
      <w:r>
        <w:rPr>
          <w:noProof/>
          <w:u w:val="single"/>
          <w:lang w:val="en-US" w:eastAsia="de-DE"/>
        </w:rPr>
        <w:tab/>
      </w:r>
      <w:r>
        <w:rPr>
          <w:noProof/>
          <w:u w:val="single"/>
          <w:lang w:val="en-US" w:eastAsia="de-DE"/>
        </w:rPr>
        <w:tab/>
      </w:r>
      <w:r>
        <w:rPr>
          <w:noProof/>
          <w:u w:val="single"/>
          <w:lang w:val="en-US" w:eastAsia="de-DE"/>
        </w:rPr>
        <w:tab/>
      </w:r>
      <w:r>
        <w:rPr>
          <w:noProof/>
          <w:u w:val="single"/>
          <w:lang w:val="en-US" w:eastAsia="de-DE"/>
        </w:rPr>
        <w:tab/>
        <w:t xml:space="preserve"> 6.667.313</w:t>
      </w:r>
    </w:p>
    <w:p>
      <w:pPr>
        <w:rPr>
          <w:noProof/>
          <w:u w:val="single"/>
          <w:lang w:val="en-US" w:eastAsia="de-DE"/>
        </w:rPr>
      </w:pPr>
    </w:p>
    <w:p>
      <w:pPr>
        <w:rPr>
          <w:b/>
          <w:noProof/>
          <w:u w:val="single"/>
          <w:lang w:val="en-US" w:eastAsia="de-DE"/>
        </w:rPr>
      </w:pPr>
      <w:r>
        <w:rPr>
          <w:rFonts w:eastAsiaTheme="minorHAnsi"/>
          <w:b/>
          <w:noProof/>
          <w:u w:val="single"/>
          <w:lang w:val="en-US" w:eastAsia="en-US"/>
        </w:rPr>
        <w:t>Budget line 02 02 01 for all other operational expenditure</w:t>
      </w:r>
    </w:p>
    <w:p>
      <w:pPr>
        <w:rPr>
          <w:noProof/>
          <w:u w:val="single"/>
          <w:lang w:val="en-US" w:eastAsia="de-DE"/>
        </w:rPr>
      </w:pPr>
    </w:p>
    <w:p>
      <w:pPr>
        <w:rPr>
          <w:noProof/>
          <w:u w:val="single"/>
          <w:lang w:val="en-US" w:eastAsia="de-DE"/>
        </w:rPr>
      </w:pPr>
      <w:r>
        <w:rPr>
          <w:noProof/>
          <w:u w:val="single"/>
          <w:lang w:val="en-US" w:eastAsia="de-DE"/>
        </w:rPr>
        <w:t>Voted budget, available after transfers:</w:t>
      </w:r>
      <w:r>
        <w:rPr>
          <w:noProof/>
          <w:u w:val="single"/>
          <w:lang w:val="en-US" w:eastAsia="de-DE"/>
        </w:rPr>
        <w:tab/>
      </w:r>
      <w:r>
        <w:rPr>
          <w:noProof/>
          <w:u w:val="single"/>
          <w:lang w:val="en-US" w:eastAsia="de-DE"/>
        </w:rPr>
        <w:tab/>
      </w:r>
      <w:r>
        <w:rPr>
          <w:noProof/>
          <w:u w:val="single"/>
          <w:lang w:val="en-US" w:eastAsia="de-DE"/>
        </w:rPr>
        <w:tab/>
      </w:r>
      <w:r>
        <w:rPr>
          <w:noProof/>
          <w:u w:val="single"/>
          <w:lang w:val="en-US" w:eastAsia="de-DE"/>
        </w:rPr>
        <w:tab/>
        <w:t xml:space="preserve"> 102.709.687</w:t>
      </w:r>
    </w:p>
    <w:p>
      <w:pPr>
        <w:rPr>
          <w:noProof/>
          <w:u w:val="single"/>
          <w:lang w:val="en-US" w:eastAsia="de-DE"/>
        </w:rPr>
      </w:pPr>
      <w:r>
        <w:rPr>
          <w:noProof/>
          <w:u w:val="single"/>
          <w:lang w:val="en-US" w:eastAsia="de-DE"/>
        </w:rPr>
        <w:t>Assigned revenue without carry-over of residual appropriations:</w:t>
      </w:r>
      <w:r>
        <w:rPr>
          <w:noProof/>
          <w:u w:val="single"/>
          <w:lang w:val="en-US" w:eastAsia="de-DE"/>
        </w:rPr>
        <w:tab/>
        <w:t xml:space="preserve">     3.619.285</w:t>
      </w:r>
    </w:p>
    <w:p>
      <w:pPr>
        <w:rPr>
          <w:noProof/>
          <w:u w:val="single"/>
          <w:lang w:val="en-US" w:eastAsia="de-DE"/>
        </w:rPr>
      </w:pPr>
      <w:r>
        <w:rPr>
          <w:noProof/>
          <w:u w:val="single"/>
          <w:lang w:val="en-US" w:eastAsia="de-DE"/>
        </w:rPr>
        <w:t>EFTA contribution</w:t>
      </w:r>
      <w:r>
        <w:rPr>
          <w:noProof/>
          <w:u w:val="single"/>
          <w:lang w:val="en-US" w:eastAsia="de-DE"/>
        </w:rPr>
        <w:tab/>
      </w:r>
      <w:r>
        <w:rPr>
          <w:noProof/>
          <w:u w:val="single"/>
          <w:lang w:val="en-US" w:eastAsia="de-DE"/>
        </w:rPr>
        <w:tab/>
      </w:r>
      <w:r>
        <w:rPr>
          <w:noProof/>
          <w:u w:val="single"/>
          <w:lang w:val="en-US" w:eastAsia="de-DE"/>
        </w:rPr>
        <w:tab/>
      </w:r>
      <w:r>
        <w:rPr>
          <w:noProof/>
          <w:u w:val="single"/>
          <w:lang w:val="en-US" w:eastAsia="de-DE"/>
        </w:rPr>
        <w:tab/>
      </w:r>
      <w:r>
        <w:rPr>
          <w:noProof/>
          <w:u w:val="single"/>
          <w:lang w:val="en-US" w:eastAsia="de-DE"/>
        </w:rPr>
        <w:tab/>
      </w:r>
      <w:r>
        <w:rPr>
          <w:noProof/>
          <w:u w:val="single"/>
          <w:lang w:val="en-US" w:eastAsia="de-DE"/>
        </w:rPr>
        <w:tab/>
      </w:r>
      <w:r>
        <w:rPr>
          <w:noProof/>
          <w:u w:val="single"/>
          <w:lang w:val="en-US" w:eastAsia="de-DE"/>
        </w:rPr>
        <w:tab/>
        <w:t xml:space="preserve">          82.168</w:t>
      </w:r>
    </w:p>
    <w:p>
      <w:pPr>
        <w:rPr>
          <w:noProof/>
          <w:u w:val="single"/>
          <w:lang w:val="en-US" w:eastAsia="de-DE"/>
        </w:rPr>
      </w:pPr>
    </w:p>
    <w:p>
      <w:pPr>
        <w:rPr>
          <w:noProof/>
          <w:u w:val="single"/>
          <w:lang w:val="en-US" w:eastAsia="de-DE"/>
        </w:rPr>
      </w:pPr>
      <w:r>
        <w:rPr>
          <w:noProof/>
          <w:u w:val="single"/>
          <w:lang w:val="en-US" w:eastAsia="de-DE"/>
        </w:rPr>
        <w:t>Total Budget available for commitments:</w:t>
      </w:r>
      <w:r>
        <w:rPr>
          <w:noProof/>
          <w:u w:val="single"/>
          <w:lang w:val="en-US" w:eastAsia="de-DE"/>
        </w:rPr>
        <w:tab/>
      </w:r>
      <w:r>
        <w:rPr>
          <w:noProof/>
          <w:u w:val="single"/>
          <w:lang w:val="en-US" w:eastAsia="de-DE"/>
        </w:rPr>
        <w:tab/>
      </w:r>
      <w:r>
        <w:rPr>
          <w:noProof/>
          <w:u w:val="single"/>
          <w:lang w:val="en-US" w:eastAsia="de-DE"/>
        </w:rPr>
        <w:tab/>
      </w:r>
      <w:r>
        <w:rPr>
          <w:noProof/>
          <w:u w:val="single"/>
          <w:lang w:val="en-US" w:eastAsia="de-DE"/>
        </w:rPr>
        <w:tab/>
        <w:t xml:space="preserve">  106.411.140</w:t>
      </w:r>
    </w:p>
    <w:p>
      <w:pPr>
        <w:rPr>
          <w:noProof/>
          <w:u w:val="single"/>
          <w:lang w:val="en-US" w:eastAsia="de-DE"/>
        </w:rPr>
      </w:pPr>
    </w:p>
    <w:p>
      <w:pPr>
        <w:rPr>
          <w:noProof/>
          <w:u w:val="single"/>
          <w:lang w:val="en-US" w:eastAsia="de-DE"/>
        </w:rPr>
      </w:pPr>
    </w:p>
    <w:p>
      <w:pPr>
        <w:rPr>
          <w:b/>
          <w:noProof/>
          <w:u w:val="single"/>
          <w:lang w:val="en-US" w:eastAsia="de-DE"/>
        </w:rPr>
      </w:pPr>
      <w:r>
        <w:rPr>
          <w:rFonts w:eastAsiaTheme="minorHAnsi"/>
          <w:b/>
          <w:noProof/>
          <w:u w:val="single"/>
          <w:lang w:val="en-US" w:eastAsia="en-US"/>
        </w:rPr>
        <w:t>Budget line 02 02 02 for access to finance operational expenditure</w:t>
      </w:r>
      <w:r>
        <w:rPr>
          <w:b/>
          <w:noProof/>
          <w:u w:val="single"/>
          <w:lang w:val="en-US" w:eastAsia="de-DE"/>
        </w:rPr>
        <w:t xml:space="preserve"> </w:t>
      </w:r>
    </w:p>
    <w:p>
      <w:pPr>
        <w:rPr>
          <w:noProof/>
          <w:u w:val="single"/>
          <w:lang w:val="en-US" w:eastAsia="de-DE"/>
        </w:rPr>
      </w:pPr>
    </w:p>
    <w:p>
      <w:pPr>
        <w:rPr>
          <w:noProof/>
          <w:u w:val="single"/>
          <w:lang w:val="en-US" w:eastAsia="de-DE"/>
        </w:rPr>
      </w:pPr>
      <w:r>
        <w:rPr>
          <w:noProof/>
          <w:u w:val="single"/>
          <w:lang w:val="en-US" w:eastAsia="de-DE"/>
        </w:rPr>
        <w:t>Voted budget:</w:t>
      </w:r>
      <w:r>
        <w:rPr>
          <w:noProof/>
          <w:u w:val="single"/>
          <w:lang w:val="en-US" w:eastAsia="de-DE"/>
        </w:rPr>
        <w:tab/>
      </w:r>
      <w:r>
        <w:rPr>
          <w:noProof/>
          <w:u w:val="single"/>
          <w:lang w:val="en-US" w:eastAsia="de-DE"/>
        </w:rPr>
        <w:tab/>
      </w:r>
      <w:r>
        <w:rPr>
          <w:noProof/>
          <w:u w:val="single"/>
          <w:lang w:val="en-US" w:eastAsia="de-DE"/>
        </w:rPr>
        <w:tab/>
      </w:r>
      <w:r>
        <w:rPr>
          <w:noProof/>
          <w:u w:val="single"/>
          <w:lang w:val="en-US" w:eastAsia="de-DE"/>
        </w:rPr>
        <w:tab/>
        <w:t xml:space="preserve"> </w:t>
      </w:r>
      <w:r>
        <w:rPr>
          <w:noProof/>
          <w:u w:val="single"/>
          <w:lang w:val="en-US" w:eastAsia="de-DE"/>
        </w:rPr>
        <w:tab/>
      </w:r>
      <w:r>
        <w:rPr>
          <w:noProof/>
          <w:u w:val="single"/>
          <w:lang w:val="en-US" w:eastAsia="de-DE"/>
        </w:rPr>
        <w:tab/>
      </w:r>
      <w:r>
        <w:rPr>
          <w:noProof/>
          <w:u w:val="single"/>
          <w:lang w:val="en-US" w:eastAsia="de-DE"/>
        </w:rPr>
        <w:tab/>
      </w:r>
      <w:r>
        <w:rPr>
          <w:noProof/>
          <w:u w:val="single"/>
          <w:lang w:val="en-US" w:eastAsia="de-DE"/>
        </w:rPr>
        <w:tab/>
      </w:r>
      <w:r>
        <w:rPr>
          <w:noProof/>
          <w:lang w:eastAsia="en-US"/>
        </w:rPr>
        <w:t>161.907.588</w:t>
      </w:r>
    </w:p>
    <w:p>
      <w:pPr>
        <w:rPr>
          <w:noProof/>
          <w:u w:val="single"/>
          <w:lang w:val="en-US" w:eastAsia="de-DE"/>
        </w:rPr>
      </w:pPr>
      <w:r>
        <w:rPr>
          <w:noProof/>
          <w:u w:val="single"/>
          <w:lang w:val="en-US" w:eastAsia="de-DE"/>
        </w:rPr>
        <w:t>Transfer to EIF capital increase:</w:t>
      </w:r>
      <w:r>
        <w:rPr>
          <w:noProof/>
          <w:u w:val="single"/>
          <w:lang w:val="en-US" w:eastAsia="de-DE"/>
        </w:rPr>
        <w:tab/>
      </w:r>
      <w:r>
        <w:rPr>
          <w:noProof/>
          <w:u w:val="single"/>
          <w:lang w:val="en-US" w:eastAsia="de-DE"/>
        </w:rPr>
        <w:tab/>
      </w:r>
      <w:r>
        <w:rPr>
          <w:noProof/>
          <w:u w:val="single"/>
          <w:lang w:val="en-US" w:eastAsia="de-DE"/>
        </w:rPr>
        <w:tab/>
        <w:t xml:space="preserve">    </w:t>
      </w:r>
      <w:r>
        <w:rPr>
          <w:noProof/>
          <w:u w:val="single"/>
          <w:lang w:val="en-US" w:eastAsia="de-DE"/>
        </w:rPr>
        <w:tab/>
      </w:r>
      <w:r>
        <w:rPr>
          <w:noProof/>
          <w:u w:val="single"/>
          <w:lang w:val="en-US" w:eastAsia="de-DE"/>
        </w:rPr>
        <w:tab/>
        <w:t xml:space="preserve"> -21.250.000</w:t>
      </w:r>
    </w:p>
    <w:p>
      <w:pPr>
        <w:rPr>
          <w:noProof/>
          <w:u w:val="single"/>
          <w:lang w:val="en-US" w:eastAsia="de-DE"/>
        </w:rPr>
      </w:pPr>
      <w:r>
        <w:rPr>
          <w:noProof/>
          <w:u w:val="single"/>
          <w:lang w:val="en-US" w:eastAsia="de-DE"/>
        </w:rPr>
        <w:t>EFTA contribution</w:t>
      </w:r>
      <w:r>
        <w:rPr>
          <w:noProof/>
          <w:u w:val="single"/>
          <w:lang w:val="en-US" w:eastAsia="de-DE"/>
        </w:rPr>
        <w:tab/>
      </w:r>
      <w:r>
        <w:rPr>
          <w:noProof/>
          <w:u w:val="single"/>
          <w:lang w:val="en-US" w:eastAsia="de-DE"/>
        </w:rPr>
        <w:tab/>
      </w:r>
      <w:r>
        <w:rPr>
          <w:noProof/>
          <w:u w:val="single"/>
          <w:lang w:val="en-US" w:eastAsia="de-DE"/>
        </w:rPr>
        <w:tab/>
      </w:r>
      <w:r>
        <w:rPr>
          <w:noProof/>
          <w:u w:val="single"/>
          <w:lang w:val="en-US" w:eastAsia="de-DE"/>
        </w:rPr>
        <w:tab/>
      </w:r>
      <w:r>
        <w:rPr>
          <w:noProof/>
          <w:u w:val="single"/>
          <w:lang w:val="en-US" w:eastAsia="de-DE"/>
        </w:rPr>
        <w:tab/>
      </w:r>
      <w:r>
        <w:rPr>
          <w:noProof/>
          <w:u w:val="single"/>
          <w:lang w:val="en-US" w:eastAsia="de-DE"/>
        </w:rPr>
        <w:tab/>
      </w:r>
      <w:r>
        <w:rPr>
          <w:noProof/>
          <w:u w:val="single"/>
          <w:lang w:val="en-US" w:eastAsia="de-DE"/>
        </w:rPr>
        <w:tab/>
        <w:t xml:space="preserve">       129.526.</w:t>
      </w:r>
    </w:p>
    <w:p>
      <w:pPr>
        <w:rPr>
          <w:noProof/>
          <w:u w:val="single"/>
          <w:lang w:val="en-US" w:eastAsia="de-DE"/>
        </w:rPr>
      </w:pPr>
    </w:p>
    <w:p>
      <w:pPr>
        <w:rPr>
          <w:noProof/>
          <w:u w:val="single"/>
          <w:lang w:val="en-US" w:eastAsia="de-DE"/>
        </w:rPr>
      </w:pPr>
      <w:r>
        <w:rPr>
          <w:noProof/>
          <w:u w:val="single"/>
          <w:lang w:val="en-US" w:eastAsia="de-DE"/>
        </w:rPr>
        <w:t>Total Budget available for commitments:</w:t>
      </w:r>
      <w:r>
        <w:rPr>
          <w:noProof/>
          <w:u w:val="single"/>
          <w:lang w:val="en-US" w:eastAsia="de-DE"/>
        </w:rPr>
        <w:tab/>
      </w:r>
      <w:r>
        <w:rPr>
          <w:noProof/>
          <w:u w:val="single"/>
          <w:lang w:val="en-US" w:eastAsia="de-DE"/>
        </w:rPr>
        <w:tab/>
      </w:r>
      <w:r>
        <w:rPr>
          <w:noProof/>
          <w:u w:val="single"/>
          <w:lang w:val="en-US" w:eastAsia="de-DE"/>
        </w:rPr>
        <w:tab/>
      </w:r>
      <w:r>
        <w:rPr>
          <w:noProof/>
          <w:u w:val="single"/>
          <w:lang w:val="en-US" w:eastAsia="de-DE"/>
        </w:rPr>
        <w:tab/>
        <w:t xml:space="preserve">  140.787.114</w:t>
      </w:r>
    </w:p>
    <w:p>
      <w:pPr>
        <w:rPr>
          <w:noProof/>
          <w:u w:val="single"/>
          <w:lang w:val="en-US" w:eastAsia="de-DE"/>
        </w:rPr>
      </w:pPr>
      <w:r>
        <w:rPr>
          <w:noProof/>
          <w:u w:val="single"/>
          <w:lang w:val="en-US" w:eastAsia="de-DE"/>
        </w:rPr>
        <w:tab/>
      </w:r>
    </w:p>
    <w:p>
      <w:pPr>
        <w:rPr>
          <w:noProof/>
          <w:u w:val="single"/>
        </w:rPr>
        <w:sectPr>
          <w:headerReference w:type="even" r:id="rId16"/>
          <w:headerReference w:type="default" r:id="rId17"/>
          <w:footerReference w:type="even" r:id="rId18"/>
          <w:footerReference w:type="default" r:id="rId19"/>
          <w:headerReference w:type="first" r:id="rId20"/>
          <w:footerReference w:type="first" r:id="rId21"/>
          <w:pgSz w:w="11906" w:h="16838"/>
          <w:pgMar w:top="1247" w:right="1418" w:bottom="1134" w:left="1418" w:header="709" w:footer="709" w:gutter="0"/>
          <w:cols w:space="720"/>
        </w:sectPr>
      </w:pPr>
      <w:r>
        <w:rPr>
          <w:noProof/>
          <w:u w:val="single"/>
          <w:lang w:val="en-US" w:eastAsia="de-DE"/>
        </w:rPr>
        <w:t xml:space="preserve">     </w:t>
      </w:r>
      <w:r>
        <w:rPr>
          <w:noProof/>
          <w:u w:val="single"/>
          <w:lang w:val="en-US" w:eastAsia="de-DE"/>
        </w:rPr>
        <w:br w:type="page"/>
      </w:r>
    </w:p>
    <w:p>
      <w:pPr>
        <w:spacing w:after="60"/>
        <w:rPr>
          <w:i/>
          <w:noProof/>
        </w:rPr>
      </w:pPr>
      <w:r>
        <w:rPr>
          <w:i/>
          <w:noProof/>
        </w:rPr>
        <w:t>Table: COSME budget execution in 2014</w:t>
      </w:r>
    </w:p>
    <w:p>
      <w:pPr>
        <w:spacing w:after="60"/>
        <w:rPr>
          <w:noProof/>
        </w:rPr>
      </w:pPr>
    </w:p>
    <w:p>
      <w:pPr>
        <w:spacing w:after="60"/>
        <w:rPr>
          <w:noProof/>
        </w:rPr>
      </w:pPr>
    </w:p>
    <w:p>
      <w:pPr>
        <w:spacing w:after="60"/>
        <w:rPr>
          <w:noProof/>
        </w:rPr>
      </w:pPr>
    </w:p>
    <w:tbl>
      <w:tblPr>
        <w:tblW w:w="6650" w:type="pct"/>
        <w:tblCellMar>
          <w:left w:w="70" w:type="dxa"/>
          <w:right w:w="70" w:type="dxa"/>
        </w:tblCellMar>
        <w:tblLook w:val="04A0" w:firstRow="1" w:lastRow="0" w:firstColumn="1" w:lastColumn="0" w:noHBand="0" w:noVBand="1"/>
      </w:tblPr>
      <w:tblGrid>
        <w:gridCol w:w="146"/>
        <w:gridCol w:w="1700"/>
        <w:gridCol w:w="2686"/>
        <w:gridCol w:w="1040"/>
        <w:gridCol w:w="1080"/>
        <w:gridCol w:w="1280"/>
        <w:gridCol w:w="950"/>
        <w:gridCol w:w="950"/>
        <w:gridCol w:w="870"/>
        <w:gridCol w:w="514"/>
        <w:gridCol w:w="893"/>
        <w:gridCol w:w="896"/>
      </w:tblGrid>
      <w:tr>
        <w:trPr>
          <w:gridAfter w:val="3"/>
          <w:wAfter w:w="1180" w:type="pct"/>
          <w:trHeight w:val="255"/>
        </w:trPr>
        <w:tc>
          <w:tcPr>
            <w:tcW w:w="65" w:type="pct"/>
            <w:noWrap/>
            <w:vAlign w:val="bottom"/>
            <w:hideMark/>
          </w:tcPr>
          <w:p>
            <w:pPr>
              <w:spacing w:after="200" w:line="276" w:lineRule="auto"/>
              <w:rPr>
                <w:rFonts w:asciiTheme="minorHAnsi" w:eastAsiaTheme="minorHAnsi" w:hAnsiTheme="minorHAnsi" w:cstheme="minorBidi"/>
                <w:noProof/>
                <w:sz w:val="22"/>
                <w:szCs w:val="22"/>
                <w:lang w:eastAsia="en-US"/>
              </w:rPr>
            </w:pPr>
          </w:p>
        </w:tc>
        <w:tc>
          <w:tcPr>
            <w:tcW w:w="458" w:type="pct"/>
            <w:shd w:val="clear" w:color="auto" w:fill="FFFFFF"/>
            <w:vAlign w:val="center"/>
            <w:hideMark/>
          </w:tcPr>
          <w:p>
            <w:pPr>
              <w:spacing w:line="276" w:lineRule="auto"/>
              <w:rPr>
                <w:noProof/>
                <w:color w:val="000000"/>
                <w:sz w:val="18"/>
                <w:szCs w:val="18"/>
                <w:lang w:eastAsia="es-ES_tradnl"/>
              </w:rPr>
            </w:pPr>
            <w:r>
              <w:rPr>
                <w:noProof/>
                <w:color w:val="000000"/>
                <w:sz w:val="18"/>
                <w:szCs w:val="18"/>
                <w:lang w:eastAsia="es-ES_tradnl"/>
              </w:rPr>
              <w:t> </w:t>
            </w:r>
          </w:p>
        </w:tc>
        <w:tc>
          <w:tcPr>
            <w:tcW w:w="915" w:type="pct"/>
            <w:shd w:val="clear" w:color="auto" w:fill="FFFFFF"/>
            <w:vAlign w:val="center"/>
            <w:hideMark/>
          </w:tcPr>
          <w:p>
            <w:pPr>
              <w:spacing w:line="276" w:lineRule="auto"/>
              <w:rPr>
                <w:noProof/>
                <w:color w:val="000000"/>
                <w:sz w:val="18"/>
                <w:szCs w:val="18"/>
                <w:lang w:eastAsia="es-ES_tradnl"/>
              </w:rPr>
            </w:pPr>
            <w:r>
              <w:rPr>
                <w:noProof/>
                <w:color w:val="000000"/>
                <w:sz w:val="18"/>
                <w:szCs w:val="18"/>
                <w:lang w:eastAsia="es-ES_tradnl"/>
              </w:rPr>
              <w:t> </w:t>
            </w:r>
          </w:p>
        </w:tc>
        <w:tc>
          <w:tcPr>
            <w:tcW w:w="1222" w:type="pct"/>
            <w:gridSpan w:val="3"/>
            <w:tcBorders>
              <w:top w:val="single" w:sz="4" w:space="0" w:color="000000"/>
              <w:left w:val="single" w:sz="4" w:space="0" w:color="000000"/>
              <w:bottom w:val="single" w:sz="4" w:space="0" w:color="000000"/>
              <w:right w:val="single" w:sz="4" w:space="0" w:color="000000"/>
            </w:tcBorders>
            <w:shd w:val="clear" w:color="auto" w:fill="C0C0C0"/>
            <w:vAlign w:val="center"/>
          </w:tcPr>
          <w:p>
            <w:pPr>
              <w:spacing w:line="276" w:lineRule="auto"/>
              <w:jc w:val="center"/>
              <w:rPr>
                <w:noProof/>
                <w:color w:val="000000"/>
                <w:sz w:val="18"/>
                <w:szCs w:val="18"/>
                <w:lang w:eastAsia="es-ES_tradnl"/>
              </w:rPr>
            </w:pPr>
          </w:p>
          <w:p>
            <w:pPr>
              <w:spacing w:line="276" w:lineRule="auto"/>
              <w:jc w:val="center"/>
              <w:rPr>
                <w:b/>
                <w:bCs/>
                <w:noProof/>
                <w:color w:val="000000"/>
                <w:sz w:val="18"/>
                <w:szCs w:val="18"/>
                <w:lang w:eastAsia="es-ES_tradnl"/>
              </w:rPr>
            </w:pPr>
            <w:r>
              <w:rPr>
                <w:b/>
                <w:bCs/>
                <w:noProof/>
                <w:color w:val="000000"/>
                <w:sz w:val="18"/>
                <w:szCs w:val="18"/>
                <w:lang w:eastAsia="es-ES_tradnl"/>
              </w:rPr>
              <w:t>Commitments</w:t>
            </w:r>
            <w:r>
              <w:rPr>
                <w:rStyle w:val="FootnoteReference"/>
                <w:b/>
                <w:bCs/>
                <w:noProof/>
                <w:color w:val="000000"/>
                <w:sz w:val="18"/>
                <w:szCs w:val="18"/>
                <w:lang w:eastAsia="es-ES_tradnl"/>
              </w:rPr>
              <w:footnoteReference w:id="8"/>
            </w:r>
          </w:p>
        </w:tc>
        <w:tc>
          <w:tcPr>
            <w:tcW w:w="1159" w:type="pct"/>
            <w:gridSpan w:val="3"/>
            <w:tcBorders>
              <w:top w:val="single" w:sz="4" w:space="0" w:color="000000"/>
              <w:left w:val="nil"/>
              <w:bottom w:val="single" w:sz="4" w:space="0" w:color="000000"/>
              <w:right w:val="single" w:sz="4" w:space="0" w:color="000000"/>
            </w:tcBorders>
            <w:shd w:val="clear" w:color="auto" w:fill="C0C0C0"/>
            <w:vAlign w:val="center"/>
            <w:hideMark/>
          </w:tcPr>
          <w:p>
            <w:pPr>
              <w:spacing w:line="276" w:lineRule="auto"/>
              <w:jc w:val="right"/>
              <w:rPr>
                <w:noProof/>
                <w:color w:val="000000"/>
                <w:sz w:val="18"/>
                <w:szCs w:val="18"/>
                <w:lang w:eastAsia="es-ES_tradnl"/>
              </w:rPr>
            </w:pPr>
            <w:r>
              <w:rPr>
                <w:noProof/>
                <w:color w:val="000000"/>
                <w:sz w:val="18"/>
                <w:szCs w:val="18"/>
                <w:lang w:eastAsia="es-ES_tradnl"/>
              </w:rPr>
              <w:t> </w:t>
            </w:r>
          </w:p>
          <w:p>
            <w:pPr>
              <w:spacing w:line="276" w:lineRule="auto"/>
              <w:jc w:val="center"/>
              <w:rPr>
                <w:b/>
                <w:bCs/>
                <w:noProof/>
                <w:color w:val="000000"/>
                <w:sz w:val="18"/>
                <w:szCs w:val="18"/>
                <w:lang w:eastAsia="es-ES_tradnl"/>
              </w:rPr>
            </w:pPr>
            <w:r>
              <w:rPr>
                <w:b/>
                <w:bCs/>
                <w:noProof/>
                <w:color w:val="000000"/>
                <w:sz w:val="18"/>
                <w:szCs w:val="18"/>
                <w:lang w:eastAsia="es-ES_tradnl"/>
              </w:rPr>
              <w:t>Payments</w:t>
            </w:r>
            <w:r>
              <w:rPr>
                <w:rStyle w:val="FootnoteReference"/>
                <w:b/>
                <w:bCs/>
                <w:noProof/>
                <w:color w:val="000000"/>
                <w:sz w:val="18"/>
                <w:szCs w:val="18"/>
                <w:lang w:eastAsia="es-ES_tradnl"/>
              </w:rPr>
              <w:footnoteReference w:id="9"/>
            </w:r>
          </w:p>
          <w:p>
            <w:pPr>
              <w:spacing w:line="276" w:lineRule="auto"/>
              <w:jc w:val="right"/>
              <w:rPr>
                <w:noProof/>
                <w:color w:val="000000"/>
                <w:sz w:val="18"/>
                <w:szCs w:val="18"/>
                <w:lang w:eastAsia="es-ES_tradnl"/>
              </w:rPr>
            </w:pPr>
            <w:r>
              <w:rPr>
                <w:noProof/>
                <w:color w:val="000000"/>
                <w:sz w:val="18"/>
                <w:szCs w:val="18"/>
                <w:lang w:eastAsia="es-ES_tradnl"/>
              </w:rPr>
              <w:t> </w:t>
            </w:r>
          </w:p>
        </w:tc>
      </w:tr>
      <w:tr>
        <w:trPr>
          <w:gridAfter w:val="3"/>
          <w:wAfter w:w="1180" w:type="pct"/>
          <w:trHeight w:val="765"/>
        </w:trPr>
        <w:tc>
          <w:tcPr>
            <w:tcW w:w="65" w:type="pct"/>
            <w:noWrap/>
            <w:vAlign w:val="bottom"/>
            <w:hideMark/>
          </w:tcPr>
          <w:p>
            <w:pPr>
              <w:spacing w:line="276" w:lineRule="auto"/>
              <w:rPr>
                <w:rFonts w:asciiTheme="minorHAnsi" w:eastAsiaTheme="minorHAnsi" w:hAnsiTheme="minorHAnsi" w:cstheme="minorBidi"/>
                <w:noProof/>
                <w:sz w:val="22"/>
                <w:szCs w:val="22"/>
                <w:lang w:eastAsia="en-US"/>
              </w:rPr>
            </w:pPr>
          </w:p>
        </w:tc>
        <w:tc>
          <w:tcPr>
            <w:tcW w:w="458" w:type="pct"/>
            <w:tcBorders>
              <w:top w:val="single" w:sz="4" w:space="0" w:color="000000"/>
              <w:left w:val="single" w:sz="4" w:space="0" w:color="000000"/>
              <w:bottom w:val="nil"/>
              <w:right w:val="single" w:sz="4" w:space="0" w:color="000000"/>
            </w:tcBorders>
            <w:shd w:val="clear" w:color="auto" w:fill="C0C0C0"/>
            <w:vAlign w:val="center"/>
            <w:hideMark/>
          </w:tcPr>
          <w:p>
            <w:pPr>
              <w:spacing w:line="276" w:lineRule="auto"/>
              <w:rPr>
                <w:noProof/>
                <w:color w:val="000000"/>
                <w:sz w:val="18"/>
                <w:szCs w:val="18"/>
                <w:lang w:eastAsia="es-ES_tradnl"/>
              </w:rPr>
            </w:pPr>
            <w:r>
              <w:rPr>
                <w:noProof/>
                <w:color w:val="000000"/>
                <w:sz w:val="18"/>
                <w:szCs w:val="18"/>
                <w:lang w:eastAsia="es-ES_tradnl"/>
              </w:rPr>
              <w:t>Budget Line</w:t>
            </w:r>
          </w:p>
        </w:tc>
        <w:tc>
          <w:tcPr>
            <w:tcW w:w="915" w:type="pct"/>
            <w:tcBorders>
              <w:top w:val="single" w:sz="4" w:space="0" w:color="000000"/>
              <w:left w:val="nil"/>
              <w:bottom w:val="nil"/>
              <w:right w:val="single" w:sz="4" w:space="0" w:color="000000"/>
            </w:tcBorders>
            <w:shd w:val="clear" w:color="auto" w:fill="C0C0C0"/>
            <w:vAlign w:val="center"/>
            <w:hideMark/>
          </w:tcPr>
          <w:p>
            <w:pPr>
              <w:spacing w:line="276" w:lineRule="auto"/>
              <w:rPr>
                <w:noProof/>
                <w:color w:val="000000"/>
                <w:sz w:val="18"/>
                <w:szCs w:val="18"/>
                <w:lang w:eastAsia="es-ES_tradnl"/>
              </w:rPr>
            </w:pPr>
            <w:r>
              <w:rPr>
                <w:noProof/>
                <w:color w:val="000000"/>
                <w:sz w:val="18"/>
                <w:szCs w:val="18"/>
                <w:lang w:eastAsia="es-ES_tradnl"/>
              </w:rPr>
              <w:t> </w:t>
            </w:r>
          </w:p>
        </w:tc>
        <w:tc>
          <w:tcPr>
            <w:tcW w:w="433" w:type="pct"/>
            <w:tcBorders>
              <w:top w:val="nil"/>
              <w:left w:val="nil"/>
              <w:bottom w:val="nil"/>
              <w:right w:val="single" w:sz="4" w:space="0" w:color="000000"/>
            </w:tcBorders>
            <w:shd w:val="clear" w:color="auto" w:fill="C0C0C0"/>
            <w:vAlign w:val="center"/>
            <w:hideMark/>
          </w:tcPr>
          <w:p>
            <w:pPr>
              <w:spacing w:line="276" w:lineRule="auto"/>
              <w:jc w:val="center"/>
              <w:rPr>
                <w:noProof/>
                <w:color w:val="000000"/>
                <w:sz w:val="18"/>
                <w:szCs w:val="18"/>
                <w:lang w:eastAsia="es-ES_tradnl"/>
              </w:rPr>
            </w:pPr>
            <w:r>
              <w:rPr>
                <w:noProof/>
                <w:color w:val="000000"/>
                <w:sz w:val="18"/>
                <w:szCs w:val="18"/>
                <w:lang w:eastAsia="es-ES_tradnl"/>
              </w:rPr>
              <w:t>Budget available</w:t>
            </w:r>
          </w:p>
        </w:tc>
        <w:tc>
          <w:tcPr>
            <w:tcW w:w="432" w:type="pct"/>
            <w:tcBorders>
              <w:top w:val="nil"/>
              <w:left w:val="nil"/>
              <w:bottom w:val="nil"/>
              <w:right w:val="single" w:sz="4" w:space="0" w:color="000000"/>
            </w:tcBorders>
            <w:shd w:val="clear" w:color="auto" w:fill="C0C0C0"/>
            <w:vAlign w:val="center"/>
            <w:hideMark/>
          </w:tcPr>
          <w:p>
            <w:pPr>
              <w:spacing w:line="276" w:lineRule="auto"/>
              <w:jc w:val="center"/>
              <w:rPr>
                <w:noProof/>
                <w:color w:val="000000"/>
                <w:sz w:val="18"/>
                <w:szCs w:val="18"/>
                <w:lang w:eastAsia="es-ES_tradnl"/>
              </w:rPr>
            </w:pPr>
            <w:r>
              <w:rPr>
                <w:noProof/>
                <w:color w:val="000000"/>
                <w:sz w:val="18"/>
                <w:szCs w:val="18"/>
                <w:lang w:eastAsia="es-ES_tradnl"/>
              </w:rPr>
              <w:t>Budget implemented</w:t>
            </w:r>
          </w:p>
        </w:tc>
        <w:tc>
          <w:tcPr>
            <w:tcW w:w="357" w:type="pct"/>
            <w:tcBorders>
              <w:top w:val="nil"/>
              <w:left w:val="nil"/>
              <w:bottom w:val="nil"/>
              <w:right w:val="single" w:sz="4" w:space="0" w:color="000000"/>
            </w:tcBorders>
            <w:shd w:val="clear" w:color="auto" w:fill="C0C0C0"/>
            <w:vAlign w:val="center"/>
            <w:hideMark/>
          </w:tcPr>
          <w:p>
            <w:pPr>
              <w:spacing w:line="276" w:lineRule="auto"/>
              <w:jc w:val="center"/>
              <w:rPr>
                <w:noProof/>
                <w:color w:val="000000"/>
                <w:sz w:val="18"/>
                <w:szCs w:val="18"/>
                <w:lang w:eastAsia="es-ES_tradnl"/>
              </w:rPr>
            </w:pPr>
            <w:r>
              <w:rPr>
                <w:noProof/>
                <w:color w:val="000000"/>
                <w:sz w:val="18"/>
                <w:szCs w:val="18"/>
                <w:lang w:eastAsia="es-ES_tradnl"/>
              </w:rPr>
              <w:t>Implementation</w:t>
            </w:r>
          </w:p>
          <w:p>
            <w:pPr>
              <w:spacing w:line="276" w:lineRule="auto"/>
              <w:jc w:val="center"/>
              <w:rPr>
                <w:noProof/>
                <w:color w:val="000000"/>
                <w:sz w:val="18"/>
                <w:szCs w:val="18"/>
                <w:lang w:eastAsia="es-ES_tradnl"/>
              </w:rPr>
            </w:pPr>
            <w:r>
              <w:rPr>
                <w:noProof/>
                <w:color w:val="000000"/>
                <w:sz w:val="18"/>
                <w:szCs w:val="18"/>
                <w:lang w:eastAsia="es-ES_tradnl"/>
              </w:rPr>
              <w:t>%</w:t>
            </w:r>
          </w:p>
        </w:tc>
        <w:tc>
          <w:tcPr>
            <w:tcW w:w="393" w:type="pct"/>
            <w:tcBorders>
              <w:top w:val="nil"/>
              <w:left w:val="nil"/>
              <w:bottom w:val="nil"/>
              <w:right w:val="single" w:sz="4" w:space="0" w:color="000000"/>
            </w:tcBorders>
            <w:shd w:val="clear" w:color="auto" w:fill="C0C0C0"/>
            <w:vAlign w:val="center"/>
            <w:hideMark/>
          </w:tcPr>
          <w:p>
            <w:pPr>
              <w:spacing w:line="276" w:lineRule="auto"/>
              <w:jc w:val="center"/>
              <w:rPr>
                <w:noProof/>
                <w:color w:val="000000"/>
                <w:sz w:val="18"/>
                <w:szCs w:val="18"/>
                <w:lang w:eastAsia="es-ES_tradnl"/>
              </w:rPr>
            </w:pPr>
            <w:r>
              <w:rPr>
                <w:noProof/>
                <w:color w:val="000000"/>
                <w:sz w:val="18"/>
                <w:szCs w:val="18"/>
                <w:lang w:eastAsia="es-ES_tradnl"/>
              </w:rPr>
              <w:t>Credits available for payments</w:t>
            </w:r>
          </w:p>
        </w:tc>
        <w:tc>
          <w:tcPr>
            <w:tcW w:w="387" w:type="pct"/>
            <w:tcBorders>
              <w:top w:val="nil"/>
              <w:left w:val="nil"/>
              <w:bottom w:val="nil"/>
              <w:right w:val="single" w:sz="4" w:space="0" w:color="000000"/>
            </w:tcBorders>
            <w:shd w:val="clear" w:color="auto" w:fill="C0C0C0"/>
            <w:vAlign w:val="center"/>
            <w:hideMark/>
          </w:tcPr>
          <w:p>
            <w:pPr>
              <w:spacing w:line="276" w:lineRule="auto"/>
              <w:jc w:val="center"/>
              <w:rPr>
                <w:noProof/>
                <w:color w:val="000000"/>
                <w:sz w:val="18"/>
                <w:szCs w:val="18"/>
                <w:lang w:eastAsia="es-ES_tradnl"/>
              </w:rPr>
            </w:pPr>
            <w:r>
              <w:rPr>
                <w:noProof/>
                <w:color w:val="000000"/>
                <w:sz w:val="18"/>
                <w:szCs w:val="18"/>
                <w:lang w:eastAsia="es-ES_tradnl"/>
              </w:rPr>
              <w:t>Payment executed</w:t>
            </w:r>
          </w:p>
        </w:tc>
        <w:tc>
          <w:tcPr>
            <w:tcW w:w="379" w:type="pct"/>
            <w:tcBorders>
              <w:top w:val="nil"/>
              <w:left w:val="nil"/>
              <w:bottom w:val="nil"/>
              <w:right w:val="single" w:sz="4" w:space="0" w:color="000000"/>
            </w:tcBorders>
            <w:shd w:val="clear" w:color="auto" w:fill="C0C0C0"/>
            <w:vAlign w:val="center"/>
            <w:hideMark/>
          </w:tcPr>
          <w:p>
            <w:pPr>
              <w:spacing w:line="276" w:lineRule="auto"/>
              <w:jc w:val="center"/>
              <w:rPr>
                <w:noProof/>
                <w:color w:val="000000"/>
                <w:sz w:val="18"/>
                <w:szCs w:val="18"/>
                <w:lang w:eastAsia="es-ES_tradnl"/>
              </w:rPr>
            </w:pPr>
            <w:r>
              <w:rPr>
                <w:noProof/>
                <w:color w:val="000000"/>
                <w:sz w:val="18"/>
                <w:szCs w:val="18"/>
                <w:lang w:eastAsia="es-ES_tradnl"/>
              </w:rPr>
              <w:t>Execution</w:t>
            </w:r>
          </w:p>
          <w:p>
            <w:pPr>
              <w:spacing w:line="276" w:lineRule="auto"/>
              <w:jc w:val="center"/>
              <w:rPr>
                <w:noProof/>
                <w:color w:val="000000"/>
                <w:sz w:val="18"/>
                <w:szCs w:val="18"/>
                <w:lang w:eastAsia="es-ES_tradnl"/>
              </w:rPr>
            </w:pPr>
            <w:r>
              <w:rPr>
                <w:noProof/>
                <w:color w:val="000000"/>
                <w:sz w:val="18"/>
                <w:szCs w:val="18"/>
                <w:lang w:eastAsia="es-ES_tradnl"/>
              </w:rPr>
              <w:t>%</w:t>
            </w:r>
          </w:p>
        </w:tc>
      </w:tr>
      <w:tr>
        <w:trPr>
          <w:gridAfter w:val="3"/>
          <w:wAfter w:w="1180" w:type="pct"/>
          <w:trHeight w:val="402"/>
        </w:trPr>
        <w:tc>
          <w:tcPr>
            <w:tcW w:w="65" w:type="pct"/>
            <w:noWrap/>
            <w:vAlign w:val="center"/>
            <w:hideMark/>
          </w:tcPr>
          <w:p>
            <w:pPr>
              <w:spacing w:line="276" w:lineRule="auto"/>
              <w:rPr>
                <w:rFonts w:asciiTheme="minorHAnsi" w:eastAsiaTheme="minorHAnsi" w:hAnsiTheme="minorHAnsi" w:cstheme="minorBidi"/>
                <w:noProof/>
                <w:sz w:val="22"/>
                <w:szCs w:val="22"/>
                <w:lang w:eastAsia="en-US"/>
              </w:rPr>
            </w:pPr>
          </w:p>
        </w:tc>
        <w:tc>
          <w:tcPr>
            <w:tcW w:w="458" w:type="pct"/>
            <w:tcBorders>
              <w:top w:val="single" w:sz="4" w:space="0" w:color="auto"/>
              <w:left w:val="single" w:sz="4" w:space="0" w:color="auto"/>
              <w:bottom w:val="single" w:sz="4" w:space="0" w:color="auto"/>
              <w:right w:val="single" w:sz="4" w:space="0" w:color="auto"/>
            </w:tcBorders>
            <w:noWrap/>
            <w:vAlign w:val="center"/>
            <w:hideMark/>
          </w:tcPr>
          <w:p>
            <w:pPr>
              <w:spacing w:line="276" w:lineRule="auto"/>
              <w:rPr>
                <w:b/>
                <w:bCs/>
                <w:noProof/>
                <w:color w:val="000000"/>
                <w:sz w:val="18"/>
                <w:szCs w:val="18"/>
                <w:lang w:eastAsia="es-ES_tradnl"/>
              </w:rPr>
            </w:pPr>
            <w:r>
              <w:rPr>
                <w:b/>
                <w:bCs/>
                <w:noProof/>
                <w:color w:val="000000"/>
                <w:sz w:val="18"/>
                <w:szCs w:val="18"/>
                <w:lang w:eastAsia="es-ES_tradnl"/>
              </w:rPr>
              <w:t>02 02 02</w:t>
            </w:r>
          </w:p>
        </w:tc>
        <w:tc>
          <w:tcPr>
            <w:tcW w:w="915" w:type="pct"/>
            <w:tcBorders>
              <w:top w:val="single" w:sz="4" w:space="0" w:color="auto"/>
              <w:left w:val="nil"/>
              <w:bottom w:val="single" w:sz="4" w:space="0" w:color="auto"/>
              <w:right w:val="single" w:sz="4" w:space="0" w:color="auto"/>
            </w:tcBorders>
            <w:noWrap/>
            <w:vAlign w:val="center"/>
            <w:hideMark/>
          </w:tcPr>
          <w:p>
            <w:pPr>
              <w:spacing w:line="276" w:lineRule="auto"/>
              <w:rPr>
                <w:b/>
                <w:bCs/>
                <w:noProof/>
                <w:color w:val="000000"/>
                <w:sz w:val="18"/>
                <w:szCs w:val="18"/>
                <w:lang w:eastAsia="es-ES_tradnl"/>
              </w:rPr>
            </w:pPr>
            <w:r>
              <w:rPr>
                <w:b/>
                <w:bCs/>
                <w:noProof/>
                <w:color w:val="000000"/>
                <w:sz w:val="18"/>
                <w:szCs w:val="18"/>
                <w:lang w:eastAsia="es-ES_tradnl"/>
              </w:rPr>
              <w:t>Access to Finance</w:t>
            </w:r>
          </w:p>
        </w:tc>
        <w:tc>
          <w:tcPr>
            <w:tcW w:w="433" w:type="pct"/>
            <w:tcBorders>
              <w:top w:val="single" w:sz="4" w:space="0" w:color="auto"/>
              <w:left w:val="nil"/>
              <w:bottom w:val="single" w:sz="4" w:space="0" w:color="auto"/>
              <w:right w:val="single" w:sz="4" w:space="0" w:color="auto"/>
            </w:tcBorders>
            <w:noWrap/>
            <w:vAlign w:val="center"/>
            <w:hideMark/>
          </w:tcPr>
          <w:p>
            <w:pPr>
              <w:spacing w:line="276" w:lineRule="auto"/>
              <w:jc w:val="right"/>
              <w:rPr>
                <w:b/>
                <w:bCs/>
                <w:noProof/>
                <w:color w:val="000000"/>
                <w:sz w:val="18"/>
                <w:szCs w:val="18"/>
                <w:lang w:eastAsia="es-ES_tradnl"/>
              </w:rPr>
            </w:pPr>
            <w:r>
              <w:rPr>
                <w:b/>
                <w:bCs/>
                <w:noProof/>
                <w:color w:val="000000"/>
                <w:sz w:val="18"/>
                <w:szCs w:val="18"/>
                <w:lang w:eastAsia="es-ES_tradnl"/>
              </w:rPr>
              <w:t>140.787.114</w:t>
            </w:r>
          </w:p>
        </w:tc>
        <w:tc>
          <w:tcPr>
            <w:tcW w:w="432" w:type="pct"/>
            <w:tcBorders>
              <w:top w:val="single" w:sz="4" w:space="0" w:color="auto"/>
              <w:left w:val="nil"/>
              <w:bottom w:val="single" w:sz="4" w:space="0" w:color="auto"/>
              <w:right w:val="single" w:sz="4" w:space="0" w:color="auto"/>
            </w:tcBorders>
            <w:noWrap/>
            <w:vAlign w:val="center"/>
            <w:hideMark/>
          </w:tcPr>
          <w:p>
            <w:pPr>
              <w:spacing w:line="276" w:lineRule="auto"/>
              <w:jc w:val="right"/>
              <w:rPr>
                <w:b/>
                <w:bCs/>
                <w:noProof/>
                <w:color w:val="000000"/>
                <w:sz w:val="18"/>
                <w:szCs w:val="18"/>
                <w:lang w:eastAsia="es-ES_tradnl"/>
              </w:rPr>
            </w:pPr>
            <w:r>
              <w:rPr>
                <w:b/>
                <w:bCs/>
                <w:noProof/>
                <w:color w:val="000000"/>
                <w:sz w:val="18"/>
                <w:szCs w:val="18"/>
                <w:lang w:eastAsia="es-ES_tradnl"/>
              </w:rPr>
              <w:t>140.787.114</w:t>
            </w:r>
          </w:p>
        </w:tc>
        <w:tc>
          <w:tcPr>
            <w:tcW w:w="357" w:type="pct"/>
            <w:tcBorders>
              <w:top w:val="single" w:sz="4" w:space="0" w:color="auto"/>
              <w:left w:val="nil"/>
              <w:bottom w:val="single" w:sz="4" w:space="0" w:color="auto"/>
              <w:right w:val="single" w:sz="4" w:space="0" w:color="auto"/>
            </w:tcBorders>
            <w:noWrap/>
            <w:vAlign w:val="center"/>
            <w:hideMark/>
          </w:tcPr>
          <w:p>
            <w:pPr>
              <w:spacing w:line="276" w:lineRule="auto"/>
              <w:jc w:val="right"/>
              <w:rPr>
                <w:b/>
                <w:bCs/>
                <w:noProof/>
                <w:color w:val="000000"/>
                <w:sz w:val="18"/>
                <w:szCs w:val="18"/>
                <w:lang w:eastAsia="es-ES_tradnl"/>
              </w:rPr>
            </w:pPr>
            <w:r>
              <w:rPr>
                <w:b/>
                <w:bCs/>
                <w:noProof/>
                <w:color w:val="000000"/>
                <w:sz w:val="18"/>
                <w:szCs w:val="18"/>
                <w:lang w:eastAsia="es-ES_tradnl"/>
              </w:rPr>
              <w:t>100,00 %</w:t>
            </w:r>
          </w:p>
        </w:tc>
        <w:tc>
          <w:tcPr>
            <w:tcW w:w="393" w:type="pct"/>
            <w:tcBorders>
              <w:top w:val="single" w:sz="4" w:space="0" w:color="auto"/>
              <w:left w:val="nil"/>
              <w:bottom w:val="single" w:sz="4" w:space="0" w:color="auto"/>
              <w:right w:val="single" w:sz="4" w:space="0" w:color="auto"/>
            </w:tcBorders>
            <w:noWrap/>
            <w:vAlign w:val="center"/>
            <w:hideMark/>
          </w:tcPr>
          <w:p>
            <w:pPr>
              <w:spacing w:line="276" w:lineRule="auto"/>
              <w:jc w:val="right"/>
              <w:rPr>
                <w:b/>
                <w:bCs/>
                <w:noProof/>
                <w:color w:val="000000"/>
                <w:sz w:val="18"/>
                <w:szCs w:val="18"/>
                <w:lang w:eastAsia="es-ES_tradnl"/>
              </w:rPr>
            </w:pPr>
            <w:r>
              <w:rPr>
                <w:b/>
                <w:bCs/>
                <w:noProof/>
                <w:color w:val="000000"/>
                <w:sz w:val="18"/>
                <w:szCs w:val="18"/>
                <w:lang w:eastAsia="es-ES_tradnl"/>
              </w:rPr>
              <w:t>74.244.830</w:t>
            </w:r>
          </w:p>
        </w:tc>
        <w:tc>
          <w:tcPr>
            <w:tcW w:w="387" w:type="pct"/>
            <w:tcBorders>
              <w:top w:val="single" w:sz="4" w:space="0" w:color="auto"/>
              <w:left w:val="nil"/>
              <w:bottom w:val="single" w:sz="4" w:space="0" w:color="auto"/>
              <w:right w:val="single" w:sz="4" w:space="0" w:color="auto"/>
            </w:tcBorders>
            <w:noWrap/>
            <w:vAlign w:val="center"/>
            <w:hideMark/>
          </w:tcPr>
          <w:p>
            <w:pPr>
              <w:spacing w:line="276" w:lineRule="auto"/>
              <w:jc w:val="right"/>
              <w:rPr>
                <w:b/>
                <w:bCs/>
                <w:noProof/>
                <w:color w:val="000000"/>
                <w:sz w:val="18"/>
                <w:szCs w:val="18"/>
                <w:lang w:eastAsia="es-ES_tradnl"/>
              </w:rPr>
            </w:pPr>
            <w:r>
              <w:rPr>
                <w:b/>
                <w:bCs/>
                <w:noProof/>
                <w:color w:val="000000"/>
                <w:sz w:val="18"/>
                <w:szCs w:val="18"/>
                <w:lang w:eastAsia="es-ES_tradnl"/>
              </w:rPr>
              <w:t>74.244.830</w:t>
            </w:r>
          </w:p>
        </w:tc>
        <w:tc>
          <w:tcPr>
            <w:tcW w:w="379" w:type="pct"/>
            <w:tcBorders>
              <w:top w:val="single" w:sz="4" w:space="0" w:color="auto"/>
              <w:left w:val="nil"/>
              <w:bottom w:val="single" w:sz="4" w:space="0" w:color="auto"/>
              <w:right w:val="single" w:sz="4" w:space="0" w:color="auto"/>
            </w:tcBorders>
            <w:noWrap/>
            <w:vAlign w:val="center"/>
            <w:hideMark/>
          </w:tcPr>
          <w:p>
            <w:pPr>
              <w:spacing w:line="276" w:lineRule="auto"/>
              <w:jc w:val="right"/>
              <w:rPr>
                <w:b/>
                <w:bCs/>
                <w:noProof/>
                <w:color w:val="000000"/>
                <w:sz w:val="18"/>
                <w:szCs w:val="18"/>
                <w:lang w:eastAsia="es-ES_tradnl"/>
              </w:rPr>
            </w:pPr>
            <w:r>
              <w:rPr>
                <w:b/>
                <w:bCs/>
                <w:noProof/>
                <w:color w:val="000000"/>
                <w:sz w:val="18"/>
                <w:szCs w:val="18"/>
                <w:lang w:eastAsia="es-ES_tradnl"/>
              </w:rPr>
              <w:t>100,00 %</w:t>
            </w:r>
          </w:p>
        </w:tc>
      </w:tr>
      <w:tr>
        <w:trPr>
          <w:trHeight w:val="530"/>
        </w:trPr>
        <w:tc>
          <w:tcPr>
            <w:tcW w:w="65" w:type="pct"/>
            <w:noWrap/>
            <w:vAlign w:val="center"/>
            <w:hideMark/>
          </w:tcPr>
          <w:p>
            <w:pPr>
              <w:spacing w:line="276" w:lineRule="auto"/>
              <w:rPr>
                <w:rFonts w:asciiTheme="minorHAnsi" w:eastAsiaTheme="minorHAnsi" w:hAnsiTheme="minorHAnsi" w:cstheme="minorBidi"/>
                <w:noProof/>
                <w:sz w:val="22"/>
                <w:szCs w:val="22"/>
                <w:lang w:eastAsia="en-US"/>
              </w:rPr>
            </w:pPr>
          </w:p>
        </w:tc>
        <w:tc>
          <w:tcPr>
            <w:tcW w:w="458" w:type="pct"/>
            <w:tcBorders>
              <w:top w:val="nil"/>
              <w:left w:val="single" w:sz="4" w:space="0" w:color="auto"/>
              <w:bottom w:val="single" w:sz="4" w:space="0" w:color="auto"/>
              <w:right w:val="single" w:sz="4" w:space="0" w:color="auto"/>
            </w:tcBorders>
            <w:noWrap/>
            <w:vAlign w:val="center"/>
            <w:hideMark/>
          </w:tcPr>
          <w:p>
            <w:pPr>
              <w:spacing w:line="276" w:lineRule="auto"/>
              <w:rPr>
                <w:b/>
                <w:bCs/>
                <w:noProof/>
                <w:color w:val="000000"/>
                <w:sz w:val="18"/>
                <w:szCs w:val="18"/>
                <w:lang w:eastAsia="es-ES_tradnl"/>
              </w:rPr>
            </w:pPr>
            <w:r>
              <w:rPr>
                <w:b/>
                <w:bCs/>
                <w:noProof/>
                <w:color w:val="000000"/>
                <w:sz w:val="18"/>
                <w:szCs w:val="18"/>
                <w:lang w:eastAsia="es-ES_tradnl"/>
              </w:rPr>
              <w:t>02 02 01</w:t>
            </w:r>
          </w:p>
        </w:tc>
        <w:tc>
          <w:tcPr>
            <w:tcW w:w="915" w:type="pct"/>
            <w:tcBorders>
              <w:top w:val="nil"/>
              <w:left w:val="nil"/>
              <w:bottom w:val="single" w:sz="4" w:space="0" w:color="auto"/>
              <w:right w:val="single" w:sz="4" w:space="0" w:color="auto"/>
            </w:tcBorders>
            <w:vAlign w:val="center"/>
            <w:hideMark/>
          </w:tcPr>
          <w:p>
            <w:pPr>
              <w:spacing w:line="276" w:lineRule="auto"/>
              <w:rPr>
                <w:b/>
                <w:bCs/>
                <w:noProof/>
                <w:sz w:val="18"/>
                <w:szCs w:val="18"/>
                <w:lang w:eastAsia="es-ES_tradnl"/>
              </w:rPr>
            </w:pPr>
            <w:r>
              <w:rPr>
                <w:b/>
                <w:bCs/>
                <w:noProof/>
                <w:sz w:val="18"/>
                <w:szCs w:val="18"/>
                <w:lang w:eastAsia="es-ES_tradnl"/>
              </w:rPr>
              <w:t xml:space="preserve">Access to Markets, Business Environment &amp; Entrepreneurship </w:t>
            </w:r>
          </w:p>
        </w:tc>
        <w:tc>
          <w:tcPr>
            <w:tcW w:w="433" w:type="pct"/>
            <w:tcBorders>
              <w:top w:val="nil"/>
              <w:left w:val="nil"/>
              <w:bottom w:val="single" w:sz="4" w:space="0" w:color="auto"/>
              <w:right w:val="single" w:sz="4" w:space="0" w:color="auto"/>
            </w:tcBorders>
            <w:noWrap/>
            <w:vAlign w:val="center"/>
          </w:tcPr>
          <w:p>
            <w:pPr>
              <w:spacing w:line="276" w:lineRule="auto"/>
              <w:jc w:val="right"/>
              <w:rPr>
                <w:b/>
                <w:bCs/>
                <w:noProof/>
                <w:color w:val="000000"/>
                <w:sz w:val="18"/>
                <w:szCs w:val="18"/>
                <w:lang w:eastAsia="es-ES_tradnl"/>
              </w:rPr>
            </w:pPr>
          </w:p>
        </w:tc>
        <w:tc>
          <w:tcPr>
            <w:tcW w:w="432" w:type="pct"/>
            <w:tcBorders>
              <w:top w:val="nil"/>
              <w:left w:val="nil"/>
              <w:bottom w:val="single" w:sz="4" w:space="0" w:color="auto"/>
              <w:right w:val="single" w:sz="4" w:space="0" w:color="auto"/>
            </w:tcBorders>
            <w:noWrap/>
            <w:vAlign w:val="center"/>
          </w:tcPr>
          <w:p>
            <w:pPr>
              <w:spacing w:line="276" w:lineRule="auto"/>
              <w:jc w:val="right"/>
              <w:rPr>
                <w:b/>
                <w:bCs/>
                <w:noProof/>
                <w:color w:val="000000"/>
                <w:sz w:val="18"/>
                <w:szCs w:val="18"/>
                <w:lang w:eastAsia="es-ES_tradnl"/>
              </w:rPr>
            </w:pPr>
          </w:p>
        </w:tc>
        <w:tc>
          <w:tcPr>
            <w:tcW w:w="357" w:type="pct"/>
            <w:tcBorders>
              <w:top w:val="nil"/>
              <w:left w:val="nil"/>
              <w:bottom w:val="single" w:sz="4" w:space="0" w:color="auto"/>
              <w:right w:val="single" w:sz="4" w:space="0" w:color="auto"/>
            </w:tcBorders>
            <w:noWrap/>
            <w:vAlign w:val="center"/>
          </w:tcPr>
          <w:p>
            <w:pPr>
              <w:spacing w:line="276" w:lineRule="auto"/>
              <w:jc w:val="right"/>
              <w:rPr>
                <w:b/>
                <w:bCs/>
                <w:noProof/>
                <w:color w:val="000000"/>
                <w:sz w:val="18"/>
                <w:szCs w:val="18"/>
                <w:lang w:eastAsia="es-ES_tradnl"/>
              </w:rPr>
            </w:pPr>
          </w:p>
        </w:tc>
        <w:tc>
          <w:tcPr>
            <w:tcW w:w="393" w:type="pct"/>
            <w:tcBorders>
              <w:top w:val="nil"/>
              <w:left w:val="nil"/>
              <w:bottom w:val="single" w:sz="4" w:space="0" w:color="auto"/>
              <w:right w:val="single" w:sz="4" w:space="0" w:color="auto"/>
            </w:tcBorders>
            <w:noWrap/>
            <w:vAlign w:val="center"/>
          </w:tcPr>
          <w:p>
            <w:pPr>
              <w:spacing w:line="276" w:lineRule="auto"/>
              <w:jc w:val="right"/>
              <w:rPr>
                <w:b/>
                <w:bCs/>
                <w:noProof/>
                <w:color w:val="000000"/>
                <w:sz w:val="18"/>
                <w:szCs w:val="18"/>
                <w:lang w:eastAsia="es-ES_tradnl"/>
              </w:rPr>
            </w:pPr>
          </w:p>
        </w:tc>
        <w:tc>
          <w:tcPr>
            <w:tcW w:w="387" w:type="pct"/>
            <w:tcBorders>
              <w:top w:val="nil"/>
              <w:left w:val="nil"/>
              <w:bottom w:val="single" w:sz="4" w:space="0" w:color="auto"/>
              <w:right w:val="single" w:sz="4" w:space="0" w:color="auto"/>
            </w:tcBorders>
            <w:noWrap/>
            <w:vAlign w:val="center"/>
          </w:tcPr>
          <w:p>
            <w:pPr>
              <w:spacing w:line="276" w:lineRule="auto"/>
              <w:jc w:val="right"/>
              <w:rPr>
                <w:b/>
                <w:bCs/>
                <w:noProof/>
                <w:color w:val="000000"/>
                <w:sz w:val="18"/>
                <w:szCs w:val="18"/>
                <w:lang w:eastAsia="es-ES_tradnl"/>
              </w:rPr>
            </w:pPr>
          </w:p>
        </w:tc>
        <w:tc>
          <w:tcPr>
            <w:tcW w:w="379" w:type="pct"/>
            <w:tcBorders>
              <w:top w:val="nil"/>
              <w:left w:val="nil"/>
              <w:bottom w:val="single" w:sz="4" w:space="0" w:color="auto"/>
              <w:right w:val="single" w:sz="4" w:space="0" w:color="auto"/>
            </w:tcBorders>
            <w:noWrap/>
            <w:vAlign w:val="center"/>
          </w:tcPr>
          <w:p>
            <w:pPr>
              <w:spacing w:line="276" w:lineRule="auto"/>
              <w:jc w:val="right"/>
              <w:rPr>
                <w:b/>
                <w:bCs/>
                <w:noProof/>
                <w:color w:val="000000"/>
                <w:sz w:val="18"/>
                <w:szCs w:val="18"/>
                <w:lang w:eastAsia="es-ES_tradnl"/>
              </w:rPr>
            </w:pPr>
          </w:p>
        </w:tc>
        <w:tc>
          <w:tcPr>
            <w:tcW w:w="393" w:type="pct"/>
            <w:vAlign w:val="center"/>
            <w:hideMark/>
          </w:tcPr>
          <w:p>
            <w:pPr>
              <w:spacing w:after="200" w:line="276" w:lineRule="auto"/>
              <w:rPr>
                <w:noProof/>
                <w:sz w:val="18"/>
                <w:szCs w:val="18"/>
                <w:lang w:eastAsia="en-US"/>
              </w:rPr>
            </w:pPr>
            <w:r>
              <w:rPr>
                <w:b/>
                <w:bCs/>
                <w:noProof/>
                <w:color w:val="000000"/>
                <w:sz w:val="18"/>
                <w:szCs w:val="18"/>
                <w:lang w:eastAsia="es-ES_tradnl"/>
              </w:rPr>
              <w:t> </w:t>
            </w:r>
          </w:p>
        </w:tc>
        <w:tc>
          <w:tcPr>
            <w:tcW w:w="393" w:type="pct"/>
            <w:vAlign w:val="center"/>
            <w:hideMark/>
          </w:tcPr>
          <w:p>
            <w:pPr>
              <w:spacing w:after="200" w:line="276" w:lineRule="auto"/>
              <w:rPr>
                <w:noProof/>
                <w:sz w:val="18"/>
                <w:szCs w:val="18"/>
                <w:lang w:eastAsia="en-US"/>
              </w:rPr>
            </w:pPr>
            <w:r>
              <w:rPr>
                <w:b/>
                <w:bCs/>
                <w:noProof/>
                <w:color w:val="000000"/>
                <w:sz w:val="18"/>
                <w:szCs w:val="18"/>
                <w:lang w:eastAsia="es-ES_tradnl"/>
              </w:rPr>
              <w:t> </w:t>
            </w:r>
          </w:p>
        </w:tc>
        <w:tc>
          <w:tcPr>
            <w:tcW w:w="393" w:type="pct"/>
            <w:vAlign w:val="center"/>
            <w:hideMark/>
          </w:tcPr>
          <w:p>
            <w:pPr>
              <w:spacing w:after="200" w:line="276" w:lineRule="auto"/>
              <w:rPr>
                <w:noProof/>
                <w:sz w:val="18"/>
                <w:szCs w:val="18"/>
                <w:lang w:eastAsia="en-US"/>
              </w:rPr>
            </w:pPr>
            <w:r>
              <w:rPr>
                <w:b/>
                <w:bCs/>
                <w:noProof/>
                <w:color w:val="000000"/>
                <w:sz w:val="18"/>
                <w:szCs w:val="18"/>
                <w:lang w:eastAsia="es-ES_tradnl"/>
              </w:rPr>
              <w:t> </w:t>
            </w:r>
          </w:p>
        </w:tc>
      </w:tr>
      <w:tr>
        <w:trPr>
          <w:gridAfter w:val="3"/>
          <w:wAfter w:w="1180" w:type="pct"/>
          <w:trHeight w:val="349"/>
        </w:trPr>
        <w:tc>
          <w:tcPr>
            <w:tcW w:w="65" w:type="pct"/>
            <w:noWrap/>
            <w:vAlign w:val="center"/>
            <w:hideMark/>
          </w:tcPr>
          <w:p>
            <w:pPr>
              <w:spacing w:line="276" w:lineRule="auto"/>
              <w:rPr>
                <w:rFonts w:asciiTheme="minorHAnsi" w:eastAsiaTheme="minorHAnsi" w:hAnsiTheme="minorHAnsi" w:cstheme="minorBidi"/>
                <w:noProof/>
                <w:sz w:val="22"/>
                <w:szCs w:val="22"/>
                <w:lang w:eastAsia="en-US"/>
              </w:rPr>
            </w:pPr>
          </w:p>
        </w:tc>
        <w:tc>
          <w:tcPr>
            <w:tcW w:w="458" w:type="pct"/>
            <w:tcBorders>
              <w:top w:val="nil"/>
              <w:left w:val="single" w:sz="4" w:space="0" w:color="auto"/>
              <w:bottom w:val="single" w:sz="4" w:space="0" w:color="auto"/>
              <w:right w:val="single" w:sz="4" w:space="0" w:color="auto"/>
            </w:tcBorders>
            <w:noWrap/>
            <w:vAlign w:val="center"/>
            <w:hideMark/>
          </w:tcPr>
          <w:p>
            <w:pPr>
              <w:spacing w:line="276" w:lineRule="auto"/>
              <w:rPr>
                <w:noProof/>
                <w:color w:val="000000"/>
                <w:sz w:val="18"/>
                <w:szCs w:val="18"/>
                <w:lang w:eastAsia="es-ES_tradnl"/>
              </w:rPr>
            </w:pPr>
            <w:r>
              <w:rPr>
                <w:noProof/>
                <w:color w:val="000000"/>
                <w:sz w:val="18"/>
                <w:szCs w:val="18"/>
                <w:lang w:eastAsia="es-ES_tradnl"/>
              </w:rPr>
              <w:t> </w:t>
            </w:r>
          </w:p>
        </w:tc>
        <w:tc>
          <w:tcPr>
            <w:tcW w:w="915" w:type="pct"/>
            <w:tcBorders>
              <w:top w:val="nil"/>
              <w:left w:val="nil"/>
              <w:bottom w:val="single" w:sz="4" w:space="0" w:color="auto"/>
              <w:right w:val="single" w:sz="4" w:space="0" w:color="auto"/>
            </w:tcBorders>
            <w:noWrap/>
            <w:vAlign w:val="center"/>
            <w:hideMark/>
          </w:tcPr>
          <w:p>
            <w:pPr>
              <w:spacing w:line="276" w:lineRule="auto"/>
              <w:rPr>
                <w:noProof/>
                <w:color w:val="000000"/>
                <w:sz w:val="18"/>
                <w:szCs w:val="18"/>
                <w:lang w:eastAsia="es-ES_tradnl"/>
              </w:rPr>
            </w:pPr>
            <w:r>
              <w:rPr>
                <w:noProof/>
                <w:color w:val="000000"/>
                <w:sz w:val="18"/>
                <w:szCs w:val="18"/>
                <w:lang w:eastAsia="es-ES_tradnl"/>
              </w:rPr>
              <w:t>implemented by GROW</w:t>
            </w:r>
          </w:p>
        </w:tc>
        <w:tc>
          <w:tcPr>
            <w:tcW w:w="433" w:type="pct"/>
            <w:tcBorders>
              <w:top w:val="nil"/>
              <w:left w:val="nil"/>
              <w:bottom w:val="single" w:sz="4" w:space="0" w:color="auto"/>
              <w:right w:val="single" w:sz="4" w:space="0" w:color="auto"/>
            </w:tcBorders>
            <w:noWrap/>
            <w:vAlign w:val="center"/>
            <w:hideMark/>
          </w:tcPr>
          <w:p>
            <w:pPr>
              <w:spacing w:line="276" w:lineRule="auto"/>
              <w:jc w:val="right"/>
              <w:rPr>
                <w:noProof/>
                <w:color w:val="000000"/>
                <w:sz w:val="18"/>
                <w:szCs w:val="18"/>
                <w:lang w:eastAsia="es-ES_tradnl"/>
              </w:rPr>
            </w:pPr>
            <w:r>
              <w:rPr>
                <w:noProof/>
                <w:color w:val="000000"/>
                <w:sz w:val="18"/>
                <w:szCs w:val="18"/>
                <w:lang w:eastAsia="es-ES_tradnl"/>
              </w:rPr>
              <w:t>10.836.633</w:t>
            </w:r>
          </w:p>
        </w:tc>
        <w:tc>
          <w:tcPr>
            <w:tcW w:w="432" w:type="pct"/>
            <w:tcBorders>
              <w:top w:val="nil"/>
              <w:left w:val="nil"/>
              <w:bottom w:val="single" w:sz="4" w:space="0" w:color="auto"/>
              <w:right w:val="single" w:sz="4" w:space="0" w:color="auto"/>
            </w:tcBorders>
            <w:noWrap/>
            <w:vAlign w:val="center"/>
            <w:hideMark/>
          </w:tcPr>
          <w:p>
            <w:pPr>
              <w:spacing w:line="276" w:lineRule="auto"/>
              <w:jc w:val="right"/>
              <w:rPr>
                <w:noProof/>
                <w:color w:val="000000"/>
                <w:sz w:val="18"/>
                <w:szCs w:val="18"/>
                <w:lang w:eastAsia="es-ES_tradnl"/>
              </w:rPr>
            </w:pPr>
            <w:r>
              <w:rPr>
                <w:noProof/>
                <w:color w:val="000000"/>
                <w:sz w:val="18"/>
                <w:szCs w:val="18"/>
                <w:lang w:eastAsia="es-ES_tradnl"/>
              </w:rPr>
              <w:t>10.665.116</w:t>
            </w:r>
          </w:p>
        </w:tc>
        <w:tc>
          <w:tcPr>
            <w:tcW w:w="357" w:type="pct"/>
            <w:tcBorders>
              <w:top w:val="nil"/>
              <w:left w:val="nil"/>
              <w:bottom w:val="single" w:sz="4" w:space="0" w:color="auto"/>
              <w:right w:val="single" w:sz="4" w:space="0" w:color="auto"/>
            </w:tcBorders>
            <w:noWrap/>
            <w:vAlign w:val="center"/>
            <w:hideMark/>
          </w:tcPr>
          <w:p>
            <w:pPr>
              <w:spacing w:line="276" w:lineRule="auto"/>
              <w:jc w:val="right"/>
              <w:rPr>
                <w:noProof/>
                <w:color w:val="000000"/>
                <w:sz w:val="18"/>
                <w:szCs w:val="18"/>
                <w:lang w:eastAsia="es-ES_tradnl"/>
              </w:rPr>
            </w:pPr>
            <w:r>
              <w:rPr>
                <w:noProof/>
                <w:color w:val="000000"/>
                <w:sz w:val="18"/>
                <w:szCs w:val="18"/>
                <w:lang w:eastAsia="es-ES_tradnl"/>
              </w:rPr>
              <w:t>98,42 %</w:t>
            </w:r>
          </w:p>
        </w:tc>
        <w:tc>
          <w:tcPr>
            <w:tcW w:w="393" w:type="pct"/>
            <w:tcBorders>
              <w:top w:val="nil"/>
              <w:left w:val="nil"/>
              <w:bottom w:val="single" w:sz="4" w:space="0" w:color="auto"/>
              <w:right w:val="single" w:sz="4" w:space="0" w:color="auto"/>
            </w:tcBorders>
            <w:noWrap/>
            <w:vAlign w:val="center"/>
            <w:hideMark/>
          </w:tcPr>
          <w:p>
            <w:pPr>
              <w:spacing w:line="276" w:lineRule="auto"/>
              <w:jc w:val="right"/>
              <w:rPr>
                <w:noProof/>
                <w:color w:val="000000"/>
                <w:sz w:val="18"/>
                <w:szCs w:val="18"/>
                <w:lang w:eastAsia="es-ES_tradnl"/>
              </w:rPr>
            </w:pPr>
            <w:r>
              <w:rPr>
                <w:noProof/>
                <w:color w:val="000000"/>
                <w:sz w:val="18"/>
                <w:szCs w:val="18"/>
                <w:lang w:eastAsia="es-ES_tradnl"/>
              </w:rPr>
              <w:t>4.936.221</w:t>
            </w:r>
          </w:p>
        </w:tc>
        <w:tc>
          <w:tcPr>
            <w:tcW w:w="387" w:type="pct"/>
            <w:tcBorders>
              <w:top w:val="nil"/>
              <w:left w:val="nil"/>
              <w:bottom w:val="single" w:sz="4" w:space="0" w:color="auto"/>
              <w:right w:val="single" w:sz="4" w:space="0" w:color="auto"/>
            </w:tcBorders>
            <w:noWrap/>
            <w:vAlign w:val="center"/>
            <w:hideMark/>
          </w:tcPr>
          <w:p>
            <w:pPr>
              <w:spacing w:line="276" w:lineRule="auto"/>
              <w:jc w:val="right"/>
              <w:rPr>
                <w:noProof/>
                <w:color w:val="000000"/>
                <w:sz w:val="18"/>
                <w:szCs w:val="18"/>
                <w:lang w:eastAsia="es-ES_tradnl"/>
              </w:rPr>
            </w:pPr>
            <w:r>
              <w:rPr>
                <w:noProof/>
                <w:color w:val="000000"/>
                <w:sz w:val="18"/>
                <w:szCs w:val="18"/>
                <w:lang w:eastAsia="es-ES_tradnl"/>
              </w:rPr>
              <w:t>1.299.946</w:t>
            </w:r>
          </w:p>
        </w:tc>
        <w:tc>
          <w:tcPr>
            <w:tcW w:w="379" w:type="pct"/>
            <w:tcBorders>
              <w:top w:val="nil"/>
              <w:left w:val="nil"/>
              <w:bottom w:val="single" w:sz="4" w:space="0" w:color="auto"/>
              <w:right w:val="single" w:sz="4" w:space="0" w:color="auto"/>
            </w:tcBorders>
            <w:noWrap/>
            <w:vAlign w:val="center"/>
            <w:hideMark/>
          </w:tcPr>
          <w:p>
            <w:pPr>
              <w:spacing w:line="276" w:lineRule="auto"/>
              <w:jc w:val="right"/>
              <w:rPr>
                <w:noProof/>
                <w:color w:val="000000"/>
                <w:sz w:val="18"/>
                <w:szCs w:val="18"/>
                <w:lang w:eastAsia="es-ES_tradnl"/>
              </w:rPr>
            </w:pPr>
            <w:r>
              <w:rPr>
                <w:noProof/>
                <w:color w:val="000000"/>
                <w:sz w:val="18"/>
                <w:szCs w:val="18"/>
                <w:lang w:eastAsia="es-ES_tradnl"/>
              </w:rPr>
              <w:t>26,33 %</w:t>
            </w:r>
          </w:p>
        </w:tc>
      </w:tr>
      <w:tr>
        <w:trPr>
          <w:gridAfter w:val="3"/>
          <w:wAfter w:w="1180" w:type="pct"/>
          <w:trHeight w:val="269"/>
        </w:trPr>
        <w:tc>
          <w:tcPr>
            <w:tcW w:w="65" w:type="pct"/>
            <w:noWrap/>
            <w:vAlign w:val="center"/>
            <w:hideMark/>
          </w:tcPr>
          <w:p>
            <w:pPr>
              <w:spacing w:line="276" w:lineRule="auto"/>
              <w:rPr>
                <w:rFonts w:asciiTheme="minorHAnsi" w:eastAsiaTheme="minorHAnsi" w:hAnsiTheme="minorHAnsi" w:cstheme="minorBidi"/>
                <w:noProof/>
                <w:sz w:val="22"/>
                <w:szCs w:val="22"/>
                <w:lang w:eastAsia="en-US"/>
              </w:rPr>
            </w:pPr>
          </w:p>
        </w:tc>
        <w:tc>
          <w:tcPr>
            <w:tcW w:w="458" w:type="pct"/>
            <w:tcBorders>
              <w:top w:val="nil"/>
              <w:left w:val="single" w:sz="4" w:space="0" w:color="auto"/>
              <w:bottom w:val="single" w:sz="4" w:space="0" w:color="auto"/>
              <w:right w:val="single" w:sz="4" w:space="0" w:color="auto"/>
            </w:tcBorders>
            <w:noWrap/>
            <w:vAlign w:val="center"/>
            <w:hideMark/>
          </w:tcPr>
          <w:p>
            <w:pPr>
              <w:spacing w:line="276" w:lineRule="auto"/>
              <w:rPr>
                <w:noProof/>
                <w:color w:val="333333"/>
                <w:sz w:val="18"/>
                <w:szCs w:val="18"/>
                <w:lang w:eastAsia="es-ES_tradnl"/>
              </w:rPr>
            </w:pPr>
            <w:r>
              <w:rPr>
                <w:noProof/>
                <w:color w:val="333333"/>
                <w:sz w:val="18"/>
                <w:szCs w:val="18"/>
                <w:lang w:eastAsia="es-ES_tradnl"/>
              </w:rPr>
              <w:t> </w:t>
            </w:r>
          </w:p>
        </w:tc>
        <w:tc>
          <w:tcPr>
            <w:tcW w:w="915" w:type="pct"/>
            <w:tcBorders>
              <w:top w:val="nil"/>
              <w:left w:val="nil"/>
              <w:bottom w:val="single" w:sz="4" w:space="0" w:color="auto"/>
              <w:right w:val="single" w:sz="4" w:space="0" w:color="auto"/>
            </w:tcBorders>
            <w:noWrap/>
            <w:vAlign w:val="center"/>
            <w:hideMark/>
          </w:tcPr>
          <w:p>
            <w:pPr>
              <w:spacing w:line="276" w:lineRule="auto"/>
              <w:rPr>
                <w:noProof/>
                <w:color w:val="333333"/>
                <w:sz w:val="18"/>
                <w:szCs w:val="18"/>
                <w:lang w:eastAsia="es-ES_tradnl"/>
              </w:rPr>
            </w:pPr>
            <w:r>
              <w:rPr>
                <w:noProof/>
                <w:color w:val="333333"/>
                <w:sz w:val="18"/>
                <w:szCs w:val="18"/>
                <w:lang w:eastAsia="es-ES_tradnl"/>
              </w:rPr>
              <w:t>delegated to EASME</w:t>
            </w:r>
          </w:p>
        </w:tc>
        <w:tc>
          <w:tcPr>
            <w:tcW w:w="433" w:type="pct"/>
            <w:tcBorders>
              <w:top w:val="nil"/>
              <w:left w:val="nil"/>
              <w:bottom w:val="single" w:sz="4" w:space="0" w:color="auto"/>
              <w:right w:val="single" w:sz="4" w:space="0" w:color="auto"/>
            </w:tcBorders>
            <w:noWrap/>
            <w:vAlign w:val="center"/>
            <w:hideMark/>
          </w:tcPr>
          <w:p>
            <w:pPr>
              <w:spacing w:line="276" w:lineRule="auto"/>
              <w:jc w:val="right"/>
              <w:rPr>
                <w:noProof/>
                <w:color w:val="333333"/>
                <w:sz w:val="18"/>
                <w:szCs w:val="18"/>
                <w:lang w:eastAsia="es-ES_tradnl"/>
              </w:rPr>
            </w:pPr>
            <w:r>
              <w:rPr>
                <w:noProof/>
                <w:color w:val="333333"/>
                <w:sz w:val="18"/>
                <w:szCs w:val="18"/>
                <w:lang w:eastAsia="es-ES_tradnl"/>
              </w:rPr>
              <w:t>95.111.545</w:t>
            </w:r>
          </w:p>
        </w:tc>
        <w:tc>
          <w:tcPr>
            <w:tcW w:w="432" w:type="pct"/>
            <w:tcBorders>
              <w:top w:val="nil"/>
              <w:left w:val="nil"/>
              <w:bottom w:val="single" w:sz="4" w:space="0" w:color="auto"/>
              <w:right w:val="single" w:sz="4" w:space="0" w:color="auto"/>
            </w:tcBorders>
            <w:noWrap/>
            <w:vAlign w:val="center"/>
            <w:hideMark/>
          </w:tcPr>
          <w:p>
            <w:pPr>
              <w:spacing w:line="276" w:lineRule="auto"/>
              <w:jc w:val="right"/>
              <w:rPr>
                <w:noProof/>
                <w:color w:val="333333"/>
                <w:sz w:val="18"/>
                <w:szCs w:val="18"/>
                <w:lang w:eastAsia="es-ES_tradnl"/>
              </w:rPr>
            </w:pPr>
            <w:r>
              <w:rPr>
                <w:noProof/>
                <w:color w:val="333333"/>
                <w:sz w:val="18"/>
                <w:szCs w:val="18"/>
                <w:lang w:eastAsia="es-ES_tradnl"/>
              </w:rPr>
              <w:t>94.950.764</w:t>
            </w:r>
          </w:p>
        </w:tc>
        <w:tc>
          <w:tcPr>
            <w:tcW w:w="357" w:type="pct"/>
            <w:tcBorders>
              <w:top w:val="nil"/>
              <w:left w:val="nil"/>
              <w:bottom w:val="single" w:sz="4" w:space="0" w:color="auto"/>
              <w:right w:val="single" w:sz="4" w:space="0" w:color="auto"/>
            </w:tcBorders>
            <w:noWrap/>
            <w:vAlign w:val="center"/>
            <w:hideMark/>
          </w:tcPr>
          <w:p>
            <w:pPr>
              <w:spacing w:line="276" w:lineRule="auto"/>
              <w:jc w:val="right"/>
              <w:rPr>
                <w:noProof/>
                <w:color w:val="333333"/>
                <w:sz w:val="18"/>
                <w:szCs w:val="18"/>
                <w:lang w:eastAsia="es-ES_tradnl"/>
              </w:rPr>
            </w:pPr>
            <w:r>
              <w:rPr>
                <w:noProof/>
                <w:color w:val="333333"/>
                <w:sz w:val="18"/>
                <w:szCs w:val="18"/>
                <w:lang w:eastAsia="es-ES_tradnl"/>
              </w:rPr>
              <w:t>99,83 %</w:t>
            </w:r>
          </w:p>
        </w:tc>
        <w:tc>
          <w:tcPr>
            <w:tcW w:w="393" w:type="pct"/>
            <w:tcBorders>
              <w:top w:val="nil"/>
              <w:left w:val="nil"/>
              <w:bottom w:val="single" w:sz="4" w:space="0" w:color="auto"/>
              <w:right w:val="single" w:sz="4" w:space="0" w:color="auto"/>
            </w:tcBorders>
            <w:noWrap/>
            <w:vAlign w:val="center"/>
            <w:hideMark/>
          </w:tcPr>
          <w:p>
            <w:pPr>
              <w:spacing w:line="276" w:lineRule="auto"/>
              <w:jc w:val="right"/>
              <w:rPr>
                <w:noProof/>
                <w:color w:val="333333"/>
                <w:sz w:val="18"/>
                <w:szCs w:val="18"/>
                <w:lang w:eastAsia="es-ES_tradnl"/>
              </w:rPr>
            </w:pPr>
            <w:r>
              <w:rPr>
                <w:noProof/>
                <w:color w:val="333333"/>
                <w:sz w:val="18"/>
                <w:szCs w:val="18"/>
                <w:lang w:eastAsia="es-ES_tradnl"/>
              </w:rPr>
              <w:t>6.000.720</w:t>
            </w:r>
          </w:p>
        </w:tc>
        <w:tc>
          <w:tcPr>
            <w:tcW w:w="387" w:type="pct"/>
            <w:tcBorders>
              <w:top w:val="nil"/>
              <w:left w:val="nil"/>
              <w:bottom w:val="single" w:sz="4" w:space="0" w:color="auto"/>
              <w:right w:val="single" w:sz="4" w:space="0" w:color="auto"/>
            </w:tcBorders>
            <w:noWrap/>
            <w:vAlign w:val="center"/>
            <w:hideMark/>
          </w:tcPr>
          <w:p>
            <w:pPr>
              <w:spacing w:line="276" w:lineRule="auto"/>
              <w:jc w:val="right"/>
              <w:rPr>
                <w:noProof/>
                <w:color w:val="333333"/>
                <w:sz w:val="18"/>
                <w:szCs w:val="18"/>
                <w:lang w:eastAsia="es-ES_tradnl"/>
              </w:rPr>
            </w:pPr>
            <w:r>
              <w:rPr>
                <w:noProof/>
                <w:color w:val="333333"/>
                <w:sz w:val="18"/>
                <w:szCs w:val="18"/>
                <w:lang w:eastAsia="es-ES_tradnl"/>
              </w:rPr>
              <w:t>5.994.571</w:t>
            </w:r>
          </w:p>
        </w:tc>
        <w:tc>
          <w:tcPr>
            <w:tcW w:w="379" w:type="pct"/>
            <w:tcBorders>
              <w:top w:val="nil"/>
              <w:left w:val="nil"/>
              <w:bottom w:val="single" w:sz="4" w:space="0" w:color="auto"/>
              <w:right w:val="single" w:sz="4" w:space="0" w:color="auto"/>
            </w:tcBorders>
            <w:noWrap/>
            <w:vAlign w:val="center"/>
            <w:hideMark/>
          </w:tcPr>
          <w:p>
            <w:pPr>
              <w:spacing w:line="276" w:lineRule="auto"/>
              <w:jc w:val="right"/>
              <w:rPr>
                <w:noProof/>
                <w:color w:val="333333"/>
                <w:sz w:val="18"/>
                <w:szCs w:val="18"/>
                <w:lang w:eastAsia="es-ES_tradnl"/>
              </w:rPr>
            </w:pPr>
            <w:r>
              <w:rPr>
                <w:noProof/>
                <w:color w:val="333333"/>
                <w:sz w:val="18"/>
                <w:szCs w:val="18"/>
                <w:lang w:eastAsia="es-ES_tradnl"/>
              </w:rPr>
              <w:t>99,90 %</w:t>
            </w:r>
          </w:p>
        </w:tc>
      </w:tr>
      <w:tr>
        <w:trPr>
          <w:gridAfter w:val="3"/>
          <w:wAfter w:w="1180" w:type="pct"/>
          <w:trHeight w:val="275"/>
        </w:trPr>
        <w:tc>
          <w:tcPr>
            <w:tcW w:w="65" w:type="pct"/>
            <w:noWrap/>
            <w:vAlign w:val="center"/>
            <w:hideMark/>
          </w:tcPr>
          <w:p>
            <w:pPr>
              <w:spacing w:line="276" w:lineRule="auto"/>
              <w:rPr>
                <w:rFonts w:asciiTheme="minorHAnsi" w:eastAsiaTheme="minorHAnsi" w:hAnsiTheme="minorHAnsi" w:cstheme="minorBidi"/>
                <w:noProof/>
                <w:sz w:val="22"/>
                <w:szCs w:val="22"/>
                <w:lang w:eastAsia="en-US"/>
              </w:rPr>
            </w:pPr>
          </w:p>
        </w:tc>
        <w:tc>
          <w:tcPr>
            <w:tcW w:w="458" w:type="pct"/>
            <w:tcBorders>
              <w:top w:val="nil"/>
              <w:left w:val="single" w:sz="4" w:space="0" w:color="auto"/>
              <w:bottom w:val="single" w:sz="4" w:space="0" w:color="auto"/>
              <w:right w:val="single" w:sz="4" w:space="0" w:color="auto"/>
            </w:tcBorders>
            <w:noWrap/>
            <w:vAlign w:val="center"/>
            <w:hideMark/>
          </w:tcPr>
          <w:p>
            <w:pPr>
              <w:spacing w:line="276" w:lineRule="auto"/>
              <w:rPr>
                <w:noProof/>
                <w:color w:val="000000"/>
                <w:sz w:val="18"/>
                <w:szCs w:val="18"/>
                <w:lang w:eastAsia="es-ES_tradnl"/>
              </w:rPr>
            </w:pPr>
            <w:r>
              <w:rPr>
                <w:noProof/>
                <w:color w:val="000000"/>
                <w:sz w:val="18"/>
                <w:szCs w:val="18"/>
                <w:lang w:eastAsia="es-ES_tradnl"/>
              </w:rPr>
              <w:t> </w:t>
            </w:r>
          </w:p>
        </w:tc>
        <w:tc>
          <w:tcPr>
            <w:tcW w:w="915" w:type="pct"/>
            <w:tcBorders>
              <w:top w:val="nil"/>
              <w:left w:val="nil"/>
              <w:bottom w:val="single" w:sz="4" w:space="0" w:color="auto"/>
              <w:right w:val="single" w:sz="4" w:space="0" w:color="auto"/>
            </w:tcBorders>
            <w:noWrap/>
            <w:vAlign w:val="center"/>
            <w:hideMark/>
          </w:tcPr>
          <w:p>
            <w:pPr>
              <w:spacing w:line="276" w:lineRule="auto"/>
              <w:rPr>
                <w:noProof/>
                <w:color w:val="000000"/>
                <w:sz w:val="18"/>
                <w:szCs w:val="18"/>
                <w:lang w:eastAsia="es-ES_tradnl"/>
              </w:rPr>
            </w:pPr>
            <w:r>
              <w:rPr>
                <w:noProof/>
                <w:color w:val="000000"/>
                <w:sz w:val="18"/>
                <w:szCs w:val="18"/>
                <w:lang w:eastAsia="es-ES_tradnl"/>
              </w:rPr>
              <w:t>delegated to other DGs</w:t>
            </w:r>
          </w:p>
        </w:tc>
        <w:tc>
          <w:tcPr>
            <w:tcW w:w="433" w:type="pct"/>
            <w:tcBorders>
              <w:top w:val="nil"/>
              <w:left w:val="nil"/>
              <w:bottom w:val="single" w:sz="4" w:space="0" w:color="auto"/>
              <w:right w:val="single" w:sz="4" w:space="0" w:color="auto"/>
            </w:tcBorders>
            <w:noWrap/>
            <w:vAlign w:val="center"/>
            <w:hideMark/>
          </w:tcPr>
          <w:p>
            <w:pPr>
              <w:spacing w:line="276" w:lineRule="auto"/>
              <w:jc w:val="right"/>
              <w:rPr>
                <w:noProof/>
                <w:color w:val="000000"/>
                <w:sz w:val="18"/>
                <w:szCs w:val="18"/>
                <w:lang w:eastAsia="es-ES_tradnl"/>
              </w:rPr>
            </w:pPr>
            <w:r>
              <w:rPr>
                <w:noProof/>
                <w:color w:val="000000"/>
                <w:sz w:val="18"/>
                <w:szCs w:val="18"/>
                <w:lang w:eastAsia="es-ES_tradnl"/>
              </w:rPr>
              <w:t>462.962</w:t>
            </w:r>
          </w:p>
        </w:tc>
        <w:tc>
          <w:tcPr>
            <w:tcW w:w="432" w:type="pct"/>
            <w:tcBorders>
              <w:top w:val="nil"/>
              <w:left w:val="nil"/>
              <w:bottom w:val="single" w:sz="4" w:space="0" w:color="auto"/>
              <w:right w:val="single" w:sz="4" w:space="0" w:color="auto"/>
            </w:tcBorders>
            <w:noWrap/>
            <w:vAlign w:val="center"/>
            <w:hideMark/>
          </w:tcPr>
          <w:p>
            <w:pPr>
              <w:spacing w:line="276" w:lineRule="auto"/>
              <w:jc w:val="right"/>
              <w:rPr>
                <w:noProof/>
                <w:color w:val="000000"/>
                <w:sz w:val="18"/>
                <w:szCs w:val="18"/>
                <w:lang w:eastAsia="es-ES_tradnl"/>
              </w:rPr>
            </w:pPr>
            <w:r>
              <w:rPr>
                <w:noProof/>
                <w:color w:val="000000"/>
                <w:sz w:val="18"/>
                <w:szCs w:val="18"/>
                <w:lang w:eastAsia="es-ES_tradnl"/>
              </w:rPr>
              <w:t>462.962</w:t>
            </w:r>
          </w:p>
        </w:tc>
        <w:tc>
          <w:tcPr>
            <w:tcW w:w="357" w:type="pct"/>
            <w:tcBorders>
              <w:top w:val="nil"/>
              <w:left w:val="nil"/>
              <w:bottom w:val="single" w:sz="4" w:space="0" w:color="auto"/>
              <w:right w:val="single" w:sz="4" w:space="0" w:color="auto"/>
            </w:tcBorders>
            <w:noWrap/>
            <w:vAlign w:val="center"/>
            <w:hideMark/>
          </w:tcPr>
          <w:p>
            <w:pPr>
              <w:spacing w:line="276" w:lineRule="auto"/>
              <w:jc w:val="right"/>
              <w:rPr>
                <w:noProof/>
                <w:color w:val="000000"/>
                <w:sz w:val="18"/>
                <w:szCs w:val="18"/>
                <w:lang w:eastAsia="es-ES_tradnl"/>
              </w:rPr>
            </w:pPr>
            <w:r>
              <w:rPr>
                <w:noProof/>
                <w:color w:val="000000"/>
                <w:sz w:val="18"/>
                <w:szCs w:val="18"/>
                <w:lang w:eastAsia="es-ES_tradnl"/>
              </w:rPr>
              <w:t>100,00 %</w:t>
            </w:r>
          </w:p>
        </w:tc>
        <w:tc>
          <w:tcPr>
            <w:tcW w:w="393" w:type="pct"/>
            <w:tcBorders>
              <w:top w:val="nil"/>
              <w:left w:val="nil"/>
              <w:bottom w:val="single" w:sz="4" w:space="0" w:color="auto"/>
              <w:right w:val="single" w:sz="4" w:space="0" w:color="auto"/>
            </w:tcBorders>
            <w:noWrap/>
            <w:vAlign w:val="center"/>
            <w:hideMark/>
          </w:tcPr>
          <w:p>
            <w:pPr>
              <w:spacing w:line="276" w:lineRule="auto"/>
              <w:jc w:val="right"/>
              <w:rPr>
                <w:noProof/>
                <w:color w:val="000000"/>
                <w:sz w:val="18"/>
                <w:szCs w:val="18"/>
                <w:lang w:eastAsia="es-ES_tradnl"/>
              </w:rPr>
            </w:pPr>
            <w:r>
              <w:rPr>
                <w:noProof/>
                <w:color w:val="000000"/>
                <w:sz w:val="18"/>
                <w:szCs w:val="18"/>
                <w:lang w:eastAsia="es-ES_tradnl"/>
              </w:rPr>
              <w:t>33.100</w:t>
            </w:r>
          </w:p>
        </w:tc>
        <w:tc>
          <w:tcPr>
            <w:tcW w:w="387" w:type="pct"/>
            <w:tcBorders>
              <w:top w:val="nil"/>
              <w:left w:val="nil"/>
              <w:bottom w:val="single" w:sz="4" w:space="0" w:color="auto"/>
              <w:right w:val="single" w:sz="4" w:space="0" w:color="auto"/>
            </w:tcBorders>
            <w:noWrap/>
            <w:vAlign w:val="center"/>
            <w:hideMark/>
          </w:tcPr>
          <w:p>
            <w:pPr>
              <w:spacing w:line="276" w:lineRule="auto"/>
              <w:jc w:val="right"/>
              <w:rPr>
                <w:noProof/>
                <w:color w:val="000000"/>
                <w:sz w:val="18"/>
                <w:szCs w:val="18"/>
                <w:lang w:eastAsia="es-ES_tradnl"/>
              </w:rPr>
            </w:pPr>
            <w:r>
              <w:rPr>
                <w:noProof/>
                <w:color w:val="000000"/>
                <w:sz w:val="18"/>
                <w:szCs w:val="18"/>
                <w:lang w:eastAsia="es-ES_tradnl"/>
              </w:rPr>
              <w:t>22.521</w:t>
            </w:r>
          </w:p>
        </w:tc>
        <w:tc>
          <w:tcPr>
            <w:tcW w:w="379" w:type="pct"/>
            <w:tcBorders>
              <w:top w:val="nil"/>
              <w:left w:val="nil"/>
              <w:bottom w:val="single" w:sz="4" w:space="0" w:color="auto"/>
              <w:right w:val="single" w:sz="4" w:space="0" w:color="auto"/>
            </w:tcBorders>
            <w:noWrap/>
            <w:vAlign w:val="center"/>
            <w:hideMark/>
          </w:tcPr>
          <w:p>
            <w:pPr>
              <w:spacing w:line="276" w:lineRule="auto"/>
              <w:jc w:val="right"/>
              <w:rPr>
                <w:noProof/>
                <w:color w:val="000000"/>
                <w:sz w:val="18"/>
                <w:szCs w:val="18"/>
                <w:lang w:eastAsia="es-ES_tradnl"/>
              </w:rPr>
            </w:pPr>
            <w:r>
              <w:rPr>
                <w:noProof/>
                <w:color w:val="000000"/>
                <w:sz w:val="18"/>
                <w:szCs w:val="18"/>
                <w:lang w:eastAsia="es-ES_tradnl"/>
              </w:rPr>
              <w:t>68,04 %</w:t>
            </w:r>
          </w:p>
        </w:tc>
      </w:tr>
      <w:tr>
        <w:trPr>
          <w:gridAfter w:val="3"/>
          <w:wAfter w:w="1180" w:type="pct"/>
          <w:trHeight w:val="645"/>
        </w:trPr>
        <w:tc>
          <w:tcPr>
            <w:tcW w:w="65" w:type="pct"/>
            <w:noWrap/>
            <w:vAlign w:val="center"/>
            <w:hideMark/>
          </w:tcPr>
          <w:p>
            <w:pPr>
              <w:spacing w:line="276" w:lineRule="auto"/>
              <w:rPr>
                <w:rFonts w:asciiTheme="minorHAnsi" w:eastAsiaTheme="minorHAnsi" w:hAnsiTheme="minorHAnsi" w:cstheme="minorBidi"/>
                <w:noProof/>
                <w:sz w:val="22"/>
                <w:szCs w:val="22"/>
                <w:lang w:eastAsia="en-US"/>
              </w:rPr>
            </w:pPr>
          </w:p>
        </w:tc>
        <w:tc>
          <w:tcPr>
            <w:tcW w:w="458" w:type="pct"/>
            <w:tcBorders>
              <w:top w:val="nil"/>
              <w:left w:val="single" w:sz="4" w:space="0" w:color="auto"/>
              <w:bottom w:val="single" w:sz="4" w:space="0" w:color="auto"/>
              <w:right w:val="single" w:sz="4" w:space="0" w:color="auto"/>
            </w:tcBorders>
            <w:noWrap/>
            <w:vAlign w:val="center"/>
            <w:hideMark/>
          </w:tcPr>
          <w:p>
            <w:pPr>
              <w:spacing w:line="276" w:lineRule="auto"/>
              <w:rPr>
                <w:b/>
                <w:bCs/>
                <w:noProof/>
                <w:color w:val="000000"/>
                <w:sz w:val="18"/>
                <w:szCs w:val="18"/>
                <w:lang w:eastAsia="es-ES_tradnl"/>
              </w:rPr>
            </w:pPr>
            <w:r>
              <w:rPr>
                <w:b/>
                <w:bCs/>
                <w:noProof/>
                <w:color w:val="000000"/>
                <w:sz w:val="18"/>
                <w:szCs w:val="18"/>
                <w:lang w:eastAsia="es-ES_tradnl"/>
              </w:rPr>
              <w:t> </w:t>
            </w:r>
          </w:p>
        </w:tc>
        <w:tc>
          <w:tcPr>
            <w:tcW w:w="915" w:type="pct"/>
            <w:tcBorders>
              <w:top w:val="nil"/>
              <w:left w:val="nil"/>
              <w:bottom w:val="single" w:sz="4" w:space="0" w:color="auto"/>
              <w:right w:val="single" w:sz="4" w:space="0" w:color="auto"/>
            </w:tcBorders>
            <w:vAlign w:val="center"/>
            <w:hideMark/>
          </w:tcPr>
          <w:p>
            <w:pPr>
              <w:spacing w:line="276" w:lineRule="auto"/>
              <w:rPr>
                <w:b/>
                <w:bCs/>
                <w:noProof/>
                <w:sz w:val="18"/>
                <w:szCs w:val="18"/>
                <w:lang w:eastAsia="es-ES_tradnl"/>
              </w:rPr>
            </w:pPr>
            <w:r>
              <w:rPr>
                <w:b/>
                <w:bCs/>
                <w:noProof/>
                <w:sz w:val="18"/>
                <w:szCs w:val="18"/>
                <w:lang w:eastAsia="es-ES_tradnl"/>
              </w:rPr>
              <w:t>total budget committed in 2014 including carry-overs for 020201</w:t>
            </w:r>
          </w:p>
        </w:tc>
        <w:tc>
          <w:tcPr>
            <w:tcW w:w="433" w:type="pct"/>
            <w:tcBorders>
              <w:top w:val="nil"/>
              <w:left w:val="nil"/>
              <w:bottom w:val="single" w:sz="4" w:space="0" w:color="auto"/>
              <w:right w:val="single" w:sz="4" w:space="0" w:color="auto"/>
            </w:tcBorders>
            <w:noWrap/>
            <w:vAlign w:val="center"/>
            <w:hideMark/>
          </w:tcPr>
          <w:p>
            <w:pPr>
              <w:spacing w:line="276" w:lineRule="auto"/>
              <w:jc w:val="right"/>
              <w:rPr>
                <w:b/>
                <w:bCs/>
                <w:noProof/>
                <w:sz w:val="18"/>
                <w:szCs w:val="18"/>
                <w:lang w:eastAsia="es-ES_tradnl"/>
              </w:rPr>
            </w:pPr>
            <w:r>
              <w:rPr>
                <w:b/>
                <w:bCs/>
                <w:noProof/>
                <w:sz w:val="18"/>
                <w:szCs w:val="18"/>
                <w:lang w:eastAsia="es-ES_tradnl"/>
              </w:rPr>
              <w:t>106.411.140</w:t>
            </w:r>
          </w:p>
        </w:tc>
        <w:tc>
          <w:tcPr>
            <w:tcW w:w="432" w:type="pct"/>
            <w:tcBorders>
              <w:top w:val="nil"/>
              <w:left w:val="nil"/>
              <w:bottom w:val="single" w:sz="4" w:space="0" w:color="auto"/>
              <w:right w:val="single" w:sz="4" w:space="0" w:color="auto"/>
            </w:tcBorders>
            <w:noWrap/>
            <w:vAlign w:val="center"/>
            <w:hideMark/>
          </w:tcPr>
          <w:p>
            <w:pPr>
              <w:spacing w:line="276" w:lineRule="auto"/>
              <w:jc w:val="right"/>
              <w:rPr>
                <w:b/>
                <w:bCs/>
                <w:noProof/>
                <w:sz w:val="18"/>
                <w:szCs w:val="18"/>
                <w:lang w:eastAsia="es-ES_tradnl"/>
              </w:rPr>
            </w:pPr>
            <w:r>
              <w:rPr>
                <w:b/>
                <w:bCs/>
                <w:noProof/>
                <w:sz w:val="18"/>
                <w:szCs w:val="18"/>
                <w:lang w:eastAsia="es-ES_tradnl"/>
              </w:rPr>
              <w:t>106.078.842</w:t>
            </w:r>
          </w:p>
        </w:tc>
        <w:tc>
          <w:tcPr>
            <w:tcW w:w="357" w:type="pct"/>
            <w:tcBorders>
              <w:top w:val="nil"/>
              <w:left w:val="nil"/>
              <w:bottom w:val="single" w:sz="4" w:space="0" w:color="auto"/>
              <w:right w:val="single" w:sz="4" w:space="0" w:color="auto"/>
            </w:tcBorders>
            <w:noWrap/>
            <w:vAlign w:val="center"/>
            <w:hideMark/>
          </w:tcPr>
          <w:p>
            <w:pPr>
              <w:spacing w:line="276" w:lineRule="auto"/>
              <w:jc w:val="right"/>
              <w:rPr>
                <w:b/>
                <w:bCs/>
                <w:noProof/>
                <w:color w:val="000000"/>
                <w:sz w:val="18"/>
                <w:szCs w:val="18"/>
                <w:lang w:eastAsia="es-ES_tradnl"/>
              </w:rPr>
            </w:pPr>
            <w:r>
              <w:rPr>
                <w:b/>
                <w:bCs/>
                <w:noProof/>
                <w:color w:val="000000"/>
                <w:sz w:val="18"/>
                <w:szCs w:val="18"/>
                <w:lang w:eastAsia="es-ES_tradnl"/>
              </w:rPr>
              <w:t>99,69 %</w:t>
            </w:r>
          </w:p>
        </w:tc>
        <w:tc>
          <w:tcPr>
            <w:tcW w:w="393" w:type="pct"/>
            <w:tcBorders>
              <w:top w:val="nil"/>
              <w:left w:val="nil"/>
              <w:bottom w:val="single" w:sz="4" w:space="0" w:color="auto"/>
              <w:right w:val="single" w:sz="4" w:space="0" w:color="auto"/>
            </w:tcBorders>
            <w:noWrap/>
            <w:vAlign w:val="center"/>
            <w:hideMark/>
          </w:tcPr>
          <w:p>
            <w:pPr>
              <w:spacing w:line="276" w:lineRule="auto"/>
              <w:jc w:val="right"/>
              <w:rPr>
                <w:b/>
                <w:bCs/>
                <w:noProof/>
                <w:sz w:val="18"/>
                <w:szCs w:val="18"/>
                <w:lang w:eastAsia="es-ES_tradnl"/>
              </w:rPr>
            </w:pPr>
            <w:r>
              <w:rPr>
                <w:b/>
                <w:bCs/>
                <w:noProof/>
                <w:sz w:val="18"/>
                <w:szCs w:val="18"/>
                <w:lang w:eastAsia="es-ES_tradnl"/>
              </w:rPr>
              <w:t>10.970.041</w:t>
            </w:r>
          </w:p>
        </w:tc>
        <w:tc>
          <w:tcPr>
            <w:tcW w:w="387" w:type="pct"/>
            <w:tcBorders>
              <w:top w:val="nil"/>
              <w:left w:val="nil"/>
              <w:bottom w:val="single" w:sz="4" w:space="0" w:color="auto"/>
              <w:right w:val="single" w:sz="4" w:space="0" w:color="auto"/>
            </w:tcBorders>
            <w:noWrap/>
            <w:vAlign w:val="center"/>
            <w:hideMark/>
          </w:tcPr>
          <w:p>
            <w:pPr>
              <w:spacing w:line="276" w:lineRule="auto"/>
              <w:jc w:val="right"/>
              <w:rPr>
                <w:b/>
                <w:bCs/>
                <w:noProof/>
                <w:sz w:val="18"/>
                <w:szCs w:val="18"/>
                <w:lang w:eastAsia="es-ES_tradnl"/>
              </w:rPr>
            </w:pPr>
            <w:r>
              <w:rPr>
                <w:b/>
                <w:bCs/>
                <w:noProof/>
                <w:sz w:val="18"/>
                <w:szCs w:val="18"/>
                <w:lang w:eastAsia="es-ES_tradnl"/>
              </w:rPr>
              <w:t>7.317.038</w:t>
            </w:r>
          </w:p>
        </w:tc>
        <w:tc>
          <w:tcPr>
            <w:tcW w:w="379" w:type="pct"/>
            <w:tcBorders>
              <w:top w:val="nil"/>
              <w:left w:val="nil"/>
              <w:bottom w:val="single" w:sz="4" w:space="0" w:color="auto"/>
              <w:right w:val="single" w:sz="4" w:space="0" w:color="auto"/>
            </w:tcBorders>
            <w:noWrap/>
            <w:vAlign w:val="center"/>
            <w:hideMark/>
          </w:tcPr>
          <w:p>
            <w:pPr>
              <w:spacing w:line="276" w:lineRule="auto"/>
              <w:jc w:val="right"/>
              <w:rPr>
                <w:b/>
                <w:bCs/>
                <w:noProof/>
                <w:color w:val="000000"/>
                <w:sz w:val="18"/>
                <w:szCs w:val="18"/>
                <w:lang w:eastAsia="es-ES_tradnl"/>
              </w:rPr>
            </w:pPr>
            <w:r>
              <w:rPr>
                <w:b/>
                <w:bCs/>
                <w:noProof/>
                <w:color w:val="000000"/>
                <w:sz w:val="18"/>
                <w:szCs w:val="18"/>
                <w:lang w:eastAsia="es-ES_tradnl"/>
              </w:rPr>
              <w:t>66,70 %</w:t>
            </w:r>
          </w:p>
        </w:tc>
      </w:tr>
      <w:tr>
        <w:trPr>
          <w:gridAfter w:val="3"/>
          <w:wAfter w:w="1180" w:type="pct"/>
          <w:trHeight w:val="329"/>
        </w:trPr>
        <w:tc>
          <w:tcPr>
            <w:tcW w:w="65" w:type="pct"/>
            <w:noWrap/>
            <w:vAlign w:val="center"/>
            <w:hideMark/>
          </w:tcPr>
          <w:p>
            <w:pPr>
              <w:spacing w:line="276" w:lineRule="auto"/>
              <w:rPr>
                <w:rFonts w:asciiTheme="minorHAnsi" w:eastAsiaTheme="minorHAnsi" w:hAnsiTheme="minorHAnsi" w:cstheme="minorBidi"/>
                <w:noProof/>
                <w:sz w:val="22"/>
                <w:szCs w:val="22"/>
                <w:lang w:eastAsia="en-US"/>
              </w:rPr>
            </w:pPr>
          </w:p>
        </w:tc>
        <w:tc>
          <w:tcPr>
            <w:tcW w:w="458" w:type="pct"/>
            <w:tcBorders>
              <w:top w:val="nil"/>
              <w:left w:val="single" w:sz="4" w:space="0" w:color="auto"/>
              <w:bottom w:val="single" w:sz="4" w:space="0" w:color="auto"/>
              <w:right w:val="single" w:sz="4" w:space="0" w:color="auto"/>
            </w:tcBorders>
            <w:noWrap/>
            <w:vAlign w:val="center"/>
            <w:hideMark/>
          </w:tcPr>
          <w:p>
            <w:pPr>
              <w:spacing w:line="276" w:lineRule="auto"/>
              <w:rPr>
                <w:noProof/>
                <w:color w:val="000000"/>
                <w:sz w:val="18"/>
                <w:szCs w:val="18"/>
                <w:lang w:eastAsia="es-ES_tradnl"/>
              </w:rPr>
            </w:pPr>
            <w:r>
              <w:rPr>
                <w:noProof/>
                <w:color w:val="000000"/>
                <w:sz w:val="18"/>
                <w:szCs w:val="18"/>
                <w:lang w:eastAsia="es-ES_tradnl"/>
              </w:rPr>
              <w:t>Carried over EASME</w:t>
            </w:r>
          </w:p>
        </w:tc>
        <w:tc>
          <w:tcPr>
            <w:tcW w:w="915" w:type="pct"/>
            <w:tcBorders>
              <w:top w:val="nil"/>
              <w:left w:val="nil"/>
              <w:bottom w:val="single" w:sz="4" w:space="0" w:color="auto"/>
              <w:right w:val="single" w:sz="4" w:space="0" w:color="auto"/>
            </w:tcBorders>
            <w:noWrap/>
            <w:vAlign w:val="center"/>
            <w:hideMark/>
          </w:tcPr>
          <w:p>
            <w:pPr>
              <w:spacing w:line="276" w:lineRule="auto"/>
              <w:rPr>
                <w:noProof/>
                <w:sz w:val="18"/>
                <w:szCs w:val="18"/>
                <w:lang w:eastAsia="es-ES_tradnl"/>
              </w:rPr>
            </w:pPr>
            <w:r>
              <w:rPr>
                <w:noProof/>
                <w:sz w:val="18"/>
                <w:szCs w:val="18"/>
                <w:lang w:eastAsia="es-ES_tradnl"/>
              </w:rPr>
              <w:t>actions carried-over to 2015</w:t>
            </w:r>
          </w:p>
        </w:tc>
        <w:tc>
          <w:tcPr>
            <w:tcW w:w="433" w:type="pct"/>
            <w:tcBorders>
              <w:top w:val="nil"/>
              <w:left w:val="nil"/>
              <w:bottom w:val="single" w:sz="4" w:space="0" w:color="auto"/>
              <w:right w:val="single" w:sz="4" w:space="0" w:color="auto"/>
            </w:tcBorders>
            <w:noWrap/>
            <w:vAlign w:val="center"/>
            <w:hideMark/>
          </w:tcPr>
          <w:p>
            <w:pPr>
              <w:spacing w:line="276" w:lineRule="auto"/>
              <w:jc w:val="right"/>
              <w:rPr>
                <w:noProof/>
                <w:sz w:val="18"/>
                <w:szCs w:val="18"/>
                <w:lang w:eastAsia="es-ES_tradnl"/>
              </w:rPr>
            </w:pPr>
            <w:r>
              <w:rPr>
                <w:noProof/>
                <w:sz w:val="18"/>
                <w:szCs w:val="18"/>
                <w:lang w:eastAsia="es-ES_tradnl"/>
              </w:rPr>
              <w:t>78.788.026</w:t>
            </w:r>
          </w:p>
        </w:tc>
        <w:tc>
          <w:tcPr>
            <w:tcW w:w="432" w:type="pct"/>
            <w:tcBorders>
              <w:top w:val="nil"/>
              <w:left w:val="nil"/>
              <w:bottom w:val="single" w:sz="4" w:space="0" w:color="auto"/>
              <w:right w:val="single" w:sz="4" w:space="0" w:color="auto"/>
            </w:tcBorders>
            <w:noWrap/>
            <w:vAlign w:val="center"/>
            <w:hideMark/>
          </w:tcPr>
          <w:p>
            <w:pPr>
              <w:spacing w:line="276" w:lineRule="auto"/>
              <w:jc w:val="right"/>
              <w:rPr>
                <w:noProof/>
                <w:sz w:val="18"/>
                <w:szCs w:val="18"/>
                <w:lang w:eastAsia="es-ES_tradnl"/>
              </w:rPr>
            </w:pPr>
            <w:r>
              <w:rPr>
                <w:noProof/>
                <w:sz w:val="18"/>
                <w:szCs w:val="18"/>
                <w:lang w:eastAsia="es-ES_tradnl"/>
              </w:rPr>
              <w:t>77.449.753</w:t>
            </w:r>
          </w:p>
        </w:tc>
        <w:tc>
          <w:tcPr>
            <w:tcW w:w="357" w:type="pct"/>
            <w:tcBorders>
              <w:top w:val="nil"/>
              <w:left w:val="nil"/>
              <w:bottom w:val="single" w:sz="4" w:space="0" w:color="auto"/>
              <w:right w:val="single" w:sz="4" w:space="0" w:color="auto"/>
            </w:tcBorders>
            <w:noWrap/>
            <w:vAlign w:val="center"/>
            <w:hideMark/>
          </w:tcPr>
          <w:p>
            <w:pPr>
              <w:spacing w:line="276" w:lineRule="auto"/>
              <w:jc w:val="right"/>
              <w:rPr>
                <w:b/>
                <w:bCs/>
                <w:noProof/>
                <w:color w:val="000000"/>
                <w:sz w:val="18"/>
                <w:szCs w:val="18"/>
                <w:lang w:eastAsia="es-ES_tradnl"/>
              </w:rPr>
            </w:pPr>
            <w:r>
              <w:rPr>
                <w:b/>
                <w:bCs/>
                <w:noProof/>
                <w:color w:val="000000"/>
                <w:sz w:val="18"/>
                <w:szCs w:val="18"/>
                <w:lang w:eastAsia="es-ES_tradnl"/>
              </w:rPr>
              <w:t>98,30 %</w:t>
            </w:r>
          </w:p>
        </w:tc>
        <w:tc>
          <w:tcPr>
            <w:tcW w:w="393" w:type="pct"/>
            <w:tcBorders>
              <w:top w:val="nil"/>
              <w:left w:val="nil"/>
              <w:bottom w:val="single" w:sz="4" w:space="0" w:color="auto"/>
              <w:right w:val="single" w:sz="4" w:space="0" w:color="auto"/>
            </w:tcBorders>
            <w:noWrap/>
            <w:vAlign w:val="center"/>
          </w:tcPr>
          <w:p>
            <w:pPr>
              <w:spacing w:line="276" w:lineRule="auto"/>
              <w:rPr>
                <w:noProof/>
                <w:sz w:val="18"/>
                <w:szCs w:val="18"/>
                <w:lang w:eastAsia="es-ES_tradnl"/>
              </w:rPr>
            </w:pPr>
          </w:p>
        </w:tc>
        <w:tc>
          <w:tcPr>
            <w:tcW w:w="387" w:type="pct"/>
            <w:tcBorders>
              <w:top w:val="nil"/>
              <w:left w:val="nil"/>
              <w:bottom w:val="single" w:sz="4" w:space="0" w:color="auto"/>
              <w:right w:val="single" w:sz="4" w:space="0" w:color="auto"/>
            </w:tcBorders>
            <w:noWrap/>
            <w:vAlign w:val="center"/>
          </w:tcPr>
          <w:p>
            <w:pPr>
              <w:spacing w:line="276" w:lineRule="auto"/>
              <w:rPr>
                <w:noProof/>
                <w:sz w:val="18"/>
                <w:szCs w:val="18"/>
                <w:lang w:eastAsia="es-ES_tradnl"/>
              </w:rPr>
            </w:pPr>
          </w:p>
        </w:tc>
        <w:tc>
          <w:tcPr>
            <w:tcW w:w="379" w:type="pct"/>
            <w:tcBorders>
              <w:top w:val="nil"/>
              <w:left w:val="nil"/>
              <w:bottom w:val="single" w:sz="4" w:space="0" w:color="auto"/>
              <w:right w:val="single" w:sz="4" w:space="0" w:color="auto"/>
            </w:tcBorders>
            <w:noWrap/>
            <w:vAlign w:val="center"/>
          </w:tcPr>
          <w:p>
            <w:pPr>
              <w:spacing w:line="276" w:lineRule="auto"/>
              <w:rPr>
                <w:noProof/>
                <w:sz w:val="18"/>
                <w:szCs w:val="18"/>
                <w:lang w:eastAsia="es-ES_tradnl"/>
              </w:rPr>
            </w:pPr>
          </w:p>
        </w:tc>
      </w:tr>
      <w:tr>
        <w:trPr>
          <w:gridAfter w:val="3"/>
          <w:wAfter w:w="1180" w:type="pct"/>
          <w:trHeight w:val="263"/>
        </w:trPr>
        <w:tc>
          <w:tcPr>
            <w:tcW w:w="65" w:type="pct"/>
            <w:noWrap/>
            <w:vAlign w:val="center"/>
            <w:hideMark/>
          </w:tcPr>
          <w:p>
            <w:pPr>
              <w:spacing w:line="276" w:lineRule="auto"/>
              <w:rPr>
                <w:rFonts w:asciiTheme="minorHAnsi" w:eastAsiaTheme="minorHAnsi" w:hAnsiTheme="minorHAnsi" w:cstheme="minorBidi"/>
                <w:noProof/>
                <w:sz w:val="22"/>
                <w:szCs w:val="22"/>
                <w:lang w:eastAsia="en-US"/>
              </w:rPr>
            </w:pPr>
          </w:p>
        </w:tc>
        <w:tc>
          <w:tcPr>
            <w:tcW w:w="458" w:type="pct"/>
            <w:tcBorders>
              <w:top w:val="nil"/>
              <w:left w:val="single" w:sz="4" w:space="0" w:color="auto"/>
              <w:bottom w:val="single" w:sz="4" w:space="0" w:color="auto"/>
              <w:right w:val="single" w:sz="4" w:space="0" w:color="auto"/>
            </w:tcBorders>
            <w:noWrap/>
            <w:vAlign w:val="center"/>
            <w:hideMark/>
          </w:tcPr>
          <w:p>
            <w:pPr>
              <w:spacing w:line="276" w:lineRule="auto"/>
              <w:ind w:left="-2" w:firstLine="2"/>
              <w:rPr>
                <w:noProof/>
                <w:color w:val="000000"/>
                <w:sz w:val="18"/>
                <w:szCs w:val="18"/>
                <w:lang w:eastAsia="es-ES_tradnl"/>
              </w:rPr>
            </w:pPr>
            <w:r>
              <w:rPr>
                <w:noProof/>
                <w:color w:val="000000"/>
                <w:sz w:val="18"/>
                <w:szCs w:val="18"/>
                <w:lang w:eastAsia="es-ES_tradnl"/>
              </w:rPr>
              <w:t>Carried over GROW</w:t>
            </w:r>
          </w:p>
        </w:tc>
        <w:tc>
          <w:tcPr>
            <w:tcW w:w="915" w:type="pct"/>
            <w:tcBorders>
              <w:top w:val="nil"/>
              <w:left w:val="nil"/>
              <w:bottom w:val="single" w:sz="4" w:space="0" w:color="auto"/>
              <w:right w:val="single" w:sz="4" w:space="0" w:color="auto"/>
            </w:tcBorders>
            <w:noWrap/>
            <w:vAlign w:val="center"/>
            <w:hideMark/>
          </w:tcPr>
          <w:p>
            <w:pPr>
              <w:spacing w:line="276" w:lineRule="auto"/>
              <w:rPr>
                <w:noProof/>
                <w:sz w:val="18"/>
                <w:szCs w:val="18"/>
                <w:lang w:eastAsia="es-ES_tradnl"/>
              </w:rPr>
            </w:pPr>
            <w:r>
              <w:rPr>
                <w:noProof/>
                <w:sz w:val="18"/>
                <w:szCs w:val="18"/>
                <w:lang w:eastAsia="es-ES_tradnl"/>
              </w:rPr>
              <w:t>actions carried-over to 2015</w:t>
            </w:r>
          </w:p>
        </w:tc>
        <w:tc>
          <w:tcPr>
            <w:tcW w:w="433" w:type="pct"/>
            <w:tcBorders>
              <w:top w:val="nil"/>
              <w:left w:val="nil"/>
              <w:bottom w:val="single" w:sz="4" w:space="0" w:color="auto"/>
              <w:right w:val="single" w:sz="4" w:space="0" w:color="auto"/>
            </w:tcBorders>
            <w:noWrap/>
            <w:vAlign w:val="center"/>
            <w:hideMark/>
          </w:tcPr>
          <w:p>
            <w:pPr>
              <w:spacing w:line="276" w:lineRule="auto"/>
              <w:jc w:val="right"/>
              <w:rPr>
                <w:noProof/>
                <w:sz w:val="18"/>
                <w:szCs w:val="18"/>
                <w:lang w:eastAsia="es-ES_tradnl"/>
              </w:rPr>
            </w:pPr>
            <w:r>
              <w:rPr>
                <w:noProof/>
                <w:sz w:val="18"/>
                <w:szCs w:val="18"/>
                <w:lang w:eastAsia="es-ES_tradnl"/>
              </w:rPr>
              <w:t>4.536.240</w:t>
            </w:r>
          </w:p>
        </w:tc>
        <w:tc>
          <w:tcPr>
            <w:tcW w:w="432" w:type="pct"/>
            <w:tcBorders>
              <w:top w:val="nil"/>
              <w:left w:val="nil"/>
              <w:bottom w:val="single" w:sz="4" w:space="0" w:color="auto"/>
              <w:right w:val="single" w:sz="4" w:space="0" w:color="auto"/>
            </w:tcBorders>
            <w:noWrap/>
            <w:vAlign w:val="center"/>
            <w:hideMark/>
          </w:tcPr>
          <w:p>
            <w:pPr>
              <w:spacing w:line="276" w:lineRule="auto"/>
              <w:jc w:val="right"/>
              <w:rPr>
                <w:noProof/>
                <w:sz w:val="18"/>
                <w:szCs w:val="18"/>
                <w:lang w:eastAsia="es-ES_tradnl"/>
              </w:rPr>
            </w:pPr>
            <w:r>
              <w:rPr>
                <w:noProof/>
                <w:sz w:val="18"/>
                <w:szCs w:val="18"/>
                <w:lang w:eastAsia="es-ES_tradnl"/>
              </w:rPr>
              <w:t>4.349.528</w:t>
            </w:r>
          </w:p>
        </w:tc>
        <w:tc>
          <w:tcPr>
            <w:tcW w:w="357" w:type="pct"/>
            <w:tcBorders>
              <w:top w:val="nil"/>
              <w:left w:val="nil"/>
              <w:bottom w:val="single" w:sz="4" w:space="0" w:color="auto"/>
              <w:right w:val="single" w:sz="4" w:space="0" w:color="auto"/>
            </w:tcBorders>
            <w:noWrap/>
            <w:vAlign w:val="center"/>
            <w:hideMark/>
          </w:tcPr>
          <w:p>
            <w:pPr>
              <w:spacing w:line="276" w:lineRule="auto"/>
              <w:jc w:val="right"/>
              <w:rPr>
                <w:b/>
                <w:bCs/>
                <w:noProof/>
                <w:color w:val="000000"/>
                <w:sz w:val="18"/>
                <w:szCs w:val="18"/>
                <w:lang w:eastAsia="es-ES_tradnl"/>
              </w:rPr>
            </w:pPr>
            <w:r>
              <w:rPr>
                <w:b/>
                <w:bCs/>
                <w:noProof/>
                <w:color w:val="000000"/>
                <w:sz w:val="18"/>
                <w:szCs w:val="18"/>
                <w:lang w:eastAsia="es-ES_tradnl"/>
              </w:rPr>
              <w:t>95,88 %</w:t>
            </w:r>
          </w:p>
        </w:tc>
        <w:tc>
          <w:tcPr>
            <w:tcW w:w="393" w:type="pct"/>
            <w:tcBorders>
              <w:top w:val="nil"/>
              <w:left w:val="nil"/>
              <w:bottom w:val="single" w:sz="4" w:space="0" w:color="auto"/>
              <w:right w:val="single" w:sz="4" w:space="0" w:color="auto"/>
            </w:tcBorders>
            <w:noWrap/>
            <w:vAlign w:val="center"/>
          </w:tcPr>
          <w:p>
            <w:pPr>
              <w:spacing w:line="276" w:lineRule="auto"/>
              <w:rPr>
                <w:noProof/>
                <w:sz w:val="18"/>
                <w:szCs w:val="18"/>
                <w:lang w:eastAsia="es-ES_tradnl"/>
              </w:rPr>
            </w:pPr>
          </w:p>
        </w:tc>
        <w:tc>
          <w:tcPr>
            <w:tcW w:w="387" w:type="pct"/>
            <w:tcBorders>
              <w:top w:val="nil"/>
              <w:left w:val="nil"/>
              <w:bottom w:val="single" w:sz="4" w:space="0" w:color="auto"/>
              <w:right w:val="single" w:sz="4" w:space="0" w:color="auto"/>
            </w:tcBorders>
            <w:noWrap/>
            <w:vAlign w:val="center"/>
          </w:tcPr>
          <w:p>
            <w:pPr>
              <w:spacing w:line="276" w:lineRule="auto"/>
              <w:rPr>
                <w:noProof/>
                <w:sz w:val="18"/>
                <w:szCs w:val="18"/>
                <w:lang w:eastAsia="es-ES_tradnl"/>
              </w:rPr>
            </w:pPr>
          </w:p>
        </w:tc>
        <w:tc>
          <w:tcPr>
            <w:tcW w:w="379" w:type="pct"/>
            <w:tcBorders>
              <w:top w:val="nil"/>
              <w:left w:val="nil"/>
              <w:bottom w:val="single" w:sz="4" w:space="0" w:color="auto"/>
              <w:right w:val="single" w:sz="4" w:space="0" w:color="auto"/>
            </w:tcBorders>
            <w:noWrap/>
            <w:vAlign w:val="center"/>
          </w:tcPr>
          <w:p>
            <w:pPr>
              <w:spacing w:line="276" w:lineRule="auto"/>
              <w:rPr>
                <w:noProof/>
                <w:sz w:val="18"/>
                <w:szCs w:val="18"/>
                <w:lang w:eastAsia="es-ES_tradnl"/>
              </w:rPr>
            </w:pPr>
          </w:p>
        </w:tc>
      </w:tr>
      <w:tr>
        <w:trPr>
          <w:gridAfter w:val="3"/>
          <w:wAfter w:w="1180" w:type="pct"/>
          <w:trHeight w:val="317"/>
        </w:trPr>
        <w:tc>
          <w:tcPr>
            <w:tcW w:w="65" w:type="pct"/>
            <w:noWrap/>
            <w:vAlign w:val="center"/>
            <w:hideMark/>
          </w:tcPr>
          <w:p>
            <w:pPr>
              <w:spacing w:line="276" w:lineRule="auto"/>
              <w:rPr>
                <w:rFonts w:asciiTheme="minorHAnsi" w:eastAsiaTheme="minorHAnsi" w:hAnsiTheme="minorHAnsi" w:cstheme="minorBidi"/>
                <w:noProof/>
                <w:sz w:val="22"/>
                <w:szCs w:val="22"/>
                <w:lang w:eastAsia="en-US"/>
              </w:rPr>
            </w:pPr>
          </w:p>
        </w:tc>
        <w:tc>
          <w:tcPr>
            <w:tcW w:w="458" w:type="pct"/>
            <w:tcBorders>
              <w:top w:val="nil"/>
              <w:left w:val="single" w:sz="4" w:space="0" w:color="auto"/>
              <w:bottom w:val="single" w:sz="4" w:space="0" w:color="auto"/>
              <w:right w:val="single" w:sz="4" w:space="0" w:color="auto"/>
            </w:tcBorders>
            <w:noWrap/>
            <w:vAlign w:val="center"/>
            <w:hideMark/>
          </w:tcPr>
          <w:p>
            <w:pPr>
              <w:spacing w:line="276" w:lineRule="auto"/>
              <w:rPr>
                <w:b/>
                <w:bCs/>
                <w:noProof/>
                <w:color w:val="000000"/>
                <w:sz w:val="18"/>
                <w:szCs w:val="18"/>
                <w:lang w:eastAsia="es-ES_tradnl"/>
              </w:rPr>
            </w:pPr>
            <w:r>
              <w:rPr>
                <w:b/>
                <w:bCs/>
                <w:noProof/>
                <w:color w:val="000000"/>
                <w:sz w:val="18"/>
                <w:szCs w:val="18"/>
                <w:lang w:eastAsia="es-ES_tradnl"/>
              </w:rPr>
              <w:t> </w:t>
            </w:r>
          </w:p>
        </w:tc>
        <w:tc>
          <w:tcPr>
            <w:tcW w:w="915" w:type="pct"/>
            <w:tcBorders>
              <w:top w:val="nil"/>
              <w:left w:val="nil"/>
              <w:bottom w:val="single" w:sz="4" w:space="0" w:color="auto"/>
              <w:right w:val="single" w:sz="4" w:space="0" w:color="auto"/>
            </w:tcBorders>
            <w:noWrap/>
            <w:vAlign w:val="center"/>
            <w:hideMark/>
          </w:tcPr>
          <w:p>
            <w:pPr>
              <w:spacing w:line="276" w:lineRule="auto"/>
              <w:rPr>
                <w:b/>
                <w:bCs/>
                <w:noProof/>
                <w:sz w:val="18"/>
                <w:szCs w:val="18"/>
                <w:lang w:eastAsia="es-ES_tradnl"/>
              </w:rPr>
            </w:pPr>
            <w:r>
              <w:rPr>
                <w:b/>
                <w:bCs/>
                <w:noProof/>
                <w:sz w:val="18"/>
                <w:szCs w:val="18"/>
                <w:lang w:eastAsia="es-ES_tradnl"/>
              </w:rPr>
              <w:t>Final execution  after</w:t>
            </w:r>
          </w:p>
          <w:p>
            <w:pPr>
              <w:spacing w:line="276" w:lineRule="auto"/>
              <w:rPr>
                <w:b/>
                <w:bCs/>
                <w:noProof/>
                <w:sz w:val="18"/>
                <w:szCs w:val="18"/>
                <w:lang w:eastAsia="es-ES_tradnl"/>
              </w:rPr>
            </w:pPr>
            <w:r>
              <w:rPr>
                <w:b/>
                <w:bCs/>
                <w:noProof/>
                <w:sz w:val="18"/>
                <w:szCs w:val="18"/>
                <w:lang w:eastAsia="es-ES_tradnl"/>
              </w:rPr>
              <w:t xml:space="preserve">implementing in 2015 the actions </w:t>
            </w:r>
          </w:p>
          <w:p>
            <w:pPr>
              <w:spacing w:line="276" w:lineRule="auto"/>
              <w:rPr>
                <w:b/>
                <w:bCs/>
                <w:noProof/>
                <w:sz w:val="18"/>
                <w:szCs w:val="18"/>
                <w:lang w:eastAsia="es-ES_tradnl"/>
              </w:rPr>
            </w:pPr>
            <w:r>
              <w:rPr>
                <w:b/>
                <w:bCs/>
                <w:noProof/>
                <w:sz w:val="18"/>
                <w:szCs w:val="18"/>
                <w:lang w:eastAsia="es-ES_tradnl"/>
              </w:rPr>
              <w:t>carried-over</w:t>
            </w:r>
          </w:p>
        </w:tc>
        <w:tc>
          <w:tcPr>
            <w:tcW w:w="433" w:type="pct"/>
            <w:tcBorders>
              <w:top w:val="nil"/>
              <w:left w:val="nil"/>
              <w:bottom w:val="single" w:sz="4" w:space="0" w:color="auto"/>
              <w:right w:val="single" w:sz="4" w:space="0" w:color="auto"/>
            </w:tcBorders>
            <w:noWrap/>
            <w:vAlign w:val="center"/>
            <w:hideMark/>
          </w:tcPr>
          <w:p>
            <w:pPr>
              <w:spacing w:line="276" w:lineRule="auto"/>
              <w:jc w:val="right"/>
              <w:rPr>
                <w:b/>
                <w:bCs/>
                <w:noProof/>
                <w:sz w:val="18"/>
                <w:szCs w:val="18"/>
                <w:lang w:eastAsia="es-ES_tradnl"/>
              </w:rPr>
            </w:pPr>
            <w:r>
              <w:rPr>
                <w:b/>
                <w:bCs/>
                <w:noProof/>
                <w:sz w:val="18"/>
                <w:szCs w:val="18"/>
                <w:lang w:eastAsia="es-ES_tradnl"/>
              </w:rPr>
              <w:t>106.411.140</w:t>
            </w:r>
          </w:p>
        </w:tc>
        <w:tc>
          <w:tcPr>
            <w:tcW w:w="432" w:type="pct"/>
            <w:tcBorders>
              <w:top w:val="nil"/>
              <w:left w:val="nil"/>
              <w:bottom w:val="single" w:sz="4" w:space="0" w:color="auto"/>
              <w:right w:val="single" w:sz="4" w:space="0" w:color="auto"/>
            </w:tcBorders>
            <w:noWrap/>
            <w:vAlign w:val="center"/>
            <w:hideMark/>
          </w:tcPr>
          <w:p>
            <w:pPr>
              <w:spacing w:line="276" w:lineRule="auto"/>
              <w:jc w:val="right"/>
              <w:rPr>
                <w:b/>
                <w:bCs/>
                <w:noProof/>
                <w:sz w:val="18"/>
                <w:szCs w:val="18"/>
                <w:lang w:eastAsia="es-ES_tradnl"/>
              </w:rPr>
            </w:pPr>
            <w:r>
              <w:rPr>
                <w:b/>
                <w:bCs/>
                <w:noProof/>
                <w:sz w:val="18"/>
                <w:szCs w:val="18"/>
                <w:lang w:eastAsia="es-ES_tradnl"/>
              </w:rPr>
              <w:t>104.553.857</w:t>
            </w:r>
          </w:p>
        </w:tc>
        <w:tc>
          <w:tcPr>
            <w:tcW w:w="357" w:type="pct"/>
            <w:tcBorders>
              <w:top w:val="nil"/>
              <w:left w:val="nil"/>
              <w:bottom w:val="single" w:sz="4" w:space="0" w:color="auto"/>
              <w:right w:val="single" w:sz="4" w:space="0" w:color="auto"/>
            </w:tcBorders>
            <w:noWrap/>
            <w:vAlign w:val="center"/>
            <w:hideMark/>
          </w:tcPr>
          <w:p>
            <w:pPr>
              <w:spacing w:line="276" w:lineRule="auto"/>
              <w:jc w:val="right"/>
              <w:rPr>
                <w:b/>
                <w:bCs/>
                <w:noProof/>
                <w:color w:val="000000"/>
                <w:sz w:val="18"/>
                <w:szCs w:val="18"/>
                <w:lang w:eastAsia="es-ES_tradnl"/>
              </w:rPr>
            </w:pPr>
            <w:r>
              <w:rPr>
                <w:b/>
                <w:bCs/>
                <w:noProof/>
                <w:color w:val="000000"/>
                <w:sz w:val="18"/>
                <w:szCs w:val="18"/>
                <w:lang w:eastAsia="es-ES_tradnl"/>
              </w:rPr>
              <w:t>98,25 %</w:t>
            </w:r>
          </w:p>
        </w:tc>
        <w:tc>
          <w:tcPr>
            <w:tcW w:w="393" w:type="pct"/>
            <w:tcBorders>
              <w:top w:val="nil"/>
              <w:left w:val="nil"/>
              <w:bottom w:val="single" w:sz="4" w:space="0" w:color="auto"/>
              <w:right w:val="single" w:sz="4" w:space="0" w:color="auto"/>
            </w:tcBorders>
            <w:noWrap/>
            <w:vAlign w:val="center"/>
            <w:hideMark/>
          </w:tcPr>
          <w:p>
            <w:pPr>
              <w:spacing w:line="276" w:lineRule="auto"/>
              <w:jc w:val="right"/>
              <w:rPr>
                <w:b/>
                <w:bCs/>
                <w:noProof/>
                <w:sz w:val="18"/>
                <w:szCs w:val="18"/>
                <w:lang w:eastAsia="es-ES_tradnl"/>
              </w:rPr>
            </w:pPr>
            <w:r>
              <w:rPr>
                <w:b/>
                <w:bCs/>
                <w:noProof/>
                <w:sz w:val="18"/>
                <w:szCs w:val="18"/>
                <w:lang w:eastAsia="es-ES_tradnl"/>
              </w:rPr>
              <w:t>10.970.641</w:t>
            </w:r>
          </w:p>
        </w:tc>
        <w:tc>
          <w:tcPr>
            <w:tcW w:w="387" w:type="pct"/>
            <w:tcBorders>
              <w:top w:val="nil"/>
              <w:left w:val="nil"/>
              <w:bottom w:val="single" w:sz="4" w:space="0" w:color="auto"/>
              <w:right w:val="single" w:sz="4" w:space="0" w:color="auto"/>
            </w:tcBorders>
            <w:noWrap/>
            <w:vAlign w:val="center"/>
            <w:hideMark/>
          </w:tcPr>
          <w:p>
            <w:pPr>
              <w:spacing w:line="276" w:lineRule="auto"/>
              <w:jc w:val="right"/>
              <w:rPr>
                <w:b/>
                <w:bCs/>
                <w:noProof/>
                <w:sz w:val="18"/>
                <w:szCs w:val="18"/>
                <w:lang w:eastAsia="es-ES_tradnl"/>
              </w:rPr>
            </w:pPr>
            <w:r>
              <w:rPr>
                <w:b/>
                <w:bCs/>
                <w:noProof/>
                <w:sz w:val="18"/>
                <w:szCs w:val="18"/>
                <w:lang w:eastAsia="es-ES_tradnl"/>
              </w:rPr>
              <w:t>7.317.638</w:t>
            </w:r>
          </w:p>
        </w:tc>
        <w:tc>
          <w:tcPr>
            <w:tcW w:w="379" w:type="pct"/>
            <w:tcBorders>
              <w:top w:val="nil"/>
              <w:left w:val="nil"/>
              <w:bottom w:val="single" w:sz="4" w:space="0" w:color="auto"/>
              <w:right w:val="single" w:sz="4" w:space="0" w:color="auto"/>
            </w:tcBorders>
            <w:noWrap/>
            <w:vAlign w:val="center"/>
            <w:hideMark/>
          </w:tcPr>
          <w:p>
            <w:pPr>
              <w:spacing w:line="276" w:lineRule="auto"/>
              <w:jc w:val="right"/>
              <w:rPr>
                <w:b/>
                <w:bCs/>
                <w:noProof/>
                <w:color w:val="000000"/>
                <w:sz w:val="18"/>
                <w:szCs w:val="18"/>
                <w:lang w:eastAsia="es-ES_tradnl"/>
              </w:rPr>
            </w:pPr>
            <w:r>
              <w:rPr>
                <w:b/>
                <w:bCs/>
                <w:noProof/>
                <w:color w:val="000000"/>
                <w:sz w:val="18"/>
                <w:szCs w:val="18"/>
                <w:lang w:eastAsia="es-ES_tradnl"/>
              </w:rPr>
              <w:t>66,70 %</w:t>
            </w:r>
          </w:p>
        </w:tc>
      </w:tr>
      <w:tr>
        <w:trPr>
          <w:gridAfter w:val="3"/>
          <w:wAfter w:w="1180" w:type="pct"/>
          <w:trHeight w:val="402"/>
        </w:trPr>
        <w:tc>
          <w:tcPr>
            <w:tcW w:w="65" w:type="pct"/>
            <w:noWrap/>
            <w:vAlign w:val="center"/>
            <w:hideMark/>
          </w:tcPr>
          <w:p>
            <w:pPr>
              <w:spacing w:line="276" w:lineRule="auto"/>
              <w:rPr>
                <w:rFonts w:asciiTheme="minorHAnsi" w:eastAsiaTheme="minorHAnsi" w:hAnsiTheme="minorHAnsi" w:cstheme="minorBidi"/>
                <w:noProof/>
                <w:sz w:val="22"/>
                <w:szCs w:val="22"/>
                <w:lang w:eastAsia="en-US"/>
              </w:rPr>
            </w:pPr>
          </w:p>
        </w:tc>
        <w:tc>
          <w:tcPr>
            <w:tcW w:w="458" w:type="pct"/>
            <w:tcBorders>
              <w:top w:val="nil"/>
              <w:left w:val="single" w:sz="4" w:space="0" w:color="auto"/>
              <w:bottom w:val="single" w:sz="4" w:space="0" w:color="auto"/>
              <w:right w:val="single" w:sz="4" w:space="0" w:color="auto"/>
            </w:tcBorders>
            <w:noWrap/>
            <w:vAlign w:val="center"/>
            <w:hideMark/>
          </w:tcPr>
          <w:p>
            <w:pPr>
              <w:spacing w:line="276" w:lineRule="auto"/>
              <w:rPr>
                <w:b/>
                <w:bCs/>
                <w:noProof/>
                <w:color w:val="000000"/>
                <w:sz w:val="18"/>
                <w:szCs w:val="18"/>
                <w:lang w:eastAsia="es-ES_tradnl"/>
              </w:rPr>
            </w:pPr>
            <w:r>
              <w:rPr>
                <w:b/>
                <w:bCs/>
                <w:noProof/>
                <w:color w:val="000000"/>
                <w:sz w:val="18"/>
                <w:szCs w:val="18"/>
                <w:lang w:eastAsia="es-ES_tradnl"/>
              </w:rPr>
              <w:t>02 01 04 01</w:t>
            </w:r>
          </w:p>
        </w:tc>
        <w:tc>
          <w:tcPr>
            <w:tcW w:w="915" w:type="pct"/>
            <w:tcBorders>
              <w:top w:val="nil"/>
              <w:left w:val="nil"/>
              <w:bottom w:val="single" w:sz="4" w:space="0" w:color="auto"/>
              <w:right w:val="single" w:sz="4" w:space="0" w:color="auto"/>
            </w:tcBorders>
            <w:noWrap/>
            <w:vAlign w:val="center"/>
            <w:hideMark/>
          </w:tcPr>
          <w:p>
            <w:pPr>
              <w:spacing w:line="276" w:lineRule="auto"/>
              <w:rPr>
                <w:b/>
                <w:bCs/>
                <w:noProof/>
                <w:sz w:val="18"/>
                <w:szCs w:val="18"/>
                <w:lang w:eastAsia="es-ES_tradnl"/>
              </w:rPr>
            </w:pPr>
            <w:r>
              <w:rPr>
                <w:b/>
                <w:bCs/>
                <w:noProof/>
                <w:sz w:val="18"/>
                <w:szCs w:val="18"/>
                <w:lang w:eastAsia="es-ES_tradnl"/>
              </w:rPr>
              <w:t>Administrative Budget</w:t>
            </w:r>
          </w:p>
        </w:tc>
        <w:tc>
          <w:tcPr>
            <w:tcW w:w="433" w:type="pct"/>
            <w:tcBorders>
              <w:top w:val="nil"/>
              <w:left w:val="nil"/>
              <w:bottom w:val="single" w:sz="4" w:space="0" w:color="auto"/>
              <w:right w:val="single" w:sz="4" w:space="0" w:color="auto"/>
            </w:tcBorders>
            <w:noWrap/>
            <w:vAlign w:val="center"/>
            <w:hideMark/>
          </w:tcPr>
          <w:p>
            <w:pPr>
              <w:spacing w:line="276" w:lineRule="auto"/>
              <w:jc w:val="right"/>
              <w:rPr>
                <w:noProof/>
                <w:sz w:val="18"/>
                <w:szCs w:val="18"/>
                <w:lang w:eastAsia="es-ES_tradnl"/>
              </w:rPr>
            </w:pPr>
            <w:r>
              <w:rPr>
                <w:noProof/>
                <w:sz w:val="18"/>
                <w:szCs w:val="18"/>
                <w:lang w:eastAsia="es-ES_tradnl"/>
              </w:rPr>
              <w:t>5.118.063</w:t>
            </w:r>
          </w:p>
        </w:tc>
        <w:tc>
          <w:tcPr>
            <w:tcW w:w="432" w:type="pct"/>
            <w:tcBorders>
              <w:top w:val="nil"/>
              <w:left w:val="nil"/>
              <w:bottom w:val="single" w:sz="4" w:space="0" w:color="auto"/>
              <w:right w:val="single" w:sz="4" w:space="0" w:color="auto"/>
            </w:tcBorders>
            <w:noWrap/>
            <w:vAlign w:val="center"/>
            <w:hideMark/>
          </w:tcPr>
          <w:p>
            <w:pPr>
              <w:spacing w:line="276" w:lineRule="auto"/>
              <w:jc w:val="right"/>
              <w:rPr>
                <w:noProof/>
                <w:sz w:val="18"/>
                <w:szCs w:val="18"/>
                <w:lang w:eastAsia="es-ES_tradnl"/>
              </w:rPr>
            </w:pPr>
            <w:r>
              <w:rPr>
                <w:noProof/>
                <w:sz w:val="18"/>
                <w:szCs w:val="18"/>
                <w:lang w:eastAsia="es-ES_tradnl"/>
              </w:rPr>
              <w:t>5.017.946</w:t>
            </w:r>
          </w:p>
        </w:tc>
        <w:tc>
          <w:tcPr>
            <w:tcW w:w="357" w:type="pct"/>
            <w:tcBorders>
              <w:top w:val="nil"/>
              <w:left w:val="nil"/>
              <w:bottom w:val="single" w:sz="4" w:space="0" w:color="auto"/>
              <w:right w:val="single" w:sz="4" w:space="0" w:color="auto"/>
            </w:tcBorders>
            <w:noWrap/>
            <w:vAlign w:val="center"/>
            <w:hideMark/>
          </w:tcPr>
          <w:p>
            <w:pPr>
              <w:spacing w:line="276" w:lineRule="auto"/>
              <w:jc w:val="right"/>
              <w:rPr>
                <w:noProof/>
                <w:color w:val="000000"/>
                <w:sz w:val="18"/>
                <w:szCs w:val="18"/>
                <w:lang w:eastAsia="es-ES_tradnl"/>
              </w:rPr>
            </w:pPr>
            <w:r>
              <w:rPr>
                <w:noProof/>
                <w:color w:val="000000"/>
                <w:sz w:val="18"/>
                <w:szCs w:val="18"/>
                <w:lang w:eastAsia="es-ES_tradnl"/>
              </w:rPr>
              <w:t>98,04 %</w:t>
            </w:r>
          </w:p>
        </w:tc>
        <w:tc>
          <w:tcPr>
            <w:tcW w:w="393" w:type="pct"/>
            <w:tcBorders>
              <w:top w:val="nil"/>
              <w:left w:val="nil"/>
              <w:bottom w:val="single" w:sz="4" w:space="0" w:color="auto"/>
              <w:right w:val="single" w:sz="4" w:space="0" w:color="auto"/>
            </w:tcBorders>
            <w:noWrap/>
            <w:vAlign w:val="center"/>
            <w:hideMark/>
          </w:tcPr>
          <w:p>
            <w:pPr>
              <w:spacing w:line="276" w:lineRule="auto"/>
              <w:jc w:val="right"/>
              <w:rPr>
                <w:noProof/>
                <w:color w:val="000000"/>
                <w:sz w:val="18"/>
                <w:szCs w:val="18"/>
                <w:lang w:eastAsia="es-ES_tradnl"/>
              </w:rPr>
            </w:pPr>
            <w:r>
              <w:rPr>
                <w:noProof/>
                <w:color w:val="000000"/>
                <w:sz w:val="18"/>
                <w:szCs w:val="18"/>
                <w:lang w:eastAsia="es-ES_tradnl"/>
              </w:rPr>
              <w:t>5.118.063</w:t>
            </w:r>
          </w:p>
        </w:tc>
        <w:tc>
          <w:tcPr>
            <w:tcW w:w="387" w:type="pct"/>
            <w:tcBorders>
              <w:top w:val="nil"/>
              <w:left w:val="nil"/>
              <w:bottom w:val="single" w:sz="4" w:space="0" w:color="auto"/>
              <w:right w:val="single" w:sz="4" w:space="0" w:color="auto"/>
            </w:tcBorders>
            <w:noWrap/>
            <w:vAlign w:val="center"/>
            <w:hideMark/>
          </w:tcPr>
          <w:p>
            <w:pPr>
              <w:spacing w:line="276" w:lineRule="auto"/>
              <w:jc w:val="right"/>
              <w:rPr>
                <w:noProof/>
                <w:color w:val="000000"/>
                <w:sz w:val="18"/>
                <w:szCs w:val="18"/>
                <w:lang w:eastAsia="es-ES_tradnl"/>
              </w:rPr>
            </w:pPr>
            <w:r>
              <w:rPr>
                <w:noProof/>
                <w:color w:val="000000"/>
                <w:sz w:val="18"/>
                <w:szCs w:val="18"/>
                <w:lang w:eastAsia="es-ES_tradnl"/>
              </w:rPr>
              <w:t>2.103.647</w:t>
            </w:r>
          </w:p>
        </w:tc>
        <w:tc>
          <w:tcPr>
            <w:tcW w:w="379" w:type="pct"/>
            <w:tcBorders>
              <w:top w:val="nil"/>
              <w:left w:val="nil"/>
              <w:bottom w:val="single" w:sz="4" w:space="0" w:color="auto"/>
              <w:right w:val="single" w:sz="4" w:space="0" w:color="auto"/>
            </w:tcBorders>
            <w:noWrap/>
            <w:vAlign w:val="center"/>
            <w:hideMark/>
          </w:tcPr>
          <w:p>
            <w:pPr>
              <w:spacing w:line="276" w:lineRule="auto"/>
              <w:jc w:val="right"/>
              <w:rPr>
                <w:noProof/>
                <w:color w:val="000000"/>
                <w:sz w:val="18"/>
                <w:szCs w:val="18"/>
                <w:lang w:eastAsia="es-ES_tradnl"/>
              </w:rPr>
            </w:pPr>
            <w:r>
              <w:rPr>
                <w:noProof/>
                <w:color w:val="000000"/>
                <w:sz w:val="18"/>
                <w:szCs w:val="18"/>
                <w:lang w:eastAsia="es-ES_tradnl"/>
              </w:rPr>
              <w:t>41,10 %</w:t>
            </w:r>
          </w:p>
        </w:tc>
      </w:tr>
      <w:tr>
        <w:trPr>
          <w:gridAfter w:val="3"/>
          <w:wAfter w:w="1180" w:type="pct"/>
          <w:trHeight w:val="357"/>
        </w:trPr>
        <w:tc>
          <w:tcPr>
            <w:tcW w:w="65" w:type="pct"/>
            <w:noWrap/>
            <w:vAlign w:val="center"/>
            <w:hideMark/>
          </w:tcPr>
          <w:p>
            <w:pPr>
              <w:spacing w:line="276" w:lineRule="auto"/>
              <w:rPr>
                <w:rFonts w:asciiTheme="minorHAnsi" w:eastAsiaTheme="minorHAnsi" w:hAnsiTheme="minorHAnsi" w:cstheme="minorBidi"/>
                <w:noProof/>
                <w:sz w:val="22"/>
                <w:szCs w:val="22"/>
                <w:lang w:eastAsia="en-US"/>
              </w:rPr>
            </w:pPr>
          </w:p>
        </w:tc>
        <w:tc>
          <w:tcPr>
            <w:tcW w:w="458" w:type="pct"/>
            <w:tcBorders>
              <w:top w:val="nil"/>
              <w:left w:val="single" w:sz="4" w:space="0" w:color="auto"/>
              <w:bottom w:val="single" w:sz="4" w:space="0" w:color="auto"/>
              <w:right w:val="single" w:sz="4" w:space="0" w:color="auto"/>
            </w:tcBorders>
            <w:noWrap/>
            <w:vAlign w:val="center"/>
            <w:hideMark/>
          </w:tcPr>
          <w:p>
            <w:pPr>
              <w:spacing w:line="276" w:lineRule="auto"/>
              <w:rPr>
                <w:b/>
                <w:bCs/>
                <w:noProof/>
                <w:color w:val="000000"/>
                <w:sz w:val="18"/>
                <w:szCs w:val="18"/>
                <w:lang w:eastAsia="es-ES_tradnl"/>
              </w:rPr>
            </w:pPr>
            <w:r>
              <w:rPr>
                <w:b/>
                <w:bCs/>
                <w:noProof/>
                <w:color w:val="000000"/>
                <w:sz w:val="18"/>
                <w:szCs w:val="18"/>
                <w:lang w:eastAsia="es-ES_tradnl"/>
              </w:rPr>
              <w:t>02 01 06 01</w:t>
            </w:r>
          </w:p>
        </w:tc>
        <w:tc>
          <w:tcPr>
            <w:tcW w:w="915" w:type="pct"/>
            <w:tcBorders>
              <w:top w:val="nil"/>
              <w:left w:val="nil"/>
              <w:bottom w:val="single" w:sz="4" w:space="0" w:color="auto"/>
              <w:right w:val="single" w:sz="4" w:space="0" w:color="auto"/>
            </w:tcBorders>
            <w:noWrap/>
            <w:vAlign w:val="center"/>
            <w:hideMark/>
          </w:tcPr>
          <w:p>
            <w:pPr>
              <w:spacing w:line="276" w:lineRule="auto"/>
              <w:rPr>
                <w:b/>
                <w:bCs/>
                <w:noProof/>
                <w:sz w:val="18"/>
                <w:szCs w:val="18"/>
                <w:lang w:eastAsia="es-ES_tradnl"/>
              </w:rPr>
            </w:pPr>
            <w:r>
              <w:rPr>
                <w:b/>
                <w:bCs/>
                <w:noProof/>
                <w:sz w:val="18"/>
                <w:szCs w:val="18"/>
                <w:lang w:eastAsia="es-ES_tradnl"/>
              </w:rPr>
              <w:t>EASME - Administrative Budget</w:t>
            </w:r>
          </w:p>
        </w:tc>
        <w:tc>
          <w:tcPr>
            <w:tcW w:w="433" w:type="pct"/>
            <w:tcBorders>
              <w:top w:val="nil"/>
              <w:left w:val="nil"/>
              <w:bottom w:val="single" w:sz="4" w:space="0" w:color="auto"/>
              <w:right w:val="single" w:sz="4" w:space="0" w:color="auto"/>
            </w:tcBorders>
            <w:noWrap/>
            <w:vAlign w:val="center"/>
            <w:hideMark/>
          </w:tcPr>
          <w:p>
            <w:pPr>
              <w:spacing w:line="276" w:lineRule="auto"/>
              <w:jc w:val="right"/>
              <w:rPr>
                <w:noProof/>
                <w:sz w:val="18"/>
                <w:szCs w:val="18"/>
                <w:lang w:eastAsia="es-ES_tradnl"/>
              </w:rPr>
            </w:pPr>
            <w:r>
              <w:rPr>
                <w:noProof/>
                <w:sz w:val="18"/>
                <w:szCs w:val="18"/>
                <w:lang w:eastAsia="es-ES_tradnl"/>
              </w:rPr>
              <w:t>6.667.313</w:t>
            </w:r>
          </w:p>
        </w:tc>
        <w:tc>
          <w:tcPr>
            <w:tcW w:w="432" w:type="pct"/>
            <w:tcBorders>
              <w:top w:val="nil"/>
              <w:left w:val="nil"/>
              <w:bottom w:val="single" w:sz="4" w:space="0" w:color="auto"/>
              <w:right w:val="single" w:sz="4" w:space="0" w:color="auto"/>
            </w:tcBorders>
            <w:noWrap/>
            <w:vAlign w:val="center"/>
            <w:hideMark/>
          </w:tcPr>
          <w:p>
            <w:pPr>
              <w:spacing w:line="276" w:lineRule="auto"/>
              <w:jc w:val="right"/>
              <w:rPr>
                <w:noProof/>
                <w:sz w:val="18"/>
                <w:szCs w:val="18"/>
                <w:lang w:eastAsia="es-ES_tradnl"/>
              </w:rPr>
            </w:pPr>
            <w:r>
              <w:rPr>
                <w:noProof/>
                <w:sz w:val="18"/>
                <w:szCs w:val="18"/>
                <w:lang w:eastAsia="es-ES_tradnl"/>
              </w:rPr>
              <w:t>6.626.000</w:t>
            </w:r>
          </w:p>
        </w:tc>
        <w:tc>
          <w:tcPr>
            <w:tcW w:w="357" w:type="pct"/>
            <w:tcBorders>
              <w:top w:val="nil"/>
              <w:left w:val="nil"/>
              <w:bottom w:val="single" w:sz="4" w:space="0" w:color="auto"/>
              <w:right w:val="single" w:sz="4" w:space="0" w:color="auto"/>
            </w:tcBorders>
            <w:noWrap/>
            <w:vAlign w:val="center"/>
            <w:hideMark/>
          </w:tcPr>
          <w:p>
            <w:pPr>
              <w:spacing w:line="276" w:lineRule="auto"/>
              <w:jc w:val="right"/>
              <w:rPr>
                <w:noProof/>
                <w:color w:val="000000"/>
                <w:sz w:val="18"/>
                <w:szCs w:val="18"/>
                <w:lang w:eastAsia="es-ES_tradnl"/>
              </w:rPr>
            </w:pPr>
            <w:r>
              <w:rPr>
                <w:noProof/>
                <w:color w:val="000000"/>
                <w:sz w:val="18"/>
                <w:szCs w:val="18"/>
                <w:lang w:eastAsia="es-ES_tradnl"/>
              </w:rPr>
              <w:t>99,38 %</w:t>
            </w:r>
          </w:p>
        </w:tc>
        <w:tc>
          <w:tcPr>
            <w:tcW w:w="393" w:type="pct"/>
            <w:tcBorders>
              <w:top w:val="nil"/>
              <w:left w:val="nil"/>
              <w:bottom w:val="single" w:sz="4" w:space="0" w:color="auto"/>
              <w:right w:val="single" w:sz="4" w:space="0" w:color="auto"/>
            </w:tcBorders>
            <w:noWrap/>
            <w:vAlign w:val="center"/>
            <w:hideMark/>
          </w:tcPr>
          <w:p>
            <w:pPr>
              <w:spacing w:line="276" w:lineRule="auto"/>
              <w:jc w:val="right"/>
              <w:rPr>
                <w:noProof/>
                <w:color w:val="000000"/>
                <w:sz w:val="18"/>
                <w:szCs w:val="18"/>
                <w:lang w:eastAsia="es-ES_tradnl"/>
              </w:rPr>
            </w:pPr>
            <w:r>
              <w:rPr>
                <w:noProof/>
                <w:color w:val="000000"/>
                <w:sz w:val="18"/>
                <w:szCs w:val="18"/>
                <w:lang w:eastAsia="es-ES_tradnl"/>
              </w:rPr>
              <w:t>6.667.313</w:t>
            </w:r>
          </w:p>
        </w:tc>
        <w:tc>
          <w:tcPr>
            <w:tcW w:w="387" w:type="pct"/>
            <w:tcBorders>
              <w:top w:val="nil"/>
              <w:left w:val="nil"/>
              <w:bottom w:val="single" w:sz="4" w:space="0" w:color="auto"/>
              <w:right w:val="single" w:sz="4" w:space="0" w:color="auto"/>
            </w:tcBorders>
            <w:noWrap/>
            <w:vAlign w:val="center"/>
            <w:hideMark/>
          </w:tcPr>
          <w:p>
            <w:pPr>
              <w:spacing w:line="276" w:lineRule="auto"/>
              <w:jc w:val="right"/>
              <w:rPr>
                <w:noProof/>
                <w:color w:val="000000"/>
                <w:sz w:val="18"/>
                <w:szCs w:val="18"/>
                <w:lang w:eastAsia="es-ES_tradnl"/>
              </w:rPr>
            </w:pPr>
            <w:r>
              <w:rPr>
                <w:noProof/>
                <w:color w:val="000000"/>
                <w:sz w:val="18"/>
                <w:szCs w:val="18"/>
                <w:lang w:eastAsia="es-ES_tradnl"/>
              </w:rPr>
              <w:t>6.626.000</w:t>
            </w:r>
          </w:p>
        </w:tc>
        <w:tc>
          <w:tcPr>
            <w:tcW w:w="379" w:type="pct"/>
            <w:tcBorders>
              <w:top w:val="nil"/>
              <w:left w:val="nil"/>
              <w:bottom w:val="single" w:sz="4" w:space="0" w:color="auto"/>
              <w:right w:val="single" w:sz="4" w:space="0" w:color="auto"/>
            </w:tcBorders>
            <w:noWrap/>
            <w:vAlign w:val="center"/>
            <w:hideMark/>
          </w:tcPr>
          <w:p>
            <w:pPr>
              <w:spacing w:line="276" w:lineRule="auto"/>
              <w:jc w:val="right"/>
              <w:rPr>
                <w:noProof/>
                <w:color w:val="000000"/>
                <w:sz w:val="18"/>
                <w:szCs w:val="18"/>
                <w:lang w:eastAsia="es-ES_tradnl"/>
              </w:rPr>
            </w:pPr>
            <w:r>
              <w:rPr>
                <w:noProof/>
                <w:color w:val="000000"/>
                <w:sz w:val="18"/>
                <w:szCs w:val="18"/>
                <w:lang w:eastAsia="es-ES_tradnl"/>
              </w:rPr>
              <w:t>99,38 %</w:t>
            </w:r>
          </w:p>
        </w:tc>
      </w:tr>
      <w:tr>
        <w:trPr>
          <w:gridAfter w:val="3"/>
          <w:wAfter w:w="1180" w:type="pct"/>
          <w:trHeight w:val="633"/>
        </w:trPr>
        <w:tc>
          <w:tcPr>
            <w:tcW w:w="65" w:type="pct"/>
            <w:noWrap/>
            <w:vAlign w:val="center"/>
            <w:hideMark/>
          </w:tcPr>
          <w:p>
            <w:pPr>
              <w:spacing w:line="276" w:lineRule="auto"/>
              <w:rPr>
                <w:rFonts w:asciiTheme="minorHAnsi" w:eastAsiaTheme="minorHAnsi" w:hAnsiTheme="minorHAnsi" w:cstheme="minorBidi"/>
                <w:noProof/>
                <w:sz w:val="22"/>
                <w:szCs w:val="22"/>
                <w:lang w:eastAsia="en-US"/>
              </w:rPr>
            </w:pPr>
          </w:p>
        </w:tc>
        <w:tc>
          <w:tcPr>
            <w:tcW w:w="458" w:type="pct"/>
            <w:tcBorders>
              <w:top w:val="nil"/>
              <w:left w:val="single" w:sz="4" w:space="0" w:color="auto"/>
              <w:bottom w:val="single" w:sz="4" w:space="0" w:color="auto"/>
              <w:right w:val="single" w:sz="4" w:space="0" w:color="auto"/>
            </w:tcBorders>
            <w:noWrap/>
            <w:vAlign w:val="center"/>
            <w:hideMark/>
          </w:tcPr>
          <w:p>
            <w:pPr>
              <w:spacing w:line="276" w:lineRule="auto"/>
              <w:rPr>
                <w:b/>
                <w:bCs/>
                <w:noProof/>
                <w:color w:val="000000"/>
                <w:sz w:val="18"/>
                <w:szCs w:val="18"/>
                <w:lang w:eastAsia="es-ES_tradnl"/>
              </w:rPr>
            </w:pPr>
            <w:r>
              <w:rPr>
                <w:b/>
                <w:bCs/>
                <w:noProof/>
                <w:color w:val="000000"/>
                <w:sz w:val="18"/>
                <w:szCs w:val="18"/>
                <w:lang w:eastAsia="es-ES_tradnl"/>
              </w:rPr>
              <w:t> </w:t>
            </w:r>
          </w:p>
        </w:tc>
        <w:tc>
          <w:tcPr>
            <w:tcW w:w="915" w:type="pct"/>
            <w:tcBorders>
              <w:top w:val="nil"/>
              <w:left w:val="nil"/>
              <w:bottom w:val="single" w:sz="4" w:space="0" w:color="auto"/>
              <w:right w:val="single" w:sz="4" w:space="0" w:color="auto"/>
            </w:tcBorders>
            <w:vAlign w:val="center"/>
            <w:hideMark/>
          </w:tcPr>
          <w:p>
            <w:pPr>
              <w:spacing w:line="276" w:lineRule="auto"/>
              <w:rPr>
                <w:b/>
                <w:bCs/>
                <w:noProof/>
                <w:sz w:val="18"/>
                <w:szCs w:val="18"/>
                <w:lang w:eastAsia="es-ES_tradnl"/>
              </w:rPr>
            </w:pPr>
            <w:r>
              <w:rPr>
                <w:b/>
                <w:bCs/>
                <w:noProof/>
                <w:sz w:val="18"/>
                <w:szCs w:val="18"/>
                <w:lang w:eastAsia="es-ES_tradnl"/>
              </w:rPr>
              <w:t xml:space="preserve">Operational Budget committed in 2014 including carry-overs </w:t>
            </w:r>
          </w:p>
        </w:tc>
        <w:tc>
          <w:tcPr>
            <w:tcW w:w="433" w:type="pct"/>
            <w:tcBorders>
              <w:top w:val="nil"/>
              <w:left w:val="nil"/>
              <w:bottom w:val="single" w:sz="4" w:space="0" w:color="auto"/>
              <w:right w:val="single" w:sz="4" w:space="0" w:color="auto"/>
            </w:tcBorders>
            <w:noWrap/>
            <w:vAlign w:val="center"/>
            <w:hideMark/>
          </w:tcPr>
          <w:p>
            <w:pPr>
              <w:spacing w:line="276" w:lineRule="auto"/>
              <w:jc w:val="right"/>
              <w:rPr>
                <w:b/>
                <w:bCs/>
                <w:noProof/>
                <w:sz w:val="18"/>
                <w:szCs w:val="18"/>
                <w:lang w:eastAsia="es-ES_tradnl"/>
              </w:rPr>
            </w:pPr>
            <w:r>
              <w:rPr>
                <w:b/>
                <w:bCs/>
                <w:noProof/>
                <w:sz w:val="18"/>
                <w:szCs w:val="18"/>
                <w:lang w:eastAsia="es-ES_tradnl"/>
              </w:rPr>
              <w:t>247.198.254</w:t>
            </w:r>
          </w:p>
        </w:tc>
        <w:tc>
          <w:tcPr>
            <w:tcW w:w="432" w:type="pct"/>
            <w:tcBorders>
              <w:top w:val="nil"/>
              <w:left w:val="nil"/>
              <w:bottom w:val="single" w:sz="4" w:space="0" w:color="auto"/>
              <w:right w:val="single" w:sz="4" w:space="0" w:color="auto"/>
            </w:tcBorders>
            <w:noWrap/>
            <w:vAlign w:val="center"/>
            <w:hideMark/>
          </w:tcPr>
          <w:p>
            <w:pPr>
              <w:spacing w:line="276" w:lineRule="auto"/>
              <w:jc w:val="right"/>
              <w:rPr>
                <w:b/>
                <w:bCs/>
                <w:noProof/>
                <w:sz w:val="18"/>
                <w:szCs w:val="18"/>
                <w:lang w:eastAsia="es-ES_tradnl"/>
              </w:rPr>
            </w:pPr>
            <w:r>
              <w:rPr>
                <w:b/>
                <w:bCs/>
                <w:noProof/>
                <w:sz w:val="18"/>
                <w:szCs w:val="18"/>
                <w:lang w:eastAsia="es-ES_tradnl"/>
              </w:rPr>
              <w:t>246.865.956</w:t>
            </w:r>
          </w:p>
        </w:tc>
        <w:tc>
          <w:tcPr>
            <w:tcW w:w="357" w:type="pct"/>
            <w:tcBorders>
              <w:top w:val="nil"/>
              <w:left w:val="nil"/>
              <w:bottom w:val="single" w:sz="4" w:space="0" w:color="auto"/>
              <w:right w:val="single" w:sz="4" w:space="0" w:color="auto"/>
            </w:tcBorders>
            <w:noWrap/>
            <w:vAlign w:val="center"/>
            <w:hideMark/>
          </w:tcPr>
          <w:p>
            <w:pPr>
              <w:spacing w:line="276" w:lineRule="auto"/>
              <w:jc w:val="right"/>
              <w:rPr>
                <w:b/>
                <w:bCs/>
                <w:noProof/>
                <w:color w:val="000000"/>
                <w:sz w:val="18"/>
                <w:szCs w:val="18"/>
                <w:lang w:eastAsia="es-ES_tradnl"/>
              </w:rPr>
            </w:pPr>
            <w:r>
              <w:rPr>
                <w:b/>
                <w:bCs/>
                <w:noProof/>
                <w:color w:val="000000"/>
                <w:sz w:val="18"/>
                <w:szCs w:val="18"/>
                <w:lang w:eastAsia="es-ES_tradnl"/>
              </w:rPr>
              <w:t>99,87 %</w:t>
            </w:r>
          </w:p>
        </w:tc>
        <w:tc>
          <w:tcPr>
            <w:tcW w:w="393" w:type="pct"/>
            <w:tcBorders>
              <w:top w:val="nil"/>
              <w:left w:val="nil"/>
              <w:bottom w:val="single" w:sz="4" w:space="0" w:color="auto"/>
              <w:right w:val="single" w:sz="4" w:space="0" w:color="auto"/>
            </w:tcBorders>
            <w:noWrap/>
            <w:vAlign w:val="center"/>
            <w:hideMark/>
          </w:tcPr>
          <w:p>
            <w:pPr>
              <w:spacing w:line="276" w:lineRule="auto"/>
              <w:jc w:val="right"/>
              <w:rPr>
                <w:b/>
                <w:bCs/>
                <w:noProof/>
                <w:sz w:val="18"/>
                <w:szCs w:val="18"/>
                <w:lang w:eastAsia="es-ES_tradnl"/>
              </w:rPr>
            </w:pPr>
            <w:r>
              <w:rPr>
                <w:b/>
                <w:bCs/>
                <w:noProof/>
                <w:sz w:val="18"/>
                <w:szCs w:val="18"/>
                <w:lang w:eastAsia="es-ES_tradnl"/>
              </w:rPr>
              <w:t>85.214.871</w:t>
            </w:r>
          </w:p>
        </w:tc>
        <w:tc>
          <w:tcPr>
            <w:tcW w:w="387" w:type="pct"/>
            <w:tcBorders>
              <w:top w:val="nil"/>
              <w:left w:val="nil"/>
              <w:bottom w:val="single" w:sz="4" w:space="0" w:color="auto"/>
              <w:right w:val="single" w:sz="4" w:space="0" w:color="auto"/>
            </w:tcBorders>
            <w:noWrap/>
            <w:vAlign w:val="center"/>
            <w:hideMark/>
          </w:tcPr>
          <w:p>
            <w:pPr>
              <w:spacing w:line="276" w:lineRule="auto"/>
              <w:jc w:val="right"/>
              <w:rPr>
                <w:b/>
                <w:bCs/>
                <w:noProof/>
                <w:sz w:val="18"/>
                <w:szCs w:val="18"/>
                <w:lang w:eastAsia="es-ES_tradnl"/>
              </w:rPr>
            </w:pPr>
            <w:r>
              <w:rPr>
                <w:b/>
                <w:bCs/>
                <w:noProof/>
                <w:sz w:val="18"/>
                <w:szCs w:val="18"/>
                <w:lang w:eastAsia="es-ES_tradnl"/>
              </w:rPr>
              <w:t>81.561.868</w:t>
            </w:r>
          </w:p>
        </w:tc>
        <w:tc>
          <w:tcPr>
            <w:tcW w:w="379" w:type="pct"/>
            <w:tcBorders>
              <w:top w:val="nil"/>
              <w:left w:val="nil"/>
              <w:bottom w:val="single" w:sz="4" w:space="0" w:color="auto"/>
              <w:right w:val="single" w:sz="4" w:space="0" w:color="auto"/>
            </w:tcBorders>
            <w:noWrap/>
            <w:vAlign w:val="center"/>
            <w:hideMark/>
          </w:tcPr>
          <w:p>
            <w:pPr>
              <w:spacing w:line="276" w:lineRule="auto"/>
              <w:jc w:val="right"/>
              <w:rPr>
                <w:b/>
                <w:bCs/>
                <w:noProof/>
                <w:color w:val="000000"/>
                <w:sz w:val="18"/>
                <w:szCs w:val="18"/>
                <w:lang w:eastAsia="es-ES_tradnl"/>
              </w:rPr>
            </w:pPr>
            <w:r>
              <w:rPr>
                <w:b/>
                <w:bCs/>
                <w:noProof/>
                <w:color w:val="000000"/>
                <w:sz w:val="18"/>
                <w:szCs w:val="18"/>
                <w:lang w:eastAsia="es-ES_tradnl"/>
              </w:rPr>
              <w:t>95,71 %</w:t>
            </w:r>
          </w:p>
        </w:tc>
      </w:tr>
      <w:tr>
        <w:trPr>
          <w:gridAfter w:val="3"/>
          <w:wAfter w:w="1180" w:type="pct"/>
          <w:trHeight w:val="836"/>
        </w:trPr>
        <w:tc>
          <w:tcPr>
            <w:tcW w:w="65" w:type="pct"/>
            <w:noWrap/>
            <w:vAlign w:val="center"/>
            <w:hideMark/>
          </w:tcPr>
          <w:p>
            <w:pPr>
              <w:spacing w:line="276" w:lineRule="auto"/>
              <w:rPr>
                <w:rFonts w:asciiTheme="minorHAnsi" w:eastAsiaTheme="minorHAnsi" w:hAnsiTheme="minorHAnsi" w:cstheme="minorBidi"/>
                <w:noProof/>
                <w:sz w:val="22"/>
                <w:szCs w:val="22"/>
                <w:lang w:eastAsia="en-US"/>
              </w:rPr>
            </w:pPr>
          </w:p>
        </w:tc>
        <w:tc>
          <w:tcPr>
            <w:tcW w:w="458" w:type="pct"/>
            <w:tcBorders>
              <w:top w:val="nil"/>
              <w:left w:val="single" w:sz="4" w:space="0" w:color="auto"/>
              <w:bottom w:val="single" w:sz="4" w:space="0" w:color="auto"/>
              <w:right w:val="single" w:sz="4" w:space="0" w:color="auto"/>
            </w:tcBorders>
            <w:noWrap/>
            <w:vAlign w:val="center"/>
            <w:hideMark/>
          </w:tcPr>
          <w:p>
            <w:pPr>
              <w:spacing w:line="276" w:lineRule="auto"/>
              <w:rPr>
                <w:b/>
                <w:bCs/>
                <w:noProof/>
                <w:color w:val="000000"/>
                <w:sz w:val="18"/>
                <w:szCs w:val="18"/>
                <w:lang w:eastAsia="es-ES_tradnl"/>
              </w:rPr>
            </w:pPr>
            <w:r>
              <w:rPr>
                <w:b/>
                <w:bCs/>
                <w:noProof/>
                <w:color w:val="000000"/>
                <w:sz w:val="18"/>
                <w:szCs w:val="18"/>
                <w:lang w:eastAsia="es-ES_tradnl"/>
              </w:rPr>
              <w:t> </w:t>
            </w:r>
          </w:p>
        </w:tc>
        <w:tc>
          <w:tcPr>
            <w:tcW w:w="915" w:type="pct"/>
            <w:tcBorders>
              <w:top w:val="nil"/>
              <w:left w:val="nil"/>
              <w:bottom w:val="single" w:sz="4" w:space="0" w:color="auto"/>
              <w:right w:val="single" w:sz="4" w:space="0" w:color="auto"/>
            </w:tcBorders>
            <w:vAlign w:val="center"/>
            <w:hideMark/>
          </w:tcPr>
          <w:p>
            <w:pPr>
              <w:spacing w:line="276" w:lineRule="auto"/>
              <w:rPr>
                <w:b/>
                <w:bCs/>
                <w:noProof/>
                <w:sz w:val="18"/>
                <w:szCs w:val="18"/>
                <w:lang w:eastAsia="es-ES_tradnl"/>
              </w:rPr>
            </w:pPr>
            <w:r>
              <w:rPr>
                <w:b/>
                <w:bCs/>
                <w:noProof/>
                <w:sz w:val="18"/>
                <w:szCs w:val="18"/>
                <w:lang w:eastAsia="es-ES_tradnl"/>
              </w:rPr>
              <w:t>Operational Budget committed in 2014 after final implementation in 2015 of the carry-overs</w:t>
            </w:r>
          </w:p>
        </w:tc>
        <w:tc>
          <w:tcPr>
            <w:tcW w:w="433" w:type="pct"/>
            <w:tcBorders>
              <w:top w:val="nil"/>
              <w:left w:val="nil"/>
              <w:bottom w:val="single" w:sz="4" w:space="0" w:color="auto"/>
              <w:right w:val="single" w:sz="4" w:space="0" w:color="auto"/>
            </w:tcBorders>
            <w:noWrap/>
            <w:vAlign w:val="center"/>
            <w:hideMark/>
          </w:tcPr>
          <w:p>
            <w:pPr>
              <w:spacing w:line="276" w:lineRule="auto"/>
              <w:jc w:val="right"/>
              <w:rPr>
                <w:b/>
                <w:bCs/>
                <w:noProof/>
                <w:sz w:val="18"/>
                <w:szCs w:val="18"/>
                <w:lang w:eastAsia="es-ES_tradnl"/>
              </w:rPr>
            </w:pPr>
            <w:r>
              <w:rPr>
                <w:b/>
                <w:bCs/>
                <w:noProof/>
                <w:sz w:val="18"/>
                <w:szCs w:val="18"/>
                <w:lang w:eastAsia="es-ES_tradnl"/>
              </w:rPr>
              <w:t>247.198.254</w:t>
            </w:r>
          </w:p>
        </w:tc>
        <w:tc>
          <w:tcPr>
            <w:tcW w:w="432" w:type="pct"/>
            <w:tcBorders>
              <w:top w:val="nil"/>
              <w:left w:val="nil"/>
              <w:bottom w:val="single" w:sz="4" w:space="0" w:color="auto"/>
              <w:right w:val="single" w:sz="4" w:space="0" w:color="auto"/>
            </w:tcBorders>
            <w:noWrap/>
            <w:vAlign w:val="center"/>
            <w:hideMark/>
          </w:tcPr>
          <w:p>
            <w:pPr>
              <w:spacing w:line="276" w:lineRule="auto"/>
              <w:jc w:val="right"/>
              <w:rPr>
                <w:b/>
                <w:bCs/>
                <w:noProof/>
                <w:sz w:val="18"/>
                <w:szCs w:val="18"/>
                <w:lang w:eastAsia="es-ES_tradnl"/>
              </w:rPr>
            </w:pPr>
            <w:r>
              <w:rPr>
                <w:b/>
                <w:bCs/>
                <w:noProof/>
                <w:sz w:val="18"/>
                <w:szCs w:val="18"/>
                <w:lang w:eastAsia="es-ES_tradnl"/>
              </w:rPr>
              <w:t>245.340.971</w:t>
            </w:r>
          </w:p>
        </w:tc>
        <w:tc>
          <w:tcPr>
            <w:tcW w:w="357" w:type="pct"/>
            <w:tcBorders>
              <w:top w:val="nil"/>
              <w:left w:val="nil"/>
              <w:bottom w:val="single" w:sz="4" w:space="0" w:color="auto"/>
              <w:right w:val="single" w:sz="4" w:space="0" w:color="auto"/>
            </w:tcBorders>
            <w:noWrap/>
            <w:vAlign w:val="center"/>
            <w:hideMark/>
          </w:tcPr>
          <w:p>
            <w:pPr>
              <w:spacing w:line="276" w:lineRule="auto"/>
              <w:jc w:val="right"/>
              <w:rPr>
                <w:b/>
                <w:bCs/>
                <w:noProof/>
                <w:color w:val="000000"/>
                <w:sz w:val="18"/>
                <w:szCs w:val="18"/>
                <w:lang w:eastAsia="es-ES_tradnl"/>
              </w:rPr>
            </w:pPr>
            <w:r>
              <w:rPr>
                <w:b/>
                <w:bCs/>
                <w:noProof/>
                <w:color w:val="000000"/>
                <w:sz w:val="18"/>
                <w:szCs w:val="18"/>
                <w:lang w:eastAsia="es-ES_tradnl"/>
              </w:rPr>
              <w:t>99,25 %</w:t>
            </w:r>
          </w:p>
        </w:tc>
        <w:tc>
          <w:tcPr>
            <w:tcW w:w="393" w:type="pct"/>
            <w:tcBorders>
              <w:top w:val="nil"/>
              <w:left w:val="nil"/>
              <w:bottom w:val="single" w:sz="4" w:space="0" w:color="auto"/>
              <w:right w:val="single" w:sz="4" w:space="0" w:color="auto"/>
            </w:tcBorders>
            <w:noWrap/>
            <w:vAlign w:val="center"/>
          </w:tcPr>
          <w:p>
            <w:pPr>
              <w:spacing w:line="276" w:lineRule="auto"/>
              <w:rPr>
                <w:b/>
                <w:bCs/>
                <w:noProof/>
                <w:sz w:val="18"/>
                <w:szCs w:val="18"/>
                <w:lang w:eastAsia="es-ES_tradnl"/>
              </w:rPr>
            </w:pPr>
          </w:p>
        </w:tc>
        <w:tc>
          <w:tcPr>
            <w:tcW w:w="387" w:type="pct"/>
            <w:tcBorders>
              <w:top w:val="nil"/>
              <w:left w:val="nil"/>
              <w:bottom w:val="single" w:sz="4" w:space="0" w:color="auto"/>
              <w:right w:val="single" w:sz="4" w:space="0" w:color="auto"/>
            </w:tcBorders>
            <w:noWrap/>
            <w:vAlign w:val="center"/>
          </w:tcPr>
          <w:p>
            <w:pPr>
              <w:spacing w:line="276" w:lineRule="auto"/>
              <w:rPr>
                <w:b/>
                <w:bCs/>
                <w:noProof/>
                <w:sz w:val="18"/>
                <w:szCs w:val="18"/>
                <w:lang w:eastAsia="es-ES_tradnl"/>
              </w:rPr>
            </w:pPr>
          </w:p>
        </w:tc>
        <w:tc>
          <w:tcPr>
            <w:tcW w:w="379" w:type="pct"/>
            <w:tcBorders>
              <w:top w:val="nil"/>
              <w:left w:val="nil"/>
              <w:bottom w:val="single" w:sz="4" w:space="0" w:color="auto"/>
              <w:right w:val="single" w:sz="4" w:space="0" w:color="auto"/>
            </w:tcBorders>
            <w:noWrap/>
            <w:vAlign w:val="center"/>
          </w:tcPr>
          <w:p>
            <w:pPr>
              <w:spacing w:line="276" w:lineRule="auto"/>
              <w:rPr>
                <w:b/>
                <w:bCs/>
                <w:noProof/>
                <w:sz w:val="18"/>
                <w:szCs w:val="18"/>
                <w:lang w:eastAsia="es-ES_tradnl"/>
              </w:rPr>
            </w:pPr>
          </w:p>
        </w:tc>
      </w:tr>
      <w:tr>
        <w:trPr>
          <w:gridAfter w:val="3"/>
          <w:wAfter w:w="1180" w:type="pct"/>
          <w:trHeight w:val="930"/>
        </w:trPr>
        <w:tc>
          <w:tcPr>
            <w:tcW w:w="65" w:type="pct"/>
            <w:noWrap/>
            <w:vAlign w:val="center"/>
            <w:hideMark/>
          </w:tcPr>
          <w:p>
            <w:pPr>
              <w:spacing w:line="276" w:lineRule="auto"/>
              <w:rPr>
                <w:rFonts w:asciiTheme="minorHAnsi" w:eastAsiaTheme="minorHAnsi" w:hAnsiTheme="minorHAnsi" w:cstheme="minorBidi"/>
                <w:noProof/>
                <w:sz w:val="22"/>
                <w:szCs w:val="22"/>
                <w:lang w:eastAsia="en-US"/>
              </w:rPr>
            </w:pPr>
          </w:p>
        </w:tc>
        <w:tc>
          <w:tcPr>
            <w:tcW w:w="458" w:type="pct"/>
            <w:tcBorders>
              <w:top w:val="nil"/>
              <w:left w:val="single" w:sz="4" w:space="0" w:color="auto"/>
              <w:bottom w:val="single" w:sz="4" w:space="0" w:color="auto"/>
              <w:right w:val="single" w:sz="4" w:space="0" w:color="auto"/>
            </w:tcBorders>
            <w:noWrap/>
            <w:vAlign w:val="center"/>
            <w:hideMark/>
          </w:tcPr>
          <w:p>
            <w:pPr>
              <w:spacing w:line="276" w:lineRule="auto"/>
              <w:rPr>
                <w:b/>
                <w:bCs/>
                <w:noProof/>
                <w:color w:val="000000"/>
                <w:sz w:val="18"/>
                <w:szCs w:val="18"/>
                <w:lang w:eastAsia="es-ES_tradnl"/>
              </w:rPr>
            </w:pPr>
            <w:r>
              <w:rPr>
                <w:b/>
                <w:bCs/>
                <w:noProof/>
                <w:color w:val="000000"/>
                <w:sz w:val="18"/>
                <w:szCs w:val="18"/>
                <w:lang w:eastAsia="es-ES_tradnl"/>
              </w:rPr>
              <w:t>COSME Total</w:t>
            </w:r>
          </w:p>
        </w:tc>
        <w:tc>
          <w:tcPr>
            <w:tcW w:w="915" w:type="pct"/>
            <w:tcBorders>
              <w:top w:val="nil"/>
              <w:left w:val="nil"/>
              <w:bottom w:val="single" w:sz="4" w:space="0" w:color="auto"/>
              <w:right w:val="single" w:sz="4" w:space="0" w:color="auto"/>
            </w:tcBorders>
            <w:vAlign w:val="center"/>
            <w:hideMark/>
          </w:tcPr>
          <w:p>
            <w:pPr>
              <w:spacing w:line="276" w:lineRule="auto"/>
              <w:rPr>
                <w:b/>
                <w:bCs/>
                <w:noProof/>
                <w:sz w:val="18"/>
                <w:szCs w:val="18"/>
                <w:lang w:eastAsia="es-ES_tradnl"/>
              </w:rPr>
            </w:pPr>
            <w:r>
              <w:rPr>
                <w:b/>
                <w:bCs/>
                <w:noProof/>
                <w:sz w:val="18"/>
                <w:szCs w:val="18"/>
                <w:lang w:eastAsia="es-ES_tradnl"/>
              </w:rPr>
              <w:t>Total budget implemented, including adm. Expenses, after execution of the carry-overs</w:t>
            </w:r>
          </w:p>
        </w:tc>
        <w:tc>
          <w:tcPr>
            <w:tcW w:w="433" w:type="pct"/>
            <w:tcBorders>
              <w:top w:val="nil"/>
              <w:left w:val="nil"/>
              <w:bottom w:val="single" w:sz="4" w:space="0" w:color="auto"/>
              <w:right w:val="single" w:sz="4" w:space="0" w:color="auto"/>
            </w:tcBorders>
            <w:noWrap/>
            <w:vAlign w:val="center"/>
            <w:hideMark/>
          </w:tcPr>
          <w:p>
            <w:pPr>
              <w:spacing w:line="276" w:lineRule="auto"/>
              <w:jc w:val="right"/>
              <w:rPr>
                <w:b/>
                <w:bCs/>
                <w:noProof/>
                <w:sz w:val="18"/>
                <w:szCs w:val="18"/>
                <w:lang w:eastAsia="es-ES_tradnl"/>
              </w:rPr>
            </w:pPr>
            <w:r>
              <w:rPr>
                <w:b/>
                <w:bCs/>
                <w:noProof/>
                <w:sz w:val="18"/>
                <w:szCs w:val="18"/>
                <w:lang w:eastAsia="es-ES_tradnl"/>
              </w:rPr>
              <w:t>258.983.630</w:t>
            </w:r>
          </w:p>
        </w:tc>
        <w:tc>
          <w:tcPr>
            <w:tcW w:w="432" w:type="pct"/>
            <w:tcBorders>
              <w:top w:val="nil"/>
              <w:left w:val="nil"/>
              <w:bottom w:val="single" w:sz="4" w:space="0" w:color="auto"/>
              <w:right w:val="single" w:sz="4" w:space="0" w:color="auto"/>
            </w:tcBorders>
            <w:noWrap/>
            <w:vAlign w:val="center"/>
            <w:hideMark/>
          </w:tcPr>
          <w:p>
            <w:pPr>
              <w:spacing w:line="276" w:lineRule="auto"/>
              <w:jc w:val="right"/>
              <w:rPr>
                <w:b/>
                <w:bCs/>
                <w:noProof/>
                <w:sz w:val="18"/>
                <w:szCs w:val="18"/>
                <w:lang w:eastAsia="es-ES_tradnl"/>
              </w:rPr>
            </w:pPr>
            <w:r>
              <w:rPr>
                <w:b/>
                <w:bCs/>
                <w:noProof/>
                <w:sz w:val="18"/>
                <w:szCs w:val="18"/>
                <w:lang w:eastAsia="es-ES_tradnl"/>
              </w:rPr>
              <w:t>256.984.918</w:t>
            </w:r>
          </w:p>
        </w:tc>
        <w:tc>
          <w:tcPr>
            <w:tcW w:w="357" w:type="pct"/>
            <w:tcBorders>
              <w:top w:val="nil"/>
              <w:left w:val="nil"/>
              <w:bottom w:val="single" w:sz="4" w:space="0" w:color="auto"/>
              <w:right w:val="single" w:sz="4" w:space="0" w:color="auto"/>
            </w:tcBorders>
            <w:noWrap/>
            <w:vAlign w:val="center"/>
            <w:hideMark/>
          </w:tcPr>
          <w:p>
            <w:pPr>
              <w:spacing w:line="276" w:lineRule="auto"/>
              <w:jc w:val="right"/>
              <w:rPr>
                <w:b/>
                <w:bCs/>
                <w:noProof/>
                <w:color w:val="000000"/>
                <w:sz w:val="18"/>
                <w:szCs w:val="18"/>
                <w:lang w:eastAsia="es-ES_tradnl"/>
              </w:rPr>
            </w:pPr>
            <w:r>
              <w:rPr>
                <w:b/>
                <w:bCs/>
                <w:noProof/>
                <w:color w:val="000000"/>
                <w:sz w:val="18"/>
                <w:szCs w:val="18"/>
                <w:lang w:eastAsia="es-ES_tradnl"/>
              </w:rPr>
              <w:t>99,23 %</w:t>
            </w:r>
          </w:p>
        </w:tc>
        <w:tc>
          <w:tcPr>
            <w:tcW w:w="393" w:type="pct"/>
            <w:tcBorders>
              <w:top w:val="nil"/>
              <w:left w:val="nil"/>
              <w:bottom w:val="single" w:sz="4" w:space="0" w:color="auto"/>
              <w:right w:val="single" w:sz="4" w:space="0" w:color="auto"/>
            </w:tcBorders>
            <w:noWrap/>
            <w:vAlign w:val="center"/>
            <w:hideMark/>
          </w:tcPr>
          <w:p>
            <w:pPr>
              <w:spacing w:line="276" w:lineRule="auto"/>
              <w:jc w:val="right"/>
              <w:rPr>
                <w:b/>
                <w:bCs/>
                <w:noProof/>
                <w:sz w:val="18"/>
                <w:szCs w:val="18"/>
                <w:lang w:eastAsia="es-ES_tradnl"/>
              </w:rPr>
            </w:pPr>
            <w:r>
              <w:rPr>
                <w:b/>
                <w:bCs/>
                <w:noProof/>
                <w:sz w:val="18"/>
                <w:szCs w:val="18"/>
                <w:lang w:eastAsia="es-ES_tradnl"/>
              </w:rPr>
              <w:t>97.000.247</w:t>
            </w:r>
          </w:p>
        </w:tc>
        <w:tc>
          <w:tcPr>
            <w:tcW w:w="387" w:type="pct"/>
            <w:tcBorders>
              <w:top w:val="nil"/>
              <w:left w:val="nil"/>
              <w:bottom w:val="single" w:sz="4" w:space="0" w:color="auto"/>
              <w:right w:val="single" w:sz="4" w:space="0" w:color="auto"/>
            </w:tcBorders>
            <w:noWrap/>
            <w:vAlign w:val="center"/>
            <w:hideMark/>
          </w:tcPr>
          <w:p>
            <w:pPr>
              <w:spacing w:line="276" w:lineRule="auto"/>
              <w:jc w:val="right"/>
              <w:rPr>
                <w:b/>
                <w:bCs/>
                <w:noProof/>
                <w:sz w:val="18"/>
                <w:szCs w:val="18"/>
                <w:lang w:eastAsia="es-ES_tradnl"/>
              </w:rPr>
            </w:pPr>
            <w:r>
              <w:rPr>
                <w:b/>
                <w:bCs/>
                <w:noProof/>
                <w:sz w:val="18"/>
                <w:szCs w:val="18"/>
                <w:lang w:eastAsia="es-ES_tradnl"/>
              </w:rPr>
              <w:t>90.291.514</w:t>
            </w:r>
          </w:p>
        </w:tc>
        <w:tc>
          <w:tcPr>
            <w:tcW w:w="379" w:type="pct"/>
            <w:tcBorders>
              <w:top w:val="nil"/>
              <w:left w:val="nil"/>
              <w:bottom w:val="single" w:sz="4" w:space="0" w:color="auto"/>
              <w:right w:val="single" w:sz="4" w:space="0" w:color="auto"/>
            </w:tcBorders>
            <w:noWrap/>
            <w:vAlign w:val="center"/>
            <w:hideMark/>
          </w:tcPr>
          <w:p>
            <w:pPr>
              <w:spacing w:line="276" w:lineRule="auto"/>
              <w:jc w:val="right"/>
              <w:rPr>
                <w:b/>
                <w:bCs/>
                <w:noProof/>
                <w:color w:val="000000"/>
                <w:sz w:val="18"/>
                <w:szCs w:val="18"/>
                <w:lang w:eastAsia="es-ES_tradnl"/>
              </w:rPr>
            </w:pPr>
            <w:r>
              <w:rPr>
                <w:b/>
                <w:bCs/>
                <w:noProof/>
                <w:color w:val="000000"/>
                <w:sz w:val="18"/>
                <w:szCs w:val="18"/>
                <w:lang w:eastAsia="es-ES_tradnl"/>
              </w:rPr>
              <w:t>93,08 %</w:t>
            </w:r>
          </w:p>
        </w:tc>
      </w:tr>
    </w:tbl>
    <w:p>
      <w:pPr>
        <w:spacing w:after="60"/>
        <w:jc w:val="center"/>
        <w:rPr>
          <w:noProof/>
          <w:sz w:val="18"/>
          <w:szCs w:val="18"/>
        </w:rPr>
      </w:pPr>
    </w:p>
    <w:p>
      <w:pPr>
        <w:rPr>
          <w:noProof/>
          <w:sz w:val="18"/>
          <w:szCs w:val="18"/>
        </w:rPr>
        <w:sectPr>
          <w:headerReference w:type="even" r:id="rId22"/>
          <w:headerReference w:type="default" r:id="rId23"/>
          <w:footerReference w:type="even" r:id="rId24"/>
          <w:footerReference w:type="default" r:id="rId25"/>
          <w:headerReference w:type="first" r:id="rId26"/>
          <w:footerReference w:type="first" r:id="rId27"/>
          <w:type w:val="continuous"/>
          <w:pgSz w:w="11906" w:h="16838"/>
          <w:pgMar w:top="1247" w:right="1134" w:bottom="1134" w:left="1134" w:header="709" w:footer="709" w:gutter="0"/>
          <w:cols w:space="720"/>
        </w:sectPr>
      </w:pPr>
    </w:p>
    <w:p>
      <w:pPr>
        <w:pStyle w:val="Heading1"/>
        <w:rPr>
          <w:bCs w:val="0"/>
          <w:noProof/>
          <w:sz w:val="32"/>
          <w:szCs w:val="32"/>
        </w:rPr>
      </w:pPr>
      <w:bookmarkStart w:id="9" w:name="_Toc450148423"/>
      <w:r>
        <w:rPr>
          <w:bCs w:val="0"/>
          <w:noProof/>
          <w:sz w:val="32"/>
          <w:szCs w:val="32"/>
        </w:rPr>
        <w:t>2.1 Access to Finance</w:t>
      </w:r>
      <w:bookmarkEnd w:id="9"/>
      <w:r>
        <w:rPr>
          <w:bCs w:val="0"/>
          <w:noProof/>
          <w:sz w:val="32"/>
          <w:szCs w:val="32"/>
        </w:rPr>
        <w:t xml:space="preserve"> </w:t>
      </w:r>
    </w:p>
    <w:p>
      <w:pPr>
        <w:spacing w:before="100" w:beforeAutospacing="1" w:after="100" w:afterAutospacing="1"/>
        <w:jc w:val="both"/>
        <w:rPr>
          <w:b/>
          <w:bCs/>
          <w:noProof/>
        </w:rPr>
      </w:pPr>
      <w:r>
        <w:rPr>
          <w:b/>
          <w:bCs/>
          <w:noProof/>
        </w:rPr>
        <w:t>The COSME Regulation specifies that at least 60% of the total budget (EUR 1.4 million) has to be allocated to the financial instruments for 2014-2020.</w:t>
      </w:r>
    </w:p>
    <w:p>
      <w:pPr>
        <w:spacing w:before="100" w:beforeAutospacing="1" w:after="100" w:afterAutospacing="1"/>
        <w:jc w:val="both"/>
        <w:rPr>
          <w:bCs/>
          <w:noProof/>
        </w:rPr>
      </w:pPr>
      <w:r>
        <w:rPr>
          <w:bCs/>
          <w:noProof/>
        </w:rPr>
        <w:t>In 2014, access to finance represented 58% (EUR 163.5 million) of the financial envelope available for COSME.  After transferring EUR 21.25 million to the EIF for a capital increase, the budget available for easing access to finance to SMEs through the Loan Guarantee Facility (LGF) and the Equity Facility for Growth (EFG) was EUR 140.8 million. T</w:t>
      </w:r>
      <w:r>
        <w:rPr>
          <w:bCs/>
          <w:noProof/>
          <w:lang w:eastAsia="fr-FR"/>
        </w:rPr>
        <w:t>he total budget committed for the LGF amounted to EUR 89.1 million, while</w:t>
      </w:r>
      <w:r>
        <w:rPr>
          <w:noProof/>
        </w:rPr>
        <w:t xml:space="preserve"> the total budget committed for the EFG amounted to EUR 51.7 million.</w:t>
      </w:r>
    </w:p>
    <w:p>
      <w:pPr>
        <w:spacing w:before="100" w:beforeAutospacing="1" w:after="100" w:afterAutospacing="1"/>
        <w:jc w:val="both"/>
        <w:rPr>
          <w:noProof/>
        </w:rPr>
      </w:pPr>
      <w:r>
        <w:rPr>
          <w:noProof/>
        </w:rPr>
        <w:t xml:space="preserve">The delegation agreement with the European Investment Fund was signed in July 2014.  Subsequently, the EIF published two continuous calls for expression of interest to select financial intermediaries which in turn will select final beneficiaries under the LGF or the EFG, in accordance with their normal business practice and taking into account the eligibility criteria for the LGF or the EFG. First guarantee agreements under the LGF were signed between the EIF and financial intermediaries towards the end of 2014, and the first loans were  provided to SMEs early 2015. These agreements will provide financing for those SMEs </w:t>
      </w:r>
      <w:r>
        <w:rPr>
          <w:noProof/>
          <w:lang w:val="en"/>
        </w:rPr>
        <w:t xml:space="preserve">who would otherwise not be able to obtain funding due to their perceived higher risk or a lack of sufficient collateral. </w:t>
      </w:r>
      <w:r>
        <w:rPr>
          <w:noProof/>
        </w:rPr>
        <w:t>Setting up fund agreements under the EFG is more complex and takes considerable time. Despite the fact that the EIF carried out due diligence on several proposals, no fund agreement was signed before the end of 2014.</w:t>
      </w:r>
    </w:p>
    <w:p>
      <w:pPr>
        <w:spacing w:before="100" w:beforeAutospacing="1" w:after="100" w:afterAutospacing="1"/>
        <w:jc w:val="both"/>
        <w:rPr>
          <w:bCs/>
          <w:noProof/>
          <w:lang w:eastAsia="fr-FR"/>
        </w:rPr>
      </w:pPr>
      <w:r>
        <w:rPr>
          <w:noProof/>
        </w:rPr>
        <w:t xml:space="preserve">Throughout 2014, </w:t>
      </w:r>
      <w:r>
        <w:rPr>
          <w:bCs/>
          <w:noProof/>
          <w:lang w:eastAsia="fr-FR"/>
        </w:rPr>
        <w:t xml:space="preserve">the SME Guarantee Facility (SMEG) under the Competitiveness and Innovation Programme, the predecessor of the LGF, continued to support SMEs More than 56.000 SMEs received more than EUR 3 billion of financing supported by SMEG. Since its start, the SMEG has supported the provision of more than €19 billion of financing to almost 368.000 SMEs. </w:t>
      </w:r>
    </w:p>
    <w:p>
      <w:pPr>
        <w:spacing w:before="100" w:beforeAutospacing="1" w:after="100" w:afterAutospacing="1"/>
        <w:jc w:val="both"/>
        <w:rPr>
          <w:noProof/>
        </w:rPr>
      </w:pPr>
      <w:r>
        <w:rPr>
          <w:bCs/>
          <w:noProof/>
          <w:lang w:eastAsia="fr-FR"/>
        </w:rPr>
        <w:t>T</w:t>
      </w:r>
      <w:r>
        <w:rPr>
          <w:noProof/>
        </w:rPr>
        <w:t>he GIF (High Growth and Innovative SME Facility) instrument continued to provide risk capital to SMEs, with more than EUR 288 million of equity finance mobilised to support 112 SMEs. Since its start, the GIF has mobilised more than € 3 billion of equity finance for around 450 SMEs. This number will continue to rise for several years, since many of the funds are still in the early part of their 5-year investment period.</w:t>
      </w:r>
    </w:p>
    <w:p>
      <w:pPr>
        <w:spacing w:before="100" w:beforeAutospacing="1" w:after="100" w:afterAutospacing="1"/>
        <w:jc w:val="both"/>
        <w:rPr>
          <w:noProof/>
        </w:rPr>
      </w:pPr>
      <w:r>
        <w:rPr>
          <w:noProof/>
        </w:rPr>
        <w:t xml:space="preserve">By end of 2015, more than 51 000 SMEs had received financing for almost EUR 1 300 million under the LGF, also thanks to the enhancement of the COSME LGF through additional risk-bearing capacity provided from the European Fund for Strategic Investment (EFSI) which was made available in July 2015. The implementation exceeded expectations and confirmed the high market demand for financing to riskier SMEs, especially start-ups and small businesses. </w:t>
      </w:r>
    </w:p>
    <w:p>
      <w:pPr>
        <w:spacing w:before="100" w:beforeAutospacing="1" w:after="100" w:afterAutospacing="1"/>
        <w:jc w:val="both"/>
        <w:rPr>
          <w:bCs/>
          <w:noProof/>
          <w:lang w:val="en-US" w:eastAsia="fr-FR"/>
        </w:rPr>
      </w:pPr>
      <w:r>
        <w:rPr>
          <w:bCs/>
          <w:noProof/>
        </w:rPr>
        <w:t xml:space="preserve">Accompanying measures were foreseen to promote the two COSME financial instruments and to further promote access to finance for SMEs but also to gather useful facts and data for monitoring as well as for shaping access to finance policy. </w:t>
      </w:r>
      <w:r>
        <w:rPr>
          <w:bCs/>
          <w:noProof/>
          <w:lang w:eastAsia="fr-FR"/>
        </w:rPr>
        <w:t>The budget committed in 2014 for accompanying actions amounts to EUR 1 241 252</w:t>
      </w:r>
      <w:r>
        <w:rPr>
          <w:rStyle w:val="FootnoteReference"/>
          <w:noProof/>
        </w:rPr>
        <w:footnoteReference w:id="10"/>
      </w:r>
      <w:r>
        <w:rPr>
          <w:noProof/>
        </w:rPr>
        <w:t>.</w:t>
      </w:r>
    </w:p>
    <w:p>
      <w:pPr>
        <w:spacing w:before="100" w:beforeAutospacing="1" w:after="100" w:afterAutospacing="1"/>
        <w:rPr>
          <w:b/>
          <w:noProof/>
          <w:lang w:eastAsia="fr-FR"/>
        </w:rPr>
      </w:pPr>
    </w:p>
    <w:p>
      <w:pPr>
        <w:pStyle w:val="Heading1"/>
        <w:rPr>
          <w:bCs w:val="0"/>
          <w:noProof/>
          <w:sz w:val="32"/>
          <w:szCs w:val="32"/>
        </w:rPr>
      </w:pPr>
      <w:bookmarkStart w:id="10" w:name="_Toc450148424"/>
      <w:r>
        <w:rPr>
          <w:bCs w:val="0"/>
          <w:noProof/>
          <w:sz w:val="32"/>
          <w:szCs w:val="32"/>
        </w:rPr>
        <w:t>2.2 Access to markets</w:t>
      </w:r>
      <w:bookmarkEnd w:id="10"/>
      <w:r>
        <w:rPr>
          <w:bCs w:val="0"/>
          <w:noProof/>
          <w:sz w:val="32"/>
          <w:szCs w:val="32"/>
        </w:rPr>
        <w:t xml:space="preserve">  </w:t>
      </w:r>
    </w:p>
    <w:p>
      <w:pPr>
        <w:spacing w:after="120"/>
        <w:jc w:val="both"/>
        <w:rPr>
          <w:b/>
          <w:bCs/>
          <w:noProof/>
        </w:rPr>
      </w:pPr>
      <w:r>
        <w:rPr>
          <w:b/>
          <w:bCs/>
          <w:noProof/>
        </w:rPr>
        <w:t>The COSME Regulation specifies that an indicative 21.5% of the total budget has to be devoted to easing access to markets.</w:t>
      </w:r>
    </w:p>
    <w:p>
      <w:pPr>
        <w:spacing w:before="100" w:beforeAutospacing="1" w:after="100" w:afterAutospacing="1"/>
        <w:jc w:val="both"/>
        <w:rPr>
          <w:bCs/>
          <w:noProof/>
        </w:rPr>
      </w:pPr>
      <w:r>
        <w:rPr>
          <w:bCs/>
          <w:noProof/>
        </w:rPr>
        <w:t>In 2014 EUR 61.5 million were dedicated to the Internationalisation of SMEs, representing 24% of the financial envelope for 2014.</w:t>
      </w:r>
    </w:p>
    <w:p>
      <w:pPr>
        <w:spacing w:before="100" w:beforeAutospacing="1" w:after="100" w:afterAutospacing="1"/>
        <w:jc w:val="both"/>
        <w:rPr>
          <w:bCs/>
          <w:noProof/>
        </w:rPr>
      </w:pPr>
      <w:r>
        <w:rPr>
          <w:bCs/>
          <w:noProof/>
        </w:rPr>
        <w:t>COSME provides support to European enterprises and, in particular, to SMEs to help them benefit from the Single market by establishing business links outside their own country and also to export outside Europe.</w:t>
      </w:r>
    </w:p>
    <w:p>
      <w:pPr>
        <w:spacing w:before="100" w:beforeAutospacing="1" w:after="100" w:afterAutospacing="1"/>
        <w:jc w:val="both"/>
        <w:rPr>
          <w:bCs/>
          <w:noProof/>
        </w:rPr>
      </w:pPr>
      <w:r>
        <w:rPr>
          <w:bCs/>
          <w:noProof/>
        </w:rPr>
        <w:t>The Enterprise Europe Network (EEN) supports SMEs locally with more than 600 offices in the EU and beyond. It helps SMEs to find international business, technology and research partners in the EU and other participating countries. Through dedicated advisory services, the Network promotes the participation of SMEs in EU funding programmes such as Horizon 2020 and the European Investment and Structural Funds.</w:t>
      </w:r>
    </w:p>
    <w:p>
      <w:pPr>
        <w:spacing w:before="100" w:beforeAutospacing="1" w:after="100" w:afterAutospacing="1"/>
        <w:jc w:val="both"/>
        <w:rPr>
          <w:bCs/>
          <w:noProof/>
        </w:rPr>
      </w:pPr>
      <w:r>
        <w:rPr>
          <w:bCs/>
          <w:noProof/>
        </w:rPr>
        <w:t xml:space="preserve">In 2015, about 450.000 SMEs received services via the Enterprise Europe Network in all EU regions ranging from the provision of information on the EU legislation and programmes, to specialised advisory services (e.g. on intellectual property rights and resource efficiency) and matchmaking events.  </w:t>
      </w:r>
    </w:p>
    <w:p>
      <w:pPr>
        <w:spacing w:before="100" w:beforeAutospacing="1" w:after="100" w:afterAutospacing="1"/>
        <w:jc w:val="both"/>
        <w:rPr>
          <w:noProof/>
        </w:rPr>
      </w:pPr>
      <w:r>
        <w:rPr>
          <w:noProof/>
        </w:rPr>
        <w:t xml:space="preserve">Two calls for proposals were published in 2014, to renew the membership of the network and sign the framework partnership agreements (FPA) with the consortia in charge of the local contact points.  The signature of the FPA and the subsequent specific agreements for the two first years of operations suffered from delays and continued until June 2015 for some of the agreements.  However, for the vast majority of partners that succeeded in the first call, EEN started its activities as from 1 January 2015. This is also the date from which the Commission contributed to their eligible costs. </w:t>
      </w:r>
    </w:p>
    <w:p>
      <w:pPr>
        <w:spacing w:before="100" w:beforeAutospacing="1" w:after="100" w:afterAutospacing="1"/>
        <w:jc w:val="both"/>
        <w:rPr>
          <w:bCs/>
          <w:noProof/>
        </w:rPr>
      </w:pPr>
      <w:r>
        <w:rPr>
          <w:bCs/>
          <w:noProof/>
        </w:rPr>
        <w:t>The activities of the EEN in 2014 were financed by the CIP 2013 Work Programme to ensure continuity of activity, while the COSME work programme 2014 provided co-financing for 2015 activities (budget of EUR 49.5 million).</w:t>
      </w:r>
    </w:p>
    <w:p>
      <w:pPr>
        <w:spacing w:before="100" w:beforeAutospacing="1" w:after="100" w:afterAutospacing="1"/>
        <w:jc w:val="both"/>
        <w:rPr>
          <w:bCs/>
          <w:noProof/>
        </w:rPr>
      </w:pPr>
      <w:r>
        <w:rPr>
          <w:bCs/>
          <w:noProof/>
        </w:rPr>
        <w:t xml:space="preserve">COSME also funded several activities to support internationalisation of SMEs in third countries, including the IPR SME Helpdesks. They offered advice and support to European SMEs facing intellectual property rights difficulties in, or arising from, China, and ASEAN and MERCOSUR member countries with a budget of EUR 7.2 million. The EU Japan Centre for Industrial Cooperation (EUR 2.6 million) facilitated, among other things, SMEs' access the Japanese market. </w:t>
      </w:r>
    </w:p>
    <w:p>
      <w:pPr>
        <w:spacing w:after="120"/>
        <w:jc w:val="both"/>
        <w:rPr>
          <w:bCs/>
          <w:noProof/>
        </w:rPr>
      </w:pPr>
    </w:p>
    <w:p>
      <w:pPr>
        <w:pStyle w:val="Heading1"/>
        <w:rPr>
          <w:bCs w:val="0"/>
          <w:noProof/>
          <w:sz w:val="32"/>
          <w:szCs w:val="32"/>
        </w:rPr>
      </w:pPr>
      <w:bookmarkStart w:id="11" w:name="_Toc450148425"/>
      <w:r>
        <w:rPr>
          <w:bCs w:val="0"/>
          <w:noProof/>
          <w:sz w:val="32"/>
          <w:szCs w:val="32"/>
        </w:rPr>
        <w:t>2.3 Improving Framework Conditions And Competitiveness</w:t>
      </w:r>
      <w:bookmarkEnd w:id="11"/>
    </w:p>
    <w:p>
      <w:pPr>
        <w:spacing w:after="120"/>
        <w:jc w:val="both"/>
        <w:rPr>
          <w:bCs/>
          <w:noProof/>
        </w:rPr>
      </w:pPr>
      <w:r>
        <w:rPr>
          <w:b/>
          <w:bCs/>
          <w:noProof/>
        </w:rPr>
        <w:t>The COSME Regulation specifies that an indicative 11% of the total budget has to be devoted to improving framework conditions and competitiveness.</w:t>
      </w:r>
    </w:p>
    <w:p>
      <w:pPr>
        <w:spacing w:before="100" w:beforeAutospacing="1" w:after="100" w:afterAutospacing="1"/>
        <w:jc w:val="both"/>
        <w:rPr>
          <w:bCs/>
          <w:noProof/>
        </w:rPr>
      </w:pPr>
      <w:r>
        <w:rPr>
          <w:bCs/>
          <w:noProof/>
        </w:rPr>
        <w:t xml:space="preserve">In 2014, </w:t>
      </w:r>
      <w:r>
        <w:rPr>
          <w:noProof/>
          <w:lang w:eastAsia="fr-FR"/>
        </w:rPr>
        <w:t xml:space="preserve">EUR </w:t>
      </w:r>
      <w:r>
        <w:rPr>
          <w:bCs/>
          <w:noProof/>
        </w:rPr>
        <w:t xml:space="preserve">24.3 million were directed to this objective from the Work programme and </w:t>
      </w:r>
      <w:r>
        <w:rPr>
          <w:noProof/>
          <w:lang w:eastAsia="fr-FR"/>
        </w:rPr>
        <w:t xml:space="preserve">EUR </w:t>
      </w:r>
      <w:r>
        <w:rPr>
          <w:bCs/>
          <w:noProof/>
        </w:rPr>
        <w:t>5.8 million from the Support Measures, representing 11.7% of the financial envelope.</w:t>
      </w:r>
    </w:p>
    <w:p>
      <w:pPr>
        <w:spacing w:before="100" w:beforeAutospacing="1" w:after="100" w:afterAutospacing="1"/>
        <w:jc w:val="both"/>
        <w:rPr>
          <w:bCs/>
          <w:noProof/>
        </w:rPr>
      </w:pPr>
      <w:r>
        <w:rPr>
          <w:bCs/>
          <w:noProof/>
        </w:rPr>
        <w:t xml:space="preserve">COSME funded actions aiming at reducing the administrative burden, supporting smart and SME-friendly regulation, strengthening coordination of Member States’ industrial policies and reinforcing the use of the 'Think Small First' principle. COSME also promoted resource efficiency, sustainability and corporate social responsibility. Actions to improve the competitiveness of strategically important sectors in the European economy were also carried out. </w:t>
      </w:r>
    </w:p>
    <w:p>
      <w:pPr>
        <w:spacing w:before="100" w:beforeAutospacing="1" w:after="100" w:afterAutospacing="1"/>
        <w:jc w:val="both"/>
        <w:rPr>
          <w:bCs/>
          <w:noProof/>
        </w:rPr>
      </w:pPr>
      <w:r>
        <w:rPr>
          <w:bCs/>
          <w:noProof/>
        </w:rPr>
        <w:t xml:space="preserve">Under the activities aimed at </w:t>
      </w:r>
      <w:r>
        <w:rPr>
          <w:b/>
          <w:bCs/>
          <w:noProof/>
        </w:rPr>
        <w:t>improving the framework conditions for SMEs</w:t>
      </w:r>
      <w:r>
        <w:rPr>
          <w:bCs/>
          <w:noProof/>
        </w:rPr>
        <w:t xml:space="preserve"> the following activities were funded:</w:t>
      </w:r>
    </w:p>
    <w:p>
      <w:pPr>
        <w:pStyle w:val="ListParagraph"/>
        <w:numPr>
          <w:ilvl w:val="0"/>
          <w:numId w:val="46"/>
        </w:numPr>
        <w:spacing w:before="100" w:beforeAutospacing="1" w:after="100" w:afterAutospacing="1"/>
        <w:jc w:val="both"/>
        <w:rPr>
          <w:bCs/>
          <w:noProof/>
          <w:lang w:val="en-GB"/>
        </w:rPr>
      </w:pPr>
      <w:r>
        <w:rPr>
          <w:bCs/>
          <w:noProof/>
          <w:lang w:val="en-GB"/>
        </w:rPr>
        <w:t>High-level Group on administrative burden: EUR 0.4 million.</w:t>
      </w:r>
    </w:p>
    <w:p>
      <w:pPr>
        <w:pStyle w:val="ListParagraph"/>
        <w:numPr>
          <w:ilvl w:val="0"/>
          <w:numId w:val="46"/>
        </w:numPr>
        <w:spacing w:before="100" w:beforeAutospacing="1" w:after="100" w:afterAutospacing="1"/>
        <w:jc w:val="both"/>
        <w:rPr>
          <w:bCs/>
          <w:noProof/>
          <w:lang w:val="en-GB"/>
        </w:rPr>
      </w:pPr>
      <w:r>
        <w:rPr>
          <w:bCs/>
          <w:noProof/>
          <w:lang w:val="en-GB"/>
        </w:rPr>
        <w:t>Following and monitoring the Small Business Act (SBA, including the SME Assembly, the SME Envoys Networks meetings and the European Enterprise Promotion Awards: EUR 1.8 million.</w:t>
      </w:r>
    </w:p>
    <w:p>
      <w:pPr>
        <w:pStyle w:val="ListParagraph"/>
        <w:numPr>
          <w:ilvl w:val="0"/>
          <w:numId w:val="46"/>
        </w:numPr>
        <w:spacing w:before="100" w:beforeAutospacing="1" w:after="100" w:afterAutospacing="1"/>
        <w:jc w:val="both"/>
        <w:rPr>
          <w:bCs/>
          <w:noProof/>
          <w:lang w:val="en-GB"/>
        </w:rPr>
      </w:pPr>
      <w:r>
        <w:rPr>
          <w:bCs/>
          <w:noProof/>
          <w:lang w:val="en-GB"/>
        </w:rPr>
        <w:t>Small Business Act implementation, outreach tools including Business Planet, the Small Business portal and the publication of guidebooks on support to SME policy from structural funds: EUR 1.3 million.</w:t>
      </w:r>
    </w:p>
    <w:p>
      <w:pPr>
        <w:pStyle w:val="ListParagraph"/>
        <w:numPr>
          <w:ilvl w:val="0"/>
          <w:numId w:val="46"/>
        </w:numPr>
        <w:spacing w:before="100" w:beforeAutospacing="1" w:after="100" w:afterAutospacing="1"/>
        <w:jc w:val="both"/>
        <w:rPr>
          <w:bCs/>
          <w:noProof/>
          <w:lang w:val="en-GB"/>
        </w:rPr>
      </w:pPr>
      <w:r>
        <w:rPr>
          <w:bCs/>
          <w:noProof/>
          <w:lang w:val="en-GB"/>
        </w:rPr>
        <w:t>SME Performance Review: EUR 0,9 million</w:t>
      </w:r>
    </w:p>
    <w:p>
      <w:pPr>
        <w:pStyle w:val="ListParagraph"/>
        <w:numPr>
          <w:ilvl w:val="0"/>
          <w:numId w:val="46"/>
        </w:numPr>
        <w:spacing w:before="100" w:beforeAutospacing="1" w:after="100" w:afterAutospacing="1"/>
        <w:jc w:val="both"/>
        <w:rPr>
          <w:bCs/>
          <w:noProof/>
          <w:lang w:val="en-GB"/>
        </w:rPr>
      </w:pPr>
      <w:r>
        <w:rPr>
          <w:bCs/>
          <w:noProof/>
          <w:lang w:val="en-GB"/>
        </w:rPr>
        <w:t>Resource-efficiency self-assessment tool for SMEs: EUR 0.5 million.</w:t>
      </w:r>
    </w:p>
    <w:p>
      <w:pPr>
        <w:pStyle w:val="ListParagraph"/>
        <w:numPr>
          <w:ilvl w:val="0"/>
          <w:numId w:val="46"/>
        </w:numPr>
        <w:spacing w:before="100" w:beforeAutospacing="1" w:after="100" w:afterAutospacing="1"/>
        <w:jc w:val="both"/>
        <w:rPr>
          <w:bCs/>
          <w:noProof/>
          <w:lang w:val="en-GB"/>
        </w:rPr>
      </w:pPr>
      <w:r>
        <w:rPr>
          <w:bCs/>
          <w:noProof/>
          <w:lang w:val="en-GB"/>
        </w:rPr>
        <w:t>Organization of the Multi-Stakeholder Forum (MSF) on Corporate Social Responsibility (CSR): EUR 0.25 million</w:t>
      </w:r>
    </w:p>
    <w:p>
      <w:pPr>
        <w:spacing w:before="100" w:beforeAutospacing="1" w:after="100" w:afterAutospacing="1"/>
        <w:rPr>
          <w:noProof/>
          <w:lang w:eastAsia="fr-FR"/>
        </w:rPr>
      </w:pPr>
      <w:r>
        <w:rPr>
          <w:noProof/>
          <w:lang w:eastAsia="fr-FR"/>
        </w:rPr>
        <w:t xml:space="preserve">Under the activities aimed at supporting the </w:t>
      </w:r>
      <w:r>
        <w:rPr>
          <w:b/>
          <w:noProof/>
          <w:lang w:eastAsia="fr-FR"/>
        </w:rPr>
        <w:t>Competitiveness of EU enterprises</w:t>
      </w:r>
      <w:r>
        <w:rPr>
          <w:noProof/>
          <w:lang w:eastAsia="fr-FR"/>
        </w:rPr>
        <w:t>, including the support of industrial sectors, the following activities were funded:</w:t>
      </w:r>
    </w:p>
    <w:p>
      <w:pPr>
        <w:pStyle w:val="ListParagraph"/>
        <w:numPr>
          <w:ilvl w:val="0"/>
          <w:numId w:val="47"/>
        </w:numPr>
        <w:spacing w:before="100" w:beforeAutospacing="1" w:after="100" w:afterAutospacing="1"/>
        <w:jc w:val="both"/>
        <w:rPr>
          <w:noProof/>
          <w:lang w:val="en-GB" w:eastAsia="fr-FR"/>
        </w:rPr>
      </w:pPr>
      <w:r>
        <w:rPr>
          <w:noProof/>
          <w:lang w:val="en-GB" w:eastAsia="fr-FR"/>
        </w:rPr>
        <w:t>Enhancing European Tourism Competitiveness and sustainability: EUR 8.7 million</w:t>
      </w:r>
    </w:p>
    <w:p>
      <w:pPr>
        <w:pStyle w:val="ListParagraph"/>
        <w:numPr>
          <w:ilvl w:val="0"/>
          <w:numId w:val="47"/>
        </w:numPr>
        <w:spacing w:before="100" w:beforeAutospacing="1" w:after="100" w:afterAutospacing="1"/>
        <w:jc w:val="both"/>
        <w:rPr>
          <w:noProof/>
          <w:lang w:val="en-GB" w:eastAsia="fr-FR"/>
        </w:rPr>
      </w:pPr>
      <w:r>
        <w:rPr>
          <w:noProof/>
          <w:lang w:val="en-GB" w:eastAsia="fr-FR"/>
        </w:rPr>
        <w:t>Cluster Internationalization programme for SMEs: EUR 5.65 million (Combining EUR 4.15 million from 2014 and EUR 1.5 million from 2015 Budget).</w:t>
      </w:r>
    </w:p>
    <w:p>
      <w:pPr>
        <w:pStyle w:val="ListParagraph"/>
        <w:numPr>
          <w:ilvl w:val="0"/>
          <w:numId w:val="47"/>
        </w:numPr>
        <w:spacing w:before="100" w:beforeAutospacing="1" w:after="100" w:afterAutospacing="1"/>
        <w:jc w:val="both"/>
        <w:rPr>
          <w:noProof/>
          <w:lang w:val="en-GB" w:eastAsia="fr-FR"/>
        </w:rPr>
      </w:pPr>
      <w:r>
        <w:rPr>
          <w:noProof/>
          <w:lang w:val="en-GB" w:eastAsia="fr-FR"/>
        </w:rPr>
        <w:t>E-Skills for competiveness and innovation: EUR 2.5 million.</w:t>
      </w:r>
    </w:p>
    <w:p>
      <w:pPr>
        <w:pStyle w:val="ListParagraph"/>
        <w:numPr>
          <w:ilvl w:val="0"/>
          <w:numId w:val="47"/>
        </w:numPr>
        <w:spacing w:before="100" w:beforeAutospacing="1" w:after="100" w:afterAutospacing="1"/>
        <w:jc w:val="both"/>
        <w:rPr>
          <w:noProof/>
          <w:lang w:val="fr-BE" w:eastAsia="fr-FR"/>
        </w:rPr>
      </w:pPr>
      <w:r>
        <w:rPr>
          <w:noProof/>
          <w:lang w:val="fr-BE" w:eastAsia="fr-FR"/>
        </w:rPr>
        <w:t>Cluster Excellence programme: EUR 1.5 million.</w:t>
      </w:r>
    </w:p>
    <w:p>
      <w:pPr>
        <w:pStyle w:val="ListParagraph"/>
        <w:numPr>
          <w:ilvl w:val="0"/>
          <w:numId w:val="47"/>
        </w:numPr>
        <w:spacing w:before="100" w:beforeAutospacing="1" w:after="100" w:afterAutospacing="1"/>
        <w:jc w:val="both"/>
        <w:rPr>
          <w:noProof/>
          <w:lang w:val="en-GB" w:eastAsia="fr-FR"/>
        </w:rPr>
      </w:pPr>
      <w:r>
        <w:rPr>
          <w:noProof/>
          <w:lang w:val="en-GB" w:eastAsia="fr-FR"/>
        </w:rPr>
        <w:t>Implementation of the action plan Construction 2020: EUR 1 million.</w:t>
      </w:r>
    </w:p>
    <w:p>
      <w:pPr>
        <w:pStyle w:val="ListParagraph"/>
        <w:numPr>
          <w:ilvl w:val="0"/>
          <w:numId w:val="47"/>
        </w:numPr>
        <w:spacing w:before="100" w:beforeAutospacing="1" w:after="100" w:afterAutospacing="1"/>
        <w:jc w:val="both"/>
        <w:rPr>
          <w:noProof/>
          <w:lang w:val="en-GB" w:eastAsia="fr-FR"/>
        </w:rPr>
      </w:pPr>
      <w:r>
        <w:rPr>
          <w:noProof/>
          <w:lang w:val="en-GB" w:eastAsia="fr-FR"/>
        </w:rPr>
        <w:t>Promotion and support of the European strategy for Key Enabling Technologies (KETS): EUR 0.550 million.</w:t>
      </w:r>
    </w:p>
    <w:p>
      <w:pPr>
        <w:pStyle w:val="ListParagraph"/>
        <w:numPr>
          <w:ilvl w:val="0"/>
          <w:numId w:val="47"/>
        </w:numPr>
        <w:spacing w:before="100" w:beforeAutospacing="1" w:after="100" w:afterAutospacing="1"/>
        <w:jc w:val="both"/>
        <w:rPr>
          <w:noProof/>
          <w:lang w:val="en-GB" w:eastAsia="fr-FR"/>
        </w:rPr>
      </w:pPr>
      <w:r>
        <w:rPr>
          <w:noProof/>
          <w:lang w:val="en-GB" w:eastAsia="fr-FR"/>
        </w:rPr>
        <w:t>Membership in international study groups for Rubber, Nickel, Copper, Lead and Zinc: EUR 0.2 million.</w:t>
      </w:r>
    </w:p>
    <w:p>
      <w:pPr>
        <w:pStyle w:val="ListParagraph"/>
        <w:numPr>
          <w:ilvl w:val="0"/>
          <w:numId w:val="47"/>
        </w:numPr>
        <w:spacing w:before="100" w:beforeAutospacing="1" w:after="100" w:afterAutospacing="1"/>
        <w:jc w:val="both"/>
        <w:rPr>
          <w:noProof/>
          <w:lang w:val="en-GB" w:eastAsia="fr-FR"/>
        </w:rPr>
      </w:pPr>
      <w:r>
        <w:rPr>
          <w:noProof/>
          <w:lang w:val="en-GB" w:eastAsia="fr-FR"/>
        </w:rPr>
        <w:t>Implementation of the action plan “A more efficient defence sector for a more secure Europe”: EUR 0.2 million.</w:t>
      </w:r>
    </w:p>
    <w:p>
      <w:pPr>
        <w:pStyle w:val="ListParagraph"/>
        <w:numPr>
          <w:ilvl w:val="0"/>
          <w:numId w:val="47"/>
        </w:numPr>
        <w:spacing w:before="100" w:beforeAutospacing="1" w:after="100" w:afterAutospacing="1"/>
        <w:jc w:val="both"/>
        <w:rPr>
          <w:noProof/>
          <w:lang w:val="en-GB" w:eastAsia="fr-FR"/>
        </w:rPr>
      </w:pPr>
      <w:r>
        <w:rPr>
          <w:noProof/>
          <w:lang w:val="en-GB" w:eastAsia="fr-FR"/>
        </w:rPr>
        <w:t>Monitoring of the implementation of principles of good practice in vertical relationships in the food supply chain:  EUR 0.2 million.</w:t>
      </w:r>
    </w:p>
    <w:p>
      <w:pPr>
        <w:pStyle w:val="ListParagraph"/>
        <w:numPr>
          <w:ilvl w:val="0"/>
          <w:numId w:val="47"/>
        </w:numPr>
        <w:spacing w:before="100" w:beforeAutospacing="1" w:after="100" w:afterAutospacing="1"/>
        <w:rPr>
          <w:noProof/>
          <w:lang w:val="en-GB" w:eastAsia="fr-FR"/>
        </w:rPr>
      </w:pPr>
      <w:r>
        <w:rPr>
          <w:noProof/>
          <w:lang w:val="en-GB" w:eastAsia="fr-FR"/>
        </w:rPr>
        <w:t>Exchanges of good practices to support European Competitiveness: EUR 0.2 million.</w:t>
      </w:r>
    </w:p>
    <w:p>
      <w:pPr>
        <w:spacing w:before="100" w:beforeAutospacing="1" w:after="100" w:afterAutospacing="1"/>
        <w:ind w:left="720"/>
        <w:jc w:val="both"/>
        <w:rPr>
          <w:noProof/>
          <w:lang w:eastAsia="fr-FR"/>
        </w:rPr>
      </w:pPr>
    </w:p>
    <w:p>
      <w:pPr>
        <w:spacing w:before="100" w:beforeAutospacing="1" w:after="100" w:afterAutospacing="1"/>
        <w:jc w:val="both"/>
        <w:rPr>
          <w:bCs/>
          <w:noProof/>
        </w:rPr>
      </w:pPr>
      <w:r>
        <w:rPr>
          <w:bCs/>
          <w:noProof/>
        </w:rPr>
        <w:t>The High-level Group on administrative burden contributed  to the exchange of good practices and the follow-up up of the action programme for reducing the administrative burden for business, through 7 plenary meetings, 12 visits to Member States, the publication of a report and the organisation of a final conference paving the way for the EU REFIT platform.</w:t>
      </w:r>
    </w:p>
    <w:p>
      <w:pPr>
        <w:spacing w:before="100" w:beforeAutospacing="1" w:after="100" w:afterAutospacing="1"/>
        <w:jc w:val="both"/>
        <w:rPr>
          <w:noProof/>
          <w:lang w:eastAsia="fr-FR"/>
        </w:rPr>
      </w:pPr>
      <w:r>
        <w:rPr>
          <w:noProof/>
          <w:lang w:eastAsia="fr-FR"/>
        </w:rPr>
        <w:t>The SME Performance Review provided an overview of the European SMEs and detailed information on the implementation of the Small Business Act in the Member States and in certain third-countries. The Member States-specific information was fed into the European Semester country specific recommendations. The network of SME Envoys, the annual SME Assembly and the European SME week provided fora for awareness raising and exchange of good practices in all areas of the Small Business Act. Last but not least, the 4</w:t>
      </w:r>
      <w:r>
        <w:rPr>
          <w:noProof/>
          <w:vertAlign w:val="superscript"/>
          <w:lang w:eastAsia="fr-FR"/>
        </w:rPr>
        <w:t>th</w:t>
      </w:r>
      <w:r>
        <w:rPr>
          <w:noProof/>
          <w:lang w:eastAsia="fr-FR"/>
        </w:rPr>
        <w:t xml:space="preserve"> season of business planet on Euronews TV started the 12 June 2015.</w:t>
      </w:r>
    </w:p>
    <w:p>
      <w:pPr>
        <w:spacing w:before="100" w:beforeAutospacing="1" w:after="100" w:afterAutospacing="1"/>
        <w:jc w:val="both"/>
        <w:rPr>
          <w:noProof/>
          <w:lang w:eastAsia="fr-FR"/>
        </w:rPr>
      </w:pPr>
      <w:r>
        <w:rPr>
          <w:noProof/>
          <w:lang w:eastAsia="fr-FR"/>
        </w:rPr>
        <w:t>The e-skills for jobs campaign covered 30 countries, involving 384 organisations and gathering more than 300.000 participants with some 115 million people exposed to the campaign.</w:t>
      </w:r>
    </w:p>
    <w:p>
      <w:pPr>
        <w:spacing w:before="100" w:beforeAutospacing="1" w:after="100" w:afterAutospacing="1"/>
        <w:jc w:val="both"/>
        <w:rPr>
          <w:noProof/>
          <w:lang w:eastAsia="fr-FR"/>
        </w:rPr>
      </w:pPr>
      <w:r>
        <w:rPr>
          <w:noProof/>
          <w:lang w:eastAsia="fr-FR"/>
        </w:rPr>
        <w:t>The "Clusters Go International" initiative supported the establishment of 15 co-funded European Strategic Cluster Partnerships-Going International gathering 88 cluster organisations across 21 EU countries and reaching out to more than 10.000 SMEs across Europe.</w:t>
      </w:r>
    </w:p>
    <w:p>
      <w:pPr>
        <w:pStyle w:val="ListParagraph"/>
        <w:spacing w:after="120" w:line="276" w:lineRule="auto"/>
        <w:rPr>
          <w:noProof/>
          <w:lang w:val="en-GB" w:eastAsia="fr-FR"/>
        </w:rPr>
      </w:pPr>
    </w:p>
    <w:p>
      <w:pPr>
        <w:pStyle w:val="Heading1"/>
        <w:rPr>
          <w:bCs w:val="0"/>
          <w:noProof/>
          <w:sz w:val="32"/>
          <w:szCs w:val="32"/>
        </w:rPr>
      </w:pPr>
      <w:bookmarkStart w:id="12" w:name="_Toc450148426"/>
      <w:r>
        <w:rPr>
          <w:bCs w:val="0"/>
          <w:noProof/>
          <w:sz w:val="32"/>
          <w:szCs w:val="32"/>
        </w:rPr>
        <w:t>2.4 Promoting Entrepreneurship and Entrepreneurial Culture</w:t>
      </w:r>
      <w:bookmarkEnd w:id="12"/>
    </w:p>
    <w:p>
      <w:pPr>
        <w:spacing w:after="120"/>
        <w:jc w:val="both"/>
        <w:rPr>
          <w:bCs/>
          <w:noProof/>
        </w:rPr>
      </w:pPr>
      <w:r>
        <w:rPr>
          <w:b/>
          <w:bCs/>
          <w:noProof/>
        </w:rPr>
        <w:t>The COSME Regulation specifies that an indicative 2.5% of the total budget has to be devoted to promoting entrepreneurship and entrepreneurial culture.</w:t>
      </w:r>
    </w:p>
    <w:p>
      <w:pPr>
        <w:spacing w:before="100" w:beforeAutospacing="1" w:after="100" w:afterAutospacing="1"/>
        <w:jc w:val="both"/>
        <w:rPr>
          <w:bCs/>
          <w:noProof/>
        </w:rPr>
      </w:pPr>
      <w:r>
        <w:rPr>
          <w:bCs/>
          <w:noProof/>
        </w:rPr>
        <w:t xml:space="preserve">In 2014, a budget of EUR 12.9 million was dedicated to the </w:t>
      </w:r>
      <w:r>
        <w:rPr>
          <w:b/>
          <w:bCs/>
          <w:noProof/>
        </w:rPr>
        <w:t>promotion of entrepreneurship</w:t>
      </w:r>
      <w:r>
        <w:rPr>
          <w:bCs/>
          <w:noProof/>
        </w:rPr>
        <w:t xml:space="preserve">, in particular to the Erasmus for Young Entrepreneurs mobility scheme, representing 5% of the total financial envelope for COSME. The Erasmus for Young Entrepreneurs call for proposal was oversubscribed and received an additional allocation of </w:t>
      </w:r>
      <w:r>
        <w:rPr>
          <w:noProof/>
          <w:lang w:eastAsia="fr-FR"/>
        </w:rPr>
        <w:t xml:space="preserve">EUR </w:t>
      </w:r>
      <w:r>
        <w:rPr>
          <w:bCs/>
          <w:noProof/>
        </w:rPr>
        <w:t>1 million budgetary surpluses remaining after previous activities.</w:t>
      </w:r>
    </w:p>
    <w:p>
      <w:pPr>
        <w:spacing w:before="100" w:beforeAutospacing="1" w:after="100" w:afterAutospacing="1"/>
        <w:jc w:val="both"/>
        <w:rPr>
          <w:b/>
          <w:bCs/>
          <w:noProof/>
        </w:rPr>
      </w:pPr>
      <w:r>
        <w:rPr>
          <w:bCs/>
          <w:noProof/>
        </w:rPr>
        <w:t>So far</w:t>
      </w:r>
      <w:r>
        <w:rPr>
          <w:bCs/>
          <w:noProof/>
        </w:rPr>
        <w:footnoteReference w:id="11"/>
      </w:r>
      <w:r>
        <w:rPr>
          <w:bCs/>
          <w:noProof/>
        </w:rPr>
        <w:t>, nearly 12.000 entrepreneurs’ profiles have been registered and 3 900 matches involving 7 700 entrepreneurs established. A survey shows that more than a third of the would-be entrepreneurs who took part actually started a business.</w:t>
      </w:r>
    </w:p>
    <w:p>
      <w:pPr>
        <w:tabs>
          <w:tab w:val="num" w:pos="720"/>
        </w:tabs>
        <w:spacing w:before="100" w:beforeAutospacing="1" w:after="100" w:afterAutospacing="1"/>
        <w:jc w:val="both"/>
        <w:rPr>
          <w:bCs/>
          <w:noProof/>
        </w:rPr>
      </w:pPr>
      <w:r>
        <w:rPr>
          <w:bCs/>
          <w:noProof/>
        </w:rPr>
        <w:t xml:space="preserve">Moreover, the COSME programme supported exchanges of best practices to promote entrepreneurship education in the EU. Specific support for Web entrepreneurs was provided. Some of the actions were targeted to specific groups such as young people, women or senior entrepreneurs providing mentoring and other tailored measures to facilitate entrepreneurship among these groups. </w:t>
      </w:r>
    </w:p>
    <w:p>
      <w:pPr>
        <w:spacing w:before="100" w:beforeAutospacing="1" w:after="100" w:afterAutospacing="1"/>
        <w:rPr>
          <w:noProof/>
          <w:lang w:eastAsia="fr-FR"/>
        </w:rPr>
      </w:pPr>
      <w:r>
        <w:rPr>
          <w:noProof/>
          <w:lang w:eastAsia="fr-FR"/>
        </w:rPr>
        <w:t>The following activities were financed:</w:t>
      </w:r>
    </w:p>
    <w:p>
      <w:pPr>
        <w:pStyle w:val="ListParagraph"/>
        <w:numPr>
          <w:ilvl w:val="0"/>
          <w:numId w:val="47"/>
        </w:numPr>
        <w:spacing w:before="100" w:beforeAutospacing="1" w:after="100" w:afterAutospacing="1"/>
        <w:rPr>
          <w:noProof/>
          <w:lang w:val="fr-BE" w:eastAsia="fr-FR"/>
        </w:rPr>
      </w:pPr>
      <w:r>
        <w:rPr>
          <w:noProof/>
          <w:lang w:val="fr-BE" w:eastAsia="fr-FR"/>
        </w:rPr>
        <w:t>Erasmus for Young Entrepreneurs EUR 7.3 million.</w:t>
      </w:r>
    </w:p>
    <w:p>
      <w:pPr>
        <w:pStyle w:val="ListParagraph"/>
        <w:numPr>
          <w:ilvl w:val="0"/>
          <w:numId w:val="47"/>
        </w:numPr>
        <w:spacing w:before="100" w:beforeAutospacing="1" w:after="100" w:afterAutospacing="1"/>
        <w:rPr>
          <w:noProof/>
          <w:lang w:val="fr-BE" w:eastAsia="fr-FR"/>
        </w:rPr>
      </w:pPr>
      <w:r>
        <w:rPr>
          <w:noProof/>
          <w:lang w:val="fr-BE" w:eastAsia="fr-FR"/>
        </w:rPr>
        <w:t>Digital Entrepreneurship Monitor: EUR 2.6 million.</w:t>
      </w:r>
    </w:p>
    <w:p>
      <w:pPr>
        <w:pStyle w:val="ListParagraph"/>
        <w:numPr>
          <w:ilvl w:val="0"/>
          <w:numId w:val="47"/>
        </w:numPr>
        <w:spacing w:before="100" w:beforeAutospacing="1" w:after="100" w:afterAutospacing="1"/>
        <w:rPr>
          <w:noProof/>
          <w:lang w:val="en-GB" w:eastAsia="fr-FR"/>
        </w:rPr>
      </w:pPr>
      <w:r>
        <w:rPr>
          <w:noProof/>
          <w:lang w:val="en-GB" w:eastAsia="fr-FR"/>
        </w:rPr>
        <w:t>Women Entrepreneurship on-line e-platform: EUR 1.05 million.</w:t>
      </w:r>
    </w:p>
    <w:p>
      <w:pPr>
        <w:pStyle w:val="ListParagraph"/>
        <w:numPr>
          <w:ilvl w:val="0"/>
          <w:numId w:val="47"/>
        </w:numPr>
        <w:spacing w:before="100" w:beforeAutospacing="1" w:after="100" w:afterAutospacing="1"/>
        <w:rPr>
          <w:noProof/>
          <w:lang w:val="en-GB" w:eastAsia="fr-FR"/>
        </w:rPr>
      </w:pPr>
      <w:r>
        <w:rPr>
          <w:noProof/>
          <w:lang w:val="en-GB" w:eastAsia="fr-FR"/>
        </w:rPr>
        <w:t>Senior Entrepreneurship best practice exchange: EUR 0.4 million.</w:t>
      </w:r>
    </w:p>
    <w:p>
      <w:pPr>
        <w:pStyle w:val="ListParagraph"/>
        <w:numPr>
          <w:ilvl w:val="0"/>
          <w:numId w:val="47"/>
        </w:numPr>
        <w:spacing w:before="100" w:beforeAutospacing="1" w:after="100" w:afterAutospacing="1"/>
        <w:rPr>
          <w:noProof/>
          <w:lang w:val="fr-BE" w:eastAsia="fr-FR"/>
        </w:rPr>
      </w:pPr>
      <w:r>
        <w:rPr>
          <w:noProof/>
          <w:lang w:val="fr-BE" w:eastAsia="fr-FR"/>
        </w:rPr>
        <w:t>Support for entrepreneurship policy implementation:</w:t>
      </w:r>
      <w:r>
        <w:rPr>
          <w:rStyle w:val="FootnoteReference"/>
          <w:noProof/>
          <w:lang w:val="en-GB" w:eastAsia="fr-FR"/>
        </w:rPr>
        <w:footnoteReference w:id="12"/>
      </w:r>
      <w:r>
        <w:rPr>
          <w:noProof/>
          <w:lang w:val="fr-BE" w:eastAsia="fr-FR"/>
        </w:rPr>
        <w:t xml:space="preserve"> EUR 0.6 million.</w:t>
      </w:r>
    </w:p>
    <w:p>
      <w:pPr>
        <w:pStyle w:val="ListParagraph"/>
        <w:numPr>
          <w:ilvl w:val="0"/>
          <w:numId w:val="47"/>
        </w:numPr>
        <w:spacing w:before="100" w:beforeAutospacing="1" w:after="100" w:afterAutospacing="1"/>
        <w:rPr>
          <w:noProof/>
          <w:lang w:val="en-GB" w:eastAsia="fr-FR"/>
        </w:rPr>
      </w:pPr>
      <w:r>
        <w:rPr>
          <w:noProof/>
          <w:lang w:val="en-GB" w:eastAsia="fr-FR"/>
        </w:rPr>
        <w:t>Entrepreneurship education (pan-European entrepreneurial learning initiative: EUR 0.35 million.</w:t>
      </w:r>
    </w:p>
    <w:p>
      <w:pPr>
        <w:pStyle w:val="ListParagraph"/>
        <w:numPr>
          <w:ilvl w:val="0"/>
          <w:numId w:val="47"/>
        </w:numPr>
        <w:spacing w:before="100" w:beforeAutospacing="1" w:after="100" w:afterAutospacing="1"/>
        <w:rPr>
          <w:noProof/>
          <w:lang w:val="en-GB" w:eastAsia="fr-FR"/>
        </w:rPr>
      </w:pPr>
      <w:r>
        <w:rPr>
          <w:noProof/>
          <w:lang w:val="en-GB" w:eastAsia="fr-FR"/>
        </w:rPr>
        <w:t>Promotion of social economy in Europe:  EUR 0.1 million.</w:t>
      </w:r>
    </w:p>
    <w:p>
      <w:pPr>
        <w:pStyle w:val="ListParagraph"/>
        <w:numPr>
          <w:ilvl w:val="0"/>
          <w:numId w:val="47"/>
        </w:numPr>
        <w:spacing w:before="100" w:beforeAutospacing="1" w:after="100" w:afterAutospacing="1"/>
        <w:rPr>
          <w:noProof/>
          <w:lang w:val="en-GB" w:eastAsia="fr-FR"/>
        </w:rPr>
      </w:pPr>
      <w:r>
        <w:rPr>
          <w:noProof/>
          <w:lang w:val="en-GB" w:eastAsia="fr-FR"/>
        </w:rPr>
        <w:t>Other actions under the Support Measures: EUR 0.5 million.</w:t>
      </w:r>
    </w:p>
    <w:p>
      <w:pPr>
        <w:spacing w:before="100" w:beforeAutospacing="1" w:after="100" w:afterAutospacing="1"/>
        <w:jc w:val="both"/>
        <w:rPr>
          <w:noProof/>
        </w:rPr>
      </w:pPr>
      <w:r>
        <w:rPr>
          <w:noProof/>
        </w:rPr>
        <w:t xml:space="preserve">The Conference on Second Chance for Honest Failed Entrepreneurs gathered 280 representatives from national/regional administrations and stakeholders, followed-up by a second conference in 2016. It paved the way for the initiative on the European network of early warning and advisory services for a second chance to be set up in 2016. </w:t>
      </w:r>
    </w:p>
    <w:p>
      <w:pPr>
        <w:spacing w:before="100" w:beforeAutospacing="1" w:after="100" w:afterAutospacing="1"/>
        <w:jc w:val="both"/>
        <w:rPr>
          <w:noProof/>
        </w:rPr>
      </w:pPr>
      <w:r>
        <w:rPr>
          <w:noProof/>
        </w:rPr>
        <w:t xml:space="preserve">The Digital Entrepreneurship Monitor allows to measure country and industry progress, issuing specific recommendations. In 2016, a total of 9 industries have been represented in the scoreboard. </w:t>
      </w:r>
    </w:p>
    <w:p>
      <w:pPr>
        <w:spacing w:before="100" w:beforeAutospacing="1" w:after="100" w:afterAutospacing="1"/>
        <w:rPr>
          <w:noProof/>
        </w:rPr>
      </w:pPr>
    </w:p>
    <w:p>
      <w:pPr>
        <w:pStyle w:val="Heading1"/>
        <w:rPr>
          <w:noProof/>
          <w:sz w:val="32"/>
          <w:szCs w:val="32"/>
        </w:rPr>
      </w:pPr>
      <w:bookmarkStart w:id="13" w:name="_Toc450148427"/>
      <w:r>
        <w:rPr>
          <w:noProof/>
          <w:sz w:val="32"/>
          <w:szCs w:val="32"/>
        </w:rPr>
        <w:t xml:space="preserve">3. </w:t>
      </w:r>
      <w:bookmarkStart w:id="14" w:name="_Toc380072583"/>
      <w:bookmarkStart w:id="15" w:name="_Toc379805329"/>
      <w:bookmarkStart w:id="16" w:name="_Toc379367415"/>
      <w:bookmarkStart w:id="17" w:name="_Toc318290894"/>
      <w:bookmarkStart w:id="18" w:name="_Toc318206457"/>
      <w:bookmarkStart w:id="19" w:name="_Toc315442450"/>
      <w:r>
        <w:rPr>
          <w:noProof/>
          <w:sz w:val="32"/>
          <w:szCs w:val="32"/>
        </w:rPr>
        <w:t>Support measures</w:t>
      </w:r>
      <w:bookmarkEnd w:id="14"/>
      <w:bookmarkEnd w:id="15"/>
      <w:bookmarkEnd w:id="16"/>
      <w:bookmarkEnd w:id="17"/>
      <w:bookmarkEnd w:id="18"/>
      <w:bookmarkEnd w:id="19"/>
      <w:bookmarkEnd w:id="13"/>
      <w:r>
        <w:rPr>
          <w:noProof/>
          <w:sz w:val="32"/>
          <w:szCs w:val="32"/>
        </w:rPr>
        <w:t xml:space="preserve"> </w:t>
      </w:r>
    </w:p>
    <w:p>
      <w:pPr>
        <w:spacing w:before="100" w:beforeAutospacing="1" w:after="100" w:afterAutospacing="1"/>
        <w:jc w:val="both"/>
        <w:rPr>
          <w:noProof/>
          <w:lang w:eastAsia="fr-FR"/>
        </w:rPr>
      </w:pPr>
      <w:r>
        <w:rPr>
          <w:noProof/>
          <w:lang w:eastAsia="fr-FR"/>
        </w:rPr>
        <w:t>Support measures carry out analysis of the structural and micro-economic factors affecting the competitiveness of individual sectors as well as competitiveness and cross-sectorial issues in general. The aim is to enhance knowledge of the drivers of the competitiveness of European industry and the factors hindering it. Support measures are also used to assess impact of new legislation and to identify areas of existing legislation requiring simplification.</w:t>
      </w:r>
    </w:p>
    <w:p>
      <w:pPr>
        <w:spacing w:before="100" w:beforeAutospacing="1" w:after="100" w:afterAutospacing="1"/>
        <w:jc w:val="both"/>
        <w:rPr>
          <w:noProof/>
          <w:lang w:eastAsia="fr-FR"/>
        </w:rPr>
      </w:pPr>
      <w:r>
        <w:rPr>
          <w:noProof/>
          <w:lang w:eastAsia="fr-FR"/>
        </w:rPr>
        <w:t xml:space="preserve">Support measures consist of two types of activities: (1) studies and impact assessments and (2) conferences, meetings and dissemination activities. The Commission's annual report on the competitiveness of European industry which feeds into the European Semester process was financed under support measures. Other studies analysed sector-related aspects of competitiveness of European industry (including construction, food and chemicals sectors). Impact assessments and cumulative effects assessments were carried out, among other things, on Climate Change, Energy and Environmental Policies and on the EU forest based industries. </w:t>
      </w:r>
    </w:p>
    <w:p>
      <w:pPr>
        <w:spacing w:before="100" w:beforeAutospacing="1" w:after="100" w:afterAutospacing="1"/>
        <w:jc w:val="both"/>
        <w:rPr>
          <w:noProof/>
          <w:lang w:eastAsia="fr-FR"/>
        </w:rPr>
      </w:pPr>
      <w:r>
        <w:rPr>
          <w:noProof/>
          <w:lang w:eastAsia="fr-FR"/>
        </w:rPr>
        <w:t>Conferences, workshops and expert meetings were organised with participation of various stakeholders (including national authorities, industry and consumer organisations, SMEs representatives, non-governmental organisations) to discuss challenges facing different industrial sectors. Particular attention was devoted to recommendations on how to better address SMEs' needs and how to further foster competitiveness. In addition, information actions relating to the objectives of the COSME were carried out.</w:t>
      </w:r>
    </w:p>
    <w:p>
      <w:pPr>
        <w:rPr>
          <w:noProof/>
          <w:lang w:eastAsia="fr-FR"/>
        </w:rPr>
      </w:pPr>
      <w:r>
        <w:rPr>
          <w:noProof/>
          <w:lang w:eastAsia="fr-FR"/>
        </w:rPr>
        <w:t>The total budget committed for the support measures in 2014 amounted to EUR 7 million, leading to an execution rate of 100% of the total budget allocated for 2014.</w:t>
      </w:r>
    </w:p>
    <w:p>
      <w:pPr>
        <w:pStyle w:val="Heading1"/>
        <w:rPr>
          <w:noProof/>
          <w:sz w:val="32"/>
          <w:szCs w:val="32"/>
        </w:rPr>
      </w:pPr>
      <w:bookmarkStart w:id="20" w:name="_Toc444193196"/>
      <w:bookmarkStart w:id="21" w:name="_Toc450148428"/>
      <w:r>
        <w:rPr>
          <w:noProof/>
          <w:sz w:val="32"/>
          <w:szCs w:val="32"/>
        </w:rPr>
        <w:t>4. Administrative Expenditures</w:t>
      </w:r>
      <w:bookmarkEnd w:id="20"/>
      <w:bookmarkEnd w:id="21"/>
      <w:r>
        <w:rPr>
          <w:noProof/>
          <w:sz w:val="32"/>
          <w:szCs w:val="32"/>
        </w:rPr>
        <w:t xml:space="preserve"> </w:t>
      </w:r>
    </w:p>
    <w:p>
      <w:pPr>
        <w:spacing w:before="100" w:beforeAutospacing="1" w:after="100" w:afterAutospacing="1"/>
        <w:jc w:val="both"/>
        <w:rPr>
          <w:noProof/>
          <w:lang w:eastAsia="fr-FR"/>
        </w:rPr>
      </w:pPr>
      <w:r>
        <w:rPr>
          <w:noProof/>
          <w:lang w:eastAsia="fr-FR"/>
        </w:rPr>
        <w:t xml:space="preserve">The COSME Regulation budget includes appropriations for expenses pertaining to preparatory, monitoring, control, audit and evaluation activities which are required for the management of the COSME programme and the achievement of its objectives. Those expenses shall not exceed 5 % of the value of the financial envelope.  </w:t>
      </w:r>
    </w:p>
    <w:p>
      <w:pPr>
        <w:spacing w:before="100" w:beforeAutospacing="1" w:after="100" w:afterAutospacing="1"/>
        <w:jc w:val="both"/>
        <w:rPr>
          <w:noProof/>
          <w:lang w:eastAsia="fr-FR"/>
        </w:rPr>
      </w:pPr>
      <w:r>
        <w:rPr>
          <w:noProof/>
          <w:lang w:eastAsia="fr-FR"/>
        </w:rPr>
        <w:t>The administrative expenditure for DG GROW represented EUR 5.017.946, less than 2% of the total amount committed. The budget implemented for the functioning of the Executive Agency for SMEs was EUR 6.626.000 representing 2.6% of the total budget committed. In total, administrative expenses represented 4.6% of the financial envelope in 2014.</w:t>
      </w:r>
    </w:p>
    <w:p>
      <w:pPr>
        <w:spacing w:before="100" w:beforeAutospacing="1" w:after="100" w:afterAutospacing="1"/>
        <w:jc w:val="both"/>
        <w:rPr>
          <w:noProof/>
          <w:lang w:eastAsia="fr-FR"/>
        </w:rPr>
      </w:pPr>
      <w:r>
        <w:rPr>
          <w:noProof/>
          <w:lang w:eastAsia="fr-FR"/>
        </w:rPr>
        <w:t xml:space="preserve">The administrative expenditure covered studies, meetings of experts, information and communication actions, including corporate communication of the political priorities of the Union related to the general objectives of the COSME programme. Moreover, expenses linked to IT networks and other technical and administrative assistance expenses incurred by the Commission for the management of the COSME programme were covered. </w:t>
      </w:r>
    </w:p>
    <w:p>
      <w:pPr>
        <w:jc w:val="both"/>
        <w:rPr>
          <w:noProof/>
          <w:lang w:eastAsia="fr-FR"/>
        </w:rPr>
      </w:pPr>
    </w:p>
    <w:p>
      <w:pPr>
        <w:pStyle w:val="Heading1"/>
        <w:rPr>
          <w:noProof/>
          <w:sz w:val="32"/>
          <w:szCs w:val="32"/>
        </w:rPr>
      </w:pPr>
      <w:bookmarkStart w:id="22" w:name="_Toc450148429"/>
      <w:r>
        <w:rPr>
          <w:noProof/>
          <w:sz w:val="32"/>
          <w:szCs w:val="32"/>
        </w:rPr>
        <w:t>5. Contribution to the Climate Mainstreaming objective</w:t>
      </w:r>
      <w:bookmarkEnd w:id="22"/>
    </w:p>
    <w:p>
      <w:pPr>
        <w:spacing w:before="100" w:beforeAutospacing="1" w:after="100" w:afterAutospacing="1"/>
        <w:jc w:val="both"/>
        <w:rPr>
          <w:noProof/>
        </w:rPr>
      </w:pPr>
      <w:r>
        <w:rPr>
          <w:noProof/>
        </w:rPr>
        <w:t xml:space="preserve">The contribution of the COSME programme to the climate mainstreaming objective, set for all Commission programmes, has been estimated at €21.2 million representing 8 % of the financial allocation in 2014.  </w:t>
      </w:r>
    </w:p>
    <w:tbl>
      <w:tblPr>
        <w:tblW w:w="8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6175"/>
        <w:gridCol w:w="2795"/>
      </w:tblGrid>
      <w:tr>
        <w:trPr>
          <w:trHeight w:val="468"/>
        </w:trPr>
        <w:tc>
          <w:tcPr>
            <w:tcW w:w="6178" w:type="dxa"/>
            <w:tcBorders>
              <w:top w:val="single" w:sz="4" w:space="0" w:color="auto"/>
              <w:left w:val="single" w:sz="4" w:space="0" w:color="auto"/>
              <w:bottom w:val="single" w:sz="4" w:space="0" w:color="auto"/>
              <w:right w:val="single" w:sz="4" w:space="0" w:color="auto"/>
            </w:tcBorders>
            <w:shd w:val="pct10" w:color="auto" w:fill="auto"/>
            <w:vAlign w:val="center"/>
            <w:hideMark/>
          </w:tcPr>
          <w:p>
            <w:pPr>
              <w:spacing w:line="276" w:lineRule="auto"/>
              <w:jc w:val="center"/>
              <w:rPr>
                <w:noProof/>
                <w:sz w:val="20"/>
                <w:szCs w:val="20"/>
                <w:lang w:eastAsia="en-US"/>
              </w:rPr>
            </w:pPr>
            <w:r>
              <w:rPr>
                <w:noProof/>
                <w:sz w:val="20"/>
                <w:szCs w:val="20"/>
                <w:lang w:eastAsia="en-US"/>
              </w:rPr>
              <w:t>Relevant objective/output</w:t>
            </w:r>
          </w:p>
        </w:tc>
        <w:tc>
          <w:tcPr>
            <w:tcW w:w="2796" w:type="dxa"/>
            <w:tcBorders>
              <w:top w:val="single" w:sz="4" w:space="0" w:color="auto"/>
              <w:left w:val="single" w:sz="4" w:space="0" w:color="auto"/>
              <w:bottom w:val="single" w:sz="4" w:space="0" w:color="auto"/>
              <w:right w:val="single" w:sz="4" w:space="0" w:color="auto"/>
            </w:tcBorders>
            <w:shd w:val="pct10" w:color="auto" w:fill="auto"/>
            <w:hideMark/>
          </w:tcPr>
          <w:p>
            <w:pPr>
              <w:spacing w:line="276" w:lineRule="auto"/>
              <w:jc w:val="center"/>
              <w:rPr>
                <w:noProof/>
                <w:sz w:val="20"/>
                <w:szCs w:val="20"/>
                <w:lang w:eastAsia="en-US"/>
              </w:rPr>
            </w:pPr>
            <w:r>
              <w:rPr>
                <w:noProof/>
                <w:sz w:val="20"/>
                <w:szCs w:val="20"/>
                <w:lang w:eastAsia="en-US"/>
              </w:rPr>
              <w:t>Budget 2014</w:t>
            </w:r>
          </w:p>
          <w:p>
            <w:pPr>
              <w:spacing w:line="276" w:lineRule="auto"/>
              <w:jc w:val="center"/>
              <w:rPr>
                <w:noProof/>
                <w:sz w:val="20"/>
                <w:szCs w:val="20"/>
                <w:lang w:eastAsia="en-US"/>
              </w:rPr>
            </w:pPr>
            <w:r>
              <w:rPr>
                <w:noProof/>
                <w:sz w:val="20"/>
                <w:szCs w:val="20"/>
                <w:lang w:eastAsia="en-US"/>
              </w:rPr>
              <w:t>(EUR Million)</w:t>
            </w:r>
          </w:p>
        </w:tc>
      </w:tr>
      <w:tr>
        <w:trPr>
          <w:trHeight w:val="371"/>
        </w:trPr>
        <w:tc>
          <w:tcPr>
            <w:tcW w:w="617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lang w:eastAsia="en-US"/>
              </w:rPr>
            </w:pPr>
            <w:r>
              <w:rPr>
                <w:noProof/>
                <w:sz w:val="20"/>
                <w:szCs w:val="20"/>
                <w:lang w:eastAsia="en-US"/>
              </w:rPr>
              <w:t>Enterprise Europe Network</w:t>
            </w:r>
          </w:p>
        </w:tc>
        <w:tc>
          <w:tcPr>
            <w:tcW w:w="2796" w:type="dxa"/>
            <w:tcBorders>
              <w:top w:val="single" w:sz="4" w:space="0" w:color="auto"/>
              <w:left w:val="single" w:sz="4" w:space="0" w:color="auto"/>
              <w:bottom w:val="single" w:sz="4" w:space="0" w:color="auto"/>
              <w:right w:val="single" w:sz="4" w:space="0" w:color="auto"/>
            </w:tcBorders>
            <w:hideMark/>
          </w:tcPr>
          <w:p>
            <w:pPr>
              <w:spacing w:line="276" w:lineRule="auto"/>
              <w:jc w:val="right"/>
              <w:rPr>
                <w:noProof/>
                <w:sz w:val="20"/>
                <w:szCs w:val="20"/>
                <w:lang w:eastAsia="en-US"/>
              </w:rPr>
            </w:pPr>
            <w:r>
              <w:rPr>
                <w:noProof/>
                <w:sz w:val="20"/>
                <w:szCs w:val="20"/>
                <w:lang w:eastAsia="en-US"/>
              </w:rPr>
              <w:t>15.4</w:t>
            </w:r>
          </w:p>
        </w:tc>
      </w:tr>
      <w:tr>
        <w:trPr>
          <w:trHeight w:val="420"/>
        </w:trPr>
        <w:tc>
          <w:tcPr>
            <w:tcW w:w="6178" w:type="dxa"/>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lang w:eastAsia="en-US"/>
              </w:rPr>
            </w:pPr>
            <w:r>
              <w:rPr>
                <w:noProof/>
                <w:sz w:val="20"/>
                <w:szCs w:val="20"/>
                <w:lang w:eastAsia="en-US"/>
              </w:rPr>
              <w:t>Financial instruments: Equity Facility for Growth</w:t>
            </w:r>
          </w:p>
        </w:tc>
        <w:tc>
          <w:tcPr>
            <w:tcW w:w="2796" w:type="dxa"/>
            <w:tcBorders>
              <w:top w:val="single" w:sz="4" w:space="0" w:color="auto"/>
              <w:left w:val="single" w:sz="4" w:space="0" w:color="auto"/>
              <w:bottom w:val="single" w:sz="4" w:space="0" w:color="auto"/>
              <w:right w:val="single" w:sz="4" w:space="0" w:color="auto"/>
            </w:tcBorders>
            <w:hideMark/>
          </w:tcPr>
          <w:p>
            <w:pPr>
              <w:spacing w:line="276" w:lineRule="auto"/>
              <w:jc w:val="right"/>
              <w:rPr>
                <w:noProof/>
                <w:sz w:val="20"/>
                <w:szCs w:val="20"/>
                <w:lang w:eastAsia="en-US"/>
              </w:rPr>
            </w:pPr>
            <w:r>
              <w:rPr>
                <w:noProof/>
                <w:sz w:val="20"/>
                <w:szCs w:val="20"/>
                <w:lang w:eastAsia="en-US"/>
              </w:rPr>
              <w:t>5.82</w:t>
            </w:r>
          </w:p>
        </w:tc>
      </w:tr>
      <w:tr>
        <w:trPr>
          <w:trHeight w:val="357"/>
        </w:trPr>
        <w:tc>
          <w:tcPr>
            <w:tcW w:w="6178"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right"/>
              <w:rPr>
                <w:b/>
                <w:noProof/>
                <w:sz w:val="20"/>
                <w:szCs w:val="20"/>
                <w:lang w:eastAsia="en-US"/>
              </w:rPr>
            </w:pPr>
            <w:r>
              <w:rPr>
                <w:b/>
                <w:noProof/>
                <w:sz w:val="20"/>
                <w:szCs w:val="20"/>
                <w:lang w:eastAsia="en-US"/>
              </w:rPr>
              <w:t>Total</w:t>
            </w:r>
          </w:p>
        </w:tc>
        <w:tc>
          <w:tcPr>
            <w:tcW w:w="2796" w:type="dxa"/>
            <w:tcBorders>
              <w:top w:val="single" w:sz="4" w:space="0" w:color="auto"/>
              <w:left w:val="single" w:sz="4" w:space="0" w:color="auto"/>
              <w:bottom w:val="single" w:sz="4" w:space="0" w:color="auto"/>
              <w:right w:val="single" w:sz="4" w:space="0" w:color="auto"/>
            </w:tcBorders>
            <w:hideMark/>
          </w:tcPr>
          <w:p>
            <w:pPr>
              <w:spacing w:line="276" w:lineRule="auto"/>
              <w:jc w:val="right"/>
              <w:rPr>
                <w:b/>
                <w:noProof/>
                <w:sz w:val="20"/>
                <w:szCs w:val="20"/>
                <w:lang w:eastAsia="en-US"/>
              </w:rPr>
            </w:pPr>
            <w:r>
              <w:rPr>
                <w:b/>
                <w:noProof/>
                <w:sz w:val="20"/>
                <w:szCs w:val="20"/>
                <w:lang w:eastAsia="en-US"/>
              </w:rPr>
              <w:t>21.22</w:t>
            </w:r>
          </w:p>
        </w:tc>
      </w:tr>
    </w:tbl>
    <w:p>
      <w:pPr>
        <w:spacing w:before="100" w:beforeAutospacing="1" w:after="100" w:afterAutospacing="1"/>
        <w:jc w:val="both"/>
        <w:rPr>
          <w:noProof/>
          <w:lang w:eastAsia="de-DE"/>
        </w:rPr>
      </w:pPr>
      <w:r>
        <w:rPr>
          <w:noProof/>
          <w:lang w:eastAsia="de-DE"/>
        </w:rPr>
        <w:t xml:space="preserve">For several COSME actions, such as the Loan Guarantee Facility, it is challenging to track the contribution to the climate mainstreaming without imposing an additional administrative burden on financial intermediaries and, ultimately, the hundreds of thousands of participating SMEs which are the final recipients. Therefore, the method for tracking the contribution of COSME needs to be improved, as it clearly underestimates the real potential contribution of this programme.  </w:t>
      </w:r>
    </w:p>
    <w:p>
      <w:pPr>
        <w:spacing w:before="100" w:beforeAutospacing="1" w:after="100" w:afterAutospacing="1"/>
        <w:jc w:val="both"/>
        <w:rPr>
          <w:noProof/>
          <w:lang w:eastAsia="de-DE"/>
        </w:rPr>
      </w:pPr>
    </w:p>
    <w:p>
      <w:pPr>
        <w:pStyle w:val="Heading1"/>
        <w:rPr>
          <w:noProof/>
          <w:sz w:val="32"/>
          <w:szCs w:val="32"/>
        </w:rPr>
      </w:pPr>
      <w:bookmarkStart w:id="23" w:name="_Toc450148430"/>
      <w:bookmarkEnd w:id="0"/>
      <w:bookmarkEnd w:id="1"/>
      <w:bookmarkEnd w:id="2"/>
      <w:bookmarkEnd w:id="3"/>
      <w:r>
        <w:rPr>
          <w:noProof/>
          <w:sz w:val="32"/>
          <w:szCs w:val="32"/>
        </w:rPr>
        <w:t>6. Conclusion</w:t>
      </w:r>
      <w:bookmarkEnd w:id="23"/>
    </w:p>
    <w:p>
      <w:pPr>
        <w:spacing w:before="100" w:beforeAutospacing="1" w:after="100" w:afterAutospacing="1"/>
        <w:jc w:val="both"/>
        <w:rPr>
          <w:noProof/>
          <w:lang w:eastAsia="de-DE"/>
        </w:rPr>
      </w:pPr>
      <w:r>
        <w:rPr>
          <w:noProof/>
          <w:lang w:eastAsia="de-DE"/>
        </w:rPr>
        <w:t xml:space="preserve">COSME delivered and reached very good levels of budget execution in 2014 despite an important increase in externalisation of activities to the Executive Agency and the renewal of the two main actions: the financial instruments and the Enterprise Europe Network. </w:t>
      </w:r>
    </w:p>
    <w:p>
      <w:pPr>
        <w:spacing w:before="100" w:beforeAutospacing="1" w:after="100" w:afterAutospacing="1"/>
        <w:jc w:val="both"/>
        <w:rPr>
          <w:noProof/>
          <w:lang w:eastAsia="de-DE"/>
        </w:rPr>
      </w:pPr>
      <w:r>
        <w:rPr>
          <w:noProof/>
          <w:lang w:eastAsia="de-DE"/>
        </w:rPr>
        <w:t>The programme helped to finance a number of relevant actions to support European SMEs. It started to ease the access to finance for European business through the newly established framework with the EIF and financial intermediaries. Actions financed from the 2014 COSME budget have helped entrepreneurs to launch their business. A significant number of  companies have benefitted from services helping them to access new markets and several COSME measures have contributed to the creation of a better business environment for enterprises, in particular SMEs. The Commission, in close cooperation with EASME, will continue to improve the dissemination of the results of the COSME projects, seek further synergies with other Commission programmes and provide up-to-date information on the beneficiaries of the COSME actions.</w:t>
      </w:r>
    </w:p>
    <w:sectPr>
      <w:headerReference w:type="even" r:id="rId28"/>
      <w:headerReference w:type="default" r:id="rId29"/>
      <w:footerReference w:type="even" r:id="rId30"/>
      <w:footerReference w:type="default" r:id="rId31"/>
      <w:headerReference w:type="first" r:id="rId32"/>
      <w:footerReference w:type="first" r:id="rId33"/>
      <w:type w:val="continuous"/>
      <w:pgSz w:w="11906" w:h="16838"/>
      <w:pgMar w:top="1247"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pPr>
      <w:pStyle w:val="Footer"/>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Regulation (EU) N° 1287/2013 of the European parliament and of the Council of 11 December 2013.</w:t>
      </w:r>
    </w:p>
  </w:footnote>
  <w:footnote w:id="2">
    <w:p>
      <w:pPr>
        <w:pStyle w:val="FootnoteText"/>
        <w:rPr>
          <w:lang w:val="en-US"/>
        </w:rPr>
      </w:pPr>
      <w:r>
        <w:rPr>
          <w:rStyle w:val="FootnoteReference"/>
        </w:rPr>
        <w:footnoteRef/>
      </w:r>
      <w:r>
        <w:t xml:space="preserve"> </w:t>
      </w:r>
      <w:r>
        <w:rPr>
          <w:rFonts w:eastAsiaTheme="minorHAnsi"/>
          <w:lang w:val="en-US" w:eastAsia="en-US"/>
        </w:rPr>
        <w:t>C(2014) 4993 final</w:t>
      </w:r>
    </w:p>
  </w:footnote>
  <w:footnote w:id="3">
    <w:p>
      <w:pPr>
        <w:pStyle w:val="FootnoteText"/>
        <w:rPr>
          <w:lang w:val="en-US"/>
        </w:rPr>
      </w:pPr>
      <w:r>
        <w:rPr>
          <w:rStyle w:val="FootnoteReference"/>
        </w:rPr>
        <w:footnoteRef/>
      </w:r>
      <w:r>
        <w:t xml:space="preserve"> </w:t>
      </w:r>
      <w:r>
        <w:rPr>
          <w:rFonts w:eastAsiaTheme="minorHAnsi"/>
          <w:lang w:val="en-US" w:eastAsia="en-US"/>
        </w:rPr>
        <w:t>C(2014) 5590 final</w:t>
      </w:r>
    </w:p>
  </w:footnote>
  <w:footnote w:id="4">
    <w:p>
      <w:pPr>
        <w:pStyle w:val="FootnoteText"/>
        <w:rPr>
          <w:lang w:val="en-US"/>
        </w:rPr>
      </w:pPr>
      <w:r>
        <w:rPr>
          <w:rStyle w:val="FootnoteReference"/>
        </w:rPr>
        <w:footnoteRef/>
      </w:r>
      <w:r>
        <w:rPr>
          <w:lang w:val="en-US"/>
        </w:rPr>
        <w:t xml:space="preserve"> SEC(2013) 493 final </w:t>
      </w:r>
    </w:p>
  </w:footnote>
  <w:footnote w:id="5">
    <w:p>
      <w:pPr>
        <w:pStyle w:val="FootnoteText"/>
        <w:rPr>
          <w:lang w:val="en-US"/>
        </w:rPr>
      </w:pPr>
      <w:r>
        <w:rPr>
          <w:rStyle w:val="FootnoteReference"/>
        </w:rPr>
        <w:footnoteRef/>
      </w:r>
      <w:r>
        <w:rPr>
          <w:lang w:val="en-US"/>
        </w:rPr>
        <w:t xml:space="preserve"> Commission Implementing Decision 2013/771/EC of 17.12.2013.</w:t>
      </w:r>
    </w:p>
  </w:footnote>
  <w:footnote w:id="6">
    <w:p>
      <w:pPr>
        <w:pStyle w:val="FootnoteText"/>
        <w:rPr>
          <w:lang w:val="en-US"/>
        </w:rPr>
      </w:pPr>
      <w:r>
        <w:rPr>
          <w:rStyle w:val="FootnoteReference"/>
        </w:rPr>
        <w:footnoteRef/>
      </w:r>
      <w:r>
        <w:rPr>
          <w:lang w:val="en-US"/>
        </w:rPr>
        <w:t xml:space="preserve"> C(2013)9414 </w:t>
      </w:r>
    </w:p>
  </w:footnote>
  <w:footnote w:id="7">
    <w:p>
      <w:pPr>
        <w:pStyle w:val="FootnoteText"/>
        <w:rPr>
          <w:lang w:val="en-US"/>
        </w:rPr>
      </w:pPr>
      <w:r>
        <w:rPr>
          <w:rStyle w:val="FootnoteReference"/>
        </w:rPr>
        <w:footnoteRef/>
      </w:r>
      <w:r>
        <w:rPr>
          <w:lang w:val="en-US"/>
        </w:rPr>
        <w:t xml:space="preserve"> Other parent DGs are: RTD, CNECT, ENV, CLIMA, MARE, ENER.</w:t>
      </w:r>
    </w:p>
  </w:footnote>
  <w:footnote w:id="8">
    <w:p>
      <w:pPr>
        <w:pStyle w:val="FootnoteText"/>
        <w:rPr>
          <w:lang w:val="en-US"/>
        </w:rPr>
      </w:pPr>
      <w:r>
        <w:rPr>
          <w:rStyle w:val="FootnoteReference"/>
        </w:rPr>
        <w:footnoteRef/>
      </w:r>
      <w:r>
        <w:t xml:space="preserve"> </w:t>
      </w:r>
      <w:r>
        <w:rPr>
          <w:lang w:val="en-US"/>
        </w:rPr>
        <w:t>Including the voted budget, the credits carried-over from the CIP programme, third countries and EFTA contributions and transfers</w:t>
      </w:r>
    </w:p>
  </w:footnote>
  <w:footnote w:id="9">
    <w:p>
      <w:pPr>
        <w:pStyle w:val="FootnoteText"/>
        <w:rPr>
          <w:lang w:val="en-US"/>
        </w:rPr>
      </w:pPr>
      <w:r>
        <w:rPr>
          <w:rStyle w:val="FootnoteReference"/>
        </w:rPr>
        <w:footnoteRef/>
      </w:r>
      <w:r>
        <w:t xml:space="preserve"> </w:t>
      </w:r>
      <w:r>
        <w:rPr>
          <w:rStyle w:val="FootnoteReference"/>
        </w:rPr>
        <w:footnoteRef/>
      </w:r>
      <w:r>
        <w:t xml:space="preserve"> </w:t>
      </w:r>
      <w:r>
        <w:rPr>
          <w:lang w:val="en-US"/>
        </w:rPr>
        <w:t>Including the voted budget, the credits carried-over from the CIP programme, third countries and EFTA contributions and transfers</w:t>
      </w:r>
    </w:p>
    <w:p>
      <w:pPr>
        <w:pStyle w:val="FootnoteText"/>
        <w:rPr>
          <w:lang w:val="en-US"/>
        </w:rPr>
      </w:pPr>
    </w:p>
  </w:footnote>
  <w:footnote w:id="10">
    <w:p>
      <w:pPr>
        <w:pStyle w:val="FootnoteText"/>
      </w:pPr>
      <w:r>
        <w:rPr>
          <w:rStyle w:val="FootnoteReference"/>
        </w:rPr>
        <w:footnoteRef/>
      </w:r>
      <w:r>
        <w:t xml:space="preserve"> See the</w:t>
      </w:r>
      <w:r>
        <w:rPr>
          <w:lang w:val="en-US"/>
        </w:rPr>
        <w:t xml:space="preserve"> report from the Commission to the European Parliament and the Council on financial instruments supported by the general budget according to Art.140.8 of the Financial Regulation as at 31 December 2014</w:t>
      </w:r>
      <w:r>
        <w:t xml:space="preserve"> published the 13/11/2015 (COM(2015)565 final)</w:t>
      </w:r>
    </w:p>
  </w:footnote>
  <w:footnote w:id="11">
    <w:p>
      <w:pPr>
        <w:pStyle w:val="FootnoteText"/>
      </w:pPr>
      <w:r>
        <w:rPr>
          <w:rStyle w:val="FootnoteReference"/>
        </w:rPr>
        <w:footnoteRef/>
      </w:r>
      <w:r>
        <w:t xml:space="preserve"> Figures collected in 2015.</w:t>
      </w:r>
    </w:p>
  </w:footnote>
  <w:footnote w:id="12">
    <w:p>
      <w:pPr>
        <w:pStyle w:val="FootnoteText"/>
      </w:pPr>
      <w:r>
        <w:rPr>
          <w:rStyle w:val="FootnoteReference"/>
        </w:rPr>
        <w:footnoteRef/>
      </w:r>
      <w:r>
        <w:t xml:space="preserve"> Including </w:t>
      </w:r>
      <w:r>
        <w:rPr>
          <w:lang w:val="en-US" w:eastAsia="fr-FR"/>
        </w:rPr>
        <w:t>Conference on Boosting the Business of Liberal Professions, Conference on Second Chance for Honest Failed Entrepreneurs, Conference on Transfers of Business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CEB"/>
    <w:multiLevelType w:val="hybridMultilevel"/>
    <w:tmpl w:val="8D2685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8420232"/>
    <w:multiLevelType w:val="hybridMultilevel"/>
    <w:tmpl w:val="6110396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0C0A1785"/>
    <w:multiLevelType w:val="hybridMultilevel"/>
    <w:tmpl w:val="FC82D556"/>
    <w:lvl w:ilvl="0" w:tplc="040A0001">
      <w:start w:val="1"/>
      <w:numFmt w:val="bullet"/>
      <w:lvlText w:val=""/>
      <w:lvlJc w:val="left"/>
      <w:pPr>
        <w:ind w:left="1800" w:hanging="360"/>
      </w:pPr>
      <w:rPr>
        <w:rFonts w:ascii="Symbol" w:hAnsi="Symbol" w:hint="default"/>
      </w:rPr>
    </w:lvl>
    <w:lvl w:ilvl="1" w:tplc="040A0003" w:tentative="1">
      <w:start w:val="1"/>
      <w:numFmt w:val="bullet"/>
      <w:lvlText w:val="o"/>
      <w:lvlJc w:val="left"/>
      <w:pPr>
        <w:ind w:left="2520" w:hanging="360"/>
      </w:pPr>
      <w:rPr>
        <w:rFonts w:ascii="Courier New" w:hAnsi="Courier New" w:cs="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cs="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cs="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3">
    <w:nsid w:val="0CB51CF0"/>
    <w:multiLevelType w:val="hybridMultilevel"/>
    <w:tmpl w:val="97F622C8"/>
    <w:lvl w:ilvl="0" w:tplc="040A0001">
      <w:start w:val="1"/>
      <w:numFmt w:val="bullet"/>
      <w:lvlText w:val=""/>
      <w:lvlJc w:val="left"/>
      <w:pPr>
        <w:ind w:left="720" w:hanging="360"/>
      </w:pPr>
      <w:rPr>
        <w:rFonts w:ascii="Symbol" w:hAnsi="Symbol" w:hint="default"/>
      </w:rPr>
    </w:lvl>
    <w:lvl w:ilvl="1" w:tplc="BA26B3D6">
      <w:numFmt w:val="bullet"/>
      <w:lvlText w:val="-"/>
      <w:lvlJc w:val="left"/>
      <w:pPr>
        <w:ind w:left="1440" w:hanging="36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182027CC"/>
    <w:multiLevelType w:val="multilevel"/>
    <w:tmpl w:val="DF600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CA0485"/>
    <w:multiLevelType w:val="hybridMultilevel"/>
    <w:tmpl w:val="0D98C0D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734306"/>
    <w:multiLevelType w:val="multilevel"/>
    <w:tmpl w:val="8F006F84"/>
    <w:lvl w:ilvl="0">
      <w:start w:val="1"/>
      <w:numFmt w:val="upperLetter"/>
      <w:lvlText w:val="%1."/>
      <w:lvlJc w:val="left"/>
      <w:pPr>
        <w:tabs>
          <w:tab w:val="num" w:pos="360"/>
        </w:tabs>
        <w:ind w:left="360" w:hanging="360"/>
      </w:pPr>
      <w:rPr>
        <w:rFonts w:hint="default"/>
      </w:rPr>
    </w:lvl>
    <w:lvl w:ilvl="1">
      <w:numFmt w:val="none"/>
      <w:pStyle w:val="Heading2"/>
      <w:lvlText w:val=""/>
      <w:lvlJc w:val="left"/>
      <w:pPr>
        <w:tabs>
          <w:tab w:val="num" w:pos="360"/>
        </w:tabs>
      </w:pPr>
    </w:lvl>
    <w:lvl w:ilvl="2">
      <w:numFmt w:val="none"/>
      <w:pStyle w:val="Heading3"/>
      <w:lvlText w:val=""/>
      <w:lvlJc w:val="left"/>
      <w:pPr>
        <w:tabs>
          <w:tab w:val="num" w:pos="360"/>
        </w:tabs>
      </w:pPr>
    </w:lvl>
    <w:lvl w:ilvl="3">
      <w:numFmt w:val="none"/>
      <w:pStyle w:val="Heading4"/>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4D6D32"/>
    <w:multiLevelType w:val="hybridMultilevel"/>
    <w:tmpl w:val="ABDA431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221C4D82"/>
    <w:multiLevelType w:val="hybridMultilevel"/>
    <w:tmpl w:val="5E44F348"/>
    <w:lvl w:ilvl="0" w:tplc="040A0001">
      <w:start w:val="1"/>
      <w:numFmt w:val="bullet"/>
      <w:lvlText w:val=""/>
      <w:lvlJc w:val="left"/>
      <w:pPr>
        <w:ind w:left="719" w:hanging="435"/>
      </w:pPr>
      <w:rPr>
        <w:rFonts w:ascii="Symbol" w:hAnsi="Symbol" w:hint="default"/>
      </w:rPr>
    </w:lvl>
    <w:lvl w:ilvl="1" w:tplc="040A0001">
      <w:start w:val="1"/>
      <w:numFmt w:val="bullet"/>
      <w:lvlText w:val=""/>
      <w:lvlJc w:val="left"/>
      <w:pPr>
        <w:ind w:left="1439" w:hanging="435"/>
      </w:pPr>
      <w:rPr>
        <w:rFonts w:ascii="Symbol" w:hAnsi="Symbol" w:hint="default"/>
      </w:rPr>
    </w:lvl>
    <w:lvl w:ilvl="2" w:tplc="040A0005" w:tentative="1">
      <w:start w:val="1"/>
      <w:numFmt w:val="bullet"/>
      <w:lvlText w:val=""/>
      <w:lvlJc w:val="left"/>
      <w:pPr>
        <w:ind w:left="2084" w:hanging="360"/>
      </w:pPr>
      <w:rPr>
        <w:rFonts w:ascii="Wingdings" w:hAnsi="Wingdings" w:hint="default"/>
      </w:rPr>
    </w:lvl>
    <w:lvl w:ilvl="3" w:tplc="040A0001" w:tentative="1">
      <w:start w:val="1"/>
      <w:numFmt w:val="bullet"/>
      <w:lvlText w:val=""/>
      <w:lvlJc w:val="left"/>
      <w:pPr>
        <w:ind w:left="2804" w:hanging="360"/>
      </w:pPr>
      <w:rPr>
        <w:rFonts w:ascii="Symbol" w:hAnsi="Symbol" w:hint="default"/>
      </w:rPr>
    </w:lvl>
    <w:lvl w:ilvl="4" w:tplc="040A0003" w:tentative="1">
      <w:start w:val="1"/>
      <w:numFmt w:val="bullet"/>
      <w:lvlText w:val="o"/>
      <w:lvlJc w:val="left"/>
      <w:pPr>
        <w:ind w:left="3524" w:hanging="360"/>
      </w:pPr>
      <w:rPr>
        <w:rFonts w:ascii="Courier New" w:hAnsi="Courier New" w:cs="Courier New" w:hint="default"/>
      </w:rPr>
    </w:lvl>
    <w:lvl w:ilvl="5" w:tplc="040A0005" w:tentative="1">
      <w:start w:val="1"/>
      <w:numFmt w:val="bullet"/>
      <w:lvlText w:val=""/>
      <w:lvlJc w:val="left"/>
      <w:pPr>
        <w:ind w:left="4244" w:hanging="360"/>
      </w:pPr>
      <w:rPr>
        <w:rFonts w:ascii="Wingdings" w:hAnsi="Wingdings" w:hint="default"/>
      </w:rPr>
    </w:lvl>
    <w:lvl w:ilvl="6" w:tplc="040A0001" w:tentative="1">
      <w:start w:val="1"/>
      <w:numFmt w:val="bullet"/>
      <w:lvlText w:val=""/>
      <w:lvlJc w:val="left"/>
      <w:pPr>
        <w:ind w:left="4964" w:hanging="360"/>
      </w:pPr>
      <w:rPr>
        <w:rFonts w:ascii="Symbol" w:hAnsi="Symbol" w:hint="default"/>
      </w:rPr>
    </w:lvl>
    <w:lvl w:ilvl="7" w:tplc="040A0003" w:tentative="1">
      <w:start w:val="1"/>
      <w:numFmt w:val="bullet"/>
      <w:lvlText w:val="o"/>
      <w:lvlJc w:val="left"/>
      <w:pPr>
        <w:ind w:left="5684" w:hanging="360"/>
      </w:pPr>
      <w:rPr>
        <w:rFonts w:ascii="Courier New" w:hAnsi="Courier New" w:cs="Courier New" w:hint="default"/>
      </w:rPr>
    </w:lvl>
    <w:lvl w:ilvl="8" w:tplc="040A0005" w:tentative="1">
      <w:start w:val="1"/>
      <w:numFmt w:val="bullet"/>
      <w:lvlText w:val=""/>
      <w:lvlJc w:val="left"/>
      <w:pPr>
        <w:ind w:left="6404" w:hanging="360"/>
      </w:pPr>
      <w:rPr>
        <w:rFonts w:ascii="Wingdings" w:hAnsi="Wingdings" w:hint="default"/>
      </w:rPr>
    </w:lvl>
  </w:abstractNum>
  <w:abstractNum w:abstractNumId="9">
    <w:nsid w:val="22DD3599"/>
    <w:multiLevelType w:val="multilevel"/>
    <w:tmpl w:val="AE28B0DA"/>
    <w:lvl w:ilvl="0">
      <w:numFmt w:val="decimal"/>
      <w:pStyle w:val="ListNumber"/>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787B99"/>
    <w:multiLevelType w:val="hybridMultilevel"/>
    <w:tmpl w:val="9EEE999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23CD1E14"/>
    <w:multiLevelType w:val="hybridMultilevel"/>
    <w:tmpl w:val="20024004"/>
    <w:lvl w:ilvl="0" w:tplc="5F7A5736">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2">
    <w:nsid w:val="26792896"/>
    <w:multiLevelType w:val="hybridMultilevel"/>
    <w:tmpl w:val="569E424E"/>
    <w:lvl w:ilvl="0" w:tplc="040A0001">
      <w:start w:val="1"/>
      <w:numFmt w:val="bullet"/>
      <w:lvlText w:val=""/>
      <w:lvlJc w:val="left"/>
      <w:pPr>
        <w:ind w:left="780" w:hanging="360"/>
      </w:pPr>
      <w:rPr>
        <w:rFonts w:ascii="Symbol" w:hAnsi="Symbol" w:hint="default"/>
      </w:rPr>
    </w:lvl>
    <w:lvl w:ilvl="1" w:tplc="040A0003" w:tentative="1">
      <w:start w:val="1"/>
      <w:numFmt w:val="bullet"/>
      <w:lvlText w:val="o"/>
      <w:lvlJc w:val="left"/>
      <w:pPr>
        <w:ind w:left="1500" w:hanging="360"/>
      </w:pPr>
      <w:rPr>
        <w:rFonts w:ascii="Courier New" w:hAnsi="Courier New" w:cs="Courier New" w:hint="default"/>
      </w:rPr>
    </w:lvl>
    <w:lvl w:ilvl="2" w:tplc="040A0005" w:tentative="1">
      <w:start w:val="1"/>
      <w:numFmt w:val="bullet"/>
      <w:lvlText w:val=""/>
      <w:lvlJc w:val="left"/>
      <w:pPr>
        <w:ind w:left="2220" w:hanging="360"/>
      </w:pPr>
      <w:rPr>
        <w:rFonts w:ascii="Wingdings" w:hAnsi="Wingdings" w:hint="default"/>
      </w:rPr>
    </w:lvl>
    <w:lvl w:ilvl="3" w:tplc="040A0001" w:tentative="1">
      <w:start w:val="1"/>
      <w:numFmt w:val="bullet"/>
      <w:lvlText w:val=""/>
      <w:lvlJc w:val="left"/>
      <w:pPr>
        <w:ind w:left="2940" w:hanging="360"/>
      </w:pPr>
      <w:rPr>
        <w:rFonts w:ascii="Symbol" w:hAnsi="Symbol" w:hint="default"/>
      </w:rPr>
    </w:lvl>
    <w:lvl w:ilvl="4" w:tplc="040A0003" w:tentative="1">
      <w:start w:val="1"/>
      <w:numFmt w:val="bullet"/>
      <w:lvlText w:val="o"/>
      <w:lvlJc w:val="left"/>
      <w:pPr>
        <w:ind w:left="3660" w:hanging="360"/>
      </w:pPr>
      <w:rPr>
        <w:rFonts w:ascii="Courier New" w:hAnsi="Courier New" w:cs="Courier New" w:hint="default"/>
      </w:rPr>
    </w:lvl>
    <w:lvl w:ilvl="5" w:tplc="040A0005" w:tentative="1">
      <w:start w:val="1"/>
      <w:numFmt w:val="bullet"/>
      <w:lvlText w:val=""/>
      <w:lvlJc w:val="left"/>
      <w:pPr>
        <w:ind w:left="4380" w:hanging="360"/>
      </w:pPr>
      <w:rPr>
        <w:rFonts w:ascii="Wingdings" w:hAnsi="Wingdings" w:hint="default"/>
      </w:rPr>
    </w:lvl>
    <w:lvl w:ilvl="6" w:tplc="040A0001" w:tentative="1">
      <w:start w:val="1"/>
      <w:numFmt w:val="bullet"/>
      <w:lvlText w:val=""/>
      <w:lvlJc w:val="left"/>
      <w:pPr>
        <w:ind w:left="5100" w:hanging="360"/>
      </w:pPr>
      <w:rPr>
        <w:rFonts w:ascii="Symbol" w:hAnsi="Symbol" w:hint="default"/>
      </w:rPr>
    </w:lvl>
    <w:lvl w:ilvl="7" w:tplc="040A0003" w:tentative="1">
      <w:start w:val="1"/>
      <w:numFmt w:val="bullet"/>
      <w:lvlText w:val="o"/>
      <w:lvlJc w:val="left"/>
      <w:pPr>
        <w:ind w:left="5820" w:hanging="360"/>
      </w:pPr>
      <w:rPr>
        <w:rFonts w:ascii="Courier New" w:hAnsi="Courier New" w:cs="Courier New" w:hint="default"/>
      </w:rPr>
    </w:lvl>
    <w:lvl w:ilvl="8" w:tplc="040A0005" w:tentative="1">
      <w:start w:val="1"/>
      <w:numFmt w:val="bullet"/>
      <w:lvlText w:val=""/>
      <w:lvlJc w:val="left"/>
      <w:pPr>
        <w:ind w:left="6540" w:hanging="360"/>
      </w:pPr>
      <w:rPr>
        <w:rFonts w:ascii="Wingdings" w:hAnsi="Wingdings" w:hint="default"/>
      </w:rPr>
    </w:lvl>
  </w:abstractNum>
  <w:abstractNum w:abstractNumId="13">
    <w:nsid w:val="28EA4FBB"/>
    <w:multiLevelType w:val="hybridMultilevel"/>
    <w:tmpl w:val="0B78479C"/>
    <w:lvl w:ilvl="0" w:tplc="04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4B1B7C"/>
    <w:multiLevelType w:val="hybridMultilevel"/>
    <w:tmpl w:val="2D044A3A"/>
    <w:lvl w:ilvl="0" w:tplc="040A0001">
      <w:start w:val="1"/>
      <w:numFmt w:val="bullet"/>
      <w:lvlText w:val=""/>
      <w:lvlJc w:val="left"/>
      <w:pPr>
        <w:ind w:left="3600" w:hanging="360"/>
      </w:pPr>
      <w:rPr>
        <w:rFonts w:ascii="Symbol" w:hAnsi="Symbol" w:hint="default"/>
      </w:rPr>
    </w:lvl>
    <w:lvl w:ilvl="1" w:tplc="040A0003" w:tentative="1">
      <w:start w:val="1"/>
      <w:numFmt w:val="bullet"/>
      <w:lvlText w:val="o"/>
      <w:lvlJc w:val="left"/>
      <w:pPr>
        <w:ind w:left="4320" w:hanging="360"/>
      </w:pPr>
      <w:rPr>
        <w:rFonts w:ascii="Courier New" w:hAnsi="Courier New" w:cs="Courier New" w:hint="default"/>
      </w:rPr>
    </w:lvl>
    <w:lvl w:ilvl="2" w:tplc="040A0005" w:tentative="1">
      <w:start w:val="1"/>
      <w:numFmt w:val="bullet"/>
      <w:lvlText w:val=""/>
      <w:lvlJc w:val="left"/>
      <w:pPr>
        <w:ind w:left="5040" w:hanging="360"/>
      </w:pPr>
      <w:rPr>
        <w:rFonts w:ascii="Wingdings" w:hAnsi="Wingdings" w:hint="default"/>
      </w:rPr>
    </w:lvl>
    <w:lvl w:ilvl="3" w:tplc="040A0001" w:tentative="1">
      <w:start w:val="1"/>
      <w:numFmt w:val="bullet"/>
      <w:lvlText w:val=""/>
      <w:lvlJc w:val="left"/>
      <w:pPr>
        <w:ind w:left="5760" w:hanging="360"/>
      </w:pPr>
      <w:rPr>
        <w:rFonts w:ascii="Symbol" w:hAnsi="Symbol" w:hint="default"/>
      </w:rPr>
    </w:lvl>
    <w:lvl w:ilvl="4" w:tplc="040A0003" w:tentative="1">
      <w:start w:val="1"/>
      <w:numFmt w:val="bullet"/>
      <w:lvlText w:val="o"/>
      <w:lvlJc w:val="left"/>
      <w:pPr>
        <w:ind w:left="6480" w:hanging="360"/>
      </w:pPr>
      <w:rPr>
        <w:rFonts w:ascii="Courier New" w:hAnsi="Courier New" w:cs="Courier New" w:hint="default"/>
      </w:rPr>
    </w:lvl>
    <w:lvl w:ilvl="5" w:tplc="040A0005" w:tentative="1">
      <w:start w:val="1"/>
      <w:numFmt w:val="bullet"/>
      <w:lvlText w:val=""/>
      <w:lvlJc w:val="left"/>
      <w:pPr>
        <w:ind w:left="7200" w:hanging="360"/>
      </w:pPr>
      <w:rPr>
        <w:rFonts w:ascii="Wingdings" w:hAnsi="Wingdings" w:hint="default"/>
      </w:rPr>
    </w:lvl>
    <w:lvl w:ilvl="6" w:tplc="040A0001" w:tentative="1">
      <w:start w:val="1"/>
      <w:numFmt w:val="bullet"/>
      <w:lvlText w:val=""/>
      <w:lvlJc w:val="left"/>
      <w:pPr>
        <w:ind w:left="7920" w:hanging="360"/>
      </w:pPr>
      <w:rPr>
        <w:rFonts w:ascii="Symbol" w:hAnsi="Symbol" w:hint="default"/>
      </w:rPr>
    </w:lvl>
    <w:lvl w:ilvl="7" w:tplc="040A0003" w:tentative="1">
      <w:start w:val="1"/>
      <w:numFmt w:val="bullet"/>
      <w:lvlText w:val="o"/>
      <w:lvlJc w:val="left"/>
      <w:pPr>
        <w:ind w:left="8640" w:hanging="360"/>
      </w:pPr>
      <w:rPr>
        <w:rFonts w:ascii="Courier New" w:hAnsi="Courier New" w:cs="Courier New" w:hint="default"/>
      </w:rPr>
    </w:lvl>
    <w:lvl w:ilvl="8" w:tplc="040A0005" w:tentative="1">
      <w:start w:val="1"/>
      <w:numFmt w:val="bullet"/>
      <w:lvlText w:val=""/>
      <w:lvlJc w:val="left"/>
      <w:pPr>
        <w:ind w:left="9360" w:hanging="360"/>
      </w:pPr>
      <w:rPr>
        <w:rFonts w:ascii="Wingdings" w:hAnsi="Wingdings" w:hint="default"/>
      </w:rPr>
    </w:lvl>
  </w:abstractNum>
  <w:abstractNum w:abstractNumId="15">
    <w:nsid w:val="2D7E098A"/>
    <w:multiLevelType w:val="hybridMultilevel"/>
    <w:tmpl w:val="4EAA560C"/>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6">
    <w:nsid w:val="30D170E2"/>
    <w:multiLevelType w:val="hybridMultilevel"/>
    <w:tmpl w:val="A5203BCE"/>
    <w:lvl w:ilvl="0" w:tplc="08090017">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7">
    <w:nsid w:val="31141634"/>
    <w:multiLevelType w:val="hybridMultilevel"/>
    <w:tmpl w:val="0FFC75C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31247B25"/>
    <w:multiLevelType w:val="hybridMultilevel"/>
    <w:tmpl w:val="3F121CB6"/>
    <w:lvl w:ilvl="0" w:tplc="9C249D90">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9">
    <w:nsid w:val="32151CBF"/>
    <w:multiLevelType w:val="hybridMultilevel"/>
    <w:tmpl w:val="DF86D2FA"/>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0">
    <w:nsid w:val="34293F3F"/>
    <w:multiLevelType w:val="singleLevel"/>
    <w:tmpl w:val="B074E4EC"/>
    <w:lvl w:ilvl="0">
      <w:numFmt w:val="decimal"/>
      <w:pStyle w:val="ListDash"/>
      <w:lvlText w:val=""/>
      <w:lvlJc w:val="left"/>
    </w:lvl>
  </w:abstractNum>
  <w:abstractNum w:abstractNumId="21">
    <w:nsid w:val="3D2C01B0"/>
    <w:multiLevelType w:val="hybridMultilevel"/>
    <w:tmpl w:val="B62C3C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nsid w:val="44F53D50"/>
    <w:multiLevelType w:val="hybridMultilevel"/>
    <w:tmpl w:val="C2F0174A"/>
    <w:lvl w:ilvl="0" w:tplc="040A0001">
      <w:start w:val="1"/>
      <w:numFmt w:val="bullet"/>
      <w:lvlText w:val=""/>
      <w:lvlJc w:val="left"/>
      <w:pPr>
        <w:ind w:left="720" w:hanging="360"/>
      </w:pPr>
      <w:rPr>
        <w:rFonts w:ascii="Symbol" w:hAnsi="Symbol" w:hint="default"/>
      </w:rPr>
    </w:lvl>
    <w:lvl w:ilvl="1" w:tplc="BA26B3D6">
      <w:numFmt w:val="bullet"/>
      <w:lvlText w:val="-"/>
      <w:lvlJc w:val="left"/>
      <w:pPr>
        <w:ind w:left="1440" w:hanging="36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4B6C310D"/>
    <w:multiLevelType w:val="hybridMultilevel"/>
    <w:tmpl w:val="E662DDB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nsid w:val="4C7E3131"/>
    <w:multiLevelType w:val="hybridMultilevel"/>
    <w:tmpl w:val="8500B4D8"/>
    <w:lvl w:ilvl="0" w:tplc="040A0001">
      <w:start w:val="1"/>
      <w:numFmt w:val="bullet"/>
      <w:lvlText w:val=""/>
      <w:lvlJc w:val="left"/>
      <w:rPr>
        <w:rFonts w:ascii="Symbol" w:hAnsi="Symbol" w:hint="default"/>
      </w:rPr>
    </w:lvl>
    <w:lvl w:ilvl="1" w:tplc="040A0001">
      <w:start w:val="1"/>
      <w:numFmt w:val="bullet"/>
      <w:lvlText w:val=""/>
      <w:lvlJc w:val="left"/>
      <w:rPr>
        <w:rFonts w:ascii="Symbol" w:hAnsi="Symbol" w:hint="default"/>
      </w:rPr>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5">
    <w:nsid w:val="50602B7F"/>
    <w:multiLevelType w:val="hybridMultilevel"/>
    <w:tmpl w:val="CE40F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2F95557"/>
    <w:multiLevelType w:val="multilevel"/>
    <w:tmpl w:val="7190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0227B0"/>
    <w:multiLevelType w:val="hybridMultilevel"/>
    <w:tmpl w:val="E74CCEC4"/>
    <w:lvl w:ilvl="0" w:tplc="4574C59E">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8">
    <w:nsid w:val="55AC74C0"/>
    <w:multiLevelType w:val="hybridMultilevel"/>
    <w:tmpl w:val="10CE2A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nsid w:val="564F4A77"/>
    <w:multiLevelType w:val="hybridMultilevel"/>
    <w:tmpl w:val="02D4F15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nsid w:val="5C3810DA"/>
    <w:multiLevelType w:val="hybridMultilevel"/>
    <w:tmpl w:val="3D4A8D4C"/>
    <w:lvl w:ilvl="0" w:tplc="040A0001">
      <w:start w:val="1"/>
      <w:numFmt w:val="bullet"/>
      <w:lvlText w:val=""/>
      <w:lvlJc w:val="left"/>
      <w:pPr>
        <w:ind w:left="862" w:hanging="360"/>
      </w:pPr>
      <w:rPr>
        <w:rFonts w:ascii="Symbol" w:hAnsi="Symbol" w:hint="default"/>
      </w:rPr>
    </w:lvl>
    <w:lvl w:ilvl="1" w:tplc="040A0003" w:tentative="1">
      <w:start w:val="1"/>
      <w:numFmt w:val="bullet"/>
      <w:lvlText w:val="o"/>
      <w:lvlJc w:val="left"/>
      <w:pPr>
        <w:ind w:left="1582" w:hanging="360"/>
      </w:pPr>
      <w:rPr>
        <w:rFonts w:ascii="Courier New" w:hAnsi="Courier New" w:cs="Courier New" w:hint="default"/>
      </w:rPr>
    </w:lvl>
    <w:lvl w:ilvl="2" w:tplc="040A0005" w:tentative="1">
      <w:start w:val="1"/>
      <w:numFmt w:val="bullet"/>
      <w:lvlText w:val=""/>
      <w:lvlJc w:val="left"/>
      <w:pPr>
        <w:ind w:left="2302" w:hanging="360"/>
      </w:pPr>
      <w:rPr>
        <w:rFonts w:ascii="Wingdings" w:hAnsi="Wingdings" w:hint="default"/>
      </w:rPr>
    </w:lvl>
    <w:lvl w:ilvl="3" w:tplc="040A0001" w:tentative="1">
      <w:start w:val="1"/>
      <w:numFmt w:val="bullet"/>
      <w:lvlText w:val=""/>
      <w:lvlJc w:val="left"/>
      <w:pPr>
        <w:ind w:left="3022" w:hanging="360"/>
      </w:pPr>
      <w:rPr>
        <w:rFonts w:ascii="Symbol" w:hAnsi="Symbol" w:hint="default"/>
      </w:rPr>
    </w:lvl>
    <w:lvl w:ilvl="4" w:tplc="040A0003" w:tentative="1">
      <w:start w:val="1"/>
      <w:numFmt w:val="bullet"/>
      <w:lvlText w:val="o"/>
      <w:lvlJc w:val="left"/>
      <w:pPr>
        <w:ind w:left="3742" w:hanging="360"/>
      </w:pPr>
      <w:rPr>
        <w:rFonts w:ascii="Courier New" w:hAnsi="Courier New" w:cs="Courier New" w:hint="default"/>
      </w:rPr>
    </w:lvl>
    <w:lvl w:ilvl="5" w:tplc="040A0005" w:tentative="1">
      <w:start w:val="1"/>
      <w:numFmt w:val="bullet"/>
      <w:lvlText w:val=""/>
      <w:lvlJc w:val="left"/>
      <w:pPr>
        <w:ind w:left="4462" w:hanging="360"/>
      </w:pPr>
      <w:rPr>
        <w:rFonts w:ascii="Wingdings" w:hAnsi="Wingdings" w:hint="default"/>
      </w:rPr>
    </w:lvl>
    <w:lvl w:ilvl="6" w:tplc="040A0001" w:tentative="1">
      <w:start w:val="1"/>
      <w:numFmt w:val="bullet"/>
      <w:lvlText w:val=""/>
      <w:lvlJc w:val="left"/>
      <w:pPr>
        <w:ind w:left="5182" w:hanging="360"/>
      </w:pPr>
      <w:rPr>
        <w:rFonts w:ascii="Symbol" w:hAnsi="Symbol" w:hint="default"/>
      </w:rPr>
    </w:lvl>
    <w:lvl w:ilvl="7" w:tplc="040A0003" w:tentative="1">
      <w:start w:val="1"/>
      <w:numFmt w:val="bullet"/>
      <w:lvlText w:val="o"/>
      <w:lvlJc w:val="left"/>
      <w:pPr>
        <w:ind w:left="5902" w:hanging="360"/>
      </w:pPr>
      <w:rPr>
        <w:rFonts w:ascii="Courier New" w:hAnsi="Courier New" w:cs="Courier New" w:hint="default"/>
      </w:rPr>
    </w:lvl>
    <w:lvl w:ilvl="8" w:tplc="040A0005" w:tentative="1">
      <w:start w:val="1"/>
      <w:numFmt w:val="bullet"/>
      <w:lvlText w:val=""/>
      <w:lvlJc w:val="left"/>
      <w:pPr>
        <w:ind w:left="6622" w:hanging="360"/>
      </w:pPr>
      <w:rPr>
        <w:rFonts w:ascii="Wingdings" w:hAnsi="Wingdings" w:hint="default"/>
      </w:rPr>
    </w:lvl>
  </w:abstractNum>
  <w:abstractNum w:abstractNumId="31">
    <w:nsid w:val="5FEF30CE"/>
    <w:multiLevelType w:val="hybridMultilevel"/>
    <w:tmpl w:val="C38EBFA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nsid w:val="67D10605"/>
    <w:multiLevelType w:val="hybridMultilevel"/>
    <w:tmpl w:val="108AF9B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nsid w:val="69CB528A"/>
    <w:multiLevelType w:val="hybridMultilevel"/>
    <w:tmpl w:val="4A10C9B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nsid w:val="6AC26060"/>
    <w:multiLevelType w:val="hybridMultilevel"/>
    <w:tmpl w:val="2FC8977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nsid w:val="79C00982"/>
    <w:multiLevelType w:val="hybridMultilevel"/>
    <w:tmpl w:val="E898D42C"/>
    <w:lvl w:ilvl="0" w:tplc="040A0001">
      <w:start w:val="1"/>
      <w:numFmt w:val="bullet"/>
      <w:lvlText w:val=""/>
      <w:lvlJc w:val="left"/>
      <w:rPr>
        <w:rFonts w:ascii="Symbol" w:hAnsi="Symbol" w:hint="default"/>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36">
    <w:nsid w:val="7C4E0094"/>
    <w:multiLevelType w:val="hybridMultilevel"/>
    <w:tmpl w:val="F3DE2C04"/>
    <w:lvl w:ilvl="0" w:tplc="08BEB838">
      <w:numFmt w:val="bullet"/>
      <w:lvlText w:val="•"/>
      <w:lvlJc w:val="left"/>
      <w:pPr>
        <w:ind w:left="1080" w:hanging="72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nsid w:val="7C7F7015"/>
    <w:multiLevelType w:val="hybridMultilevel"/>
    <w:tmpl w:val="76F03EB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nsid w:val="7E7D61C2"/>
    <w:multiLevelType w:val="hybridMultilevel"/>
    <w:tmpl w:val="2FF2B626"/>
    <w:lvl w:ilvl="0" w:tplc="FB8231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9"/>
  </w:num>
  <w:num w:numId="4">
    <w:abstractNumId w:val="24"/>
  </w:num>
  <w:num w:numId="5">
    <w:abstractNumId w:val="11"/>
  </w:num>
  <w:num w:numId="6">
    <w:abstractNumId w:val="5"/>
  </w:num>
  <w:num w:numId="7">
    <w:abstractNumId w:val="16"/>
  </w:num>
  <w:num w:numId="8">
    <w:abstractNumId w:val="18"/>
  </w:num>
  <w:num w:numId="9">
    <w:abstractNumId w:val="1"/>
  </w:num>
  <w:num w:numId="10">
    <w:abstractNumId w:val="38"/>
  </w:num>
  <w:num w:numId="11">
    <w:abstractNumId w:val="10"/>
  </w:num>
  <w:num w:numId="12">
    <w:abstractNumId w:val="8"/>
  </w:num>
  <w:num w:numId="13">
    <w:abstractNumId w:val="36"/>
  </w:num>
  <w:num w:numId="14">
    <w:abstractNumId w:val="13"/>
  </w:num>
  <w:num w:numId="15">
    <w:abstractNumId w:val="30"/>
  </w:num>
  <w:num w:numId="16">
    <w:abstractNumId w:val="35"/>
  </w:num>
  <w:num w:numId="17">
    <w:abstractNumId w:val="12"/>
  </w:num>
  <w:num w:numId="18">
    <w:abstractNumId w:val="28"/>
  </w:num>
  <w:num w:numId="19">
    <w:abstractNumId w:val="27"/>
  </w:num>
  <w:num w:numId="20">
    <w:abstractNumId w:val="32"/>
  </w:num>
  <w:num w:numId="21">
    <w:abstractNumId w:val="33"/>
  </w:num>
  <w:num w:numId="22">
    <w:abstractNumId w:val="15"/>
  </w:num>
  <w:num w:numId="23">
    <w:abstractNumId w:val="31"/>
  </w:num>
  <w:num w:numId="24">
    <w:abstractNumId w:val="21"/>
  </w:num>
  <w:num w:numId="25">
    <w:abstractNumId w:val="26"/>
  </w:num>
  <w:num w:numId="26">
    <w:abstractNumId w:val="4"/>
  </w:num>
  <w:num w:numId="27">
    <w:abstractNumId w:val="19"/>
  </w:num>
  <w:num w:numId="28">
    <w:abstractNumId w:val="6"/>
  </w:num>
  <w:num w:numId="29">
    <w:abstractNumId w:val="23"/>
  </w:num>
  <w:num w:numId="30">
    <w:abstractNumId w:val="22"/>
  </w:num>
  <w:num w:numId="31">
    <w:abstractNumId w:val="7"/>
  </w:num>
  <w:num w:numId="32">
    <w:abstractNumId w:val="14"/>
  </w:num>
  <w:num w:numId="33">
    <w:abstractNumId w:val="2"/>
  </w:num>
  <w:num w:numId="34">
    <w:abstractNumId w:val="25"/>
  </w:num>
  <w:num w:numId="35">
    <w:abstractNumId w:val="6"/>
  </w:num>
  <w:num w:numId="36">
    <w:abstractNumId w:val="29"/>
  </w:num>
  <w:num w:numId="37">
    <w:abstractNumId w:val="6"/>
  </w:num>
  <w:num w:numId="38">
    <w:abstractNumId w:val="0"/>
  </w:num>
  <w:num w:numId="39">
    <w:abstractNumId w:val="6"/>
  </w:num>
  <w:num w:numId="40">
    <w:abstractNumId w:val="17"/>
  </w:num>
  <w:num w:numId="41">
    <w:abstractNumId w:val="3"/>
  </w:num>
  <w:num w:numId="42">
    <w:abstractNumId w:val="37"/>
  </w:num>
  <w:num w:numId="43">
    <w:abstractNumId w:val="34"/>
  </w:num>
  <w:num w:numId="44">
    <w:abstractNumId w:val="20"/>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2F2173BB3174B6DB8D5FBF6D56251F4"/>
    <w:docVar w:name="LW_CROSSREFERENCE" w:val="{SWD(2016) 274 final}_x000b_{SWD(2016) 277 final}"/>
    <w:docVar w:name="LW_DocType" w:val="NORMAL"/>
    <w:docVar w:name="LW_EMISSION" w:val="24.8.2016"/>
    <w:docVar w:name="LW_EMISSION_ISODATE" w:val="2016-08-24"/>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526"/>
    <w:docVar w:name="LW_REF.INTERNE" w:val="&lt;UNUSED&gt;"/>
    <w:docVar w:name="LW_SOUS.TITRE.OBJ" w:val="Monitoring Report 2014"/>
    <w:docVar w:name="LW_SOUS.TITRE.OBJ.CP" w:val="Monitoring Report 2014"/>
    <w:docVar w:name="LW_SUPERTITRE" w:val="&lt;UNUSED&gt;"/>
    <w:docVar w:name="LW_TITRE.OBJ.CP" w:val="COSME _x000b_Programme for the Competitiveness of Enterprises and SMEs 2014-2020_x000b_"/>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0" w:qFormat="1"/>
    <w:lsdException w:name="footnote reference" w:qFormat="1"/>
    <w:lsdException w:name="page number"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pPr>
      <w:keepNext/>
      <w:pBdr>
        <w:bottom w:val="single" w:sz="4" w:space="1" w:color="auto"/>
      </w:pBdr>
      <w:spacing w:before="120" w:after="240"/>
      <w:jc w:val="both"/>
      <w:outlineLvl w:val="0"/>
    </w:pPr>
    <w:rPr>
      <w:b/>
      <w:bCs/>
      <w:i/>
      <w:smallCaps/>
      <w:sz w:val="56"/>
      <w:szCs w:val="56"/>
      <w:lang w:eastAsia="fr-FR"/>
    </w:rPr>
  </w:style>
  <w:style w:type="paragraph" w:styleId="Heading2">
    <w:name w:val="heading 2"/>
    <w:basedOn w:val="Normal"/>
    <w:next w:val="Normal"/>
    <w:link w:val="Heading2Char"/>
    <w:qFormat/>
    <w:pPr>
      <w:keepNext/>
      <w:numPr>
        <w:ilvl w:val="1"/>
        <w:numId w:val="1"/>
      </w:numPr>
      <w:spacing w:before="360" w:after="240"/>
      <w:outlineLvl w:val="1"/>
    </w:pPr>
    <w:rPr>
      <w:b/>
      <w:caps/>
      <w:lang w:val="fr-FR" w:eastAsia="fr-FR"/>
    </w:rPr>
  </w:style>
  <w:style w:type="paragraph" w:styleId="Heading3">
    <w:name w:val="heading 3"/>
    <w:basedOn w:val="Normal"/>
    <w:next w:val="Normal"/>
    <w:link w:val="Heading3Char"/>
    <w:qFormat/>
    <w:pPr>
      <w:keepNext/>
      <w:numPr>
        <w:ilvl w:val="2"/>
        <w:numId w:val="1"/>
      </w:numPr>
      <w:outlineLvl w:val="2"/>
    </w:pPr>
    <w:rPr>
      <w:i/>
      <w:sz w:val="22"/>
      <w:lang w:val="fr-FR" w:eastAsia="fr-FR"/>
    </w:rPr>
  </w:style>
  <w:style w:type="paragraph" w:styleId="Heading4">
    <w:name w:val="heading 4"/>
    <w:basedOn w:val="Normal"/>
    <w:next w:val="Normal"/>
    <w:link w:val="Heading4Char"/>
    <w:qFormat/>
    <w:pPr>
      <w:keepNext/>
      <w:numPr>
        <w:ilvl w:val="3"/>
        <w:numId w:val="1"/>
      </w:numPr>
      <w:outlineLvl w:val="3"/>
    </w:pPr>
    <w:rPr>
      <w:sz w:val="22"/>
      <w:lang w:val="fr-FR"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i/>
      <w:smallCaps/>
      <w:sz w:val="56"/>
      <w:szCs w:val="56"/>
      <w:lang w:eastAsia="fr-FR"/>
    </w:rPr>
  </w:style>
  <w:style w:type="character" w:customStyle="1" w:styleId="Heading2Char">
    <w:name w:val="Heading 2 Char"/>
    <w:basedOn w:val="DefaultParagraphFont"/>
    <w:link w:val="Heading2"/>
    <w:rPr>
      <w:rFonts w:ascii="Times New Roman" w:eastAsia="Times New Roman" w:hAnsi="Times New Roman" w:cs="Times New Roman"/>
      <w:b/>
      <w:caps/>
      <w:sz w:val="24"/>
      <w:szCs w:val="24"/>
      <w:lang w:val="fr-FR" w:eastAsia="fr-FR"/>
    </w:rPr>
  </w:style>
  <w:style w:type="character" w:customStyle="1" w:styleId="Heading3Char">
    <w:name w:val="Heading 3 Char"/>
    <w:basedOn w:val="DefaultParagraphFont"/>
    <w:link w:val="Heading3"/>
    <w:rPr>
      <w:rFonts w:ascii="Times New Roman" w:eastAsia="Times New Roman" w:hAnsi="Times New Roman" w:cs="Times New Roman"/>
      <w:i/>
      <w:szCs w:val="24"/>
      <w:lang w:val="fr-FR" w:eastAsia="fr-FR"/>
    </w:rPr>
  </w:style>
  <w:style w:type="character" w:customStyle="1" w:styleId="Heading4Char">
    <w:name w:val="Heading 4 Char"/>
    <w:basedOn w:val="DefaultParagraphFont"/>
    <w:link w:val="Heading4"/>
    <w:rPr>
      <w:rFonts w:ascii="Times New Roman" w:eastAsia="Times New Roman" w:hAnsi="Times New Roman" w:cs="Times New Roman"/>
      <w:szCs w:val="24"/>
      <w:lang w:val="fr-FR" w:eastAsia="fr-FR"/>
    </w:rPr>
  </w:style>
  <w:style w:type="table" w:customStyle="1" w:styleId="TableStyle1">
    <w:name w:val="Table Style1"/>
    <w:basedOn w:val="TableNormal"/>
    <w:pPr>
      <w:spacing w:after="0" w:line="240" w:lineRule="auto"/>
    </w:pPr>
    <w:rPr>
      <w:rFonts w:ascii="Times New Roman" w:eastAsia="Times New Roman" w:hAnsi="Times New Roman" w:cs="Times New Roman"/>
      <w:sz w:val="20"/>
      <w:szCs w:val="20"/>
      <w:lang w:eastAsia="en-GB"/>
    </w:rPr>
    <w:tblPr>
      <w:tblInd w:w="0" w:type="dxa"/>
      <w:tblCellMar>
        <w:top w:w="0" w:type="dxa"/>
        <w:left w:w="108" w:type="dxa"/>
        <w:bottom w:w="0" w:type="dxa"/>
        <w:right w:w="108" w:type="dxa"/>
      </w:tblCellMar>
    </w:tblPr>
  </w:style>
  <w:style w:type="character" w:styleId="Hyperlink">
    <w:name w:val="Hyperlink"/>
    <w:uiPriority w:val="99"/>
    <w:rPr>
      <w:color w:val="0000FF"/>
      <w:u w:val="single"/>
    </w:rPr>
  </w:style>
  <w:style w:type="paragraph" w:styleId="FootnoteText">
    <w:name w:val="footnote text"/>
    <w:aliases w:val="fn,Footnote Text Char1 Char,Footnote Text Char Char Char,Footnote Text Char1 Char Char Char,Footnote Text Char Char Char Char Char,Footnote Text Char1 Char1 Char,Footnote Text Char Char Char1 Char,EMPL6,Footnote Text Char1,Schriftart: 9 pt"/>
    <w:basedOn w:val="Normal"/>
    <w:link w:val="FootnoteTextChar"/>
    <w:uiPriority w:val="99"/>
    <w:qFormat/>
    <w:rPr>
      <w:sz w:val="20"/>
      <w:szCs w:val="20"/>
    </w:rPr>
  </w:style>
  <w:style w:type="character" w:customStyle="1" w:styleId="FootnoteTextChar">
    <w:name w:val="Footnote Text Char"/>
    <w:aliases w:val="fn Char,Footnote Text Char1 Char Char,Footnote Text Char Char Char Char,Footnote Text Char1 Char Char Char Char,Footnote Text Char Char Char Char Char Char,Footnote Text Char1 Char1 Char Char,Footnote Text Char Char Char1 Char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aliases w:val="Footnote,Footnote symbol,Footnotes refss,Footnote Reference Number,BVI fnr,BVI fnr Car Car,BVI fnr Car,BVI fnr Car Car Car Car Char,BVI fnr Car Car Car Car Char Char Char Char Char,Char1 Char Char Char Char, Char1 Char Char Char Char"/>
    <w:link w:val="BVIfnrCarCarCarCarCharCharCharChar"/>
    <w:uiPriority w:val="99"/>
    <w:qFormat/>
    <w:rPr>
      <w:vertAlign w:val="superscript"/>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eastAsia="fr-FR"/>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lang w:val="fr-FR" w:eastAsia="fr-FR"/>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
    <w:name w:val="Text 1"/>
    <w:basedOn w:val="Normal"/>
    <w:link w:val="Text1Char"/>
    <w:pPr>
      <w:spacing w:after="240"/>
      <w:ind w:left="482"/>
      <w:jc w:val="both"/>
    </w:pPr>
    <w:rPr>
      <w:szCs w:val="20"/>
      <w:lang w:eastAsia="en-US"/>
    </w:rPr>
  </w:style>
  <w:style w:type="character" w:customStyle="1" w:styleId="Text1Char">
    <w:name w:val="Text 1 Char"/>
    <w:link w:val="Text1"/>
    <w:rPr>
      <w:rFonts w:ascii="Times New Roman" w:eastAsia="Times New Roman" w:hAnsi="Times New Roman" w:cs="Times New Roman"/>
      <w:sz w:val="24"/>
      <w:szCs w:val="20"/>
    </w:rPr>
  </w:style>
  <w:style w:type="paragraph" w:styleId="ListNumber">
    <w:name w:val="List Number"/>
    <w:basedOn w:val="Normal"/>
    <w:pPr>
      <w:numPr>
        <w:numId w:val="3"/>
      </w:numPr>
    </w:pPr>
    <w:rPr>
      <w:sz w:val="22"/>
      <w:lang w:val="fr-FR" w:eastAsia="fr-FR"/>
    </w:rPr>
  </w:style>
  <w:style w:type="paragraph" w:customStyle="1" w:styleId="ListDash">
    <w:name w:val="List Dash"/>
    <w:basedOn w:val="Normal"/>
    <w:link w:val="ListDashChar"/>
    <w:pPr>
      <w:numPr>
        <w:numId w:val="2"/>
      </w:numPr>
    </w:pPr>
    <w:rPr>
      <w:sz w:val="22"/>
      <w:lang w:val="fr-FR" w:eastAsia="fr-FR"/>
    </w:rPr>
  </w:style>
  <w:style w:type="character" w:customStyle="1" w:styleId="ListDashChar">
    <w:name w:val="List Dash Char"/>
    <w:link w:val="ListDash"/>
    <w:rPr>
      <w:rFonts w:ascii="Times New Roman" w:eastAsia="Times New Roman" w:hAnsi="Times New Roman" w:cs="Times New Roman"/>
      <w:szCs w:val="24"/>
      <w:lang w:val="fr-FR" w:eastAsia="fr-FR"/>
    </w:rPr>
  </w:style>
  <w:style w:type="paragraph" w:styleId="Footer">
    <w:name w:val="footer"/>
    <w:basedOn w:val="Normal"/>
    <w:link w:val="FooterChar"/>
    <w:pPr>
      <w:tabs>
        <w:tab w:val="center" w:pos="4536"/>
        <w:tab w:val="right" w:pos="9072"/>
      </w:tabs>
    </w:pPr>
  </w:style>
  <w:style w:type="character" w:customStyle="1" w:styleId="FooterChar">
    <w:name w:val="Footer Char"/>
    <w:basedOn w:val="DefaultParagraphFont"/>
    <w:link w:val="Footer"/>
    <w:rPr>
      <w:rFonts w:ascii="Times New Roman" w:eastAsia="Times New Roman" w:hAnsi="Times New Roman" w:cs="Times New Roman"/>
      <w:sz w:val="24"/>
      <w:szCs w:val="24"/>
      <w:lang w:eastAsia="en-GB"/>
    </w:rPr>
  </w:style>
  <w:style w:type="character" w:styleId="PageNumber">
    <w:name w:val="page number"/>
    <w:basedOn w:val="DefaultParagraphFont"/>
  </w:style>
  <w:style w:type="paragraph" w:customStyle="1" w:styleId="NormalJustified">
    <w:name w:val="Normal + Justified"/>
    <w:basedOn w:val="Normal"/>
    <w:link w:val="NormalJustifiedChar"/>
    <w:pPr>
      <w:autoSpaceDE w:val="0"/>
      <w:autoSpaceDN w:val="0"/>
      <w:adjustRightInd w:val="0"/>
      <w:jc w:val="both"/>
    </w:pPr>
  </w:style>
  <w:style w:type="character" w:customStyle="1" w:styleId="NormalJustifiedChar">
    <w:name w:val="Normal + Justified Char"/>
    <w:link w:val="NormalJustified"/>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qFormat/>
    <w:pPr>
      <w:tabs>
        <w:tab w:val="left" w:pos="660"/>
        <w:tab w:val="right" w:leader="dot" w:pos="9062"/>
      </w:tabs>
      <w:spacing w:line="360" w:lineRule="auto"/>
      <w:jc w:val="both"/>
    </w:pPr>
    <w:rPr>
      <w:b/>
      <w:bCs/>
      <w:noProof/>
    </w:rPr>
  </w:style>
  <w:style w:type="paragraph" w:styleId="TOC2">
    <w:name w:val="toc 2"/>
    <w:basedOn w:val="Normal"/>
    <w:next w:val="Normal"/>
    <w:autoRedefine/>
    <w:uiPriority w:val="39"/>
    <w:qFormat/>
    <w:pPr>
      <w:tabs>
        <w:tab w:val="right" w:leader="dot" w:pos="9062"/>
      </w:tabs>
      <w:spacing w:line="360" w:lineRule="auto"/>
      <w:jc w:val="both"/>
    </w:pPr>
    <w:rPr>
      <w:b/>
      <w:bCs/>
      <w:noProof/>
      <w:lang w:val="sv-SE" w:eastAsia="fr-FR"/>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n-GB"/>
    </w:rPr>
  </w:style>
  <w:style w:type="character" w:styleId="FollowedHyperlink">
    <w:name w:val="FollowedHyperlink"/>
    <w:rPr>
      <w:color w:val="606420"/>
      <w:u w:val="single"/>
    </w:rPr>
  </w:style>
  <w:style w:type="paragraph" w:styleId="Header">
    <w:name w:val="header"/>
    <w:basedOn w:val="Normal"/>
    <w:link w:val="HeaderChar"/>
    <w:pPr>
      <w:tabs>
        <w:tab w:val="center" w:pos="4536"/>
        <w:tab w:val="right" w:pos="9072"/>
      </w:tabs>
    </w:pPr>
    <w:rPr>
      <w:lang w:val="x-none" w:eastAsia="x-none"/>
    </w:rPr>
  </w:style>
  <w:style w:type="character" w:customStyle="1" w:styleId="HeaderChar">
    <w:name w:val="Header Char"/>
    <w:basedOn w:val="DefaultParagraphFont"/>
    <w:link w:val="Header"/>
    <w:rPr>
      <w:rFonts w:ascii="Times New Roman" w:eastAsia="Times New Roman" w:hAnsi="Times New Roman" w:cs="Times New Roman"/>
      <w:sz w:val="24"/>
      <w:szCs w:val="24"/>
      <w:lang w:val="x-none" w:eastAsia="x-none"/>
    </w:rPr>
  </w:style>
  <w:style w:type="character" w:styleId="Strong">
    <w:name w:val="Strong"/>
    <w:uiPriority w:val="22"/>
    <w:qFormat/>
    <w:rPr>
      <w:rFonts w:cs="Times New Roman"/>
      <w:b/>
    </w:rPr>
  </w:style>
  <w:style w:type="paragraph" w:customStyle="1" w:styleId="Body1">
    <w:name w:val="Body 1"/>
    <w:pPr>
      <w:spacing w:after="0" w:line="240" w:lineRule="auto"/>
    </w:pPr>
    <w:rPr>
      <w:rFonts w:ascii="Helvetica" w:eastAsia="Arial Unicode MS" w:hAnsi="Helvetica" w:cs="Times New Roman"/>
      <w:color w:val="000000"/>
      <w:sz w:val="24"/>
      <w:szCs w:val="20"/>
      <w:lang w:eastAsia="en-GB"/>
    </w:rPr>
  </w:style>
  <w:style w:type="paragraph" w:customStyle="1" w:styleId="ColorfulList-Accent11">
    <w:name w:val="Colorful List - Accent 11"/>
    <w:basedOn w:val="Normal"/>
    <w:uiPriority w:val="34"/>
    <w:qFormat/>
    <w:pPr>
      <w:ind w:left="720"/>
    </w:pPr>
    <w:rPr>
      <w:rFonts w:ascii="Calibri" w:eastAsia="Calibri" w:hAnsi="Calibri" w:cs="Calibri"/>
      <w:sz w:val="22"/>
      <w:szCs w:val="22"/>
      <w:lang w:eastAsia="en-US"/>
    </w:rPr>
  </w:style>
  <w:style w:type="character" w:customStyle="1" w:styleId="En-tte5">
    <w:name w:val="En-tête #5_"/>
    <w:link w:val="En-tte51"/>
    <w:uiPriority w:val="99"/>
    <w:rPr>
      <w:b/>
      <w:bCs/>
      <w:sz w:val="21"/>
      <w:szCs w:val="21"/>
      <w:shd w:val="clear" w:color="auto" w:fill="FFFFFF"/>
    </w:rPr>
  </w:style>
  <w:style w:type="paragraph" w:customStyle="1" w:styleId="En-tte51">
    <w:name w:val="En-tête #51"/>
    <w:basedOn w:val="Normal"/>
    <w:link w:val="En-tte5"/>
    <w:uiPriority w:val="99"/>
    <w:pPr>
      <w:widowControl w:val="0"/>
      <w:shd w:val="clear" w:color="auto" w:fill="FFFFFF"/>
      <w:spacing w:before="180" w:after="240" w:line="240" w:lineRule="atLeast"/>
      <w:jc w:val="both"/>
      <w:outlineLvl w:val="4"/>
    </w:pPr>
    <w:rPr>
      <w:rFonts w:asciiTheme="minorHAnsi" w:eastAsiaTheme="minorHAnsi" w:hAnsiTheme="minorHAnsi" w:cstheme="minorBidi"/>
      <w:b/>
      <w:bCs/>
      <w:sz w:val="21"/>
      <w:szCs w:val="21"/>
      <w:lang w:eastAsia="en-US"/>
    </w:rPr>
  </w:style>
  <w:style w:type="character" w:customStyle="1" w:styleId="Corpsdutexte">
    <w:name w:val="Corps du texte_"/>
    <w:link w:val="Corpsdutexte1"/>
    <w:uiPriority w:val="99"/>
    <w:rPr>
      <w:i/>
      <w:iCs/>
      <w:sz w:val="21"/>
      <w:szCs w:val="21"/>
      <w:shd w:val="clear" w:color="auto" w:fill="FFFFFF"/>
    </w:rPr>
  </w:style>
  <w:style w:type="character" w:customStyle="1" w:styleId="En-tte3">
    <w:name w:val="En-tête #3_"/>
    <w:link w:val="En-tte31"/>
    <w:uiPriority w:val="99"/>
    <w:rPr>
      <w:b/>
      <w:bCs/>
      <w:smallCaps/>
      <w:sz w:val="26"/>
      <w:szCs w:val="26"/>
      <w:shd w:val="clear" w:color="auto" w:fill="FFFFFF"/>
    </w:rPr>
  </w:style>
  <w:style w:type="paragraph" w:customStyle="1" w:styleId="Corpsdutexte1">
    <w:name w:val="Corps du texte1"/>
    <w:basedOn w:val="Normal"/>
    <w:link w:val="Corpsdutexte"/>
    <w:uiPriority w:val="99"/>
    <w:pPr>
      <w:widowControl w:val="0"/>
      <w:shd w:val="clear" w:color="auto" w:fill="FFFFFF"/>
      <w:spacing w:line="250" w:lineRule="exact"/>
      <w:ind w:hanging="340"/>
      <w:jc w:val="both"/>
    </w:pPr>
    <w:rPr>
      <w:rFonts w:asciiTheme="minorHAnsi" w:eastAsiaTheme="minorHAnsi" w:hAnsiTheme="minorHAnsi" w:cstheme="minorBidi"/>
      <w:i/>
      <w:iCs/>
      <w:sz w:val="21"/>
      <w:szCs w:val="21"/>
      <w:lang w:eastAsia="en-US"/>
    </w:rPr>
  </w:style>
  <w:style w:type="paragraph" w:customStyle="1" w:styleId="En-tte31">
    <w:name w:val="En-tête #31"/>
    <w:basedOn w:val="Normal"/>
    <w:link w:val="En-tte3"/>
    <w:uiPriority w:val="99"/>
    <w:pPr>
      <w:widowControl w:val="0"/>
      <w:shd w:val="clear" w:color="auto" w:fill="FFFFFF"/>
      <w:spacing w:before="720" w:line="250" w:lineRule="exact"/>
      <w:jc w:val="both"/>
      <w:outlineLvl w:val="2"/>
    </w:pPr>
    <w:rPr>
      <w:rFonts w:asciiTheme="minorHAnsi" w:eastAsiaTheme="minorHAnsi" w:hAnsiTheme="minorHAnsi" w:cstheme="minorBidi"/>
      <w:b/>
      <w:bCs/>
      <w:smallCaps/>
      <w:sz w:val="26"/>
      <w:szCs w:val="26"/>
      <w:lang w:eastAsia="en-US"/>
    </w:rPr>
  </w:style>
  <w:style w:type="paragraph" w:styleId="Caption">
    <w:name w:val="caption"/>
    <w:basedOn w:val="Normal"/>
    <w:next w:val="Normal"/>
    <w:unhideWhenUsed/>
    <w:qFormat/>
    <w:rPr>
      <w:b/>
      <w:bCs/>
      <w:sz w:val="20"/>
      <w:szCs w:val="20"/>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NormalWeb">
    <w:name w:val="Normal (Web)"/>
    <w:basedOn w:val="Normal"/>
    <w:uiPriority w:val="99"/>
    <w:unhideWhenUsed/>
    <w:pPr>
      <w:spacing w:after="360"/>
    </w:pPr>
  </w:style>
  <w:style w:type="character" w:customStyle="1" w:styleId="Corpsdutexte4">
    <w:name w:val="Corps du texte (4)_"/>
    <w:link w:val="Corpsdutexte41"/>
    <w:uiPriority w:val="99"/>
    <w:rPr>
      <w:i/>
      <w:iCs/>
      <w:sz w:val="23"/>
      <w:szCs w:val="23"/>
      <w:shd w:val="clear" w:color="auto" w:fill="FFFFFF"/>
    </w:rPr>
  </w:style>
  <w:style w:type="character" w:customStyle="1" w:styleId="Corpsdutexte4NonItalique">
    <w:name w:val="Corps du texte (4) + Non Italique"/>
    <w:uiPriority w:val="99"/>
    <w:rPr>
      <w:i w:val="0"/>
      <w:iCs w:val="0"/>
      <w:sz w:val="23"/>
      <w:szCs w:val="23"/>
      <w:shd w:val="clear" w:color="auto" w:fill="FFFFFF"/>
    </w:rPr>
  </w:style>
  <w:style w:type="character" w:customStyle="1" w:styleId="Corpsdutexte4NonItalique2">
    <w:name w:val="Corps du texte (4) + Non Italique2"/>
    <w:uiPriority w:val="99"/>
    <w:rPr>
      <w:i w:val="0"/>
      <w:iCs w:val="0"/>
      <w:sz w:val="23"/>
      <w:szCs w:val="23"/>
      <w:shd w:val="clear" w:color="auto" w:fill="FFFFFF"/>
    </w:rPr>
  </w:style>
  <w:style w:type="character" w:customStyle="1" w:styleId="Corpsdutexte40">
    <w:name w:val="Corps du texte (4)"/>
    <w:uiPriority w:val="99"/>
  </w:style>
  <w:style w:type="character" w:customStyle="1" w:styleId="Corpsdutexte6">
    <w:name w:val="Corps du texte6"/>
    <w:uiPriority w:val="99"/>
  </w:style>
  <w:style w:type="character" w:customStyle="1" w:styleId="CorpsdutexteItalique">
    <w:name w:val="Corps du texte + Italique"/>
    <w:uiPriority w:val="99"/>
    <w:rPr>
      <w:i/>
      <w:iCs/>
      <w:sz w:val="23"/>
      <w:szCs w:val="23"/>
      <w:shd w:val="clear" w:color="auto" w:fill="FFFFFF"/>
    </w:rPr>
  </w:style>
  <w:style w:type="paragraph" w:customStyle="1" w:styleId="Corpsdutexte41">
    <w:name w:val="Corps du texte (4)1"/>
    <w:basedOn w:val="Normal"/>
    <w:link w:val="Corpsdutexte4"/>
    <w:uiPriority w:val="99"/>
    <w:pPr>
      <w:widowControl w:val="0"/>
      <w:shd w:val="clear" w:color="auto" w:fill="FFFFFF"/>
      <w:spacing w:before="300" w:after="240" w:line="274" w:lineRule="exact"/>
      <w:jc w:val="both"/>
    </w:pPr>
    <w:rPr>
      <w:rFonts w:asciiTheme="minorHAnsi" w:eastAsiaTheme="minorHAnsi" w:hAnsiTheme="minorHAnsi" w:cstheme="minorBidi"/>
      <w:i/>
      <w:iCs/>
      <w:sz w:val="23"/>
      <w:szCs w:val="23"/>
      <w:lang w:eastAsia="en-US"/>
    </w:rPr>
  </w:style>
  <w:style w:type="paragraph" w:customStyle="1" w:styleId="EIP">
    <w:name w:val="EIP"/>
    <w:basedOn w:val="Normal"/>
    <w:link w:val="EIPChar"/>
    <w:autoRedefine/>
    <w:qFormat/>
    <w:pPr>
      <w:autoSpaceDE w:val="0"/>
      <w:autoSpaceDN w:val="0"/>
      <w:adjustRightInd w:val="0"/>
      <w:spacing w:before="120" w:after="60"/>
      <w:jc w:val="both"/>
    </w:pPr>
    <w:rPr>
      <w:b/>
      <w:bCs/>
      <w:lang w:val="en-US" w:eastAsia="fr-FR"/>
    </w:rPr>
  </w:style>
  <w:style w:type="character" w:customStyle="1" w:styleId="EIPChar">
    <w:name w:val="EIP Char"/>
    <w:link w:val="EIP"/>
    <w:rPr>
      <w:rFonts w:ascii="Times New Roman" w:eastAsia="Times New Roman" w:hAnsi="Times New Roman" w:cs="Times New Roman"/>
      <w:b/>
      <w:bCs/>
      <w:sz w:val="24"/>
      <w:szCs w:val="24"/>
      <w:lang w:val="en-US" w:eastAsia="fr-FR"/>
    </w:rPr>
  </w:style>
  <w:style w:type="paragraph" w:styleId="TOCHeading">
    <w:name w:val="TOC Heading"/>
    <w:basedOn w:val="Heading1"/>
    <w:next w:val="Normal"/>
    <w:uiPriority w:val="39"/>
    <w:semiHidden/>
    <w:unhideWhenUsed/>
    <w:qFormat/>
    <w:pPr>
      <w:keepLines/>
      <w:spacing w:before="480" w:line="276" w:lineRule="auto"/>
      <w:outlineLvl w:val="9"/>
    </w:pPr>
    <w:rPr>
      <w:rFonts w:ascii="Cambria" w:eastAsia="MS Gothic" w:hAnsi="Cambria"/>
      <w:bCs w:val="0"/>
      <w:smallCaps w:val="0"/>
      <w:color w:val="365F91"/>
      <w:szCs w:val="28"/>
      <w:lang w:val="en-US" w:eastAsia="ja-JP"/>
    </w:rPr>
  </w:style>
  <w:style w:type="paragraph" w:styleId="TOC3">
    <w:name w:val="toc 3"/>
    <w:basedOn w:val="Normal"/>
    <w:next w:val="Normal"/>
    <w:autoRedefine/>
    <w:uiPriority w:val="39"/>
    <w:unhideWhenUsed/>
    <w:qFormat/>
    <w:pPr>
      <w:spacing w:after="100" w:line="276" w:lineRule="auto"/>
      <w:ind w:left="440"/>
    </w:pPr>
    <w:rPr>
      <w:rFonts w:ascii="Calibri" w:hAnsi="Calibri"/>
      <w:sz w:val="22"/>
      <w:szCs w:val="22"/>
    </w:rPr>
  </w:style>
  <w:style w:type="paragraph" w:styleId="TOC4">
    <w:name w:val="toc 4"/>
    <w:basedOn w:val="Normal"/>
    <w:next w:val="Normal"/>
    <w:autoRedefine/>
    <w:uiPriority w:val="39"/>
    <w:unhideWhenUsed/>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pPr>
      <w:spacing w:after="100" w:line="276" w:lineRule="auto"/>
      <w:ind w:left="1760"/>
    </w:pPr>
    <w:rPr>
      <w:rFonts w:ascii="Calibri" w:hAnsi="Calibri"/>
      <w:sz w:val="22"/>
      <w:szCs w:val="22"/>
    </w:rPr>
  </w:style>
  <w:style w:type="character" w:customStyle="1" w:styleId="Corpsdutexte4Exact">
    <w:name w:val="Corps du texte (4) Exact"/>
    <w:uiPriority w:val="99"/>
    <w:rPr>
      <w:spacing w:val="2"/>
      <w:sz w:val="19"/>
      <w:szCs w:val="19"/>
      <w:u w:val="none"/>
    </w:rPr>
  </w:style>
  <w:style w:type="character" w:customStyle="1" w:styleId="En-tte50">
    <w:name w:val="En-tête #5"/>
    <w:uiPriority w:val="99"/>
    <w:rPr>
      <w:b/>
      <w:bCs/>
      <w:sz w:val="21"/>
      <w:szCs w:val="21"/>
      <w:u w:val="single"/>
      <w:shd w:val="clear" w:color="auto" w:fill="FFFFFF"/>
    </w:rPr>
  </w:style>
  <w:style w:type="character" w:customStyle="1" w:styleId="CorpsdutexteGras">
    <w:name w:val="Corps du texte + Gras"/>
    <w:uiPriority w:val="99"/>
    <w:rPr>
      <w:b/>
      <w:bCs/>
      <w:i/>
      <w:iCs/>
      <w:sz w:val="21"/>
      <w:szCs w:val="21"/>
      <w:u w:val="none"/>
      <w:shd w:val="clear" w:color="auto" w:fill="FFFFFF"/>
    </w:rPr>
  </w:style>
  <w:style w:type="character" w:customStyle="1" w:styleId="CorpsdutexteGras1">
    <w:name w:val="Corps du texte + Gras1"/>
    <w:uiPriority w:val="99"/>
    <w:rPr>
      <w:b/>
      <w:bCs/>
      <w:i/>
      <w:iCs/>
      <w:sz w:val="21"/>
      <w:szCs w:val="21"/>
      <w:u w:val="none"/>
      <w:shd w:val="clear" w:color="auto" w:fill="FFFFFF"/>
    </w:rPr>
  </w:style>
  <w:style w:type="character" w:customStyle="1" w:styleId="Corpsdutexte2">
    <w:name w:val="Corps du texte2"/>
    <w:uiPriority w:val="99"/>
    <w:rPr>
      <w:i/>
      <w:iCs/>
      <w:sz w:val="21"/>
      <w:szCs w:val="21"/>
      <w:u w:val="single"/>
      <w:shd w:val="clear" w:color="auto" w:fill="FFFFFF"/>
    </w:rPr>
  </w:style>
  <w:style w:type="character" w:customStyle="1" w:styleId="En-tte30">
    <w:name w:val="En-tête #3"/>
    <w:uiPriority w:val="99"/>
    <w:rPr>
      <w:b/>
      <w:bCs/>
      <w:smallCaps/>
      <w:sz w:val="26"/>
      <w:szCs w:val="26"/>
      <w:u w:val="single"/>
      <w:shd w:val="clear" w:color="auto" w:fill="FFFFFF"/>
    </w:rPr>
  </w:style>
  <w:style w:type="character" w:customStyle="1" w:styleId="En-tte2">
    <w:name w:val="En-tête #2_"/>
    <w:link w:val="En-tte21"/>
    <w:uiPriority w:val="99"/>
    <w:rPr>
      <w:b/>
      <w:bCs/>
      <w:smallCaps/>
      <w:sz w:val="30"/>
      <w:szCs w:val="30"/>
      <w:shd w:val="clear" w:color="auto" w:fill="FFFFFF"/>
    </w:rPr>
  </w:style>
  <w:style w:type="character" w:customStyle="1" w:styleId="En-tte20">
    <w:name w:val="En-tête #2"/>
    <w:uiPriority w:val="99"/>
    <w:rPr>
      <w:b/>
      <w:bCs/>
      <w:smallCaps/>
      <w:sz w:val="30"/>
      <w:szCs w:val="30"/>
      <w:u w:val="single"/>
    </w:rPr>
  </w:style>
  <w:style w:type="paragraph" w:customStyle="1" w:styleId="En-tte21">
    <w:name w:val="En-tête #21"/>
    <w:basedOn w:val="Normal"/>
    <w:link w:val="En-tte2"/>
    <w:uiPriority w:val="99"/>
    <w:pPr>
      <w:widowControl w:val="0"/>
      <w:shd w:val="clear" w:color="auto" w:fill="FFFFFF"/>
      <w:spacing w:before="720" w:after="60" w:line="240" w:lineRule="atLeast"/>
      <w:jc w:val="both"/>
      <w:outlineLvl w:val="1"/>
    </w:pPr>
    <w:rPr>
      <w:rFonts w:asciiTheme="minorHAnsi" w:eastAsiaTheme="minorHAnsi" w:hAnsiTheme="minorHAnsi" w:cstheme="minorBidi"/>
      <w:b/>
      <w:bCs/>
      <w:smallCaps/>
      <w:sz w:val="30"/>
      <w:szCs w:val="30"/>
      <w:lang w:eastAsia="en-US"/>
    </w:rPr>
  </w:style>
  <w:style w:type="paragraph" w:styleId="ListParagraph">
    <w:name w:val="List Paragraph"/>
    <w:basedOn w:val="Normal"/>
    <w:uiPriority w:val="34"/>
    <w:qFormat/>
    <w:pPr>
      <w:widowControl w:val="0"/>
      <w:ind w:left="720"/>
      <w:contextualSpacing/>
    </w:pPr>
    <w:rPr>
      <w:color w:val="000000"/>
      <w:lang w:val="en-US" w:eastAsia="en-U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unhideWhenUsed/>
    <w:rPr>
      <w:rFonts w:ascii="Calibri" w:eastAsia="Calibri" w:hAnsi="Calibri"/>
      <w:sz w:val="20"/>
      <w:szCs w:val="20"/>
      <w:lang w:eastAsia="en-US"/>
    </w:rPr>
  </w:style>
  <w:style w:type="character" w:customStyle="1" w:styleId="EndnoteTextChar">
    <w:name w:val="Endnote Text Char"/>
    <w:basedOn w:val="DefaultParagraphFont"/>
    <w:link w:val="EndnoteText"/>
    <w:uiPriority w:val="99"/>
    <w:rPr>
      <w:rFonts w:ascii="Calibri" w:eastAsia="Calibri" w:hAnsi="Calibri" w:cs="Times New Roman"/>
      <w:sz w:val="20"/>
      <w:szCs w:val="20"/>
    </w:rPr>
  </w:style>
  <w:style w:type="character" w:styleId="EndnoteReference">
    <w:name w:val="endnote reference"/>
    <w:uiPriority w:val="99"/>
    <w:unhideWhenUsed/>
    <w:rPr>
      <w:vertAlign w:val="superscript"/>
    </w:rPr>
  </w:style>
  <w:style w:type="paragraph" w:customStyle="1" w:styleId="Briefingtext">
    <w:name w:val="Briefing text"/>
    <w:basedOn w:val="Normal"/>
    <w:link w:val="BriefingtextChar"/>
    <w:pPr>
      <w:spacing w:after="240"/>
      <w:jc w:val="both"/>
    </w:pPr>
    <w:rPr>
      <w:rFonts w:ascii="Arial" w:hAnsi="Arial" w:cs="Arial"/>
      <w:sz w:val="22"/>
      <w:lang w:eastAsia="en-US"/>
    </w:rPr>
  </w:style>
  <w:style w:type="character" w:customStyle="1" w:styleId="BriefingtextChar">
    <w:name w:val="Briefing text Char"/>
    <w:link w:val="Briefingtext"/>
    <w:rPr>
      <w:rFonts w:ascii="Arial" w:eastAsia="Times New Roman" w:hAnsi="Arial" w:cs="Arial"/>
      <w:szCs w:val="24"/>
    </w:rPr>
  </w:style>
  <w:style w:type="paragraph" w:customStyle="1" w:styleId="CM1">
    <w:name w:val="CM1"/>
    <w:basedOn w:val="Default"/>
    <w:next w:val="Default"/>
    <w:uiPriority w:val="99"/>
    <w:rPr>
      <w:rFonts w:ascii="EUAlbertina" w:eastAsiaTheme="minorHAnsi" w:hAnsi="EUAlbertina" w:cstheme="minorBidi"/>
      <w:color w:val="auto"/>
      <w:lang w:val="es-ES_tradnl" w:eastAsia="en-US"/>
    </w:rPr>
  </w:style>
  <w:style w:type="paragraph" w:customStyle="1" w:styleId="CM3">
    <w:name w:val="CM3"/>
    <w:basedOn w:val="Default"/>
    <w:next w:val="Default"/>
    <w:uiPriority w:val="99"/>
    <w:rPr>
      <w:rFonts w:ascii="EUAlbertina" w:eastAsiaTheme="minorHAnsi" w:hAnsi="EUAlbertina" w:cstheme="minorBidi"/>
      <w:color w:val="auto"/>
      <w:lang w:val="es-ES_tradnl" w:eastAsia="en-US"/>
    </w:rPr>
  </w:style>
  <w:style w:type="paragraph" w:customStyle="1" w:styleId="CM4">
    <w:name w:val="CM4"/>
    <w:basedOn w:val="Default"/>
    <w:next w:val="Default"/>
    <w:uiPriority w:val="99"/>
    <w:rPr>
      <w:rFonts w:ascii="EUAlbertina" w:eastAsiaTheme="minorHAnsi" w:hAnsi="EUAlbertina" w:cstheme="minorBidi"/>
      <w:color w:val="auto"/>
      <w:lang w:val="es-ES_tradnl" w:eastAsia="en-US"/>
    </w:rPr>
  </w:style>
  <w:style w:type="paragraph" w:customStyle="1" w:styleId="default0">
    <w:name w:val="default"/>
    <w:basedOn w:val="Normal"/>
    <w:uiPriority w:val="99"/>
    <w:semiHidden/>
    <w:pPr>
      <w:spacing w:before="100" w:beforeAutospacing="1" w:after="100" w:afterAutospacing="1"/>
    </w:pPr>
    <w:rPr>
      <w:rFonts w:eastAsiaTheme="minorHAnsi"/>
      <w:lang w:val="es-ES_tradnl" w:eastAsia="es-ES_tradnl"/>
    </w:rPr>
  </w:style>
  <w:style w:type="character" w:customStyle="1" w:styleId="timark5">
    <w:name w:val="timark5"/>
    <w:basedOn w:val="DefaultParagraphFont"/>
    <w:rPr>
      <w:b/>
      <w:bCs/>
      <w:vanish w:val="0"/>
      <w:webHidden w:val="0"/>
      <w:specVanish w:val="0"/>
    </w:rPr>
  </w:style>
  <w:style w:type="character" w:customStyle="1" w:styleId="calendarnode">
    <w:name w:val="calendar_node"/>
    <w:basedOn w:val="DefaultParagraphFont"/>
  </w:style>
  <w:style w:type="paragraph" w:customStyle="1" w:styleId="PStableamount">
    <w:name w:val="PS_table_amount"/>
    <w:basedOn w:val="Normal"/>
    <w:pPr>
      <w:jc w:val="right"/>
    </w:pPr>
    <w:rPr>
      <w:sz w:val="18"/>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widowControl w:val="0"/>
      <w:tabs>
        <w:tab w:val="center" w:pos="4535"/>
        <w:tab w:val="right" w:pos="9071"/>
        <w:tab w:val="right" w:pos="9921"/>
      </w:tabs>
      <w:autoSpaceDE w:val="0"/>
      <w:autoSpaceDN w:val="0"/>
      <w:adjustRightInd w:val="0"/>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widowControl w:val="0"/>
      <w:tabs>
        <w:tab w:val="center" w:pos="4535"/>
        <w:tab w:val="right" w:pos="9071"/>
      </w:tabs>
      <w:autoSpaceDE w:val="0"/>
      <w:autoSpaceDN w:val="0"/>
      <w:adjustRightInd w:val="0"/>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BVIfnrCarCarCarCarCharCharCharChar">
    <w:name w:val="BVI fnr Car Car Car Car Char Char Char Char"/>
    <w:basedOn w:val="Normal"/>
    <w:link w:val="FootnoteReference"/>
    <w:uiPriority w:val="99"/>
    <w:pPr>
      <w:spacing w:after="160" w:line="240" w:lineRule="exact"/>
    </w:pPr>
    <w:rPr>
      <w:rFonts w:asciiTheme="minorHAnsi" w:eastAsiaTheme="minorHAnsi" w:hAnsiTheme="minorHAnsi" w:cstheme="minorBidi"/>
      <w:sz w:val="22"/>
      <w:szCs w:val="22"/>
      <w:vertAlign w:val="superscript"/>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0" w:qFormat="1"/>
    <w:lsdException w:name="footnote reference" w:qFormat="1"/>
    <w:lsdException w:name="page number"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pPr>
      <w:keepNext/>
      <w:pBdr>
        <w:bottom w:val="single" w:sz="4" w:space="1" w:color="auto"/>
      </w:pBdr>
      <w:spacing w:before="120" w:after="240"/>
      <w:jc w:val="both"/>
      <w:outlineLvl w:val="0"/>
    </w:pPr>
    <w:rPr>
      <w:b/>
      <w:bCs/>
      <w:i/>
      <w:smallCaps/>
      <w:sz w:val="56"/>
      <w:szCs w:val="56"/>
      <w:lang w:eastAsia="fr-FR"/>
    </w:rPr>
  </w:style>
  <w:style w:type="paragraph" w:styleId="Heading2">
    <w:name w:val="heading 2"/>
    <w:basedOn w:val="Normal"/>
    <w:next w:val="Normal"/>
    <w:link w:val="Heading2Char"/>
    <w:qFormat/>
    <w:pPr>
      <w:keepNext/>
      <w:numPr>
        <w:ilvl w:val="1"/>
        <w:numId w:val="1"/>
      </w:numPr>
      <w:spacing w:before="360" w:after="240"/>
      <w:outlineLvl w:val="1"/>
    </w:pPr>
    <w:rPr>
      <w:b/>
      <w:caps/>
      <w:lang w:val="fr-FR" w:eastAsia="fr-FR"/>
    </w:rPr>
  </w:style>
  <w:style w:type="paragraph" w:styleId="Heading3">
    <w:name w:val="heading 3"/>
    <w:basedOn w:val="Normal"/>
    <w:next w:val="Normal"/>
    <w:link w:val="Heading3Char"/>
    <w:qFormat/>
    <w:pPr>
      <w:keepNext/>
      <w:numPr>
        <w:ilvl w:val="2"/>
        <w:numId w:val="1"/>
      </w:numPr>
      <w:outlineLvl w:val="2"/>
    </w:pPr>
    <w:rPr>
      <w:i/>
      <w:sz w:val="22"/>
      <w:lang w:val="fr-FR" w:eastAsia="fr-FR"/>
    </w:rPr>
  </w:style>
  <w:style w:type="paragraph" w:styleId="Heading4">
    <w:name w:val="heading 4"/>
    <w:basedOn w:val="Normal"/>
    <w:next w:val="Normal"/>
    <w:link w:val="Heading4Char"/>
    <w:qFormat/>
    <w:pPr>
      <w:keepNext/>
      <w:numPr>
        <w:ilvl w:val="3"/>
        <w:numId w:val="1"/>
      </w:numPr>
      <w:outlineLvl w:val="3"/>
    </w:pPr>
    <w:rPr>
      <w:sz w:val="22"/>
      <w:lang w:val="fr-FR"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i/>
      <w:smallCaps/>
      <w:sz w:val="56"/>
      <w:szCs w:val="56"/>
      <w:lang w:eastAsia="fr-FR"/>
    </w:rPr>
  </w:style>
  <w:style w:type="character" w:customStyle="1" w:styleId="Heading2Char">
    <w:name w:val="Heading 2 Char"/>
    <w:basedOn w:val="DefaultParagraphFont"/>
    <w:link w:val="Heading2"/>
    <w:rPr>
      <w:rFonts w:ascii="Times New Roman" w:eastAsia="Times New Roman" w:hAnsi="Times New Roman" w:cs="Times New Roman"/>
      <w:b/>
      <w:caps/>
      <w:sz w:val="24"/>
      <w:szCs w:val="24"/>
      <w:lang w:val="fr-FR" w:eastAsia="fr-FR"/>
    </w:rPr>
  </w:style>
  <w:style w:type="character" w:customStyle="1" w:styleId="Heading3Char">
    <w:name w:val="Heading 3 Char"/>
    <w:basedOn w:val="DefaultParagraphFont"/>
    <w:link w:val="Heading3"/>
    <w:rPr>
      <w:rFonts w:ascii="Times New Roman" w:eastAsia="Times New Roman" w:hAnsi="Times New Roman" w:cs="Times New Roman"/>
      <w:i/>
      <w:szCs w:val="24"/>
      <w:lang w:val="fr-FR" w:eastAsia="fr-FR"/>
    </w:rPr>
  </w:style>
  <w:style w:type="character" w:customStyle="1" w:styleId="Heading4Char">
    <w:name w:val="Heading 4 Char"/>
    <w:basedOn w:val="DefaultParagraphFont"/>
    <w:link w:val="Heading4"/>
    <w:rPr>
      <w:rFonts w:ascii="Times New Roman" w:eastAsia="Times New Roman" w:hAnsi="Times New Roman" w:cs="Times New Roman"/>
      <w:szCs w:val="24"/>
      <w:lang w:val="fr-FR" w:eastAsia="fr-FR"/>
    </w:rPr>
  </w:style>
  <w:style w:type="table" w:customStyle="1" w:styleId="TableStyle1">
    <w:name w:val="Table Style1"/>
    <w:basedOn w:val="TableNormal"/>
    <w:pPr>
      <w:spacing w:after="0" w:line="240" w:lineRule="auto"/>
    </w:pPr>
    <w:rPr>
      <w:rFonts w:ascii="Times New Roman" w:eastAsia="Times New Roman" w:hAnsi="Times New Roman" w:cs="Times New Roman"/>
      <w:sz w:val="20"/>
      <w:szCs w:val="20"/>
      <w:lang w:eastAsia="en-GB"/>
    </w:rPr>
    <w:tblPr>
      <w:tblInd w:w="0" w:type="dxa"/>
      <w:tblCellMar>
        <w:top w:w="0" w:type="dxa"/>
        <w:left w:w="108" w:type="dxa"/>
        <w:bottom w:w="0" w:type="dxa"/>
        <w:right w:w="108" w:type="dxa"/>
      </w:tblCellMar>
    </w:tblPr>
  </w:style>
  <w:style w:type="character" w:styleId="Hyperlink">
    <w:name w:val="Hyperlink"/>
    <w:uiPriority w:val="99"/>
    <w:rPr>
      <w:color w:val="0000FF"/>
      <w:u w:val="single"/>
    </w:rPr>
  </w:style>
  <w:style w:type="paragraph" w:styleId="FootnoteText">
    <w:name w:val="footnote text"/>
    <w:aliases w:val="fn,Footnote Text Char1 Char,Footnote Text Char Char Char,Footnote Text Char1 Char Char Char,Footnote Text Char Char Char Char Char,Footnote Text Char1 Char1 Char,Footnote Text Char Char Char1 Char,EMPL6,Footnote Text Char1,Schriftart: 9 pt"/>
    <w:basedOn w:val="Normal"/>
    <w:link w:val="FootnoteTextChar"/>
    <w:uiPriority w:val="99"/>
    <w:qFormat/>
    <w:rPr>
      <w:sz w:val="20"/>
      <w:szCs w:val="20"/>
    </w:rPr>
  </w:style>
  <w:style w:type="character" w:customStyle="1" w:styleId="FootnoteTextChar">
    <w:name w:val="Footnote Text Char"/>
    <w:aliases w:val="fn Char,Footnote Text Char1 Char Char,Footnote Text Char Char Char Char,Footnote Text Char1 Char Char Char Char,Footnote Text Char Char Char Char Char Char,Footnote Text Char1 Char1 Char Char,Footnote Text Char Char Char1 Char Char"/>
    <w:basedOn w:val="DefaultParagraphFont"/>
    <w:link w:val="FootnoteText"/>
    <w:uiPriority w:val="99"/>
    <w:rPr>
      <w:rFonts w:ascii="Times New Roman" w:eastAsia="Times New Roman" w:hAnsi="Times New Roman" w:cs="Times New Roman"/>
      <w:sz w:val="20"/>
      <w:szCs w:val="20"/>
      <w:lang w:eastAsia="en-GB"/>
    </w:rPr>
  </w:style>
  <w:style w:type="character" w:styleId="FootnoteReference">
    <w:name w:val="footnote reference"/>
    <w:aliases w:val="Footnote,Footnote symbol,Footnotes refss,Footnote Reference Number,BVI fnr,BVI fnr Car Car,BVI fnr Car,BVI fnr Car Car Car Car Char,BVI fnr Car Car Car Car Char Char Char Char Char,Char1 Char Char Char Char, Char1 Char Char Char Char"/>
    <w:link w:val="BVIfnrCarCarCarCarCharCharCharChar"/>
    <w:uiPriority w:val="99"/>
    <w:qFormat/>
    <w:rPr>
      <w:vertAlign w:val="superscript"/>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eastAsia="fr-FR"/>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lang w:val="fr-FR" w:eastAsia="fr-FR"/>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
    <w:name w:val="Text 1"/>
    <w:basedOn w:val="Normal"/>
    <w:link w:val="Text1Char"/>
    <w:pPr>
      <w:spacing w:after="240"/>
      <w:ind w:left="482"/>
      <w:jc w:val="both"/>
    </w:pPr>
    <w:rPr>
      <w:szCs w:val="20"/>
      <w:lang w:eastAsia="en-US"/>
    </w:rPr>
  </w:style>
  <w:style w:type="character" w:customStyle="1" w:styleId="Text1Char">
    <w:name w:val="Text 1 Char"/>
    <w:link w:val="Text1"/>
    <w:rPr>
      <w:rFonts w:ascii="Times New Roman" w:eastAsia="Times New Roman" w:hAnsi="Times New Roman" w:cs="Times New Roman"/>
      <w:sz w:val="24"/>
      <w:szCs w:val="20"/>
    </w:rPr>
  </w:style>
  <w:style w:type="paragraph" w:styleId="ListNumber">
    <w:name w:val="List Number"/>
    <w:basedOn w:val="Normal"/>
    <w:pPr>
      <w:numPr>
        <w:numId w:val="3"/>
      </w:numPr>
    </w:pPr>
    <w:rPr>
      <w:sz w:val="22"/>
      <w:lang w:val="fr-FR" w:eastAsia="fr-FR"/>
    </w:rPr>
  </w:style>
  <w:style w:type="paragraph" w:customStyle="1" w:styleId="ListDash">
    <w:name w:val="List Dash"/>
    <w:basedOn w:val="Normal"/>
    <w:link w:val="ListDashChar"/>
    <w:pPr>
      <w:numPr>
        <w:numId w:val="2"/>
      </w:numPr>
    </w:pPr>
    <w:rPr>
      <w:sz w:val="22"/>
      <w:lang w:val="fr-FR" w:eastAsia="fr-FR"/>
    </w:rPr>
  </w:style>
  <w:style w:type="character" w:customStyle="1" w:styleId="ListDashChar">
    <w:name w:val="List Dash Char"/>
    <w:link w:val="ListDash"/>
    <w:rPr>
      <w:rFonts w:ascii="Times New Roman" w:eastAsia="Times New Roman" w:hAnsi="Times New Roman" w:cs="Times New Roman"/>
      <w:szCs w:val="24"/>
      <w:lang w:val="fr-FR" w:eastAsia="fr-FR"/>
    </w:rPr>
  </w:style>
  <w:style w:type="paragraph" w:styleId="Footer">
    <w:name w:val="footer"/>
    <w:basedOn w:val="Normal"/>
    <w:link w:val="FooterChar"/>
    <w:pPr>
      <w:tabs>
        <w:tab w:val="center" w:pos="4536"/>
        <w:tab w:val="right" w:pos="9072"/>
      </w:tabs>
    </w:pPr>
  </w:style>
  <w:style w:type="character" w:customStyle="1" w:styleId="FooterChar">
    <w:name w:val="Footer Char"/>
    <w:basedOn w:val="DefaultParagraphFont"/>
    <w:link w:val="Footer"/>
    <w:rPr>
      <w:rFonts w:ascii="Times New Roman" w:eastAsia="Times New Roman" w:hAnsi="Times New Roman" w:cs="Times New Roman"/>
      <w:sz w:val="24"/>
      <w:szCs w:val="24"/>
      <w:lang w:eastAsia="en-GB"/>
    </w:rPr>
  </w:style>
  <w:style w:type="character" w:styleId="PageNumber">
    <w:name w:val="page number"/>
    <w:basedOn w:val="DefaultParagraphFont"/>
  </w:style>
  <w:style w:type="paragraph" w:customStyle="1" w:styleId="NormalJustified">
    <w:name w:val="Normal + Justified"/>
    <w:basedOn w:val="Normal"/>
    <w:link w:val="NormalJustifiedChar"/>
    <w:pPr>
      <w:autoSpaceDE w:val="0"/>
      <w:autoSpaceDN w:val="0"/>
      <w:adjustRightInd w:val="0"/>
      <w:jc w:val="both"/>
    </w:pPr>
  </w:style>
  <w:style w:type="character" w:customStyle="1" w:styleId="NormalJustifiedChar">
    <w:name w:val="Normal + Justified Char"/>
    <w:link w:val="NormalJustified"/>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qFormat/>
    <w:pPr>
      <w:tabs>
        <w:tab w:val="left" w:pos="660"/>
        <w:tab w:val="right" w:leader="dot" w:pos="9062"/>
      </w:tabs>
      <w:spacing w:line="360" w:lineRule="auto"/>
      <w:jc w:val="both"/>
    </w:pPr>
    <w:rPr>
      <w:b/>
      <w:bCs/>
      <w:noProof/>
    </w:rPr>
  </w:style>
  <w:style w:type="paragraph" w:styleId="TOC2">
    <w:name w:val="toc 2"/>
    <w:basedOn w:val="Normal"/>
    <w:next w:val="Normal"/>
    <w:autoRedefine/>
    <w:uiPriority w:val="39"/>
    <w:qFormat/>
    <w:pPr>
      <w:tabs>
        <w:tab w:val="right" w:leader="dot" w:pos="9062"/>
      </w:tabs>
      <w:spacing w:line="360" w:lineRule="auto"/>
      <w:jc w:val="both"/>
    </w:pPr>
    <w:rPr>
      <w:b/>
      <w:bCs/>
      <w:noProof/>
      <w:lang w:val="sv-SE" w:eastAsia="fr-FR"/>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n-GB"/>
    </w:rPr>
  </w:style>
  <w:style w:type="character" w:styleId="FollowedHyperlink">
    <w:name w:val="FollowedHyperlink"/>
    <w:rPr>
      <w:color w:val="606420"/>
      <w:u w:val="single"/>
    </w:rPr>
  </w:style>
  <w:style w:type="paragraph" w:styleId="Header">
    <w:name w:val="header"/>
    <w:basedOn w:val="Normal"/>
    <w:link w:val="HeaderChar"/>
    <w:pPr>
      <w:tabs>
        <w:tab w:val="center" w:pos="4536"/>
        <w:tab w:val="right" w:pos="9072"/>
      </w:tabs>
    </w:pPr>
    <w:rPr>
      <w:lang w:val="x-none" w:eastAsia="x-none"/>
    </w:rPr>
  </w:style>
  <w:style w:type="character" w:customStyle="1" w:styleId="HeaderChar">
    <w:name w:val="Header Char"/>
    <w:basedOn w:val="DefaultParagraphFont"/>
    <w:link w:val="Header"/>
    <w:rPr>
      <w:rFonts w:ascii="Times New Roman" w:eastAsia="Times New Roman" w:hAnsi="Times New Roman" w:cs="Times New Roman"/>
      <w:sz w:val="24"/>
      <w:szCs w:val="24"/>
      <w:lang w:val="x-none" w:eastAsia="x-none"/>
    </w:rPr>
  </w:style>
  <w:style w:type="character" w:styleId="Strong">
    <w:name w:val="Strong"/>
    <w:uiPriority w:val="22"/>
    <w:qFormat/>
    <w:rPr>
      <w:rFonts w:cs="Times New Roman"/>
      <w:b/>
    </w:rPr>
  </w:style>
  <w:style w:type="paragraph" w:customStyle="1" w:styleId="Body1">
    <w:name w:val="Body 1"/>
    <w:pPr>
      <w:spacing w:after="0" w:line="240" w:lineRule="auto"/>
    </w:pPr>
    <w:rPr>
      <w:rFonts w:ascii="Helvetica" w:eastAsia="Arial Unicode MS" w:hAnsi="Helvetica" w:cs="Times New Roman"/>
      <w:color w:val="000000"/>
      <w:sz w:val="24"/>
      <w:szCs w:val="20"/>
      <w:lang w:eastAsia="en-GB"/>
    </w:rPr>
  </w:style>
  <w:style w:type="paragraph" w:customStyle="1" w:styleId="ColorfulList-Accent11">
    <w:name w:val="Colorful List - Accent 11"/>
    <w:basedOn w:val="Normal"/>
    <w:uiPriority w:val="34"/>
    <w:qFormat/>
    <w:pPr>
      <w:ind w:left="720"/>
    </w:pPr>
    <w:rPr>
      <w:rFonts w:ascii="Calibri" w:eastAsia="Calibri" w:hAnsi="Calibri" w:cs="Calibri"/>
      <w:sz w:val="22"/>
      <w:szCs w:val="22"/>
      <w:lang w:eastAsia="en-US"/>
    </w:rPr>
  </w:style>
  <w:style w:type="character" w:customStyle="1" w:styleId="En-tte5">
    <w:name w:val="En-tête #5_"/>
    <w:link w:val="En-tte51"/>
    <w:uiPriority w:val="99"/>
    <w:rPr>
      <w:b/>
      <w:bCs/>
      <w:sz w:val="21"/>
      <w:szCs w:val="21"/>
      <w:shd w:val="clear" w:color="auto" w:fill="FFFFFF"/>
    </w:rPr>
  </w:style>
  <w:style w:type="paragraph" w:customStyle="1" w:styleId="En-tte51">
    <w:name w:val="En-tête #51"/>
    <w:basedOn w:val="Normal"/>
    <w:link w:val="En-tte5"/>
    <w:uiPriority w:val="99"/>
    <w:pPr>
      <w:widowControl w:val="0"/>
      <w:shd w:val="clear" w:color="auto" w:fill="FFFFFF"/>
      <w:spacing w:before="180" w:after="240" w:line="240" w:lineRule="atLeast"/>
      <w:jc w:val="both"/>
      <w:outlineLvl w:val="4"/>
    </w:pPr>
    <w:rPr>
      <w:rFonts w:asciiTheme="minorHAnsi" w:eastAsiaTheme="minorHAnsi" w:hAnsiTheme="minorHAnsi" w:cstheme="minorBidi"/>
      <w:b/>
      <w:bCs/>
      <w:sz w:val="21"/>
      <w:szCs w:val="21"/>
      <w:lang w:eastAsia="en-US"/>
    </w:rPr>
  </w:style>
  <w:style w:type="character" w:customStyle="1" w:styleId="Corpsdutexte">
    <w:name w:val="Corps du texte_"/>
    <w:link w:val="Corpsdutexte1"/>
    <w:uiPriority w:val="99"/>
    <w:rPr>
      <w:i/>
      <w:iCs/>
      <w:sz w:val="21"/>
      <w:szCs w:val="21"/>
      <w:shd w:val="clear" w:color="auto" w:fill="FFFFFF"/>
    </w:rPr>
  </w:style>
  <w:style w:type="character" w:customStyle="1" w:styleId="En-tte3">
    <w:name w:val="En-tête #3_"/>
    <w:link w:val="En-tte31"/>
    <w:uiPriority w:val="99"/>
    <w:rPr>
      <w:b/>
      <w:bCs/>
      <w:smallCaps/>
      <w:sz w:val="26"/>
      <w:szCs w:val="26"/>
      <w:shd w:val="clear" w:color="auto" w:fill="FFFFFF"/>
    </w:rPr>
  </w:style>
  <w:style w:type="paragraph" w:customStyle="1" w:styleId="Corpsdutexte1">
    <w:name w:val="Corps du texte1"/>
    <w:basedOn w:val="Normal"/>
    <w:link w:val="Corpsdutexte"/>
    <w:uiPriority w:val="99"/>
    <w:pPr>
      <w:widowControl w:val="0"/>
      <w:shd w:val="clear" w:color="auto" w:fill="FFFFFF"/>
      <w:spacing w:line="250" w:lineRule="exact"/>
      <w:ind w:hanging="340"/>
      <w:jc w:val="both"/>
    </w:pPr>
    <w:rPr>
      <w:rFonts w:asciiTheme="minorHAnsi" w:eastAsiaTheme="minorHAnsi" w:hAnsiTheme="minorHAnsi" w:cstheme="minorBidi"/>
      <w:i/>
      <w:iCs/>
      <w:sz w:val="21"/>
      <w:szCs w:val="21"/>
      <w:lang w:eastAsia="en-US"/>
    </w:rPr>
  </w:style>
  <w:style w:type="paragraph" w:customStyle="1" w:styleId="En-tte31">
    <w:name w:val="En-tête #31"/>
    <w:basedOn w:val="Normal"/>
    <w:link w:val="En-tte3"/>
    <w:uiPriority w:val="99"/>
    <w:pPr>
      <w:widowControl w:val="0"/>
      <w:shd w:val="clear" w:color="auto" w:fill="FFFFFF"/>
      <w:spacing w:before="720" w:line="250" w:lineRule="exact"/>
      <w:jc w:val="both"/>
      <w:outlineLvl w:val="2"/>
    </w:pPr>
    <w:rPr>
      <w:rFonts w:asciiTheme="minorHAnsi" w:eastAsiaTheme="minorHAnsi" w:hAnsiTheme="minorHAnsi" w:cstheme="minorBidi"/>
      <w:b/>
      <w:bCs/>
      <w:smallCaps/>
      <w:sz w:val="26"/>
      <w:szCs w:val="26"/>
      <w:lang w:eastAsia="en-US"/>
    </w:rPr>
  </w:style>
  <w:style w:type="paragraph" w:styleId="Caption">
    <w:name w:val="caption"/>
    <w:basedOn w:val="Normal"/>
    <w:next w:val="Normal"/>
    <w:unhideWhenUsed/>
    <w:qFormat/>
    <w:rPr>
      <w:b/>
      <w:bCs/>
      <w:sz w:val="20"/>
      <w:szCs w:val="20"/>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NormalWeb">
    <w:name w:val="Normal (Web)"/>
    <w:basedOn w:val="Normal"/>
    <w:uiPriority w:val="99"/>
    <w:unhideWhenUsed/>
    <w:pPr>
      <w:spacing w:after="360"/>
    </w:pPr>
  </w:style>
  <w:style w:type="character" w:customStyle="1" w:styleId="Corpsdutexte4">
    <w:name w:val="Corps du texte (4)_"/>
    <w:link w:val="Corpsdutexte41"/>
    <w:uiPriority w:val="99"/>
    <w:rPr>
      <w:i/>
      <w:iCs/>
      <w:sz w:val="23"/>
      <w:szCs w:val="23"/>
      <w:shd w:val="clear" w:color="auto" w:fill="FFFFFF"/>
    </w:rPr>
  </w:style>
  <w:style w:type="character" w:customStyle="1" w:styleId="Corpsdutexte4NonItalique">
    <w:name w:val="Corps du texte (4) + Non Italique"/>
    <w:uiPriority w:val="99"/>
    <w:rPr>
      <w:i w:val="0"/>
      <w:iCs w:val="0"/>
      <w:sz w:val="23"/>
      <w:szCs w:val="23"/>
      <w:shd w:val="clear" w:color="auto" w:fill="FFFFFF"/>
    </w:rPr>
  </w:style>
  <w:style w:type="character" w:customStyle="1" w:styleId="Corpsdutexte4NonItalique2">
    <w:name w:val="Corps du texte (4) + Non Italique2"/>
    <w:uiPriority w:val="99"/>
    <w:rPr>
      <w:i w:val="0"/>
      <w:iCs w:val="0"/>
      <w:sz w:val="23"/>
      <w:szCs w:val="23"/>
      <w:shd w:val="clear" w:color="auto" w:fill="FFFFFF"/>
    </w:rPr>
  </w:style>
  <w:style w:type="character" w:customStyle="1" w:styleId="Corpsdutexte40">
    <w:name w:val="Corps du texte (4)"/>
    <w:uiPriority w:val="99"/>
  </w:style>
  <w:style w:type="character" w:customStyle="1" w:styleId="Corpsdutexte6">
    <w:name w:val="Corps du texte6"/>
    <w:uiPriority w:val="99"/>
  </w:style>
  <w:style w:type="character" w:customStyle="1" w:styleId="CorpsdutexteItalique">
    <w:name w:val="Corps du texte + Italique"/>
    <w:uiPriority w:val="99"/>
    <w:rPr>
      <w:i/>
      <w:iCs/>
      <w:sz w:val="23"/>
      <w:szCs w:val="23"/>
      <w:shd w:val="clear" w:color="auto" w:fill="FFFFFF"/>
    </w:rPr>
  </w:style>
  <w:style w:type="paragraph" w:customStyle="1" w:styleId="Corpsdutexte41">
    <w:name w:val="Corps du texte (4)1"/>
    <w:basedOn w:val="Normal"/>
    <w:link w:val="Corpsdutexte4"/>
    <w:uiPriority w:val="99"/>
    <w:pPr>
      <w:widowControl w:val="0"/>
      <w:shd w:val="clear" w:color="auto" w:fill="FFFFFF"/>
      <w:spacing w:before="300" w:after="240" w:line="274" w:lineRule="exact"/>
      <w:jc w:val="both"/>
    </w:pPr>
    <w:rPr>
      <w:rFonts w:asciiTheme="minorHAnsi" w:eastAsiaTheme="minorHAnsi" w:hAnsiTheme="minorHAnsi" w:cstheme="minorBidi"/>
      <w:i/>
      <w:iCs/>
      <w:sz w:val="23"/>
      <w:szCs w:val="23"/>
      <w:lang w:eastAsia="en-US"/>
    </w:rPr>
  </w:style>
  <w:style w:type="paragraph" w:customStyle="1" w:styleId="EIP">
    <w:name w:val="EIP"/>
    <w:basedOn w:val="Normal"/>
    <w:link w:val="EIPChar"/>
    <w:autoRedefine/>
    <w:qFormat/>
    <w:pPr>
      <w:autoSpaceDE w:val="0"/>
      <w:autoSpaceDN w:val="0"/>
      <w:adjustRightInd w:val="0"/>
      <w:spacing w:before="120" w:after="60"/>
      <w:jc w:val="both"/>
    </w:pPr>
    <w:rPr>
      <w:b/>
      <w:bCs/>
      <w:lang w:val="en-US" w:eastAsia="fr-FR"/>
    </w:rPr>
  </w:style>
  <w:style w:type="character" w:customStyle="1" w:styleId="EIPChar">
    <w:name w:val="EIP Char"/>
    <w:link w:val="EIP"/>
    <w:rPr>
      <w:rFonts w:ascii="Times New Roman" w:eastAsia="Times New Roman" w:hAnsi="Times New Roman" w:cs="Times New Roman"/>
      <w:b/>
      <w:bCs/>
      <w:sz w:val="24"/>
      <w:szCs w:val="24"/>
      <w:lang w:val="en-US" w:eastAsia="fr-FR"/>
    </w:rPr>
  </w:style>
  <w:style w:type="paragraph" w:styleId="TOCHeading">
    <w:name w:val="TOC Heading"/>
    <w:basedOn w:val="Heading1"/>
    <w:next w:val="Normal"/>
    <w:uiPriority w:val="39"/>
    <w:semiHidden/>
    <w:unhideWhenUsed/>
    <w:qFormat/>
    <w:pPr>
      <w:keepLines/>
      <w:spacing w:before="480" w:line="276" w:lineRule="auto"/>
      <w:outlineLvl w:val="9"/>
    </w:pPr>
    <w:rPr>
      <w:rFonts w:ascii="Cambria" w:eastAsia="MS Gothic" w:hAnsi="Cambria"/>
      <w:bCs w:val="0"/>
      <w:smallCaps w:val="0"/>
      <w:color w:val="365F91"/>
      <w:szCs w:val="28"/>
      <w:lang w:val="en-US" w:eastAsia="ja-JP"/>
    </w:rPr>
  </w:style>
  <w:style w:type="paragraph" w:styleId="TOC3">
    <w:name w:val="toc 3"/>
    <w:basedOn w:val="Normal"/>
    <w:next w:val="Normal"/>
    <w:autoRedefine/>
    <w:uiPriority w:val="39"/>
    <w:unhideWhenUsed/>
    <w:qFormat/>
    <w:pPr>
      <w:spacing w:after="100" w:line="276" w:lineRule="auto"/>
      <w:ind w:left="440"/>
    </w:pPr>
    <w:rPr>
      <w:rFonts w:ascii="Calibri" w:hAnsi="Calibri"/>
      <w:sz w:val="22"/>
      <w:szCs w:val="22"/>
    </w:rPr>
  </w:style>
  <w:style w:type="paragraph" w:styleId="TOC4">
    <w:name w:val="toc 4"/>
    <w:basedOn w:val="Normal"/>
    <w:next w:val="Normal"/>
    <w:autoRedefine/>
    <w:uiPriority w:val="39"/>
    <w:unhideWhenUsed/>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pPr>
      <w:spacing w:after="100" w:line="276" w:lineRule="auto"/>
      <w:ind w:left="1760"/>
    </w:pPr>
    <w:rPr>
      <w:rFonts w:ascii="Calibri" w:hAnsi="Calibri"/>
      <w:sz w:val="22"/>
      <w:szCs w:val="22"/>
    </w:rPr>
  </w:style>
  <w:style w:type="character" w:customStyle="1" w:styleId="Corpsdutexte4Exact">
    <w:name w:val="Corps du texte (4) Exact"/>
    <w:uiPriority w:val="99"/>
    <w:rPr>
      <w:spacing w:val="2"/>
      <w:sz w:val="19"/>
      <w:szCs w:val="19"/>
      <w:u w:val="none"/>
    </w:rPr>
  </w:style>
  <w:style w:type="character" w:customStyle="1" w:styleId="En-tte50">
    <w:name w:val="En-tête #5"/>
    <w:uiPriority w:val="99"/>
    <w:rPr>
      <w:b/>
      <w:bCs/>
      <w:sz w:val="21"/>
      <w:szCs w:val="21"/>
      <w:u w:val="single"/>
      <w:shd w:val="clear" w:color="auto" w:fill="FFFFFF"/>
    </w:rPr>
  </w:style>
  <w:style w:type="character" w:customStyle="1" w:styleId="CorpsdutexteGras">
    <w:name w:val="Corps du texte + Gras"/>
    <w:uiPriority w:val="99"/>
    <w:rPr>
      <w:b/>
      <w:bCs/>
      <w:i/>
      <w:iCs/>
      <w:sz w:val="21"/>
      <w:szCs w:val="21"/>
      <w:u w:val="none"/>
      <w:shd w:val="clear" w:color="auto" w:fill="FFFFFF"/>
    </w:rPr>
  </w:style>
  <w:style w:type="character" w:customStyle="1" w:styleId="CorpsdutexteGras1">
    <w:name w:val="Corps du texte + Gras1"/>
    <w:uiPriority w:val="99"/>
    <w:rPr>
      <w:b/>
      <w:bCs/>
      <w:i/>
      <w:iCs/>
      <w:sz w:val="21"/>
      <w:szCs w:val="21"/>
      <w:u w:val="none"/>
      <w:shd w:val="clear" w:color="auto" w:fill="FFFFFF"/>
    </w:rPr>
  </w:style>
  <w:style w:type="character" w:customStyle="1" w:styleId="Corpsdutexte2">
    <w:name w:val="Corps du texte2"/>
    <w:uiPriority w:val="99"/>
    <w:rPr>
      <w:i/>
      <w:iCs/>
      <w:sz w:val="21"/>
      <w:szCs w:val="21"/>
      <w:u w:val="single"/>
      <w:shd w:val="clear" w:color="auto" w:fill="FFFFFF"/>
    </w:rPr>
  </w:style>
  <w:style w:type="character" w:customStyle="1" w:styleId="En-tte30">
    <w:name w:val="En-tête #3"/>
    <w:uiPriority w:val="99"/>
    <w:rPr>
      <w:b/>
      <w:bCs/>
      <w:smallCaps/>
      <w:sz w:val="26"/>
      <w:szCs w:val="26"/>
      <w:u w:val="single"/>
      <w:shd w:val="clear" w:color="auto" w:fill="FFFFFF"/>
    </w:rPr>
  </w:style>
  <w:style w:type="character" w:customStyle="1" w:styleId="En-tte2">
    <w:name w:val="En-tête #2_"/>
    <w:link w:val="En-tte21"/>
    <w:uiPriority w:val="99"/>
    <w:rPr>
      <w:b/>
      <w:bCs/>
      <w:smallCaps/>
      <w:sz w:val="30"/>
      <w:szCs w:val="30"/>
      <w:shd w:val="clear" w:color="auto" w:fill="FFFFFF"/>
    </w:rPr>
  </w:style>
  <w:style w:type="character" w:customStyle="1" w:styleId="En-tte20">
    <w:name w:val="En-tête #2"/>
    <w:uiPriority w:val="99"/>
    <w:rPr>
      <w:b/>
      <w:bCs/>
      <w:smallCaps/>
      <w:sz w:val="30"/>
      <w:szCs w:val="30"/>
      <w:u w:val="single"/>
    </w:rPr>
  </w:style>
  <w:style w:type="paragraph" w:customStyle="1" w:styleId="En-tte21">
    <w:name w:val="En-tête #21"/>
    <w:basedOn w:val="Normal"/>
    <w:link w:val="En-tte2"/>
    <w:uiPriority w:val="99"/>
    <w:pPr>
      <w:widowControl w:val="0"/>
      <w:shd w:val="clear" w:color="auto" w:fill="FFFFFF"/>
      <w:spacing w:before="720" w:after="60" w:line="240" w:lineRule="atLeast"/>
      <w:jc w:val="both"/>
      <w:outlineLvl w:val="1"/>
    </w:pPr>
    <w:rPr>
      <w:rFonts w:asciiTheme="minorHAnsi" w:eastAsiaTheme="minorHAnsi" w:hAnsiTheme="minorHAnsi" w:cstheme="minorBidi"/>
      <w:b/>
      <w:bCs/>
      <w:smallCaps/>
      <w:sz w:val="30"/>
      <w:szCs w:val="30"/>
      <w:lang w:eastAsia="en-US"/>
    </w:rPr>
  </w:style>
  <w:style w:type="paragraph" w:styleId="ListParagraph">
    <w:name w:val="List Paragraph"/>
    <w:basedOn w:val="Normal"/>
    <w:uiPriority w:val="34"/>
    <w:qFormat/>
    <w:pPr>
      <w:widowControl w:val="0"/>
      <w:ind w:left="720"/>
      <w:contextualSpacing/>
    </w:pPr>
    <w:rPr>
      <w:color w:val="000000"/>
      <w:lang w:val="en-US" w:eastAsia="en-U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unhideWhenUsed/>
    <w:rPr>
      <w:rFonts w:ascii="Calibri" w:eastAsia="Calibri" w:hAnsi="Calibri"/>
      <w:sz w:val="20"/>
      <w:szCs w:val="20"/>
      <w:lang w:eastAsia="en-US"/>
    </w:rPr>
  </w:style>
  <w:style w:type="character" w:customStyle="1" w:styleId="EndnoteTextChar">
    <w:name w:val="Endnote Text Char"/>
    <w:basedOn w:val="DefaultParagraphFont"/>
    <w:link w:val="EndnoteText"/>
    <w:uiPriority w:val="99"/>
    <w:rPr>
      <w:rFonts w:ascii="Calibri" w:eastAsia="Calibri" w:hAnsi="Calibri" w:cs="Times New Roman"/>
      <w:sz w:val="20"/>
      <w:szCs w:val="20"/>
    </w:rPr>
  </w:style>
  <w:style w:type="character" w:styleId="EndnoteReference">
    <w:name w:val="endnote reference"/>
    <w:uiPriority w:val="99"/>
    <w:unhideWhenUsed/>
    <w:rPr>
      <w:vertAlign w:val="superscript"/>
    </w:rPr>
  </w:style>
  <w:style w:type="paragraph" w:customStyle="1" w:styleId="Briefingtext">
    <w:name w:val="Briefing text"/>
    <w:basedOn w:val="Normal"/>
    <w:link w:val="BriefingtextChar"/>
    <w:pPr>
      <w:spacing w:after="240"/>
      <w:jc w:val="both"/>
    </w:pPr>
    <w:rPr>
      <w:rFonts w:ascii="Arial" w:hAnsi="Arial" w:cs="Arial"/>
      <w:sz w:val="22"/>
      <w:lang w:eastAsia="en-US"/>
    </w:rPr>
  </w:style>
  <w:style w:type="character" w:customStyle="1" w:styleId="BriefingtextChar">
    <w:name w:val="Briefing text Char"/>
    <w:link w:val="Briefingtext"/>
    <w:rPr>
      <w:rFonts w:ascii="Arial" w:eastAsia="Times New Roman" w:hAnsi="Arial" w:cs="Arial"/>
      <w:szCs w:val="24"/>
    </w:rPr>
  </w:style>
  <w:style w:type="paragraph" w:customStyle="1" w:styleId="CM1">
    <w:name w:val="CM1"/>
    <w:basedOn w:val="Default"/>
    <w:next w:val="Default"/>
    <w:uiPriority w:val="99"/>
    <w:rPr>
      <w:rFonts w:ascii="EUAlbertina" w:eastAsiaTheme="minorHAnsi" w:hAnsi="EUAlbertina" w:cstheme="minorBidi"/>
      <w:color w:val="auto"/>
      <w:lang w:val="es-ES_tradnl" w:eastAsia="en-US"/>
    </w:rPr>
  </w:style>
  <w:style w:type="paragraph" w:customStyle="1" w:styleId="CM3">
    <w:name w:val="CM3"/>
    <w:basedOn w:val="Default"/>
    <w:next w:val="Default"/>
    <w:uiPriority w:val="99"/>
    <w:rPr>
      <w:rFonts w:ascii="EUAlbertina" w:eastAsiaTheme="minorHAnsi" w:hAnsi="EUAlbertina" w:cstheme="minorBidi"/>
      <w:color w:val="auto"/>
      <w:lang w:val="es-ES_tradnl" w:eastAsia="en-US"/>
    </w:rPr>
  </w:style>
  <w:style w:type="paragraph" w:customStyle="1" w:styleId="CM4">
    <w:name w:val="CM4"/>
    <w:basedOn w:val="Default"/>
    <w:next w:val="Default"/>
    <w:uiPriority w:val="99"/>
    <w:rPr>
      <w:rFonts w:ascii="EUAlbertina" w:eastAsiaTheme="minorHAnsi" w:hAnsi="EUAlbertina" w:cstheme="minorBidi"/>
      <w:color w:val="auto"/>
      <w:lang w:val="es-ES_tradnl" w:eastAsia="en-US"/>
    </w:rPr>
  </w:style>
  <w:style w:type="paragraph" w:customStyle="1" w:styleId="default0">
    <w:name w:val="default"/>
    <w:basedOn w:val="Normal"/>
    <w:uiPriority w:val="99"/>
    <w:semiHidden/>
    <w:pPr>
      <w:spacing w:before="100" w:beforeAutospacing="1" w:after="100" w:afterAutospacing="1"/>
    </w:pPr>
    <w:rPr>
      <w:rFonts w:eastAsiaTheme="minorHAnsi"/>
      <w:lang w:val="es-ES_tradnl" w:eastAsia="es-ES_tradnl"/>
    </w:rPr>
  </w:style>
  <w:style w:type="character" w:customStyle="1" w:styleId="timark5">
    <w:name w:val="timark5"/>
    <w:basedOn w:val="DefaultParagraphFont"/>
    <w:rPr>
      <w:b/>
      <w:bCs/>
      <w:vanish w:val="0"/>
      <w:webHidden w:val="0"/>
      <w:specVanish w:val="0"/>
    </w:rPr>
  </w:style>
  <w:style w:type="character" w:customStyle="1" w:styleId="calendarnode">
    <w:name w:val="calendar_node"/>
    <w:basedOn w:val="DefaultParagraphFont"/>
  </w:style>
  <w:style w:type="paragraph" w:customStyle="1" w:styleId="PStableamount">
    <w:name w:val="PS_table_amount"/>
    <w:basedOn w:val="Normal"/>
    <w:pPr>
      <w:jc w:val="right"/>
    </w:pPr>
    <w:rPr>
      <w:sz w:val="18"/>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widowControl w:val="0"/>
      <w:tabs>
        <w:tab w:val="center" w:pos="4535"/>
        <w:tab w:val="right" w:pos="9071"/>
        <w:tab w:val="right" w:pos="9921"/>
      </w:tabs>
      <w:autoSpaceDE w:val="0"/>
      <w:autoSpaceDN w:val="0"/>
      <w:adjustRightInd w:val="0"/>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widowControl w:val="0"/>
      <w:tabs>
        <w:tab w:val="center" w:pos="4535"/>
        <w:tab w:val="right" w:pos="9071"/>
      </w:tabs>
      <w:autoSpaceDE w:val="0"/>
      <w:autoSpaceDN w:val="0"/>
      <w:adjustRightInd w:val="0"/>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BVIfnrCarCarCarCarCharCharCharChar">
    <w:name w:val="BVI fnr Car Car Car Car Char Char Char Char"/>
    <w:basedOn w:val="Normal"/>
    <w:link w:val="FootnoteReference"/>
    <w:uiPriority w:val="99"/>
    <w:pPr>
      <w:spacing w:after="160" w:line="240" w:lineRule="exact"/>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9652">
      <w:bodyDiv w:val="1"/>
      <w:marLeft w:val="0"/>
      <w:marRight w:val="0"/>
      <w:marTop w:val="0"/>
      <w:marBottom w:val="0"/>
      <w:divBdr>
        <w:top w:val="none" w:sz="0" w:space="0" w:color="auto"/>
        <w:left w:val="none" w:sz="0" w:space="0" w:color="auto"/>
        <w:bottom w:val="none" w:sz="0" w:space="0" w:color="auto"/>
        <w:right w:val="none" w:sz="0" w:space="0" w:color="auto"/>
      </w:divBdr>
    </w:div>
    <w:div w:id="91321430">
      <w:bodyDiv w:val="1"/>
      <w:marLeft w:val="0"/>
      <w:marRight w:val="0"/>
      <w:marTop w:val="0"/>
      <w:marBottom w:val="0"/>
      <w:divBdr>
        <w:top w:val="none" w:sz="0" w:space="0" w:color="auto"/>
        <w:left w:val="none" w:sz="0" w:space="0" w:color="auto"/>
        <w:bottom w:val="none" w:sz="0" w:space="0" w:color="auto"/>
        <w:right w:val="none" w:sz="0" w:space="0" w:color="auto"/>
      </w:divBdr>
      <w:divsChild>
        <w:div w:id="53895772">
          <w:marLeft w:val="0"/>
          <w:marRight w:val="0"/>
          <w:marTop w:val="0"/>
          <w:marBottom w:val="0"/>
          <w:divBdr>
            <w:top w:val="none" w:sz="0" w:space="0" w:color="auto"/>
            <w:left w:val="none" w:sz="0" w:space="0" w:color="auto"/>
            <w:bottom w:val="none" w:sz="0" w:space="0" w:color="auto"/>
            <w:right w:val="none" w:sz="0" w:space="0" w:color="auto"/>
          </w:divBdr>
          <w:divsChild>
            <w:div w:id="108626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3189">
      <w:bodyDiv w:val="1"/>
      <w:marLeft w:val="0"/>
      <w:marRight w:val="0"/>
      <w:marTop w:val="0"/>
      <w:marBottom w:val="0"/>
      <w:divBdr>
        <w:top w:val="none" w:sz="0" w:space="0" w:color="auto"/>
        <w:left w:val="none" w:sz="0" w:space="0" w:color="auto"/>
        <w:bottom w:val="none" w:sz="0" w:space="0" w:color="auto"/>
        <w:right w:val="none" w:sz="0" w:space="0" w:color="auto"/>
      </w:divBdr>
    </w:div>
    <w:div w:id="208609829">
      <w:bodyDiv w:val="1"/>
      <w:marLeft w:val="0"/>
      <w:marRight w:val="0"/>
      <w:marTop w:val="0"/>
      <w:marBottom w:val="0"/>
      <w:divBdr>
        <w:top w:val="none" w:sz="0" w:space="0" w:color="auto"/>
        <w:left w:val="none" w:sz="0" w:space="0" w:color="auto"/>
        <w:bottom w:val="none" w:sz="0" w:space="0" w:color="auto"/>
        <w:right w:val="none" w:sz="0" w:space="0" w:color="auto"/>
      </w:divBdr>
      <w:divsChild>
        <w:div w:id="1262303183">
          <w:marLeft w:val="0"/>
          <w:marRight w:val="0"/>
          <w:marTop w:val="0"/>
          <w:marBottom w:val="0"/>
          <w:divBdr>
            <w:top w:val="none" w:sz="0" w:space="0" w:color="auto"/>
            <w:left w:val="none" w:sz="0" w:space="0" w:color="auto"/>
            <w:bottom w:val="none" w:sz="0" w:space="0" w:color="auto"/>
            <w:right w:val="none" w:sz="0" w:space="0" w:color="auto"/>
          </w:divBdr>
          <w:divsChild>
            <w:div w:id="105975747">
              <w:marLeft w:val="0"/>
              <w:marRight w:val="0"/>
              <w:marTop w:val="0"/>
              <w:marBottom w:val="0"/>
              <w:divBdr>
                <w:top w:val="none" w:sz="0" w:space="0" w:color="auto"/>
                <w:left w:val="none" w:sz="0" w:space="0" w:color="auto"/>
                <w:bottom w:val="none" w:sz="0" w:space="0" w:color="auto"/>
                <w:right w:val="none" w:sz="0" w:space="0" w:color="auto"/>
              </w:divBdr>
              <w:divsChild>
                <w:div w:id="1289164945">
                  <w:marLeft w:val="0"/>
                  <w:marRight w:val="0"/>
                  <w:marTop w:val="0"/>
                  <w:marBottom w:val="300"/>
                  <w:divBdr>
                    <w:top w:val="none" w:sz="0" w:space="0" w:color="auto"/>
                    <w:left w:val="none" w:sz="0" w:space="0" w:color="auto"/>
                    <w:bottom w:val="none" w:sz="0" w:space="0" w:color="auto"/>
                    <w:right w:val="none" w:sz="0" w:space="0" w:color="auto"/>
                  </w:divBdr>
                  <w:divsChild>
                    <w:div w:id="1934586083">
                      <w:marLeft w:val="0"/>
                      <w:marRight w:val="0"/>
                      <w:marTop w:val="0"/>
                      <w:marBottom w:val="0"/>
                      <w:divBdr>
                        <w:top w:val="none" w:sz="0" w:space="0" w:color="auto"/>
                        <w:left w:val="none" w:sz="0" w:space="0" w:color="auto"/>
                        <w:bottom w:val="none" w:sz="0" w:space="0" w:color="auto"/>
                        <w:right w:val="none" w:sz="0" w:space="0" w:color="auto"/>
                      </w:divBdr>
                      <w:divsChild>
                        <w:div w:id="2091998331">
                          <w:marLeft w:val="0"/>
                          <w:marRight w:val="0"/>
                          <w:marTop w:val="0"/>
                          <w:marBottom w:val="0"/>
                          <w:divBdr>
                            <w:top w:val="none" w:sz="0" w:space="0" w:color="auto"/>
                            <w:left w:val="none" w:sz="0" w:space="0" w:color="auto"/>
                            <w:bottom w:val="none" w:sz="0" w:space="0" w:color="auto"/>
                            <w:right w:val="none" w:sz="0" w:space="0" w:color="auto"/>
                          </w:divBdr>
                          <w:divsChild>
                            <w:div w:id="2094861880">
                              <w:marLeft w:val="0"/>
                              <w:marRight w:val="0"/>
                              <w:marTop w:val="0"/>
                              <w:marBottom w:val="0"/>
                              <w:divBdr>
                                <w:top w:val="none" w:sz="0" w:space="0" w:color="auto"/>
                                <w:left w:val="none" w:sz="0" w:space="0" w:color="auto"/>
                                <w:bottom w:val="none" w:sz="0" w:space="0" w:color="auto"/>
                                <w:right w:val="none" w:sz="0" w:space="0" w:color="auto"/>
                              </w:divBdr>
                              <w:divsChild>
                                <w:div w:id="1796217988">
                                  <w:marLeft w:val="0"/>
                                  <w:marRight w:val="0"/>
                                  <w:marTop w:val="0"/>
                                  <w:marBottom w:val="0"/>
                                  <w:divBdr>
                                    <w:top w:val="none" w:sz="0" w:space="0" w:color="auto"/>
                                    <w:left w:val="none" w:sz="0" w:space="0" w:color="auto"/>
                                    <w:bottom w:val="none" w:sz="0" w:space="0" w:color="auto"/>
                                    <w:right w:val="none" w:sz="0" w:space="0" w:color="auto"/>
                                  </w:divBdr>
                                  <w:divsChild>
                                    <w:div w:id="88543796">
                                      <w:marLeft w:val="0"/>
                                      <w:marRight w:val="0"/>
                                      <w:marTop w:val="0"/>
                                      <w:marBottom w:val="0"/>
                                      <w:divBdr>
                                        <w:top w:val="none" w:sz="0" w:space="0" w:color="auto"/>
                                        <w:left w:val="none" w:sz="0" w:space="0" w:color="auto"/>
                                        <w:bottom w:val="none" w:sz="0" w:space="0" w:color="auto"/>
                                        <w:right w:val="none" w:sz="0" w:space="0" w:color="auto"/>
                                      </w:divBdr>
                                      <w:divsChild>
                                        <w:div w:id="2013757182">
                                          <w:marLeft w:val="0"/>
                                          <w:marRight w:val="0"/>
                                          <w:marTop w:val="0"/>
                                          <w:marBottom w:val="0"/>
                                          <w:divBdr>
                                            <w:top w:val="none" w:sz="0" w:space="0" w:color="auto"/>
                                            <w:left w:val="none" w:sz="0" w:space="0" w:color="auto"/>
                                            <w:bottom w:val="none" w:sz="0" w:space="0" w:color="auto"/>
                                            <w:right w:val="none" w:sz="0" w:space="0" w:color="auto"/>
                                          </w:divBdr>
                                          <w:divsChild>
                                            <w:div w:id="1640459244">
                                              <w:marLeft w:val="0"/>
                                              <w:marRight w:val="0"/>
                                              <w:marTop w:val="0"/>
                                              <w:marBottom w:val="0"/>
                                              <w:divBdr>
                                                <w:top w:val="none" w:sz="0" w:space="0" w:color="auto"/>
                                                <w:left w:val="none" w:sz="0" w:space="0" w:color="auto"/>
                                                <w:bottom w:val="none" w:sz="0" w:space="0" w:color="auto"/>
                                                <w:right w:val="none" w:sz="0" w:space="0" w:color="auto"/>
                                              </w:divBdr>
                                              <w:divsChild>
                                                <w:div w:id="461576927">
                                                  <w:marLeft w:val="0"/>
                                                  <w:marRight w:val="0"/>
                                                  <w:marTop w:val="0"/>
                                                  <w:marBottom w:val="0"/>
                                                  <w:divBdr>
                                                    <w:top w:val="none" w:sz="0" w:space="0" w:color="auto"/>
                                                    <w:left w:val="none" w:sz="0" w:space="0" w:color="auto"/>
                                                    <w:bottom w:val="none" w:sz="0" w:space="0" w:color="auto"/>
                                                    <w:right w:val="none" w:sz="0" w:space="0" w:color="auto"/>
                                                  </w:divBdr>
                                                  <w:divsChild>
                                                    <w:div w:id="30594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3758968">
      <w:bodyDiv w:val="1"/>
      <w:marLeft w:val="0"/>
      <w:marRight w:val="0"/>
      <w:marTop w:val="0"/>
      <w:marBottom w:val="0"/>
      <w:divBdr>
        <w:top w:val="none" w:sz="0" w:space="0" w:color="auto"/>
        <w:left w:val="none" w:sz="0" w:space="0" w:color="auto"/>
        <w:bottom w:val="none" w:sz="0" w:space="0" w:color="auto"/>
        <w:right w:val="none" w:sz="0" w:space="0" w:color="auto"/>
      </w:divBdr>
    </w:div>
    <w:div w:id="340352646">
      <w:bodyDiv w:val="1"/>
      <w:marLeft w:val="0"/>
      <w:marRight w:val="0"/>
      <w:marTop w:val="0"/>
      <w:marBottom w:val="0"/>
      <w:divBdr>
        <w:top w:val="none" w:sz="0" w:space="0" w:color="auto"/>
        <w:left w:val="none" w:sz="0" w:space="0" w:color="auto"/>
        <w:bottom w:val="none" w:sz="0" w:space="0" w:color="auto"/>
        <w:right w:val="none" w:sz="0" w:space="0" w:color="auto"/>
      </w:divBdr>
    </w:div>
    <w:div w:id="505368729">
      <w:bodyDiv w:val="1"/>
      <w:marLeft w:val="0"/>
      <w:marRight w:val="0"/>
      <w:marTop w:val="0"/>
      <w:marBottom w:val="0"/>
      <w:divBdr>
        <w:top w:val="none" w:sz="0" w:space="0" w:color="auto"/>
        <w:left w:val="none" w:sz="0" w:space="0" w:color="auto"/>
        <w:bottom w:val="none" w:sz="0" w:space="0" w:color="auto"/>
        <w:right w:val="none" w:sz="0" w:space="0" w:color="auto"/>
      </w:divBdr>
    </w:div>
    <w:div w:id="529683735">
      <w:bodyDiv w:val="1"/>
      <w:marLeft w:val="0"/>
      <w:marRight w:val="0"/>
      <w:marTop w:val="0"/>
      <w:marBottom w:val="0"/>
      <w:divBdr>
        <w:top w:val="none" w:sz="0" w:space="0" w:color="auto"/>
        <w:left w:val="none" w:sz="0" w:space="0" w:color="auto"/>
        <w:bottom w:val="none" w:sz="0" w:space="0" w:color="auto"/>
        <w:right w:val="none" w:sz="0" w:space="0" w:color="auto"/>
      </w:divBdr>
    </w:div>
    <w:div w:id="609513412">
      <w:bodyDiv w:val="1"/>
      <w:marLeft w:val="0"/>
      <w:marRight w:val="0"/>
      <w:marTop w:val="0"/>
      <w:marBottom w:val="0"/>
      <w:divBdr>
        <w:top w:val="none" w:sz="0" w:space="0" w:color="auto"/>
        <w:left w:val="none" w:sz="0" w:space="0" w:color="auto"/>
        <w:bottom w:val="none" w:sz="0" w:space="0" w:color="auto"/>
        <w:right w:val="none" w:sz="0" w:space="0" w:color="auto"/>
      </w:divBdr>
    </w:div>
    <w:div w:id="615988118">
      <w:bodyDiv w:val="1"/>
      <w:marLeft w:val="0"/>
      <w:marRight w:val="0"/>
      <w:marTop w:val="0"/>
      <w:marBottom w:val="0"/>
      <w:divBdr>
        <w:top w:val="none" w:sz="0" w:space="0" w:color="auto"/>
        <w:left w:val="none" w:sz="0" w:space="0" w:color="auto"/>
        <w:bottom w:val="none" w:sz="0" w:space="0" w:color="auto"/>
        <w:right w:val="none" w:sz="0" w:space="0" w:color="auto"/>
      </w:divBdr>
    </w:div>
    <w:div w:id="679357267">
      <w:bodyDiv w:val="1"/>
      <w:marLeft w:val="0"/>
      <w:marRight w:val="0"/>
      <w:marTop w:val="0"/>
      <w:marBottom w:val="0"/>
      <w:divBdr>
        <w:top w:val="none" w:sz="0" w:space="0" w:color="auto"/>
        <w:left w:val="none" w:sz="0" w:space="0" w:color="auto"/>
        <w:bottom w:val="none" w:sz="0" w:space="0" w:color="auto"/>
        <w:right w:val="none" w:sz="0" w:space="0" w:color="auto"/>
      </w:divBdr>
    </w:div>
    <w:div w:id="823660574">
      <w:bodyDiv w:val="1"/>
      <w:marLeft w:val="0"/>
      <w:marRight w:val="0"/>
      <w:marTop w:val="0"/>
      <w:marBottom w:val="0"/>
      <w:divBdr>
        <w:top w:val="none" w:sz="0" w:space="0" w:color="auto"/>
        <w:left w:val="none" w:sz="0" w:space="0" w:color="auto"/>
        <w:bottom w:val="none" w:sz="0" w:space="0" w:color="auto"/>
        <w:right w:val="none" w:sz="0" w:space="0" w:color="auto"/>
      </w:divBdr>
      <w:divsChild>
        <w:div w:id="54470256">
          <w:marLeft w:val="0"/>
          <w:marRight w:val="0"/>
          <w:marTop w:val="0"/>
          <w:marBottom w:val="0"/>
          <w:divBdr>
            <w:top w:val="none" w:sz="0" w:space="0" w:color="auto"/>
            <w:left w:val="none" w:sz="0" w:space="0" w:color="auto"/>
            <w:bottom w:val="none" w:sz="0" w:space="0" w:color="auto"/>
            <w:right w:val="none" w:sz="0" w:space="0" w:color="auto"/>
          </w:divBdr>
          <w:divsChild>
            <w:div w:id="1864200757">
              <w:marLeft w:val="3030"/>
              <w:marRight w:val="225"/>
              <w:marTop w:val="0"/>
              <w:marBottom w:val="300"/>
              <w:divBdr>
                <w:top w:val="none" w:sz="0" w:space="0" w:color="auto"/>
                <w:left w:val="none" w:sz="0" w:space="0" w:color="auto"/>
                <w:bottom w:val="none" w:sz="0" w:space="0" w:color="auto"/>
                <w:right w:val="none" w:sz="0" w:space="0" w:color="auto"/>
              </w:divBdr>
              <w:divsChild>
                <w:div w:id="1355182781">
                  <w:marLeft w:val="0"/>
                  <w:marRight w:val="0"/>
                  <w:marTop w:val="0"/>
                  <w:marBottom w:val="0"/>
                  <w:divBdr>
                    <w:top w:val="none" w:sz="0" w:space="0" w:color="auto"/>
                    <w:left w:val="single" w:sz="6" w:space="0" w:color="000000"/>
                    <w:bottom w:val="single" w:sz="6" w:space="0" w:color="000000"/>
                    <w:right w:val="single" w:sz="6" w:space="0" w:color="000000"/>
                  </w:divBdr>
                  <w:divsChild>
                    <w:div w:id="397245210">
                      <w:marLeft w:val="0"/>
                      <w:marRight w:val="0"/>
                      <w:marTop w:val="0"/>
                      <w:marBottom w:val="300"/>
                      <w:divBdr>
                        <w:top w:val="none" w:sz="0" w:space="0" w:color="auto"/>
                        <w:left w:val="none" w:sz="0" w:space="0" w:color="auto"/>
                        <w:bottom w:val="none" w:sz="0" w:space="0" w:color="auto"/>
                        <w:right w:val="none" w:sz="0" w:space="0" w:color="auto"/>
                      </w:divBdr>
                      <w:divsChild>
                        <w:div w:id="1348292204">
                          <w:marLeft w:val="0"/>
                          <w:marRight w:val="0"/>
                          <w:marTop w:val="0"/>
                          <w:marBottom w:val="0"/>
                          <w:divBdr>
                            <w:top w:val="none" w:sz="0" w:space="0" w:color="auto"/>
                            <w:left w:val="none" w:sz="0" w:space="0" w:color="auto"/>
                            <w:bottom w:val="none" w:sz="0" w:space="0" w:color="auto"/>
                            <w:right w:val="none" w:sz="0" w:space="0" w:color="auto"/>
                          </w:divBdr>
                          <w:divsChild>
                            <w:div w:id="1529483497">
                              <w:marLeft w:val="0"/>
                              <w:marRight w:val="0"/>
                              <w:marTop w:val="0"/>
                              <w:marBottom w:val="0"/>
                              <w:divBdr>
                                <w:top w:val="none" w:sz="0" w:space="0" w:color="auto"/>
                                <w:left w:val="none" w:sz="0" w:space="0" w:color="auto"/>
                                <w:bottom w:val="none" w:sz="0" w:space="0" w:color="auto"/>
                                <w:right w:val="none" w:sz="0" w:space="0" w:color="auto"/>
                              </w:divBdr>
                              <w:divsChild>
                                <w:div w:id="615212468">
                                  <w:marLeft w:val="0"/>
                                  <w:marRight w:val="0"/>
                                  <w:marTop w:val="0"/>
                                  <w:marBottom w:val="0"/>
                                  <w:divBdr>
                                    <w:top w:val="none" w:sz="0" w:space="0" w:color="auto"/>
                                    <w:left w:val="none" w:sz="0" w:space="0" w:color="auto"/>
                                    <w:bottom w:val="none" w:sz="0" w:space="0" w:color="auto"/>
                                    <w:right w:val="none" w:sz="0" w:space="0" w:color="auto"/>
                                  </w:divBdr>
                                  <w:divsChild>
                                    <w:div w:id="722555824">
                                      <w:marLeft w:val="0"/>
                                      <w:marRight w:val="0"/>
                                      <w:marTop w:val="150"/>
                                      <w:marBottom w:val="150"/>
                                      <w:divBdr>
                                        <w:top w:val="none" w:sz="0" w:space="0" w:color="auto"/>
                                        <w:left w:val="none" w:sz="0" w:space="0" w:color="auto"/>
                                        <w:bottom w:val="none" w:sz="0" w:space="0" w:color="auto"/>
                                        <w:right w:val="none" w:sz="0" w:space="0" w:color="auto"/>
                                      </w:divBdr>
                                      <w:divsChild>
                                        <w:div w:id="1269582007">
                                          <w:marLeft w:val="300"/>
                                          <w:marRight w:val="0"/>
                                          <w:marTop w:val="75"/>
                                          <w:marBottom w:val="0"/>
                                          <w:divBdr>
                                            <w:top w:val="none" w:sz="0" w:space="0" w:color="auto"/>
                                            <w:left w:val="none" w:sz="0" w:space="0" w:color="auto"/>
                                            <w:bottom w:val="none" w:sz="0" w:space="0" w:color="auto"/>
                                            <w:right w:val="none" w:sz="0" w:space="0" w:color="auto"/>
                                          </w:divBdr>
                                          <w:divsChild>
                                            <w:div w:id="213486065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9320986">
      <w:bodyDiv w:val="1"/>
      <w:marLeft w:val="0"/>
      <w:marRight w:val="0"/>
      <w:marTop w:val="0"/>
      <w:marBottom w:val="0"/>
      <w:divBdr>
        <w:top w:val="none" w:sz="0" w:space="0" w:color="auto"/>
        <w:left w:val="none" w:sz="0" w:space="0" w:color="auto"/>
        <w:bottom w:val="none" w:sz="0" w:space="0" w:color="auto"/>
        <w:right w:val="none" w:sz="0" w:space="0" w:color="auto"/>
      </w:divBdr>
    </w:div>
    <w:div w:id="1021204695">
      <w:bodyDiv w:val="1"/>
      <w:marLeft w:val="0"/>
      <w:marRight w:val="0"/>
      <w:marTop w:val="0"/>
      <w:marBottom w:val="0"/>
      <w:divBdr>
        <w:top w:val="none" w:sz="0" w:space="0" w:color="auto"/>
        <w:left w:val="none" w:sz="0" w:space="0" w:color="auto"/>
        <w:bottom w:val="none" w:sz="0" w:space="0" w:color="auto"/>
        <w:right w:val="none" w:sz="0" w:space="0" w:color="auto"/>
      </w:divBdr>
    </w:div>
    <w:div w:id="1064718881">
      <w:bodyDiv w:val="1"/>
      <w:marLeft w:val="0"/>
      <w:marRight w:val="0"/>
      <w:marTop w:val="0"/>
      <w:marBottom w:val="0"/>
      <w:divBdr>
        <w:top w:val="none" w:sz="0" w:space="0" w:color="auto"/>
        <w:left w:val="none" w:sz="0" w:space="0" w:color="auto"/>
        <w:bottom w:val="none" w:sz="0" w:space="0" w:color="auto"/>
        <w:right w:val="none" w:sz="0" w:space="0" w:color="auto"/>
      </w:divBdr>
    </w:div>
    <w:div w:id="1144546695">
      <w:bodyDiv w:val="1"/>
      <w:marLeft w:val="0"/>
      <w:marRight w:val="0"/>
      <w:marTop w:val="0"/>
      <w:marBottom w:val="0"/>
      <w:divBdr>
        <w:top w:val="none" w:sz="0" w:space="0" w:color="auto"/>
        <w:left w:val="none" w:sz="0" w:space="0" w:color="auto"/>
        <w:bottom w:val="none" w:sz="0" w:space="0" w:color="auto"/>
        <w:right w:val="none" w:sz="0" w:space="0" w:color="auto"/>
      </w:divBdr>
    </w:div>
    <w:div w:id="1257902462">
      <w:bodyDiv w:val="1"/>
      <w:marLeft w:val="0"/>
      <w:marRight w:val="0"/>
      <w:marTop w:val="0"/>
      <w:marBottom w:val="0"/>
      <w:divBdr>
        <w:top w:val="none" w:sz="0" w:space="0" w:color="auto"/>
        <w:left w:val="none" w:sz="0" w:space="0" w:color="auto"/>
        <w:bottom w:val="none" w:sz="0" w:space="0" w:color="auto"/>
        <w:right w:val="none" w:sz="0" w:space="0" w:color="auto"/>
      </w:divBdr>
    </w:div>
    <w:div w:id="1267034186">
      <w:bodyDiv w:val="1"/>
      <w:marLeft w:val="0"/>
      <w:marRight w:val="0"/>
      <w:marTop w:val="0"/>
      <w:marBottom w:val="0"/>
      <w:divBdr>
        <w:top w:val="none" w:sz="0" w:space="0" w:color="auto"/>
        <w:left w:val="none" w:sz="0" w:space="0" w:color="auto"/>
        <w:bottom w:val="none" w:sz="0" w:space="0" w:color="auto"/>
        <w:right w:val="none" w:sz="0" w:space="0" w:color="auto"/>
      </w:divBdr>
    </w:div>
    <w:div w:id="1368677128">
      <w:bodyDiv w:val="1"/>
      <w:marLeft w:val="0"/>
      <w:marRight w:val="0"/>
      <w:marTop w:val="0"/>
      <w:marBottom w:val="0"/>
      <w:divBdr>
        <w:top w:val="none" w:sz="0" w:space="0" w:color="auto"/>
        <w:left w:val="none" w:sz="0" w:space="0" w:color="auto"/>
        <w:bottom w:val="none" w:sz="0" w:space="0" w:color="auto"/>
        <w:right w:val="none" w:sz="0" w:space="0" w:color="auto"/>
      </w:divBdr>
    </w:div>
    <w:div w:id="1454665702">
      <w:bodyDiv w:val="1"/>
      <w:marLeft w:val="0"/>
      <w:marRight w:val="0"/>
      <w:marTop w:val="0"/>
      <w:marBottom w:val="0"/>
      <w:divBdr>
        <w:top w:val="none" w:sz="0" w:space="0" w:color="auto"/>
        <w:left w:val="none" w:sz="0" w:space="0" w:color="auto"/>
        <w:bottom w:val="none" w:sz="0" w:space="0" w:color="auto"/>
        <w:right w:val="none" w:sz="0" w:space="0" w:color="auto"/>
      </w:divBdr>
    </w:div>
    <w:div w:id="1709866209">
      <w:bodyDiv w:val="1"/>
      <w:marLeft w:val="0"/>
      <w:marRight w:val="0"/>
      <w:marTop w:val="0"/>
      <w:marBottom w:val="0"/>
      <w:divBdr>
        <w:top w:val="none" w:sz="0" w:space="0" w:color="auto"/>
        <w:left w:val="none" w:sz="0" w:space="0" w:color="auto"/>
        <w:bottom w:val="none" w:sz="0" w:space="0" w:color="auto"/>
        <w:right w:val="none" w:sz="0" w:space="0" w:color="auto"/>
      </w:divBdr>
    </w:div>
    <w:div w:id="1897737356">
      <w:bodyDiv w:val="1"/>
      <w:marLeft w:val="0"/>
      <w:marRight w:val="0"/>
      <w:marTop w:val="0"/>
      <w:marBottom w:val="0"/>
      <w:divBdr>
        <w:top w:val="none" w:sz="0" w:space="0" w:color="auto"/>
        <w:left w:val="none" w:sz="0" w:space="0" w:color="auto"/>
        <w:bottom w:val="none" w:sz="0" w:space="0" w:color="auto"/>
        <w:right w:val="none" w:sz="0" w:space="0" w:color="auto"/>
      </w:divBdr>
    </w:div>
    <w:div w:id="1934629940">
      <w:bodyDiv w:val="1"/>
      <w:marLeft w:val="0"/>
      <w:marRight w:val="0"/>
      <w:marTop w:val="0"/>
      <w:marBottom w:val="0"/>
      <w:divBdr>
        <w:top w:val="none" w:sz="0" w:space="0" w:color="auto"/>
        <w:left w:val="none" w:sz="0" w:space="0" w:color="auto"/>
        <w:bottom w:val="none" w:sz="0" w:space="0" w:color="auto"/>
        <w:right w:val="none" w:sz="0" w:space="0" w:color="auto"/>
      </w:divBdr>
    </w:div>
    <w:div w:id="2040541028">
      <w:bodyDiv w:val="1"/>
      <w:marLeft w:val="0"/>
      <w:marRight w:val="0"/>
      <w:marTop w:val="0"/>
      <w:marBottom w:val="0"/>
      <w:divBdr>
        <w:top w:val="none" w:sz="0" w:space="0" w:color="auto"/>
        <w:left w:val="none" w:sz="0" w:space="0" w:color="auto"/>
        <w:bottom w:val="none" w:sz="0" w:space="0" w:color="auto"/>
        <w:right w:val="none" w:sz="0" w:space="0" w:color="auto"/>
      </w:divBdr>
    </w:div>
    <w:div w:id="2074961865">
      <w:bodyDiv w:val="1"/>
      <w:marLeft w:val="0"/>
      <w:marRight w:val="0"/>
      <w:marTop w:val="0"/>
      <w:marBottom w:val="0"/>
      <w:divBdr>
        <w:top w:val="none" w:sz="0" w:space="0" w:color="auto"/>
        <w:left w:val="none" w:sz="0" w:space="0" w:color="auto"/>
        <w:bottom w:val="none" w:sz="0" w:space="0" w:color="auto"/>
        <w:right w:val="none" w:sz="0" w:space="0" w:color="auto"/>
      </w:divBdr>
    </w:div>
    <w:div w:id="210876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9D734-F402-4D26-8FCA-888342998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3914</Words>
  <Characters>22430</Characters>
  <Application>Microsoft Office Word</Application>
  <DocSecurity>0</DocSecurity>
  <Lines>575</Lines>
  <Paragraphs>292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2016-07-13T14:17:00Z</cp:lastPrinted>
  <dcterms:created xsi:type="dcterms:W3CDTF">2016-08-04T08:46:00Z</dcterms:created>
  <dcterms:modified xsi:type="dcterms:W3CDTF">2016-08-12T11:02:00Z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