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0B3C6A50C9545DA876EA349E8A61113"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eastAsia="Calibri"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 ДО СЪВЕТА</w:t>
      </w:r>
    </w:p>
    <w:p>
      <w:pPr>
        <w:jc w:val="center"/>
        <w:rPr>
          <w:rFonts w:ascii="Times New Roman" w:eastAsia="Calibri" w:hAnsi="Times New Roman" w:cs="Times New Roman"/>
          <w:b/>
          <w:noProof/>
          <w:sz w:val="24"/>
          <w:szCs w:val="24"/>
        </w:rPr>
      </w:pPr>
      <w:r>
        <w:rPr>
          <w:rFonts w:ascii="Times New Roman" w:hAnsi="Times New Roman"/>
          <w:b/>
          <w:noProof/>
          <w:sz w:val="24"/>
        </w:rPr>
        <w:t xml:space="preserve">Дванадесети доклад относно прилагането на Регламент (ЕО) № 866/2004 на Съвета от 29 април 2004 г. и </w:t>
      </w:r>
      <w:r>
        <w:rPr>
          <w:rFonts w:ascii="Times New Roman" w:hAnsi="Times New Roman"/>
          <w:b/>
          <w:noProof/>
          <w:sz w:val="24"/>
          <w:lang w:val="bg-BG"/>
        </w:rPr>
        <w:t>последиците от това прилагане за</w:t>
      </w:r>
      <w:r>
        <w:rPr>
          <w:rFonts w:ascii="Times New Roman" w:hAnsi="Times New Roman"/>
          <w:b/>
          <w:noProof/>
          <w:sz w:val="24"/>
        </w:rPr>
        <w:t xml:space="preserve"> периода от 1 януари</w:t>
      </w:r>
      <w:r>
        <w:rPr>
          <w:noProof/>
        </w:rPr>
        <w:t>—</w:t>
      </w:r>
      <w:r>
        <w:rPr>
          <w:rFonts w:ascii="Times New Roman" w:hAnsi="Times New Roman"/>
          <w:b/>
          <w:noProof/>
          <w:sz w:val="24"/>
        </w:rPr>
        <w:t>31 декември 2015 г.</w:t>
      </w:r>
    </w:p>
    <w:p>
      <w:pPr>
        <w:jc w:val="both"/>
        <w:rPr>
          <w:rFonts w:ascii="Times New Roman" w:eastAsia="Calibri" w:hAnsi="Times New Roman" w:cs="Times New Roman"/>
          <w:noProof/>
          <w:sz w:val="24"/>
          <w:szCs w:val="24"/>
        </w:rPr>
      </w:pPr>
      <w:r>
        <w:rPr>
          <w:rFonts w:ascii="Times New Roman" w:hAnsi="Times New Roman"/>
          <w:noProof/>
          <w:sz w:val="24"/>
        </w:rPr>
        <w:t xml:space="preserve">Регламент (ЕО) № 866/2004 на Съвета относно режимa </w:t>
      </w:r>
      <w:r>
        <w:rPr>
          <w:rFonts w:ascii="Times New Roman" w:hAnsi="Times New Roman"/>
          <w:noProof/>
          <w:sz w:val="24"/>
          <w:lang w:val="bg-BG"/>
        </w:rPr>
        <w:t>п</w:t>
      </w:r>
      <w:r>
        <w:rPr>
          <w:rFonts w:ascii="Times New Roman" w:hAnsi="Times New Roman"/>
          <w:noProof/>
          <w:sz w:val="24"/>
        </w:rPr>
        <w:t xml:space="preserve">o член 2 от </w:t>
      </w:r>
      <w:r>
        <w:rPr>
          <w:rFonts w:ascii="Times New Roman" w:hAnsi="Times New Roman"/>
          <w:noProof/>
          <w:sz w:val="24"/>
          <w:lang w:val="bg-BG"/>
        </w:rPr>
        <w:t>п</w:t>
      </w:r>
      <w:r>
        <w:rPr>
          <w:rFonts w:ascii="Times New Roman" w:hAnsi="Times New Roman"/>
          <w:noProof/>
          <w:sz w:val="24"/>
        </w:rPr>
        <w:t xml:space="preserve">ротокол № 10 </w:t>
      </w:r>
      <w:r>
        <w:rPr>
          <w:rFonts w:ascii="Times New Roman" w:hAnsi="Times New Roman"/>
          <w:noProof/>
          <w:sz w:val="24"/>
          <w:lang w:val="bg-BG"/>
        </w:rPr>
        <w:t>към</w:t>
      </w:r>
      <w:r>
        <w:rPr>
          <w:rFonts w:ascii="Times New Roman" w:hAnsi="Times New Roman"/>
          <w:noProof/>
          <w:sz w:val="24"/>
        </w:rPr>
        <w:t xml:space="preserve"> Акта за присъединяване</w:t>
      </w:r>
      <w:r>
        <w:rPr>
          <w:rFonts w:ascii="Times New Roman" w:hAnsi="Times New Roman"/>
          <w:noProof/>
          <w:sz w:val="24"/>
          <w:vertAlign w:val="superscript"/>
        </w:rPr>
        <w:footnoteReference w:id="2"/>
      </w:r>
      <w:r>
        <w:rPr>
          <w:rFonts w:ascii="Times New Roman" w:hAnsi="Times New Roman"/>
          <w:noProof/>
          <w:sz w:val="24"/>
        </w:rPr>
        <w:t xml:space="preserve"> (наричан по-нататък „Регламент за демаркационната линия“) влезе в сила на 1 май 2004</w:t>
      </w:r>
      <w:r>
        <w:rPr>
          <w:rFonts w:ascii="Times New Roman" w:hAnsi="Times New Roman"/>
          <w:noProof/>
          <w:sz w:val="24"/>
          <w:lang w:val="bg-BG"/>
        </w:rPr>
        <w:t> </w:t>
      </w:r>
      <w:r>
        <w:rPr>
          <w:rFonts w:ascii="Times New Roman" w:hAnsi="Times New Roman"/>
          <w:noProof/>
          <w:sz w:val="24"/>
        </w:rPr>
        <w:t>г. С него се определя редът, по който разпоредбите на законодателството на ЕС се прилагат по отношение на движението на лица, стоки и услуги през линията между зоните на Република Кипър, в които правителството не упражнява ефективен контрол, и зоните, в които то упражнява такъв контрол. С цел да се осигури ефективността на тези разпоредби, обхватът на тяхното прилагане беше разширен така, че да включи границата между тези зони и източната суверенна зона на Обединеното кралство (ИСЗ)</w:t>
      </w:r>
      <w:r>
        <w:rPr>
          <w:rFonts w:ascii="Times New Roman" w:hAnsi="Times New Roman"/>
          <w:noProof/>
          <w:sz w:val="24"/>
          <w:vertAlign w:val="superscript"/>
        </w:rPr>
        <w:footnoteReference w:id="3"/>
      </w:r>
      <w:r>
        <w:rPr>
          <w:rFonts w:ascii="Times New Roman" w:hAnsi="Times New Roman"/>
          <w:noProof/>
          <w:sz w:val="24"/>
        </w:rPr>
        <w:t>.</w:t>
      </w:r>
    </w:p>
    <w:p>
      <w:pPr>
        <w:jc w:val="both"/>
        <w:rPr>
          <w:rFonts w:ascii="Times New Roman" w:eastAsia="Calibri" w:hAnsi="Times New Roman" w:cs="Times New Roman"/>
          <w:noProof/>
          <w:sz w:val="24"/>
          <w:szCs w:val="24"/>
        </w:rPr>
      </w:pPr>
      <w:r>
        <w:rPr>
          <w:rFonts w:ascii="Times New Roman" w:hAnsi="Times New Roman"/>
          <w:noProof/>
          <w:sz w:val="24"/>
        </w:rPr>
        <w:t>Настоящият доклад обхваща периода от 1 януари до 31 декември 2015 г.</w:t>
      </w:r>
    </w:p>
    <w:p>
      <w:pPr>
        <w:jc w:val="both"/>
        <w:rPr>
          <w:rFonts w:ascii="Times New Roman" w:eastAsia="Calibri" w:hAnsi="Times New Roman" w:cs="Times New Roman"/>
          <w:noProof/>
          <w:sz w:val="24"/>
          <w:szCs w:val="24"/>
        </w:rPr>
      </w:pPr>
      <w:r>
        <w:rPr>
          <w:rFonts w:ascii="Times New Roman" w:hAnsi="Times New Roman"/>
          <w:noProof/>
          <w:sz w:val="24"/>
        </w:rPr>
        <w:t>През обхванатия от доклада период Комисията измени приложение I към Регламент</w:t>
      </w:r>
      <w:r>
        <w:rPr>
          <w:rFonts w:ascii="Times New Roman" w:hAnsi="Times New Roman"/>
          <w:noProof/>
          <w:sz w:val="24"/>
          <w:lang w:val="bg-BG"/>
        </w:rPr>
        <w:t>а</w:t>
      </w:r>
      <w:r>
        <w:rPr>
          <w:rFonts w:ascii="Times New Roman" w:hAnsi="Times New Roman"/>
          <w:noProof/>
          <w:sz w:val="24"/>
        </w:rPr>
        <w:t xml:space="preserve"> за демаркационната линия, като включи два нови пропускателни пункта в </w:t>
      </w:r>
      <w:r>
        <w:rPr>
          <w:rFonts w:ascii="Times New Roman" w:eastAsia="Calibri" w:hAnsi="Times New Roman" w:cs="Times New Roman"/>
          <w:noProof/>
          <w:sz w:val="24"/>
          <w:szCs w:val="24"/>
        </w:rPr>
        <w:t>Deryneia</w:t>
      </w:r>
      <w:r>
        <w:rPr>
          <w:rFonts w:ascii="Times New Roman" w:hAnsi="Times New Roman"/>
          <w:noProof/>
          <w:sz w:val="24"/>
        </w:rPr>
        <w:t xml:space="preserve"> и </w:t>
      </w:r>
      <w:r>
        <w:rPr>
          <w:rFonts w:ascii="Times New Roman" w:eastAsia="Calibri" w:hAnsi="Times New Roman" w:cs="Times New Roman"/>
          <w:noProof/>
          <w:sz w:val="24"/>
          <w:szCs w:val="24"/>
        </w:rPr>
        <w:t>Lefka-Apliki</w:t>
      </w:r>
      <w:r>
        <w:rPr>
          <w:rFonts w:ascii="Times New Roman" w:hAnsi="Times New Roman"/>
          <w:noProof/>
          <w:sz w:val="24"/>
          <w:vertAlign w:val="superscript"/>
        </w:rPr>
        <w:t xml:space="preserve"> </w:t>
      </w:r>
      <w:r>
        <w:rPr>
          <w:rFonts w:ascii="Times New Roman" w:hAnsi="Times New Roman"/>
          <w:noProof/>
          <w:sz w:val="24"/>
          <w:vertAlign w:val="superscript"/>
        </w:rPr>
        <w:footnoteReference w:id="4"/>
      </w:r>
      <w:r>
        <w:rPr>
          <w:rFonts w:ascii="Times New Roman" w:hAnsi="Times New Roman"/>
          <w:noProof/>
          <w:sz w:val="24"/>
        </w:rPr>
        <w:t>.</w:t>
      </w:r>
    </w:p>
    <w:p>
      <w:pPr>
        <w:jc w:val="both"/>
        <w:rPr>
          <w:rFonts w:ascii="Times New Roman" w:eastAsia="Calibri" w:hAnsi="Times New Roman" w:cs="Times New Roman"/>
          <w:noProof/>
          <w:sz w:val="24"/>
          <w:szCs w:val="24"/>
        </w:rPr>
      </w:pPr>
      <w:r>
        <w:rPr>
          <w:rFonts w:ascii="Times New Roman" w:hAnsi="Times New Roman"/>
          <w:noProof/>
          <w:sz w:val="24"/>
        </w:rPr>
        <w:t xml:space="preserve">Комисията поддържа конструктивен диалог с компетентните органи на Република Кипър и с администрацията на суверенната зона (СЗ) относно прилагането на Регламента, както и с Търговската камара на кипърските турци (ТККТ). </w:t>
      </w:r>
    </w:p>
    <w:p>
      <w:pPr>
        <w:keepNext/>
        <w:numPr>
          <w:ilvl w:val="0"/>
          <w:numId w:val="5"/>
        </w:numPr>
        <w:spacing w:before="360" w:after="120" w:line="240" w:lineRule="auto"/>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8"/>
          <w:lang w:eastAsia="en-GB"/>
        </w:rPr>
        <w:t>ПРЕМИНАВАНЕ НА ЛИЦА</w:t>
      </w:r>
    </w:p>
    <w:p>
      <w:pPr>
        <w:keepNext/>
        <w:numPr>
          <w:ilvl w:val="1"/>
          <w:numId w:val="5"/>
        </w:numPr>
        <w:spacing w:before="120" w:after="120" w:line="240" w:lineRule="auto"/>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6"/>
          <w:lang w:eastAsia="en-GB"/>
        </w:rPr>
        <w:t>Преминаване през установените пропускателни пунктове</w:t>
      </w:r>
    </w:p>
    <w:p>
      <w:pPr>
        <w:jc w:val="both"/>
        <w:rPr>
          <w:rFonts w:ascii="Times New Roman" w:eastAsia="Calibri" w:hAnsi="Times New Roman" w:cs="Times New Roman"/>
          <w:noProof/>
          <w:sz w:val="24"/>
          <w:szCs w:val="24"/>
        </w:rPr>
      </w:pPr>
      <w:r>
        <w:rPr>
          <w:rFonts w:ascii="Times New Roman" w:hAnsi="Times New Roman"/>
          <w:noProof/>
          <w:sz w:val="24"/>
        </w:rPr>
        <w:t>Регламентът осигурява стабилна законова рамка за свободното движение на кипърски граждани, други граждани на ЕС и граждани на трети държави, които преминават демаркационната линия (наричана по-нататък „линията“) през установените пропускателни пунктове. През 2015 г. беше отчетено увеличаване на броя на кипърските турци и леко намаляване на броя на кипърските гърци, които преминават границата, в сравнение с предходните години</w:t>
      </w:r>
      <w:r>
        <w:rPr>
          <w:rFonts w:ascii="Times New Roman" w:hAnsi="Times New Roman"/>
          <w:noProof/>
          <w:sz w:val="24"/>
          <w:lang w:val="bg-BG"/>
        </w:rPr>
        <w:t>.</w:t>
      </w:r>
      <w:r>
        <w:rPr>
          <w:rFonts w:ascii="Times New Roman" w:hAnsi="Times New Roman"/>
          <w:noProof/>
          <w:sz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rPr>
        <w:t>През обхванатия от доклада период според наличните данни от Република Кипър са регистрирани 534 879 (предходен период: 589 906) преминавания на кипърски гърци и 189 027 преминавания на превозни средства на кипърски гърци (предходен период: 200 562) от контролираните от правителството зони към северната част на Кипър и 1 055 130 (предходен период: 927 141) преминавания на кипърски турци и 382 621 преминавания на превозни средства на кипърски турци (предходен период: 346 495) от северната част на Кипър към контролираните от правителството зони</w:t>
      </w:r>
      <w:r>
        <w:rPr>
          <w:rFonts w:ascii="Times New Roman" w:hAnsi="Times New Roman"/>
          <w:noProof/>
          <w:sz w:val="24"/>
          <w:vertAlign w:val="superscript"/>
        </w:rPr>
        <w:footnoteReference w:id="5"/>
      </w:r>
      <w:r>
        <w:rPr>
          <w:rFonts w:ascii="Times New Roman" w:hAnsi="Times New Roman"/>
          <w:noProof/>
          <w:sz w:val="24"/>
        </w:rPr>
        <w:t>.</w:t>
      </w:r>
    </w:p>
    <w:p>
      <w:pPr>
        <w:jc w:val="both"/>
        <w:rPr>
          <w:rFonts w:ascii="Times New Roman" w:hAnsi="Times New Roman"/>
          <w:noProof/>
          <w:sz w:val="24"/>
        </w:rPr>
      </w:pPr>
      <w:r>
        <w:rPr>
          <w:rFonts w:ascii="Times New Roman" w:hAnsi="Times New Roman"/>
          <w:noProof/>
          <w:sz w:val="24"/>
        </w:rPr>
        <w:t>Броят на преминалите линията граждани на ЕС, които не са граждани на Кипър, и на преминалите линията граждани на трети държави е намалял значително. Според данни от полицията на Република Кипър (наричана по-нататък „CYPOL“) през обхванатия от доклада период линията са преминали 491 860 граждани на ЕС, които не са граждани на Кипър, и граждани на трети държави (предходен период: 732 856). 71 % от тези преминавания (351 299) са осъществени на пропускателн</w:t>
      </w:r>
      <w:r>
        <w:rPr>
          <w:rFonts w:ascii="Times New Roman" w:hAnsi="Times New Roman"/>
          <w:noProof/>
          <w:sz w:val="24"/>
          <w:lang w:val="bg-BG"/>
        </w:rPr>
        <w:t>ия</w:t>
      </w:r>
      <w:r>
        <w:rPr>
          <w:rFonts w:ascii="Times New Roman" w:hAnsi="Times New Roman"/>
          <w:noProof/>
          <w:sz w:val="24"/>
        </w:rPr>
        <w:t xml:space="preserve"> пункт </w:t>
      </w:r>
      <w:r>
        <w:rPr>
          <w:rFonts w:ascii="Times New Roman" w:eastAsia="Times New Roman" w:hAnsi="Times New Roman" w:cs="Times New Roman"/>
          <w:noProof/>
          <w:sz w:val="24"/>
          <w:szCs w:val="24"/>
          <w:lang w:eastAsia="en-GB"/>
        </w:rPr>
        <w:t>Ledra Street</w:t>
      </w:r>
      <w:r>
        <w:rPr>
          <w:rFonts w:ascii="Times New Roman" w:hAnsi="Times New Roman"/>
          <w:noProof/>
          <w:sz w:val="24"/>
        </w:rPr>
        <w:t xml:space="preserve">, който продължава да бъде пунктът, през който преминават по-голямата част от лицата, които не са граждани на Кипър (предимно туристи). </w:t>
      </w:r>
    </w:p>
    <w:p>
      <w:pPr>
        <w:jc w:val="both"/>
        <w:rPr>
          <w:rFonts w:ascii="Times New Roman" w:eastAsia="Calibri" w:hAnsi="Times New Roman" w:cs="Times New Roman"/>
          <w:noProof/>
          <w:sz w:val="24"/>
          <w:szCs w:val="24"/>
        </w:rPr>
      </w:pPr>
      <w:r>
        <w:rPr>
          <w:rFonts w:ascii="Times New Roman" w:hAnsi="Times New Roman"/>
          <w:noProof/>
          <w:sz w:val="24"/>
        </w:rPr>
        <w:t xml:space="preserve">Горепосочените данни на CYPOL обаче не включват данни за лицата и превозните средства, преминаващи от северната част на Кипър през пропускателните пунктове </w:t>
      </w:r>
      <w:r>
        <w:rPr>
          <w:rFonts w:ascii="Times New Roman" w:hAnsi="Times New Roman"/>
          <w:i/>
          <w:noProof/>
          <w:sz w:val="24"/>
        </w:rPr>
        <w:t>Pergamos</w:t>
      </w:r>
      <w:r>
        <w:rPr>
          <w:rFonts w:ascii="Times New Roman" w:hAnsi="Times New Roman"/>
          <w:noProof/>
          <w:sz w:val="24"/>
        </w:rPr>
        <w:t xml:space="preserve"> и </w:t>
      </w:r>
      <w:r>
        <w:rPr>
          <w:rFonts w:ascii="Times New Roman" w:hAnsi="Times New Roman"/>
          <w:i/>
          <w:noProof/>
          <w:sz w:val="24"/>
        </w:rPr>
        <w:t>Strovilia</w:t>
      </w:r>
      <w:r>
        <w:rPr>
          <w:rFonts w:ascii="Times New Roman" w:hAnsi="Times New Roman"/>
          <w:noProof/>
          <w:sz w:val="24"/>
          <w:vertAlign w:val="superscript"/>
        </w:rPr>
        <w:footnoteReference w:id="6"/>
      </w:r>
      <w:r>
        <w:rPr>
          <w:rFonts w:ascii="Times New Roman" w:hAnsi="Times New Roman"/>
          <w:noProof/>
          <w:sz w:val="24"/>
        </w:rPr>
        <w:t xml:space="preserve">. Администрацията на ИСЗ докладва, че 115 335 (предходен период: 108 893) кипърски гърци са преминали в северната част на Кипър, а 389 412 (предходен период: 273 607) кипърски турци са преминали в контролираните от правителството зони, докато 258 810 граждани на ЕС, които не са граждани на Кипър, и граждани на трети държави са преминали в двете посоки през пропускателните пунктове, разположени в ИСЗ. </w:t>
      </w:r>
    </w:p>
    <w:p>
      <w:pPr>
        <w:jc w:val="both"/>
        <w:rPr>
          <w:rFonts w:ascii="Times New Roman" w:eastAsia="Calibri" w:hAnsi="Times New Roman" w:cs="Times New Roman"/>
          <w:noProof/>
          <w:sz w:val="24"/>
          <w:szCs w:val="24"/>
        </w:rPr>
      </w:pPr>
      <w:r>
        <w:rPr>
          <w:rFonts w:ascii="Times New Roman" w:hAnsi="Times New Roman"/>
          <w:noProof/>
          <w:sz w:val="24"/>
        </w:rPr>
        <w:t>През 2015 г. броят на служителите на CYPOL, работещи непосредствено на пропускателните пунктове, бе намален на 69 души (от 72 през 2014 г.).</w:t>
      </w:r>
    </w:p>
    <w:p>
      <w:pPr>
        <w:jc w:val="both"/>
        <w:rPr>
          <w:rFonts w:ascii="Times New Roman" w:eastAsia="Calibri" w:hAnsi="Times New Roman" w:cs="Times New Roman"/>
          <w:noProof/>
          <w:sz w:val="24"/>
          <w:szCs w:val="24"/>
        </w:rPr>
      </w:pPr>
      <w:r>
        <w:rPr>
          <w:rFonts w:ascii="Times New Roman" w:hAnsi="Times New Roman"/>
          <w:noProof/>
          <w:sz w:val="24"/>
        </w:rPr>
        <w:t>Данните, събрани от общността на кипърските турци, показват увеличаване на преминаванията на кипърски гърци (907 329) и увеличаване на преминаванията на превозни средства на кипърски гърци (313 498) от контролираните от правителството зони към северната част на Кипър. Те показват също така увелич</w:t>
      </w:r>
      <w:r>
        <w:rPr>
          <w:rFonts w:ascii="Times New Roman" w:hAnsi="Times New Roman"/>
          <w:noProof/>
          <w:sz w:val="24"/>
          <w:lang w:val="bg-BG"/>
        </w:rPr>
        <w:t>е</w:t>
      </w:r>
      <w:r>
        <w:rPr>
          <w:rFonts w:ascii="Times New Roman" w:hAnsi="Times New Roman"/>
          <w:noProof/>
          <w:sz w:val="24"/>
        </w:rPr>
        <w:t>н</w:t>
      </w:r>
      <w:r>
        <w:rPr>
          <w:rFonts w:ascii="Times New Roman" w:hAnsi="Times New Roman"/>
          <w:noProof/>
          <w:sz w:val="24"/>
          <w:lang w:val="bg-BG"/>
        </w:rPr>
        <w:t>и</w:t>
      </w:r>
      <w:r>
        <w:rPr>
          <w:rFonts w:ascii="Times New Roman" w:hAnsi="Times New Roman"/>
          <w:noProof/>
          <w:sz w:val="24"/>
        </w:rPr>
        <w:t>е на преминаванията на кипърски турци (1 589 339) и увелич</w:t>
      </w:r>
      <w:r>
        <w:rPr>
          <w:rFonts w:ascii="Times New Roman" w:hAnsi="Times New Roman"/>
          <w:noProof/>
          <w:sz w:val="24"/>
          <w:lang w:val="bg-BG"/>
        </w:rPr>
        <w:t>е</w:t>
      </w:r>
      <w:r>
        <w:rPr>
          <w:rFonts w:ascii="Times New Roman" w:hAnsi="Times New Roman"/>
          <w:noProof/>
          <w:sz w:val="24"/>
        </w:rPr>
        <w:t>н</w:t>
      </w:r>
      <w:r>
        <w:rPr>
          <w:rFonts w:ascii="Times New Roman" w:hAnsi="Times New Roman"/>
          <w:noProof/>
          <w:sz w:val="24"/>
          <w:lang w:val="bg-BG"/>
        </w:rPr>
        <w:t>и</w:t>
      </w:r>
      <w:r>
        <w:rPr>
          <w:rFonts w:ascii="Times New Roman" w:hAnsi="Times New Roman"/>
          <w:noProof/>
          <w:sz w:val="24"/>
        </w:rPr>
        <w:t xml:space="preserve">е на броя на преминаванията на превозни средства на кипърски турци в другата посока (642 043). Общо 1 164 131 чужди граждани са преминали от контролираните от правителството зони в северната част на Кипър. </w:t>
      </w:r>
    </w:p>
    <w:p>
      <w:pPr>
        <w:jc w:val="both"/>
        <w:rPr>
          <w:rFonts w:ascii="Times New Roman" w:eastAsia="Calibri" w:hAnsi="Times New Roman" w:cs="Times New Roman"/>
          <w:noProof/>
          <w:sz w:val="24"/>
          <w:szCs w:val="24"/>
        </w:rPr>
      </w:pPr>
      <w:r>
        <w:rPr>
          <w:rFonts w:ascii="Times New Roman" w:hAnsi="Times New Roman"/>
          <w:noProof/>
          <w:sz w:val="24"/>
        </w:rPr>
        <w:t>Няма данни за инциденти при преминаванията през 2015 г. Към момента обаче органите на Република Кипър все още не позволяват на автобуси на кипърски турци, които превозват граждани на ЕС, да преминават в контролираните от правителството зони.</w:t>
      </w:r>
    </w:p>
    <w:p>
      <w:pPr>
        <w:jc w:val="both"/>
        <w:rPr>
          <w:rFonts w:ascii="Times New Roman" w:eastAsia="Calibri" w:hAnsi="Times New Roman" w:cs="Times New Roman"/>
          <w:noProof/>
          <w:sz w:val="24"/>
          <w:szCs w:val="24"/>
        </w:rPr>
      </w:pPr>
      <w:r>
        <w:rPr>
          <w:rFonts w:ascii="Times New Roman" w:hAnsi="Times New Roman"/>
          <w:noProof/>
          <w:sz w:val="24"/>
        </w:rPr>
        <w:t xml:space="preserve">През обхванатия от доклада период органите на Република Кипър са въвели засилен контрол на пропускателните пунктове с оглед на ситуацията, свързана с глобалната сигурност. </w:t>
      </w:r>
    </w:p>
    <w:p>
      <w:pPr>
        <w:jc w:val="both"/>
        <w:rPr>
          <w:rFonts w:ascii="Times New Roman" w:eastAsia="Calibri" w:hAnsi="Times New Roman" w:cs="Times New Roman"/>
          <w:noProof/>
          <w:sz w:val="24"/>
          <w:szCs w:val="24"/>
        </w:rPr>
      </w:pPr>
      <w:r>
        <w:rPr>
          <w:rFonts w:ascii="Times New Roman" w:hAnsi="Times New Roman"/>
          <w:noProof/>
          <w:sz w:val="24"/>
        </w:rPr>
        <w:t xml:space="preserve">През май 2015 г. общността на кипърските турци взе решение да премахне някои от изискванията за преминаване в северната част на Кипър през демаркационната линия, въпреки че те не попадат в обхвата на Регламента за демаркационната линия, като едностранна мярка за укрепване на доверието (CBM). </w:t>
      </w:r>
    </w:p>
    <w:p>
      <w:pPr>
        <w:jc w:val="both"/>
        <w:rPr>
          <w:rFonts w:ascii="Times New Roman" w:eastAsia="Calibri" w:hAnsi="Times New Roman" w:cs="Times New Roman"/>
          <w:noProof/>
          <w:sz w:val="24"/>
          <w:szCs w:val="24"/>
        </w:rPr>
      </w:pPr>
      <w:r>
        <w:rPr>
          <w:rFonts w:ascii="Times New Roman" w:hAnsi="Times New Roman"/>
          <w:noProof/>
          <w:sz w:val="24"/>
        </w:rPr>
        <w:t>С подкрепата на полицейската част на мироопазващите сили на ООН в Кипър (UNFICYP) продължава да се улеснява практикуването на религията, както беше посочено в доклада на Генералния секретар на ООН от януари 2016 г.</w:t>
      </w:r>
      <w:r>
        <w:rPr>
          <w:rFonts w:ascii="Times New Roman" w:hAnsi="Times New Roman"/>
          <w:noProof/>
          <w:sz w:val="24"/>
          <w:vertAlign w:val="superscript"/>
        </w:rPr>
        <w:footnoteReference w:id="7"/>
      </w:r>
      <w:r>
        <w:rPr>
          <w:rFonts w:ascii="Times New Roman" w:hAnsi="Times New Roman"/>
          <w:noProof/>
          <w:sz w:val="24"/>
        </w:rPr>
        <w:t>. За религиозните водачи продължават да са предвидени възможности за по-лесно преминаване и в двете посоки.</w:t>
      </w:r>
    </w:p>
    <w:p>
      <w:pPr>
        <w:keepNext/>
        <w:numPr>
          <w:ilvl w:val="1"/>
          <w:numId w:val="5"/>
        </w:numPr>
        <w:spacing w:before="120" w:after="120" w:line="240" w:lineRule="auto"/>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6"/>
          <w:lang w:eastAsia="en-GB"/>
        </w:rPr>
        <w:t>Незаконна миграция през демаркационната линия и убежище</w:t>
      </w:r>
    </w:p>
    <w:p>
      <w:pPr>
        <w:jc w:val="both"/>
        <w:rPr>
          <w:rFonts w:ascii="Times New Roman" w:eastAsia="Calibri" w:hAnsi="Times New Roman" w:cs="Times New Roman"/>
          <w:noProof/>
          <w:sz w:val="24"/>
          <w:szCs w:val="24"/>
        </w:rPr>
      </w:pPr>
      <w:r>
        <w:rPr>
          <w:rFonts w:ascii="Times New Roman" w:hAnsi="Times New Roman"/>
          <w:noProof/>
          <w:sz w:val="24"/>
        </w:rPr>
        <w:t xml:space="preserve">Данните на CYPOL за 2015 г. показват увеличаване на броя на мигрантите, които неправомерно </w:t>
      </w:r>
      <w:r>
        <w:rPr>
          <w:rFonts w:ascii="Times New Roman" w:hAnsi="Times New Roman"/>
          <w:noProof/>
          <w:sz w:val="24"/>
          <w:lang w:val="bg-BG"/>
        </w:rPr>
        <w:t xml:space="preserve">са </w:t>
      </w:r>
      <w:r>
        <w:rPr>
          <w:rFonts w:ascii="Times New Roman" w:hAnsi="Times New Roman"/>
          <w:noProof/>
          <w:sz w:val="24"/>
        </w:rPr>
        <w:t>премина</w:t>
      </w:r>
      <w:r>
        <w:rPr>
          <w:rFonts w:ascii="Times New Roman" w:hAnsi="Times New Roman"/>
          <w:noProof/>
          <w:sz w:val="24"/>
          <w:lang w:val="bg-BG"/>
        </w:rPr>
        <w:t>ли</w:t>
      </w:r>
      <w:r>
        <w:rPr>
          <w:rFonts w:ascii="Times New Roman" w:hAnsi="Times New Roman"/>
          <w:noProof/>
          <w:sz w:val="24"/>
        </w:rPr>
        <w:t xml:space="preserve"> през линията от северната част на Кипър към контролираните от правителството зони. През 2015 г. техният брой е бил 1290, докато през 2014, 2013 и 2012 г. е бил съответно 970, 1043 и 1265</w:t>
      </w:r>
      <w:r>
        <w:rPr>
          <w:rFonts w:ascii="Times New Roman" w:hAnsi="Times New Roman"/>
          <w:noProof/>
          <w:sz w:val="24"/>
          <w:vertAlign w:val="superscript"/>
        </w:rPr>
        <w:footnoteReference w:id="8"/>
      </w:r>
      <w:r>
        <w:rPr>
          <w:rFonts w:ascii="Times New Roman" w:hAnsi="Times New Roman"/>
          <w:noProof/>
          <w:sz w:val="24"/>
        </w:rPr>
        <w:t xml:space="preserve">. CYPOL посочва, че вероятната причина за това увеличение са търсещите убежище лица, идващи от Сирия. </w:t>
      </w:r>
    </w:p>
    <w:p>
      <w:pPr>
        <w:jc w:val="both"/>
        <w:rPr>
          <w:rFonts w:ascii="Times New Roman" w:eastAsia="Calibri" w:hAnsi="Times New Roman" w:cs="Times New Roman"/>
          <w:noProof/>
          <w:sz w:val="24"/>
          <w:szCs w:val="24"/>
        </w:rPr>
      </w:pPr>
      <w:r>
        <w:rPr>
          <w:rFonts w:ascii="Times New Roman" w:hAnsi="Times New Roman"/>
          <w:noProof/>
          <w:sz w:val="24"/>
        </w:rPr>
        <w:t>Най-често незаконните мигранти, задържани след преминаване на демаркационната линия, произхождат от Сирия (757), Пакистан (111), Сомалия (63), Индия (50)</w:t>
      </w:r>
      <w:r>
        <w:rPr>
          <w:rFonts w:ascii="Times New Roman" w:hAnsi="Times New Roman"/>
          <w:noProof/>
          <w:sz w:val="24"/>
          <w:lang w:val="bg-BG"/>
        </w:rPr>
        <w:t xml:space="preserve"> и</w:t>
      </w:r>
      <w:r>
        <w:rPr>
          <w:rFonts w:ascii="Times New Roman" w:hAnsi="Times New Roman"/>
          <w:noProof/>
          <w:sz w:val="24"/>
        </w:rPr>
        <w:t xml:space="preserve"> Грузия (38).</w:t>
      </w:r>
    </w:p>
    <w:p>
      <w:pPr>
        <w:jc w:val="both"/>
        <w:rPr>
          <w:rFonts w:ascii="Times New Roman" w:eastAsia="Calibri" w:hAnsi="Times New Roman" w:cs="Times New Roman"/>
          <w:noProof/>
          <w:sz w:val="24"/>
          <w:szCs w:val="24"/>
        </w:rPr>
      </w:pPr>
      <w:r>
        <w:rPr>
          <w:rFonts w:ascii="Times New Roman" w:hAnsi="Times New Roman"/>
          <w:noProof/>
          <w:sz w:val="24"/>
        </w:rPr>
        <w:t>От тези 1290 незаконни мигранти 1049 лица (81 %) са подали молба за международна закрила в Република Кипър, като повечето от тях са сирийци (745).</w:t>
      </w:r>
    </w:p>
    <w:p>
      <w:pPr>
        <w:jc w:val="both"/>
        <w:rPr>
          <w:rFonts w:ascii="Times New Roman" w:eastAsia="Calibri" w:hAnsi="Times New Roman" w:cs="Times New Roman"/>
          <w:noProof/>
          <w:sz w:val="24"/>
          <w:szCs w:val="24"/>
        </w:rPr>
      </w:pPr>
      <w:r>
        <w:rPr>
          <w:rFonts w:ascii="Times New Roman" w:hAnsi="Times New Roman"/>
          <w:noProof/>
          <w:sz w:val="24"/>
        </w:rPr>
        <w:t xml:space="preserve">Незаконните мигранти обикновено биват задържани по време на проверки по линията, както и на летищата при опит да напуснат Кипър, или в полицейските управления, когато търсят международна закрила. </w:t>
      </w:r>
    </w:p>
    <w:p>
      <w:pPr>
        <w:jc w:val="both"/>
        <w:rPr>
          <w:rFonts w:ascii="Times New Roman" w:eastAsia="Calibri" w:hAnsi="Times New Roman" w:cs="Times New Roman"/>
          <w:noProof/>
          <w:sz w:val="24"/>
          <w:szCs w:val="24"/>
        </w:rPr>
      </w:pPr>
      <w:r>
        <w:rPr>
          <w:rFonts w:ascii="Times New Roman" w:hAnsi="Times New Roman"/>
          <w:noProof/>
          <w:sz w:val="24"/>
        </w:rPr>
        <w:t xml:space="preserve">Оценката на CYPOL на факта, че незаконните мигранти пристигат в контролираните от правителството зони чрез незаконно преминаване на демаркационната линия, е изготвена въз основа на същите критерии както през предходните години — предимно въз основа на информация, съдържаща се в техните документи, изявления, направени от мигрантите, и други доказателства. </w:t>
      </w:r>
    </w:p>
    <w:p>
      <w:pPr>
        <w:jc w:val="both"/>
        <w:rPr>
          <w:rFonts w:ascii="Times New Roman" w:eastAsia="Calibri" w:hAnsi="Times New Roman" w:cs="Times New Roman"/>
          <w:noProof/>
          <w:sz w:val="24"/>
          <w:szCs w:val="24"/>
        </w:rPr>
      </w:pPr>
      <w:r>
        <w:rPr>
          <w:rFonts w:ascii="Times New Roman" w:hAnsi="Times New Roman"/>
          <w:noProof/>
          <w:sz w:val="24"/>
        </w:rPr>
        <w:t xml:space="preserve">Според тази оценка почти всички незаконни мигранти, задържани след </w:t>
      </w:r>
      <w:r>
        <w:rPr>
          <w:rFonts w:ascii="Times New Roman" w:hAnsi="Times New Roman"/>
          <w:noProof/>
          <w:sz w:val="24"/>
          <w:lang w:val="bg-BG"/>
        </w:rPr>
        <w:t xml:space="preserve">незаконно </w:t>
      </w:r>
      <w:r>
        <w:rPr>
          <w:rFonts w:ascii="Times New Roman" w:hAnsi="Times New Roman"/>
          <w:noProof/>
          <w:sz w:val="24"/>
        </w:rPr>
        <w:t xml:space="preserve">преминаване на линията в контролираните от правителството зони, са пристигнали в северната част на Кипър от </w:t>
      </w:r>
      <w:r>
        <w:rPr>
          <w:rFonts w:ascii="Times New Roman" w:hAnsi="Times New Roman"/>
          <w:noProof/>
          <w:sz w:val="24"/>
          <w:lang w:val="bg-BG"/>
        </w:rPr>
        <w:t xml:space="preserve">територията на </w:t>
      </w:r>
      <w:r>
        <w:rPr>
          <w:rFonts w:ascii="Times New Roman" w:hAnsi="Times New Roman"/>
          <w:noProof/>
          <w:sz w:val="24"/>
        </w:rPr>
        <w:t xml:space="preserve">Турция. </w:t>
      </w:r>
    </w:p>
    <w:p>
      <w:pPr>
        <w:jc w:val="both"/>
        <w:rPr>
          <w:rFonts w:ascii="Times New Roman" w:eastAsia="Calibri" w:hAnsi="Times New Roman" w:cs="Times New Roman"/>
          <w:noProof/>
          <w:sz w:val="24"/>
          <w:szCs w:val="24"/>
        </w:rPr>
      </w:pPr>
      <w:r>
        <w:rPr>
          <w:rFonts w:ascii="Times New Roman" w:hAnsi="Times New Roman"/>
          <w:noProof/>
          <w:sz w:val="24"/>
        </w:rPr>
        <w:t>Турската кипърска общност уведоми Комисията, че в северната част на Кипър се полагат усилия за предотвратяване на незаконната миграция. Съгласно получената информация през 2015 г. на 3181 души</w:t>
      </w:r>
      <w:r>
        <w:rPr>
          <w:rFonts w:ascii="Times New Roman" w:hAnsi="Times New Roman"/>
          <w:noProof/>
          <w:sz w:val="24"/>
          <w:vertAlign w:val="superscript"/>
        </w:rPr>
        <w:footnoteReference w:id="9"/>
      </w:r>
      <w:r>
        <w:rPr>
          <w:rFonts w:ascii="Times New Roman" w:hAnsi="Times New Roman"/>
          <w:noProof/>
          <w:sz w:val="24"/>
        </w:rPr>
        <w:t xml:space="preserve"> е било отказано влизане в северната част на Кипър, а 642 лица</w:t>
      </w:r>
      <w:r>
        <w:rPr>
          <w:rFonts w:ascii="Times New Roman" w:hAnsi="Times New Roman"/>
          <w:noProof/>
          <w:sz w:val="24"/>
          <w:vertAlign w:val="superscript"/>
        </w:rPr>
        <w:footnoteReference w:id="10"/>
      </w:r>
      <w:r>
        <w:rPr>
          <w:rFonts w:ascii="Times New Roman" w:hAnsi="Times New Roman"/>
          <w:noProof/>
          <w:sz w:val="24"/>
        </w:rPr>
        <w:t>, задържани в северната част на Кипър, са били върнати на територията на Турция, откъдето те са дошли на острова.</w:t>
      </w:r>
    </w:p>
    <w:p>
      <w:pPr>
        <w:jc w:val="both"/>
        <w:rPr>
          <w:rFonts w:ascii="Times New Roman" w:eastAsia="Calibri" w:hAnsi="Times New Roman" w:cs="Times New Roman"/>
          <w:noProof/>
          <w:sz w:val="24"/>
          <w:szCs w:val="24"/>
        </w:rPr>
      </w:pPr>
      <w:r>
        <w:rPr>
          <w:rFonts w:ascii="Times New Roman" w:hAnsi="Times New Roman"/>
          <w:noProof/>
          <w:sz w:val="24"/>
        </w:rPr>
        <w:t>Представители на двете общности се срещат редовно в рамките на действащ под егидата на ООН технически комитет на двете общности по въпросите на престъпността и наказателноправните въпроси (Technical Committee on Crime and Criminal Matters — TCCCM). В допълнение към този комитет двете общности продължават да работят заедно чрез създаденото съвместно звено за комуникация, което предоставя форум за обмен на информация по наказателноправни въпроси.</w:t>
      </w:r>
    </w:p>
    <w:p>
      <w:pPr>
        <w:jc w:val="both"/>
        <w:rPr>
          <w:rFonts w:ascii="Times New Roman" w:eastAsia="Calibri" w:hAnsi="Times New Roman" w:cs="Times New Roman"/>
          <w:noProof/>
          <w:sz w:val="24"/>
          <w:szCs w:val="24"/>
        </w:rPr>
      </w:pPr>
      <w:r>
        <w:rPr>
          <w:rFonts w:ascii="Times New Roman" w:hAnsi="Times New Roman"/>
          <w:noProof/>
          <w:sz w:val="24"/>
        </w:rPr>
        <w:t xml:space="preserve">CYPOL описа сътрудничеството с другите компетентни държавни служби и администрацията на ИСЗ като много добро. </w:t>
      </w:r>
    </w:p>
    <w:p>
      <w:pPr>
        <w:jc w:val="both"/>
        <w:rPr>
          <w:rFonts w:ascii="Times New Roman" w:eastAsia="Calibri" w:hAnsi="Times New Roman" w:cs="Times New Roman"/>
          <w:i/>
          <w:noProof/>
          <w:sz w:val="24"/>
          <w:szCs w:val="24"/>
        </w:rPr>
      </w:pPr>
      <w:r>
        <w:rPr>
          <w:rFonts w:ascii="Times New Roman" w:hAnsi="Times New Roman"/>
          <w:i/>
          <w:noProof/>
          <w:sz w:val="24"/>
        </w:rPr>
        <w:t>Източна суверенна зона (ИСЗ)</w:t>
      </w:r>
    </w:p>
    <w:p>
      <w:pPr>
        <w:jc w:val="both"/>
        <w:rPr>
          <w:rFonts w:ascii="Times New Roman" w:eastAsia="Calibri" w:hAnsi="Times New Roman" w:cs="Times New Roman"/>
          <w:noProof/>
          <w:sz w:val="24"/>
          <w:szCs w:val="24"/>
        </w:rPr>
      </w:pPr>
      <w:r>
        <w:rPr>
          <w:rFonts w:ascii="Times New Roman" w:hAnsi="Times New Roman"/>
          <w:noProof/>
          <w:sz w:val="24"/>
        </w:rPr>
        <w:t>Като цяло незаконната миграция от северната част на Кипър през ИСЗ отбелязва лек спад. През 2015 г. бяха задържани 7 мигранти, след като бяха пресекли линията незаконно</w:t>
      </w:r>
      <w:r>
        <w:rPr>
          <w:rFonts w:ascii="Times New Roman" w:hAnsi="Times New Roman"/>
          <w:noProof/>
          <w:sz w:val="24"/>
          <w:vertAlign w:val="superscript"/>
        </w:rPr>
        <w:footnoteReference w:id="11"/>
      </w:r>
      <w:r>
        <w:rPr>
          <w:rFonts w:ascii="Times New Roman" w:hAnsi="Times New Roman"/>
          <w:noProof/>
          <w:sz w:val="24"/>
        </w:rPr>
        <w:t>. На 1353 лица не е било разрешено да преминат, като по-голямата част от тях са турски граждани. Другите чужди граждани са били от Русия, САЩ, Сирия и Иран, които са пристигнали през северната част на Кипър</w:t>
      </w:r>
      <w:r>
        <w:rPr>
          <w:rFonts w:ascii="Times New Roman" w:hAnsi="Times New Roman"/>
          <w:noProof/>
          <w:sz w:val="24"/>
          <w:vertAlign w:val="superscript"/>
        </w:rPr>
        <w:footnoteReference w:id="12"/>
      </w:r>
      <w:r>
        <w:rPr>
          <w:rFonts w:ascii="Times New Roman" w:hAnsi="Times New Roman"/>
          <w:noProof/>
          <w:sz w:val="24"/>
        </w:rPr>
        <w:t>. Тези лица са били насочени към пропускателния пункт Agios Dhometios, за да преминат установените процедури съгласно изискванията за влизане в Република Кипър.</w:t>
      </w:r>
    </w:p>
    <w:p>
      <w:pPr>
        <w:jc w:val="both"/>
        <w:rPr>
          <w:rFonts w:ascii="Times New Roman" w:eastAsia="Calibri" w:hAnsi="Times New Roman" w:cs="Times New Roman"/>
          <w:noProof/>
          <w:sz w:val="24"/>
          <w:szCs w:val="24"/>
        </w:rPr>
      </w:pPr>
      <w:r>
        <w:rPr>
          <w:rFonts w:ascii="Times New Roman" w:hAnsi="Times New Roman"/>
          <w:noProof/>
          <w:sz w:val="24"/>
        </w:rPr>
        <w:t xml:space="preserve">Служителите от суверенната зона продължават да описват сътрудничеството си с Република Кипър като отлично. </w:t>
      </w:r>
    </w:p>
    <w:p>
      <w:pPr>
        <w:jc w:val="both"/>
        <w:rPr>
          <w:rFonts w:ascii="Times New Roman" w:eastAsia="Calibri" w:hAnsi="Times New Roman" w:cs="Times New Roman"/>
          <w:noProof/>
          <w:sz w:val="24"/>
          <w:szCs w:val="24"/>
        </w:rPr>
      </w:pPr>
      <w:r>
        <w:rPr>
          <w:rFonts w:ascii="Times New Roman" w:hAnsi="Times New Roman"/>
          <w:noProof/>
          <w:sz w:val="24"/>
        </w:rPr>
        <w:t xml:space="preserve">Извън пропускателните пунктове, за да противодейства на незаконната миграция, полицията на СЗ извършва извънредни патрулни обиколки въз основа на оценка на риска и анализ на оперативна информация. Тези патрулни обиколки се допълват с патрули на митническия и военния персонал на СЗ. </w:t>
      </w:r>
    </w:p>
    <w:p>
      <w:pPr>
        <w:jc w:val="both"/>
        <w:rPr>
          <w:rFonts w:ascii="Times New Roman" w:eastAsia="Calibri" w:hAnsi="Times New Roman" w:cs="Times New Roman"/>
          <w:noProof/>
          <w:sz w:val="24"/>
          <w:szCs w:val="24"/>
        </w:rPr>
      </w:pPr>
      <w:r>
        <w:rPr>
          <w:rFonts w:ascii="Times New Roman" w:hAnsi="Times New Roman"/>
          <w:noProof/>
          <w:sz w:val="24"/>
        </w:rPr>
        <w:t>Особено труден е контролът на няколко „не</w:t>
      </w:r>
      <w:r>
        <w:rPr>
          <w:rFonts w:ascii="Times New Roman" w:hAnsi="Times New Roman"/>
          <w:noProof/>
          <w:sz w:val="24"/>
          <w:lang w:val="bg-BG"/>
        </w:rPr>
        <w:t>разрешени</w:t>
      </w:r>
      <w:r>
        <w:rPr>
          <w:rFonts w:ascii="Times New Roman" w:hAnsi="Times New Roman"/>
          <w:noProof/>
          <w:sz w:val="24"/>
        </w:rPr>
        <w:t xml:space="preserve"> пропускателни пункта“ във или в близост до село </w:t>
      </w:r>
      <w:r>
        <w:rPr>
          <w:rFonts w:ascii="Times New Roman" w:hAnsi="Times New Roman"/>
          <w:i/>
          <w:noProof/>
          <w:sz w:val="24"/>
        </w:rPr>
        <w:t>Pergamos</w:t>
      </w:r>
      <w:r>
        <w:rPr>
          <w:rFonts w:ascii="Times New Roman" w:hAnsi="Times New Roman"/>
          <w:noProof/>
          <w:sz w:val="24"/>
        </w:rPr>
        <w:t>, използвани от местни жители и земеделски стопани. Както бе посочено в предишни доклади, тези не</w:t>
      </w:r>
      <w:r>
        <w:rPr>
          <w:rFonts w:ascii="Times New Roman" w:hAnsi="Times New Roman"/>
          <w:noProof/>
          <w:sz w:val="24"/>
          <w:lang w:val="bg-BG"/>
        </w:rPr>
        <w:t>разрешени</w:t>
      </w:r>
      <w:r>
        <w:rPr>
          <w:rFonts w:ascii="Times New Roman" w:hAnsi="Times New Roman"/>
          <w:noProof/>
          <w:sz w:val="24"/>
        </w:rPr>
        <w:t xml:space="preserve"> пропускателни пунктове продължават да будят безпокойство и е необходимо да се намери трайно решение в съответствие с член 5, параграф 2 от </w:t>
      </w:r>
      <w:r>
        <w:rPr>
          <w:rFonts w:ascii="Times New Roman" w:hAnsi="Times New Roman"/>
          <w:noProof/>
          <w:sz w:val="24"/>
          <w:lang w:val="bg-BG"/>
        </w:rPr>
        <w:t>п</w:t>
      </w:r>
      <w:r>
        <w:rPr>
          <w:rFonts w:ascii="Times New Roman" w:hAnsi="Times New Roman"/>
          <w:noProof/>
          <w:sz w:val="24"/>
        </w:rPr>
        <w:t>ротокол № 3 към Акта за присъединяване от 2003</w:t>
      </w:r>
      <w:r>
        <w:rPr>
          <w:rFonts w:ascii="Times New Roman" w:hAnsi="Times New Roman"/>
          <w:noProof/>
          <w:sz w:val="24"/>
          <w:lang w:val="bg-BG"/>
        </w:rPr>
        <w:t> </w:t>
      </w:r>
      <w:r>
        <w:rPr>
          <w:rFonts w:ascii="Times New Roman" w:hAnsi="Times New Roman"/>
          <w:noProof/>
          <w:sz w:val="24"/>
        </w:rPr>
        <w:t>г.</w:t>
      </w:r>
      <w:r>
        <w:rPr>
          <w:rFonts w:ascii="Times New Roman" w:hAnsi="Times New Roman"/>
          <w:noProof/>
          <w:sz w:val="24"/>
          <w:vertAlign w:val="superscript"/>
        </w:rPr>
        <w:footnoteReference w:id="13"/>
      </w:r>
      <w:r>
        <w:rPr>
          <w:rFonts w:ascii="Times New Roman" w:hAnsi="Times New Roman"/>
          <w:noProof/>
          <w:sz w:val="24"/>
        </w:rPr>
        <w:t>. Администрацията на СЗ обяви, че в случай на нужда може бързо да бъдат изпратени служители в районите на не</w:t>
      </w:r>
      <w:r>
        <w:rPr>
          <w:rFonts w:ascii="Times New Roman" w:hAnsi="Times New Roman"/>
          <w:noProof/>
          <w:sz w:val="24"/>
          <w:lang w:val="bg-BG"/>
        </w:rPr>
        <w:t>разрешените</w:t>
      </w:r>
      <w:r>
        <w:rPr>
          <w:rFonts w:ascii="Times New Roman" w:hAnsi="Times New Roman"/>
          <w:noProof/>
          <w:sz w:val="24"/>
        </w:rPr>
        <w:t xml:space="preserve"> пропускателни пунктове. </w:t>
      </w:r>
    </w:p>
    <w:p>
      <w:pPr>
        <w:keepNext/>
        <w:numPr>
          <w:ilvl w:val="0"/>
          <w:numId w:val="5"/>
        </w:numPr>
        <w:spacing w:before="360" w:after="120" w:line="240" w:lineRule="auto"/>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8"/>
          <w:lang w:eastAsia="en-GB"/>
        </w:rPr>
        <w:t>ПРЕМИНАВАНЕ НА СТОКИ</w:t>
      </w:r>
    </w:p>
    <w:p>
      <w:pPr>
        <w:keepNext/>
        <w:numPr>
          <w:ilvl w:val="1"/>
          <w:numId w:val="5"/>
        </w:numPr>
        <w:spacing w:before="120" w:after="120" w:line="240" w:lineRule="auto"/>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6"/>
          <w:lang w:eastAsia="en-GB"/>
        </w:rPr>
        <w:t>Стойност на търговския обмен</w:t>
      </w:r>
    </w:p>
    <w:p>
      <w:pPr>
        <w:jc w:val="both"/>
        <w:rPr>
          <w:rFonts w:ascii="Times New Roman" w:eastAsia="Calibri" w:hAnsi="Times New Roman" w:cs="Times New Roman"/>
          <w:noProof/>
          <w:sz w:val="24"/>
          <w:szCs w:val="24"/>
        </w:rPr>
      </w:pPr>
      <w:r>
        <w:rPr>
          <w:rFonts w:ascii="Times New Roman" w:hAnsi="Times New Roman"/>
          <w:noProof/>
          <w:sz w:val="24"/>
        </w:rPr>
        <w:t>В съответствие с член 8 от Регламент (ЕО) № 1480/2004</w:t>
      </w:r>
      <w:r>
        <w:rPr>
          <w:rFonts w:ascii="Times New Roman" w:hAnsi="Times New Roman"/>
          <w:noProof/>
          <w:sz w:val="24"/>
          <w:vertAlign w:val="superscript"/>
        </w:rPr>
        <w:footnoteReference w:id="14"/>
      </w:r>
      <w:r>
        <w:rPr>
          <w:rFonts w:ascii="Times New Roman" w:hAnsi="Times New Roman"/>
          <w:noProof/>
          <w:sz w:val="24"/>
        </w:rPr>
        <w:t xml:space="preserve"> на Комисията Търговската камара на кипърските турци (ТККТ), както и органите на Република Кипър, докладваха ежемесечно за вида, обема и стойността на стоките, за които са издадени придружаващи документи. И Търговската камара на кипърските турци, и органите на Република Кипър докладват за стоките, преминали в контролираните от правителството зони през пропускателните пунктове </w:t>
      </w:r>
      <w:r>
        <w:rPr>
          <w:rFonts w:ascii="Times New Roman" w:hAnsi="Times New Roman"/>
          <w:i/>
          <w:noProof/>
          <w:sz w:val="24"/>
        </w:rPr>
        <w:t>Pergamos</w:t>
      </w:r>
      <w:r>
        <w:rPr>
          <w:rFonts w:ascii="Times New Roman" w:hAnsi="Times New Roman"/>
          <w:noProof/>
          <w:sz w:val="24"/>
        </w:rPr>
        <w:t xml:space="preserve"> и </w:t>
      </w:r>
      <w:r>
        <w:rPr>
          <w:rFonts w:ascii="Times New Roman" w:hAnsi="Times New Roman"/>
          <w:i/>
          <w:noProof/>
          <w:sz w:val="24"/>
        </w:rPr>
        <w:t>Strovilia</w:t>
      </w:r>
      <w:r>
        <w:rPr>
          <w:rFonts w:ascii="Times New Roman" w:hAnsi="Times New Roman"/>
          <w:noProof/>
          <w:sz w:val="24"/>
        </w:rPr>
        <w:t>, намиращи се под контрола на администрацията на СЗ.</w:t>
      </w:r>
    </w:p>
    <w:p>
      <w:pPr>
        <w:jc w:val="both"/>
        <w:rPr>
          <w:rFonts w:ascii="Times New Roman" w:eastAsia="Calibri" w:hAnsi="Times New Roman" w:cs="Times New Roman"/>
          <w:noProof/>
          <w:sz w:val="24"/>
          <w:szCs w:val="24"/>
        </w:rPr>
      </w:pPr>
      <w:r>
        <w:rPr>
          <w:rFonts w:ascii="Times New Roman" w:hAnsi="Times New Roman"/>
          <w:noProof/>
          <w:sz w:val="24"/>
        </w:rPr>
        <w:t xml:space="preserve">Според ТККТ общата стойност на стоките, за които са издадени придружаващи документи, възлиза на 3 933 918 EUR (предходен период: 3 911 189 EUR). Тези данни показват леко увеличение от 0,58 % на общата стойност на стоките, за които са издадени придружаващи документи в сравнение с 2014 г. </w:t>
      </w:r>
    </w:p>
    <w:p>
      <w:pPr>
        <w:jc w:val="both"/>
        <w:rPr>
          <w:rFonts w:ascii="Times New Roman" w:eastAsia="Calibri" w:hAnsi="Times New Roman" w:cs="Times New Roman"/>
          <w:bCs/>
          <w:noProof/>
          <w:sz w:val="24"/>
          <w:szCs w:val="24"/>
        </w:rPr>
      </w:pPr>
      <w:r>
        <w:rPr>
          <w:rFonts w:ascii="Times New Roman" w:hAnsi="Times New Roman"/>
          <w:noProof/>
          <w:sz w:val="24"/>
        </w:rPr>
        <w:t xml:space="preserve">Според доклади, предоставени от Република Кипър, общата стойност на </w:t>
      </w:r>
      <w:r>
        <w:rPr>
          <w:rFonts w:ascii="Times New Roman" w:hAnsi="Times New Roman"/>
          <w:noProof/>
          <w:sz w:val="24"/>
          <w:lang w:val="bg-BG"/>
        </w:rPr>
        <w:t xml:space="preserve">стоките с </w:t>
      </w:r>
      <w:r>
        <w:rPr>
          <w:rFonts w:ascii="Times New Roman" w:hAnsi="Times New Roman"/>
          <w:noProof/>
          <w:sz w:val="24"/>
        </w:rPr>
        <w:t>придружаващи документи през демаркационната линия се е увеличила леко с 2,8 % до 3 619 736 EUR (предходен период: 3 520 045 EUR). Увеличението е значително при продуктите от пластмаса, строителните материали/изделията от камък и необработен</w:t>
      </w:r>
      <w:r>
        <w:rPr>
          <w:rFonts w:ascii="Times New Roman" w:hAnsi="Times New Roman"/>
          <w:noProof/>
          <w:sz w:val="24"/>
          <w:lang w:val="bg-BG"/>
        </w:rPr>
        <w:t>ия</w:t>
      </w:r>
      <w:r>
        <w:rPr>
          <w:rFonts w:ascii="Times New Roman" w:hAnsi="Times New Roman"/>
          <w:noProof/>
          <w:sz w:val="24"/>
        </w:rPr>
        <w:t xml:space="preserve"> скрап. Според представители на тези сектори основната причина за това увеличение е стабилизирането на икономическата ситуация. </w:t>
      </w:r>
    </w:p>
    <w:p>
      <w:pPr>
        <w:jc w:val="both"/>
        <w:rPr>
          <w:rFonts w:ascii="Times New Roman" w:eastAsia="Calibri" w:hAnsi="Times New Roman" w:cs="Times New Roman"/>
          <w:noProof/>
          <w:sz w:val="24"/>
          <w:szCs w:val="24"/>
        </w:rPr>
      </w:pPr>
      <w:r>
        <w:rPr>
          <w:rFonts w:ascii="Times New Roman" w:hAnsi="Times New Roman"/>
          <w:noProof/>
          <w:sz w:val="24"/>
        </w:rPr>
        <w:t xml:space="preserve">Въпреки че не е в обхвата на РДЛ, търговията от контролираните от правителството зони към северната част на Кипър се е увеличила с около 5,4 % — от 1 246 930 EUR през 2014 г. на 1 314 271 EUR през 2015 г. според данните на Кипърската търговска и индустриална камара (КТИК). Търговията от контролираните от правителството зони към северната част на Кипър представлява 36,3 % от търговията в обратната посока (35,4 % през 2014 г.). </w:t>
      </w:r>
    </w:p>
    <w:p>
      <w:pPr>
        <w:jc w:val="both"/>
        <w:rPr>
          <w:rFonts w:ascii="Times New Roman" w:eastAsia="Calibri" w:hAnsi="Times New Roman" w:cs="Times New Roman"/>
          <w:noProof/>
          <w:sz w:val="24"/>
          <w:szCs w:val="24"/>
        </w:rPr>
      </w:pPr>
      <w:r>
        <w:rPr>
          <w:rFonts w:ascii="Times New Roman" w:hAnsi="Times New Roman"/>
          <w:noProof/>
          <w:sz w:val="24"/>
        </w:rPr>
        <w:t>Общността на кипърските турци продължава да прилага режим на търговия, който по принцип „отразява“ ограниченията в РДЛ. Този режим обаче невинаги се прилага последователно, което затруднява установяването на устойчиви търговски отношения. Като основна причина за това общността на кипърските турци открито посочва защитата на местните предприятия.</w:t>
      </w:r>
    </w:p>
    <w:p>
      <w:pPr>
        <w:keepNext/>
        <w:numPr>
          <w:ilvl w:val="1"/>
          <w:numId w:val="5"/>
        </w:numPr>
        <w:spacing w:before="120" w:after="120" w:line="240" w:lineRule="auto"/>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6"/>
          <w:lang w:eastAsia="en-GB"/>
        </w:rPr>
        <w:t>Вид на стоките</w:t>
      </w:r>
    </w:p>
    <w:p>
      <w:pPr>
        <w:jc w:val="both"/>
        <w:rPr>
          <w:rFonts w:ascii="Times New Roman" w:eastAsia="Calibri" w:hAnsi="Times New Roman" w:cs="Times New Roman"/>
          <w:noProof/>
          <w:sz w:val="24"/>
          <w:szCs w:val="24"/>
        </w:rPr>
      </w:pPr>
      <w:r>
        <w:rPr>
          <w:rFonts w:ascii="Times New Roman" w:hAnsi="Times New Roman"/>
          <w:noProof/>
          <w:sz w:val="24"/>
        </w:rPr>
        <w:t>Най-търгуваната стока през 2015</w:t>
      </w:r>
      <w:r>
        <w:rPr>
          <w:rFonts w:ascii="Times New Roman" w:hAnsi="Times New Roman"/>
          <w:noProof/>
          <w:sz w:val="24"/>
          <w:lang w:val="bg-BG"/>
        </w:rPr>
        <w:t> </w:t>
      </w:r>
      <w:r>
        <w:rPr>
          <w:rFonts w:ascii="Times New Roman" w:hAnsi="Times New Roman"/>
          <w:noProof/>
          <w:sz w:val="24"/>
        </w:rPr>
        <w:t>г. са били пластмасовите изделия, следвани от прясната риба и строителните материали/изделията от камък</w:t>
      </w:r>
      <w:r>
        <w:rPr>
          <w:rFonts w:ascii="Times New Roman" w:hAnsi="Times New Roman"/>
          <w:noProof/>
          <w:sz w:val="24"/>
          <w:vertAlign w:val="superscript"/>
        </w:rPr>
        <w:footnoteReference w:id="15"/>
      </w:r>
      <w:r>
        <w:rPr>
          <w:rFonts w:ascii="Times New Roman" w:hAnsi="Times New Roman"/>
          <w:noProof/>
          <w:sz w:val="24"/>
        </w:rPr>
        <w:t xml:space="preserve">. </w:t>
      </w:r>
    </w:p>
    <w:p>
      <w:pPr>
        <w:jc w:val="both"/>
        <w:rPr>
          <w:rFonts w:ascii="Times New Roman" w:eastAsia="Calibri" w:hAnsi="Times New Roman" w:cs="Times New Roman"/>
          <w:i/>
          <w:noProof/>
          <w:sz w:val="24"/>
          <w:szCs w:val="24"/>
        </w:rPr>
      </w:pPr>
      <w:r>
        <w:rPr>
          <w:rFonts w:ascii="Times New Roman" w:hAnsi="Times New Roman"/>
          <w:noProof/>
          <w:sz w:val="24"/>
        </w:rPr>
        <w:t>Бяха включени нови продукти, като например текстил. Цялата търговия през линията е представлявала търговия в рамките на острова, като липсва регистриран износ към други държави — членки на ЕС, или към трети държави.</w:t>
      </w:r>
    </w:p>
    <w:p>
      <w:pPr>
        <w:keepNext/>
        <w:numPr>
          <w:ilvl w:val="1"/>
          <w:numId w:val="5"/>
        </w:numPr>
        <w:spacing w:before="120" w:after="120" w:line="240" w:lineRule="auto"/>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6"/>
          <w:lang w:eastAsia="en-GB"/>
        </w:rPr>
        <w:t>Нередности</w:t>
      </w:r>
    </w:p>
    <w:p>
      <w:pPr>
        <w:jc w:val="both"/>
        <w:rPr>
          <w:rFonts w:ascii="Times New Roman" w:eastAsia="Calibri" w:hAnsi="Times New Roman" w:cs="Times New Roman"/>
          <w:noProof/>
          <w:sz w:val="24"/>
          <w:szCs w:val="24"/>
        </w:rPr>
      </w:pPr>
      <w:r>
        <w:rPr>
          <w:rFonts w:ascii="Times New Roman" w:hAnsi="Times New Roman"/>
          <w:noProof/>
          <w:sz w:val="24"/>
        </w:rPr>
        <w:t>Няма данни за случаи на нередности през обхванатия от доклада период.</w:t>
      </w:r>
    </w:p>
    <w:p>
      <w:pPr>
        <w:jc w:val="both"/>
        <w:rPr>
          <w:rFonts w:ascii="Times New Roman" w:eastAsia="Calibri" w:hAnsi="Times New Roman" w:cs="Times New Roman"/>
          <w:noProof/>
          <w:sz w:val="24"/>
          <w:szCs w:val="24"/>
        </w:rPr>
      </w:pPr>
      <w:r>
        <w:rPr>
          <w:rFonts w:ascii="Times New Roman" w:hAnsi="Times New Roman"/>
          <w:noProof/>
          <w:sz w:val="24"/>
        </w:rPr>
        <w:t>Република Кипър обаче е изпратила запитване в писмен вид до Комисията относно произхода и количествата плодове и зеленчуци, които се търгуват през демаркационната линия. Комисията обсъди темата с ТККТ, която потвърди, че търгуваните количества действително са произведени в северната част на Кипър.</w:t>
      </w:r>
    </w:p>
    <w:p>
      <w:pPr>
        <w:keepNext/>
        <w:numPr>
          <w:ilvl w:val="1"/>
          <w:numId w:val="5"/>
        </w:numPr>
        <w:spacing w:before="120" w:after="120" w:line="240" w:lineRule="auto"/>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6"/>
          <w:lang w:eastAsia="en-GB"/>
        </w:rPr>
        <w:t>Пречки и трудности във връзка с движението на стоки</w:t>
      </w:r>
    </w:p>
    <w:p>
      <w:pPr>
        <w:jc w:val="both"/>
        <w:rPr>
          <w:rFonts w:ascii="Times New Roman" w:eastAsia="Calibri" w:hAnsi="Times New Roman" w:cs="Times New Roman"/>
          <w:noProof/>
          <w:sz w:val="24"/>
          <w:szCs w:val="24"/>
        </w:rPr>
      </w:pPr>
      <w:r>
        <w:rPr>
          <w:rFonts w:ascii="Times New Roman" w:hAnsi="Times New Roman"/>
          <w:noProof/>
          <w:sz w:val="24"/>
        </w:rPr>
        <w:t xml:space="preserve">Все още има пречки пред търговията през демаркационната линия и според Комисията и турските икономически оператори това е причина за ограничената търговия. </w:t>
      </w:r>
    </w:p>
    <w:p>
      <w:pPr>
        <w:jc w:val="both"/>
        <w:rPr>
          <w:rFonts w:ascii="Times New Roman" w:eastAsia="Calibri" w:hAnsi="Times New Roman" w:cs="Times New Roman"/>
          <w:noProof/>
          <w:sz w:val="24"/>
          <w:szCs w:val="24"/>
        </w:rPr>
      </w:pPr>
      <w:r>
        <w:rPr>
          <w:rFonts w:ascii="Times New Roman" w:hAnsi="Times New Roman"/>
          <w:noProof/>
          <w:sz w:val="24"/>
        </w:rPr>
        <w:t>Както бе посочено в предишни доклади</w:t>
      </w:r>
      <w:r>
        <w:rPr>
          <w:rFonts w:ascii="Times New Roman" w:hAnsi="Times New Roman"/>
          <w:noProof/>
          <w:sz w:val="24"/>
          <w:vertAlign w:val="superscript"/>
        </w:rPr>
        <w:footnoteReference w:id="16"/>
      </w:r>
      <w:r>
        <w:rPr>
          <w:rFonts w:ascii="Times New Roman" w:hAnsi="Times New Roman"/>
          <w:noProof/>
          <w:sz w:val="24"/>
        </w:rPr>
        <w:t xml:space="preserve">, въпросът с преминаването на превозни средства за пренос на стоки от северната част на Кипър в контролираните от правителството зони все още не е решен и към настоящия момент </w:t>
      </w:r>
      <w:r>
        <w:rPr>
          <w:rFonts w:ascii="Times New Roman" w:hAnsi="Times New Roman"/>
          <w:noProof/>
          <w:sz w:val="24"/>
          <w:lang w:val="bg-BG"/>
        </w:rPr>
        <w:t xml:space="preserve">търговските превозни </w:t>
      </w:r>
      <w:r>
        <w:rPr>
          <w:rFonts w:ascii="Times New Roman" w:hAnsi="Times New Roman"/>
          <w:noProof/>
          <w:sz w:val="24"/>
        </w:rPr>
        <w:t>средства на кипърски турци над 7,5 тона не могат да пресичат линията освен ако не притежават документи, издадени от Република Кипър и съответстващи изцяло на достиженията на правото</w:t>
      </w:r>
      <w:r>
        <w:rPr>
          <w:rFonts w:ascii="Times New Roman" w:hAnsi="Times New Roman"/>
          <w:noProof/>
          <w:sz w:val="24"/>
          <w:lang w:val="bg-BG"/>
        </w:rPr>
        <w:t xml:space="preserve"> на ЕС</w:t>
      </w:r>
      <w:r>
        <w:rPr>
          <w:rFonts w:ascii="Times New Roman" w:hAnsi="Times New Roman"/>
          <w:noProof/>
          <w:sz w:val="24"/>
        </w:rPr>
        <w:t xml:space="preserve">. Органите на Република Кипър уведомиха Комисията, че са въвели разпоредби за улесняване на получаването от кипърските турци на удостоверения за техническа изправност и на професионални свидетелства за управление на превозни средства. Комисията е убедена, че решението на този проблем ще допринесе в значителна степен за повишаване на нивото на търговия, тъй като ще улесни превоза на товари. </w:t>
      </w:r>
      <w:r>
        <w:rPr>
          <w:rFonts w:ascii="Times New Roman" w:hAnsi="Times New Roman"/>
          <w:noProof/>
          <w:sz w:val="24"/>
          <w:lang w:val="bg-BG"/>
        </w:rPr>
        <w:t>Освен т</w:t>
      </w:r>
      <w:r>
        <w:rPr>
          <w:rFonts w:ascii="Times New Roman" w:hAnsi="Times New Roman"/>
          <w:noProof/>
          <w:sz w:val="24"/>
        </w:rPr>
        <w:t>ова</w:t>
      </w:r>
      <w:r>
        <w:rPr>
          <w:rFonts w:ascii="Times New Roman" w:hAnsi="Times New Roman"/>
          <w:noProof/>
          <w:sz w:val="24"/>
          <w:lang w:val="bg-BG"/>
        </w:rPr>
        <w:t>, това</w:t>
      </w:r>
      <w:r>
        <w:rPr>
          <w:rFonts w:ascii="Times New Roman" w:hAnsi="Times New Roman"/>
          <w:noProof/>
          <w:sz w:val="24"/>
        </w:rPr>
        <w:t xml:space="preserve"> би могло да укрепи контакта между кипърските икономически оператори, което ще спомогне в голяма степен за увеличаване на доверието между двете общности. Комисията е информирана от Република Кипър, че се предвижда решение на проблема.</w:t>
      </w:r>
    </w:p>
    <w:p>
      <w:pPr>
        <w:jc w:val="both"/>
        <w:rPr>
          <w:rFonts w:ascii="Times New Roman" w:eastAsia="Calibri" w:hAnsi="Times New Roman" w:cs="Times New Roman"/>
          <w:noProof/>
          <w:sz w:val="24"/>
          <w:szCs w:val="24"/>
        </w:rPr>
      </w:pPr>
      <w:r>
        <w:rPr>
          <w:rFonts w:ascii="Times New Roman" w:hAnsi="Times New Roman"/>
          <w:noProof/>
          <w:sz w:val="24"/>
        </w:rPr>
        <w:t xml:space="preserve">Както и през предходните години, органите на Република Кипър все още не разрешават преминаването през демаркационната линия на преработени хранителни продукти заради опасения на здравните служби във връзка с производствения процес в северната част на Кипър. Както вече е отбелязвано, Комисията остава на позицията, че съгласно Регламента за демаркационната линия няма основания за извършването на проверки на </w:t>
      </w:r>
      <w:r>
        <w:rPr>
          <w:rFonts w:ascii="Times New Roman" w:hAnsi="Times New Roman"/>
          <w:noProof/>
          <w:sz w:val="24"/>
          <w:lang w:val="bg-BG"/>
        </w:rPr>
        <w:t>обекти</w:t>
      </w:r>
      <w:r>
        <w:rPr>
          <w:rFonts w:ascii="Times New Roman" w:hAnsi="Times New Roman"/>
          <w:noProof/>
          <w:sz w:val="24"/>
        </w:rPr>
        <w:t xml:space="preserve"> в северната част на Кипър, за да се прецени дали производството се извършва в съответствие с правилата на Съюза</w:t>
      </w:r>
      <w:r>
        <w:rPr>
          <w:rFonts w:ascii="Times New Roman" w:hAnsi="Times New Roman"/>
          <w:noProof/>
          <w:sz w:val="24"/>
          <w:vertAlign w:val="superscript"/>
        </w:rPr>
        <w:footnoteReference w:id="17"/>
      </w:r>
      <w:r>
        <w:rPr>
          <w:rFonts w:ascii="Times New Roman" w:hAnsi="Times New Roman"/>
          <w:noProof/>
          <w:sz w:val="24"/>
        </w:rPr>
        <w:t xml:space="preserve">. Въпреки че органите на Република Кипър могат да вземат проби от продуктите за допълнителен анализ в съответствие с прилагането на Регламента за демаркационната линия, те не трябва да възпрепятстват преминаването на всички преработени хранителни продукти. Що се отнася до </w:t>
      </w:r>
      <w:r>
        <w:rPr>
          <w:rFonts w:ascii="Times New Roman" w:hAnsi="Times New Roman"/>
          <w:noProof/>
          <w:sz w:val="24"/>
          <w:lang w:val="bg-BG"/>
        </w:rPr>
        <w:t xml:space="preserve">търговските превозни </w:t>
      </w:r>
      <w:r>
        <w:rPr>
          <w:rFonts w:ascii="Times New Roman" w:hAnsi="Times New Roman"/>
          <w:noProof/>
          <w:sz w:val="24"/>
        </w:rPr>
        <w:t xml:space="preserve">средства, Република Кипър </w:t>
      </w:r>
      <w:r>
        <w:rPr>
          <w:rFonts w:ascii="Times New Roman" w:hAnsi="Times New Roman"/>
          <w:noProof/>
          <w:sz w:val="24"/>
          <w:lang w:val="bg-BG"/>
        </w:rPr>
        <w:t xml:space="preserve">уведоми </w:t>
      </w:r>
      <w:r>
        <w:rPr>
          <w:rFonts w:ascii="Times New Roman" w:hAnsi="Times New Roman"/>
          <w:noProof/>
          <w:sz w:val="24"/>
        </w:rPr>
        <w:t xml:space="preserve">Комисията, че се предвижда решение на проблема. </w:t>
      </w:r>
    </w:p>
    <w:p>
      <w:pPr>
        <w:jc w:val="both"/>
        <w:rPr>
          <w:rFonts w:ascii="Times New Roman" w:eastAsia="Calibri" w:hAnsi="Times New Roman" w:cs="Times New Roman"/>
          <w:noProof/>
          <w:sz w:val="24"/>
          <w:szCs w:val="24"/>
        </w:rPr>
      </w:pPr>
      <w:r>
        <w:rPr>
          <w:rFonts w:ascii="Times New Roman" w:hAnsi="Times New Roman"/>
          <w:noProof/>
          <w:sz w:val="24"/>
        </w:rPr>
        <w:t>Както и през предходните години, кипърски турски търговци продължиха да съобщават за трудности при снабдяването на магазини и при рекламирането на свои продукти и услуги в контролираните от правителството зони, което представлява пречка пред търговията. Търговците продължават да съобщават за нежеланието на кипърските гърци да купуват стоки</w:t>
      </w:r>
      <w:r>
        <w:rPr>
          <w:rFonts w:ascii="Times New Roman" w:hAnsi="Times New Roman"/>
          <w:noProof/>
          <w:sz w:val="24"/>
          <w:lang w:val="bg-BG"/>
        </w:rPr>
        <w:t>те</w:t>
      </w:r>
      <w:r>
        <w:rPr>
          <w:rFonts w:ascii="Times New Roman" w:hAnsi="Times New Roman"/>
          <w:noProof/>
          <w:sz w:val="24"/>
        </w:rPr>
        <w:t xml:space="preserve"> на кипърските турци. Освен това беше отбелязано, че търговците от двете общности са изправени пред редица административни проблеми, когато желаят да започнат </w:t>
      </w:r>
      <w:r>
        <w:rPr>
          <w:rFonts w:ascii="Times New Roman" w:hAnsi="Times New Roman"/>
          <w:noProof/>
          <w:sz w:val="24"/>
          <w:lang w:val="bg-BG"/>
        </w:rPr>
        <w:t xml:space="preserve">съвместна стопанска дейност </w:t>
      </w:r>
      <w:r>
        <w:rPr>
          <w:rFonts w:ascii="Times New Roman" w:hAnsi="Times New Roman"/>
          <w:noProof/>
          <w:sz w:val="24"/>
        </w:rPr>
        <w:t xml:space="preserve">с другата общност. Икономическите оператори от двете страни трябва да бъдат свободни да участват в търговски отношения, основани на изискванията на стопанската им дейност. </w:t>
      </w:r>
    </w:p>
    <w:p>
      <w:pPr>
        <w:jc w:val="both"/>
        <w:rPr>
          <w:rFonts w:ascii="Times New Roman" w:eastAsia="Calibri" w:hAnsi="Times New Roman" w:cs="Times New Roman"/>
          <w:noProof/>
          <w:sz w:val="24"/>
          <w:szCs w:val="24"/>
        </w:rPr>
      </w:pPr>
      <w:r>
        <w:rPr>
          <w:rFonts w:ascii="Times New Roman" w:hAnsi="Times New Roman"/>
          <w:noProof/>
          <w:sz w:val="24"/>
        </w:rPr>
        <w:t xml:space="preserve">През 2015, Комисията е получила жалби от кипърски турски производители относно предполагаем отказ от страна на съответните органи на Република Кипър да разрешават търговия с материали, най-вече пластмаса, предназначена за контакт с храни. Комисията постави въпроса пред органите на Република Кипър и беше информирана, че те прилагат същите изисквания за тези продукти, които прилагат и за преработените хранителни продукти. </w:t>
      </w:r>
    </w:p>
    <w:p>
      <w:pPr>
        <w:keepNext/>
        <w:numPr>
          <w:ilvl w:val="1"/>
          <w:numId w:val="5"/>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Контрабанда на стоки</w:t>
      </w:r>
    </w:p>
    <w:p>
      <w:pPr>
        <w:jc w:val="both"/>
        <w:rPr>
          <w:rFonts w:ascii="Times New Roman" w:eastAsia="Calibri" w:hAnsi="Times New Roman" w:cs="Times New Roman"/>
          <w:noProof/>
          <w:sz w:val="24"/>
          <w:szCs w:val="24"/>
        </w:rPr>
      </w:pPr>
      <w:r>
        <w:rPr>
          <w:rFonts w:ascii="Times New Roman" w:hAnsi="Times New Roman"/>
          <w:noProof/>
          <w:sz w:val="24"/>
        </w:rPr>
        <w:t xml:space="preserve">Контрабандата на стоки продължава да е широко разпространена, отразявайки географския характер на линията. Операциите по контрол се провеждат в райони близо до линията с цел да бъдат разрешени сезонни по характер проблеми като транспортирането на дивеч/диви птици или фойерверки (също през ИСЗ) към контролираните от правителството зони. </w:t>
      </w:r>
    </w:p>
    <w:p>
      <w:pPr>
        <w:jc w:val="both"/>
        <w:rPr>
          <w:rFonts w:ascii="Times New Roman" w:eastAsia="Calibri" w:hAnsi="Times New Roman" w:cs="Times New Roman"/>
          <w:i/>
          <w:noProof/>
          <w:sz w:val="24"/>
          <w:szCs w:val="24"/>
        </w:rPr>
      </w:pPr>
      <w:r>
        <w:rPr>
          <w:rFonts w:ascii="Times New Roman" w:hAnsi="Times New Roman"/>
          <w:noProof/>
          <w:sz w:val="24"/>
        </w:rPr>
        <w:t xml:space="preserve">През 2015 г. Република Кипър е извършила 2689 изземвания (предходен период: 2627). През 2015 г. е налице увеличение на количеството на иззетите от Република Кипър цигари и тютюн за ръчно свиване на цигари: 244 457 цигари и 399 283 грама тютюн за ръчно свиване на цигари (предходен период: съответно 140 029 цигари и 370 794 грама). </w:t>
      </w:r>
      <w:r>
        <w:rPr>
          <w:rFonts w:ascii="Times New Roman" w:hAnsi="Times New Roman"/>
          <w:noProof/>
          <w:sz w:val="24"/>
          <w:lang w:val="bg-BG"/>
        </w:rPr>
        <w:t>Беше докладвано</w:t>
      </w:r>
      <w:r>
        <w:rPr>
          <w:rFonts w:ascii="Times New Roman" w:hAnsi="Times New Roman"/>
          <w:noProof/>
          <w:sz w:val="24"/>
        </w:rPr>
        <w:t>, че в повечето случаи контрабандата се извършва в малки количества. Контрабандата се дължи на разлики</w:t>
      </w:r>
      <w:r>
        <w:rPr>
          <w:rFonts w:ascii="Times New Roman" w:hAnsi="Times New Roman"/>
          <w:noProof/>
          <w:sz w:val="24"/>
          <w:lang w:val="bg-BG"/>
        </w:rPr>
        <w:t>те</w:t>
      </w:r>
      <w:r>
        <w:rPr>
          <w:rFonts w:ascii="Times New Roman" w:hAnsi="Times New Roman"/>
          <w:noProof/>
          <w:sz w:val="24"/>
        </w:rPr>
        <w:t xml:space="preserve"> в цените и на по-високите данъци на Република Кипър върху тютюневите изделия. Сред другите иззети стоки са предимно стоки, нарушаващи правата върху интелектуалната собственост, селскостопански, както и животински и млечни продукти. В районния съд има едно образувано наказателно дело за контрабанда. При по-голямата част от случаите, за които е докладвано, е наложено административно наказание.</w:t>
      </w:r>
    </w:p>
    <w:p>
      <w:pPr>
        <w:jc w:val="both"/>
        <w:rPr>
          <w:rFonts w:ascii="Times New Roman" w:eastAsia="Calibri" w:hAnsi="Times New Roman" w:cs="Times New Roman"/>
          <w:noProof/>
          <w:sz w:val="24"/>
          <w:szCs w:val="24"/>
        </w:rPr>
      </w:pPr>
      <w:r>
        <w:rPr>
          <w:rFonts w:ascii="Times New Roman" w:hAnsi="Times New Roman"/>
          <w:noProof/>
          <w:sz w:val="24"/>
        </w:rPr>
        <w:t xml:space="preserve">През 2015 г. бе разкрито по-малко количество стоки в рамките на ИСЗ. През 2015 г. са били извършени 351 изземвания (предходен период: 452) и, както и преди, най-често изземваните стоки са цигари и тютюн за ръчно свиване на цигари. </w:t>
      </w:r>
    </w:p>
    <w:p>
      <w:pPr>
        <w:jc w:val="both"/>
        <w:rPr>
          <w:rFonts w:ascii="Times New Roman" w:eastAsia="Calibri" w:hAnsi="Times New Roman" w:cs="Times New Roman"/>
          <w:noProof/>
          <w:sz w:val="24"/>
          <w:szCs w:val="24"/>
        </w:rPr>
      </w:pPr>
      <w:r>
        <w:rPr>
          <w:rFonts w:ascii="Times New Roman" w:hAnsi="Times New Roman"/>
          <w:noProof/>
          <w:sz w:val="24"/>
        </w:rPr>
        <w:t xml:space="preserve">Що се отнася до редовното снабдяване на населението от кипърски турци на село </w:t>
      </w:r>
      <w:r>
        <w:rPr>
          <w:rFonts w:ascii="Times New Roman" w:eastAsia="Calibri" w:hAnsi="Times New Roman" w:cs="Times New Roman"/>
          <w:noProof/>
          <w:sz w:val="24"/>
          <w:szCs w:val="24"/>
        </w:rPr>
        <w:t>Pyla</w:t>
      </w:r>
      <w:r>
        <w:rPr>
          <w:rFonts w:ascii="Times New Roman" w:hAnsi="Times New Roman"/>
          <w:noProof/>
          <w:sz w:val="24"/>
        </w:rPr>
        <w:t xml:space="preserve">, разположено в буферната зона (член 4, параграф 10 от РДЛ), количествата строителни материали, риба, цигари и т.н. се наблюдават и записват от администрацията на ИСЗ. </w:t>
      </w:r>
    </w:p>
    <w:p>
      <w:pPr>
        <w:keepNext/>
        <w:numPr>
          <w:ilvl w:val="1"/>
          <w:numId w:val="5"/>
        </w:numPr>
        <w:spacing w:before="120" w:after="120" w:line="240" w:lineRule="auto"/>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6"/>
          <w:lang w:eastAsia="en-GB"/>
        </w:rPr>
        <w:t>Улесняване на търговията</w:t>
      </w:r>
    </w:p>
    <w:p>
      <w:pPr>
        <w:jc w:val="both"/>
        <w:rPr>
          <w:rFonts w:ascii="Times New Roman" w:eastAsia="Calibri" w:hAnsi="Times New Roman" w:cs="Times New Roman"/>
          <w:noProof/>
          <w:sz w:val="24"/>
          <w:szCs w:val="24"/>
        </w:rPr>
      </w:pPr>
      <w:r>
        <w:rPr>
          <w:rFonts w:ascii="Times New Roman" w:hAnsi="Times New Roman"/>
          <w:noProof/>
          <w:sz w:val="24"/>
        </w:rPr>
        <w:t>Комисията продължава да търси начини за увеличаване на търговията през линията</w:t>
      </w:r>
      <w:r>
        <w:rPr>
          <w:rFonts w:ascii="Times New Roman" w:hAnsi="Times New Roman"/>
          <w:noProof/>
          <w:sz w:val="24"/>
          <w:vertAlign w:val="superscript"/>
        </w:rPr>
        <w:footnoteReference w:id="18"/>
      </w:r>
      <w:r>
        <w:rPr>
          <w:rFonts w:ascii="Times New Roman" w:hAnsi="Times New Roman"/>
          <w:noProof/>
          <w:sz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rPr>
        <w:t>През юли 2015 г. Комисията прие предложение до Съвета за изменение на Регламента за демаркационната линия, за да се установи начинът, по който механизмът за контрол по отношение на стоките, обхванати от наименование, регистрирано съгласно Регламент (ЕС) № 1151/2012, ще бъде прилаган в зоните на Република Кипър, в които Правителството на Република Кипър не упражнява ефективен контрол</w:t>
      </w:r>
      <w:r>
        <w:rPr>
          <w:rFonts w:ascii="Times New Roman" w:hAnsi="Times New Roman"/>
          <w:noProof/>
          <w:sz w:val="24"/>
          <w:vertAlign w:val="superscript"/>
        </w:rPr>
        <w:footnoteReference w:id="19"/>
      </w:r>
      <w:r>
        <w:rPr>
          <w:rFonts w:ascii="Times New Roman" w:hAnsi="Times New Roman"/>
          <w:noProof/>
          <w:sz w:val="24"/>
        </w:rPr>
        <w:t>. Предложението е въз основа на постигнатото под ръководството на председателя Юнкер по време на неотдавнашното му посещение в Кипър на 16 юли 2015 г.</w:t>
      </w:r>
      <w:r>
        <w:rPr>
          <w:rFonts w:ascii="Times New Roman" w:hAnsi="Times New Roman"/>
          <w:noProof/>
          <w:sz w:val="24"/>
          <w:vertAlign w:val="superscript"/>
        </w:rPr>
        <w:footnoteReference w:id="20"/>
      </w:r>
      <w:r>
        <w:rPr>
          <w:rFonts w:ascii="Times New Roman" w:hAnsi="Times New Roman"/>
          <w:noProof/>
          <w:sz w:val="24"/>
        </w:rPr>
        <w:t xml:space="preserve"> общо съгласие по временно решение за сиренето „Halloumi/Hellim“, което да се прилага в очакване на обединението на Кипър. В края на обхванатия от доклада период Съветът все още не е взел решение по предложението. </w:t>
      </w:r>
    </w:p>
    <w:p>
      <w:pPr>
        <w:jc w:val="both"/>
        <w:rPr>
          <w:rFonts w:ascii="Times New Roman" w:eastAsia="Calibri" w:hAnsi="Times New Roman" w:cs="Times New Roman"/>
          <w:noProof/>
          <w:sz w:val="24"/>
          <w:szCs w:val="24"/>
        </w:rPr>
      </w:pPr>
      <w:r>
        <w:rPr>
          <w:rFonts w:ascii="Times New Roman" w:hAnsi="Times New Roman"/>
          <w:noProof/>
          <w:sz w:val="24"/>
        </w:rPr>
        <w:t>ТККТ продължи да изразява общ интерес от премахването на забраната за търговия с живи животни и продукти от животински произход, включително млечни продукти, доколкото тези продукти са в съответствие с правилата и разпоредбите на ЕС. Понастоящем Комисията разглежда искане</w:t>
      </w:r>
      <w:r>
        <w:rPr>
          <w:rFonts w:ascii="Times New Roman" w:hAnsi="Times New Roman"/>
          <w:noProof/>
          <w:sz w:val="24"/>
          <w:lang w:val="bg-BG"/>
        </w:rPr>
        <w:t>то</w:t>
      </w:r>
      <w:r>
        <w:rPr>
          <w:rFonts w:ascii="Times New Roman" w:hAnsi="Times New Roman"/>
          <w:noProof/>
          <w:sz w:val="24"/>
        </w:rPr>
        <w:t xml:space="preserve"> за разрешаване на търговията с риба от рибовъдни стопанства. Република Кипър многократно е изразявала готовността си да обмисли възможността за включването на нови стоки в списъка на стоките, които могат да преминават в контролираните от правителството зони.</w:t>
      </w:r>
    </w:p>
    <w:p>
      <w:pPr>
        <w:jc w:val="both"/>
        <w:rPr>
          <w:rFonts w:ascii="Times New Roman" w:eastAsia="Calibri" w:hAnsi="Times New Roman" w:cs="Times New Roman"/>
          <w:noProof/>
          <w:sz w:val="24"/>
          <w:szCs w:val="24"/>
        </w:rPr>
      </w:pPr>
      <w:r>
        <w:rPr>
          <w:rFonts w:ascii="Times New Roman" w:hAnsi="Times New Roman"/>
          <w:noProof/>
          <w:sz w:val="24"/>
        </w:rPr>
        <w:t xml:space="preserve">Комисията насърчава икономическите оператори да се възползват от възможностите за </w:t>
      </w:r>
      <w:r>
        <w:rPr>
          <w:rFonts w:ascii="Times New Roman" w:hAnsi="Times New Roman"/>
          <w:noProof/>
          <w:sz w:val="24"/>
          <w:lang w:val="bg-BG"/>
        </w:rPr>
        <w:t>стопанска дейност</w:t>
      </w:r>
      <w:r>
        <w:rPr>
          <w:rFonts w:ascii="Times New Roman" w:hAnsi="Times New Roman"/>
          <w:noProof/>
          <w:sz w:val="24"/>
        </w:rPr>
        <w:t xml:space="preserve"> и приветства </w:t>
      </w:r>
      <w:r>
        <w:rPr>
          <w:rFonts w:ascii="Times New Roman" w:hAnsi="Times New Roman"/>
          <w:noProof/>
          <w:sz w:val="24"/>
          <w:lang w:val="bg-BG"/>
        </w:rPr>
        <w:t>съществените</w:t>
      </w:r>
      <w:r>
        <w:rPr>
          <w:rFonts w:ascii="Times New Roman" w:hAnsi="Times New Roman"/>
          <w:noProof/>
          <w:sz w:val="24"/>
        </w:rPr>
        <w:t xml:space="preserve"> усилия, положени от търговските камари. </w:t>
      </w:r>
    </w:p>
    <w:p>
      <w:pPr>
        <w:jc w:val="both"/>
        <w:rPr>
          <w:rFonts w:ascii="Times New Roman" w:eastAsia="Calibri" w:hAnsi="Times New Roman" w:cs="Times New Roman"/>
          <w:noProof/>
          <w:sz w:val="24"/>
          <w:szCs w:val="24"/>
        </w:rPr>
      </w:pPr>
      <w:r>
        <w:rPr>
          <w:rFonts w:ascii="Times New Roman" w:hAnsi="Times New Roman"/>
          <w:noProof/>
          <w:sz w:val="24"/>
        </w:rPr>
        <w:t xml:space="preserve">В рамките на проект, финансиран от ЕС, Търговската камара на кипърските турци и Кипърската търговска и индустриална камара осъществяват проекта „Да бъдем за пример“ („Leading by Example“). Тази програма осигурява за младите кипърски гърци и кипърски турци възможност за стаж в предприятие от другата страна на демаркационната линия. Проектът има за цел да спомогне за диалога, доверието, сътрудничеството и помирението между гражданските общества, включително бизнес общностите, на цялата територия на Кипър. </w:t>
      </w:r>
    </w:p>
    <w:p>
      <w:pPr>
        <w:jc w:val="both"/>
        <w:rPr>
          <w:rFonts w:ascii="Times New Roman" w:eastAsia="Calibri" w:hAnsi="Times New Roman" w:cs="Times New Roman"/>
          <w:noProof/>
          <w:sz w:val="24"/>
          <w:szCs w:val="24"/>
        </w:rPr>
      </w:pPr>
      <w:r>
        <w:rPr>
          <w:rFonts w:ascii="Times New Roman" w:hAnsi="Times New Roman"/>
          <w:noProof/>
          <w:sz w:val="24"/>
        </w:rPr>
        <w:t>В рамките на този проект през юли 2015 г. камарите организираха също така събитие на двете общности на високо равнище с участието на двамата лидери, които споделиха идеите си за развитието на кипърската икономика в периода след постигане на споразумение и обясниха, че едно цялостно решение ще донесе икономически ползи и за двете общности на острова и ще допринесе за стабилността в региона.</w:t>
      </w:r>
    </w:p>
    <w:p>
      <w:pPr>
        <w:keepNext/>
        <w:numPr>
          <w:ilvl w:val="1"/>
          <w:numId w:val="5"/>
        </w:numPr>
        <w:spacing w:before="120" w:after="120" w:line="240" w:lineRule="auto"/>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6"/>
          <w:lang w:eastAsia="en-GB"/>
        </w:rPr>
        <w:t xml:space="preserve">Стоки от ЕС, </w:t>
      </w:r>
      <w:r>
        <w:rPr>
          <w:rFonts w:ascii="Times New Roman" w:eastAsia="Times New Roman" w:hAnsi="Times New Roman" w:cs="Times New Roman"/>
          <w:b/>
          <w:bCs/>
          <w:noProof/>
          <w:sz w:val="24"/>
          <w:szCs w:val="26"/>
          <w:lang w:val="bg-BG" w:eastAsia="en-GB"/>
        </w:rPr>
        <w:t>върнати</w:t>
      </w:r>
      <w:r>
        <w:rPr>
          <w:rFonts w:ascii="Times New Roman" w:eastAsia="Times New Roman" w:hAnsi="Times New Roman" w:cs="Times New Roman"/>
          <w:b/>
          <w:bCs/>
          <w:noProof/>
          <w:sz w:val="24"/>
          <w:szCs w:val="26"/>
          <w:lang w:eastAsia="en-GB"/>
        </w:rPr>
        <w:t xml:space="preserve"> в зоните, в които правителството на Република Кипър осъществява ефективен контрол, след преминаване през зоните, в които правителството не осъществява ефективен контрол.</w:t>
      </w:r>
    </w:p>
    <w:p>
      <w:pPr>
        <w:jc w:val="both"/>
        <w:rPr>
          <w:rFonts w:ascii="Times New Roman" w:eastAsia="Calibri" w:hAnsi="Times New Roman" w:cs="Times New Roman"/>
          <w:noProof/>
          <w:sz w:val="24"/>
          <w:szCs w:val="24"/>
        </w:rPr>
      </w:pPr>
      <w:r>
        <w:rPr>
          <w:rFonts w:ascii="Times New Roman" w:hAnsi="Times New Roman"/>
          <w:noProof/>
          <w:sz w:val="24"/>
        </w:rPr>
        <w:t xml:space="preserve">Органите на Република Кипър докладваха, че 6280 стоки са били </w:t>
      </w:r>
      <w:r>
        <w:rPr>
          <w:rFonts w:ascii="Times New Roman" w:hAnsi="Times New Roman"/>
          <w:noProof/>
          <w:sz w:val="24"/>
          <w:lang w:val="bg-BG"/>
        </w:rPr>
        <w:t>върнати</w:t>
      </w:r>
      <w:r>
        <w:rPr>
          <w:rFonts w:ascii="Times New Roman" w:hAnsi="Times New Roman"/>
          <w:noProof/>
          <w:sz w:val="24"/>
        </w:rPr>
        <w:t xml:space="preserve"> в контролираните от правителството зони, след като са преминали през зоните, които не се контролират от правителството. Отбелязано беше, че тези преминавания са били осъществени безпроблемно, като повечето от тях са били към пропускателните пунктове Kato Pyrgos-Karavostasi и Astromeritis-Zhodia и от тях.</w:t>
      </w:r>
    </w:p>
    <w:p>
      <w:pPr>
        <w:keepNext/>
        <w:numPr>
          <w:ilvl w:val="0"/>
          <w:numId w:val="5"/>
        </w:numPr>
        <w:spacing w:before="360" w:after="120" w:line="240" w:lineRule="auto"/>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8"/>
          <w:lang w:eastAsia="en-GB"/>
        </w:rPr>
        <w:t>ЗАКЛЮЧЕНИЯ</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Както беше посочено в предходните доклади, контролът на линията, извършван от органите на Република Кипър и администрацията на СЗ на установените пропускателни пунктове, и полаганите усилия са задоволителни въпреки бюджетните ограничения. Броят на лицата, които неправомерно преминават през линията, се е увеличил и ситуацията трябва да бъде внимателно следена.</w:t>
      </w:r>
      <w:r>
        <w:rPr>
          <w:noProof/>
        </w:rPr>
        <w:t xml:space="preserve"> </w:t>
      </w:r>
      <w:r>
        <w:rPr>
          <w:rFonts w:ascii="Times New Roman" w:hAnsi="Times New Roman"/>
          <w:noProof/>
          <w:sz w:val="24"/>
        </w:rPr>
        <w:t>Комисията също така продължава да призовава администрацията на СЗ да намери подходящо решение на проблема с не</w:t>
      </w:r>
      <w:r>
        <w:rPr>
          <w:rFonts w:ascii="Times New Roman" w:hAnsi="Times New Roman"/>
          <w:noProof/>
          <w:sz w:val="24"/>
          <w:lang w:val="bg-BG"/>
        </w:rPr>
        <w:t>разрешените</w:t>
      </w:r>
      <w:r>
        <w:rPr>
          <w:rFonts w:ascii="Times New Roman" w:hAnsi="Times New Roman"/>
          <w:noProof/>
          <w:sz w:val="24"/>
        </w:rPr>
        <w:t xml:space="preserve"> пропускателни пунктове.</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Комисията остава на мнение, че стабилността, предвидимостта и правната сигурност на изискванията на пропускателните пунктове, както и свободното движение на гражданите на ЕС, са от първостепенно значение.</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 xml:space="preserve">През обхванатия от доклада период Комисията измени приложение I към РДЛ, като включи два нови пропускателни пункта в </w:t>
      </w:r>
      <w:r>
        <w:rPr>
          <w:rFonts w:ascii="Times New Roman" w:eastAsia="Calibri" w:hAnsi="Times New Roman" w:cs="Times New Roman"/>
          <w:noProof/>
          <w:sz w:val="24"/>
          <w:szCs w:val="24"/>
        </w:rPr>
        <w:t>Deryneia</w:t>
      </w:r>
      <w:r>
        <w:rPr>
          <w:rFonts w:ascii="Times New Roman" w:hAnsi="Times New Roman"/>
          <w:noProof/>
          <w:sz w:val="24"/>
        </w:rPr>
        <w:t xml:space="preserve"> и </w:t>
      </w:r>
      <w:r>
        <w:rPr>
          <w:rFonts w:ascii="Times New Roman" w:eastAsia="Calibri" w:hAnsi="Times New Roman" w:cs="Times New Roman"/>
          <w:noProof/>
          <w:sz w:val="24"/>
          <w:szCs w:val="24"/>
        </w:rPr>
        <w:t>Lefka-Apliki</w:t>
      </w:r>
      <w:r>
        <w:rPr>
          <w:rFonts w:ascii="Times New Roman" w:hAnsi="Times New Roman"/>
          <w:noProof/>
          <w:sz w:val="24"/>
        </w:rPr>
        <w:t xml:space="preserve">. Разкриването на новите пропускателни пунктове ще бъде финансирано от Комисията. </w:t>
      </w:r>
    </w:p>
    <w:p>
      <w:pPr>
        <w:jc w:val="both"/>
        <w:rPr>
          <w:rFonts w:ascii="Times New Roman" w:eastAsia="Calibri" w:hAnsi="Times New Roman" w:cs="Times New Roman"/>
          <w:noProof/>
          <w:sz w:val="24"/>
          <w:szCs w:val="24"/>
        </w:rPr>
      </w:pPr>
      <w:r>
        <w:rPr>
          <w:rFonts w:ascii="Times New Roman" w:hAnsi="Times New Roman"/>
          <w:noProof/>
          <w:sz w:val="24"/>
        </w:rPr>
        <w:t xml:space="preserve">През 2015 г. стойността на търговския обмен през демаркационната линия е нараснал слабо с 2,8 % до 3 619 736 EUR от 3 520 045 EUR — според данни на Република Кипър, докато стойността на стоките, за които са издадени придружаващи документи от ТККТ, се е увеличила леко с 0,58 % от 3 911 189 EUR на 3 933 918 EUR. Най-търгуваната стока са били пластмасовите изделия, следвани от прясната риба и строителните материали/изделия от камък. Въпреки лекото увеличение през 2015 г. общият мащаб на търговския обмен остава ограничен, отчасти поради специфичния обхват на самия </w:t>
      </w:r>
      <w:r>
        <w:rPr>
          <w:rFonts w:ascii="Times New Roman" w:hAnsi="Times New Roman"/>
          <w:noProof/>
          <w:sz w:val="24"/>
          <w:lang w:val="bg-BG"/>
        </w:rPr>
        <w:t>р</w:t>
      </w:r>
      <w:r>
        <w:rPr>
          <w:rFonts w:ascii="Times New Roman" w:hAnsi="Times New Roman"/>
          <w:noProof/>
          <w:sz w:val="24"/>
        </w:rPr>
        <w:t xml:space="preserve">егламент, и е значително по-нисък от отчетените през пиковия период на търговията 6 151 989 EUR през 2008 г. </w:t>
      </w:r>
    </w:p>
    <w:p>
      <w:pPr>
        <w:jc w:val="both"/>
        <w:rPr>
          <w:rFonts w:ascii="Times New Roman" w:eastAsia="Calibri" w:hAnsi="Times New Roman" w:cs="Times New Roman"/>
          <w:noProof/>
          <w:sz w:val="24"/>
          <w:szCs w:val="24"/>
        </w:rPr>
      </w:pPr>
      <w:r>
        <w:rPr>
          <w:rFonts w:ascii="Times New Roman" w:hAnsi="Times New Roman"/>
          <w:noProof/>
          <w:sz w:val="24"/>
        </w:rPr>
        <w:t>Кипърската търговска и индустриална камара и Търговската камара на кипърските турци продължават тясното си сътрудничество и застъпничество за постигане на решение по кипърския въпрос, което според тях ще донесе икономически ползи и за двете общности.</w:t>
      </w:r>
    </w:p>
    <w:p>
      <w:pPr>
        <w:jc w:val="both"/>
        <w:rPr>
          <w:rFonts w:ascii="Times New Roman" w:eastAsia="Calibri" w:hAnsi="Times New Roman" w:cs="Times New Roman"/>
          <w:noProof/>
          <w:sz w:val="24"/>
          <w:szCs w:val="24"/>
        </w:rPr>
      </w:pPr>
      <w:r>
        <w:rPr>
          <w:rFonts w:ascii="Times New Roman" w:hAnsi="Times New Roman"/>
          <w:noProof/>
          <w:sz w:val="24"/>
        </w:rPr>
        <w:t xml:space="preserve">През обхванатия от доклада период продължиха да са налице определени пречки пред търговията. Все още в сила е забраната на органите на Република Кипър за преминаване на </w:t>
      </w:r>
      <w:r>
        <w:rPr>
          <w:rFonts w:ascii="Times New Roman" w:hAnsi="Times New Roman"/>
          <w:noProof/>
          <w:sz w:val="24"/>
          <w:lang w:val="bg-BG"/>
        </w:rPr>
        <w:t xml:space="preserve">търговски превозни </w:t>
      </w:r>
      <w:r>
        <w:rPr>
          <w:rFonts w:ascii="Times New Roman" w:hAnsi="Times New Roman"/>
          <w:noProof/>
          <w:sz w:val="24"/>
        </w:rPr>
        <w:t xml:space="preserve">средства над 7,5 тона на кипърски турци и </w:t>
      </w:r>
      <w:r>
        <w:rPr>
          <w:rFonts w:ascii="Times New Roman" w:hAnsi="Times New Roman"/>
          <w:noProof/>
          <w:sz w:val="24"/>
          <w:lang w:val="bg-BG"/>
        </w:rPr>
        <w:t xml:space="preserve">за </w:t>
      </w:r>
      <w:r>
        <w:rPr>
          <w:rFonts w:ascii="Times New Roman" w:hAnsi="Times New Roman"/>
          <w:noProof/>
          <w:sz w:val="24"/>
        </w:rPr>
        <w:t xml:space="preserve">преработени храни. Република Кипър е информирала Комисията, че се предвижда решение на тези проблеми. </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 xml:space="preserve">Като цяло, въпреки че Регламентът за демаркационната линия продължава да предоставя работеща основа за разрешаване на преминаването на хора и стоки към контролираните от правителството зони на Република Кипър и от тях, Комисията остава загрижена за ниското равнище на търговията. Комисията смята, че премахването </w:t>
      </w:r>
      <w:r>
        <w:rPr>
          <w:rFonts w:ascii="Times New Roman" w:hAnsi="Times New Roman"/>
          <w:noProof/>
          <w:sz w:val="24"/>
          <w:lang w:val="bg-BG"/>
        </w:rPr>
        <w:t xml:space="preserve">на </w:t>
      </w:r>
      <w:r>
        <w:rPr>
          <w:rFonts w:ascii="Times New Roman" w:hAnsi="Times New Roman"/>
          <w:noProof/>
          <w:sz w:val="24"/>
        </w:rPr>
        <w:t>горепосочените пречки пред търговията може да допринесе за значително увеличаване на търговията през демаркационната линия. Комисията се надява, че добрият тон в текущия кръг от преговорите за постигане на споразумение и работата на двете камари за засилване на контактите между двете бизнес общности ще доведат до увеличение на икономическите връзки.</w:t>
      </w:r>
    </w:p>
    <w:p>
      <w:pPr>
        <w:autoSpaceDE w:val="0"/>
        <w:autoSpaceDN w:val="0"/>
        <w:adjustRightInd w:val="0"/>
        <w:jc w:val="both"/>
        <w:rPr>
          <w:noProof/>
        </w:rPr>
      </w:pPr>
      <w:r>
        <w:rPr>
          <w:rFonts w:ascii="Times New Roman" w:hAnsi="Times New Roman"/>
          <w:noProof/>
          <w:sz w:val="24"/>
        </w:rPr>
        <w:t>В този контекст Комисията разчита на ефективното сътрудничество на Република Кипър и на СЗ, за да се гарантира ефективното прилагане на Регламент (ЕО) № 866/2004 на Съвета. Комисията ще продължи да наблюдава прилагането на Регламента.</w:t>
      </w:r>
    </w:p>
    <w:p>
      <w:pPr>
        <w:jc w:val="cente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6171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OВ L 161, 30.4.2004 г., стр. 128. Регламент, последно изменен с Регламент (ЕС) № 685/2013 на Съвета от 15 юли 2013 г. (ОВ L 196, 19.7.2013 г., стр. 1) — известен като „Регламент за демаркационната линия“.</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Вж. трето съображение от Регламента за демаркационната линия.</w:t>
      </w:r>
    </w:p>
  </w:footnote>
  <w:footnote w:id="4">
    <w:p>
      <w:pPr>
        <w:pStyle w:val="FootnoteText"/>
        <w:ind w:left="720" w:hanging="720"/>
        <w:jc w:val="both"/>
        <w:rPr>
          <w:lang w:val="bg-BG"/>
        </w:rPr>
      </w:pPr>
      <w:r>
        <w:rPr>
          <w:rStyle w:val="FootnoteReference"/>
          <w:rFonts w:ascii="Times New Roman" w:hAnsi="Times New Roman"/>
        </w:rPr>
        <w:footnoteRef/>
      </w:r>
      <w:r>
        <w:t xml:space="preserve"> </w:t>
      </w:r>
      <w:r>
        <w:tab/>
      </w:r>
      <w:r>
        <w:rPr>
          <w:rFonts w:ascii="Times New Roman" w:hAnsi="Times New Roman"/>
        </w:rPr>
        <w:t>Регламент за изпълнение (ЕС) 2015/1472 на Комисията от 26 август 2015 г. (ОВ L 225, 2</w:t>
      </w:r>
      <w:r>
        <w:rPr>
          <w:rFonts w:ascii="Times New Roman" w:hAnsi="Times New Roman"/>
          <w:lang w:val="bg-BG"/>
        </w:rPr>
        <w:t>8</w:t>
      </w:r>
      <w:r>
        <w:rPr>
          <w:rFonts w:ascii="Times New Roman" w:hAnsi="Times New Roman"/>
        </w:rPr>
        <w:t>.</w:t>
      </w:r>
      <w:r>
        <w:rPr>
          <w:rFonts w:ascii="Times New Roman" w:hAnsi="Times New Roman"/>
          <w:lang w:val="bg-BG"/>
        </w:rPr>
        <w:t>8</w:t>
      </w:r>
      <w:r>
        <w:rPr>
          <w:rFonts w:ascii="Times New Roman" w:hAnsi="Times New Roman"/>
        </w:rPr>
        <w:t>.2015 г., стр. 3—4)</w:t>
      </w:r>
      <w:r>
        <w:rPr>
          <w:rFonts w:ascii="Times New Roman" w:hAnsi="Times New Roman"/>
          <w:lang w:val="bg-BG"/>
        </w:rPr>
        <w:t>.</w:t>
      </w:r>
    </w:p>
  </w:footnote>
  <w:footnote w:id="5">
    <w:p>
      <w:pPr>
        <w:pStyle w:val="FootnoteText"/>
        <w:ind w:left="720" w:hanging="720"/>
        <w:jc w:val="both"/>
        <w:rPr>
          <w:rFonts w:ascii="Times New Roman" w:hAnsi="Times New Roman" w:cs="Times New Roman"/>
          <w:lang w:val="bg-BG"/>
        </w:rPr>
      </w:pPr>
      <w:r>
        <w:rPr>
          <w:rStyle w:val="FootnoteReference"/>
          <w:rFonts w:ascii="Times New Roman" w:hAnsi="Times New Roman"/>
        </w:rPr>
        <w:footnoteRef/>
      </w:r>
      <w:r>
        <w:rPr>
          <w:lang w:val="bg-BG"/>
        </w:rPr>
        <w:tab/>
      </w:r>
      <w:r>
        <w:rPr>
          <w:rFonts w:ascii="Times New Roman" w:hAnsi="Times New Roman"/>
          <w:lang w:val="bg-BG"/>
        </w:rPr>
        <w:t>Органите на Република Кипър не съхраняват данни относно връщането на кипърски гърци обратно в контролираните от правителството зони или относно връщането на кипърски турци обратно в северната част на Кипър.</w:t>
      </w:r>
    </w:p>
  </w:footnote>
  <w:footnote w:id="6">
    <w:p>
      <w:pPr>
        <w:pStyle w:val="FootnoteText"/>
        <w:ind w:left="720" w:hanging="720"/>
        <w:jc w:val="both"/>
        <w:rPr>
          <w:rFonts w:ascii="Times New Roman" w:hAnsi="Times New Roman" w:cs="Times New Roman"/>
          <w:lang w:val="bg-BG"/>
        </w:rPr>
      </w:pPr>
      <w:r>
        <w:rPr>
          <w:rStyle w:val="FootnoteReference"/>
        </w:rPr>
        <w:footnoteRef/>
      </w:r>
      <w:r>
        <w:rPr>
          <w:lang w:val="bg-BG"/>
        </w:rPr>
        <w:tab/>
      </w:r>
      <w:r>
        <w:rPr>
          <w:rFonts w:ascii="Times New Roman" w:hAnsi="Times New Roman"/>
          <w:lang w:val="bg-BG"/>
        </w:rPr>
        <w:t>В РДЛ не е предвидено задължение за докладване за този трафик.</w:t>
      </w:r>
    </w:p>
  </w:footnote>
  <w:footnote w:id="7">
    <w:p>
      <w:pPr>
        <w:pStyle w:val="FootnoteText"/>
        <w:ind w:left="720" w:hanging="720"/>
        <w:jc w:val="both"/>
        <w:rPr>
          <w:rFonts w:ascii="Times New Roman" w:hAnsi="Times New Roman" w:cs="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 xml:space="preserve">Доклад на Генералния секретар на ООН относно </w:t>
      </w:r>
      <w:r>
        <w:rPr>
          <w:rFonts w:ascii="Times New Roman" w:hAnsi="Times New Roman"/>
        </w:rPr>
        <w:t>UNFICYP</w:t>
      </w:r>
      <w:r>
        <w:rPr>
          <w:rFonts w:ascii="Times New Roman" w:hAnsi="Times New Roman"/>
          <w:lang w:val="bg-BG"/>
        </w:rPr>
        <w:t xml:space="preserve"> [</w:t>
      </w:r>
      <w:r>
        <w:rPr>
          <w:rFonts w:ascii="Times New Roman" w:hAnsi="Times New Roman"/>
        </w:rPr>
        <w:t>S</w:t>
      </w:r>
      <w:r>
        <w:rPr>
          <w:rFonts w:ascii="Times New Roman" w:hAnsi="Times New Roman"/>
          <w:lang w:val="bg-BG"/>
        </w:rPr>
        <w:t>/2016/11] от 6 януари 2016</w:t>
      </w:r>
      <w:r>
        <w:rPr>
          <w:rFonts w:ascii="Times New Roman" w:hAnsi="Times New Roman"/>
        </w:rPr>
        <w:t> </w:t>
      </w:r>
      <w:r>
        <w:rPr>
          <w:rFonts w:ascii="Times New Roman" w:hAnsi="Times New Roman"/>
          <w:lang w:val="bg-BG"/>
        </w:rPr>
        <w:t>г.</w:t>
      </w:r>
    </w:p>
  </w:footnote>
  <w:footnote w:id="8">
    <w:p>
      <w:pPr>
        <w:pStyle w:val="FootnoteText"/>
        <w:ind w:left="720" w:hanging="720"/>
        <w:jc w:val="both"/>
        <w:rPr>
          <w:rFonts w:ascii="Times New Roman" w:hAnsi="Times New Roman" w:cs="Times New Roman"/>
          <w:lang w:val="bg-BG"/>
        </w:rPr>
      </w:pPr>
      <w:r>
        <w:rPr>
          <w:rStyle w:val="FootnoteReference"/>
          <w:rFonts w:ascii="Times New Roman" w:hAnsi="Times New Roman"/>
        </w:rPr>
        <w:footnoteRef/>
      </w:r>
      <w:r>
        <w:rPr>
          <w:lang w:val="bg-BG"/>
        </w:rPr>
        <w:tab/>
      </w:r>
      <w:r>
        <w:rPr>
          <w:rFonts w:ascii="Times New Roman" w:hAnsi="Times New Roman"/>
          <w:lang w:val="bg-BG"/>
        </w:rPr>
        <w:t>За да се придобие цялостна представа за потоците от незаконна миграция през демаркационната линия, би било от полза да се разполага и с информация относно броя на лицата, които са се опитали да преминат демаркационната линия, но са получили отказ за влизане в контролираните от правителството зони. Тази информация обаче не е достъпна, тъй като Република Кипър не води официална статистика за тази категория лица.</w:t>
      </w:r>
    </w:p>
  </w:footnote>
  <w:footnote w:id="9">
    <w:p>
      <w:pPr>
        <w:pStyle w:val="FootnoteText"/>
        <w:ind w:left="720" w:hanging="720"/>
        <w:jc w:val="both"/>
        <w:rPr>
          <w:rFonts w:ascii="Times New Roman" w:hAnsi="Times New Roman" w:cs="Times New Roman"/>
          <w:lang w:val="bg-BG"/>
        </w:rPr>
      </w:pPr>
      <w:r>
        <w:rPr>
          <w:rStyle w:val="FootnoteReference"/>
          <w:rFonts w:ascii="Times New Roman" w:hAnsi="Times New Roman"/>
        </w:rPr>
        <w:footnoteRef/>
      </w:r>
      <w:r>
        <w:rPr>
          <w:lang w:val="bg-BG"/>
        </w:rPr>
        <w:tab/>
      </w:r>
      <w:r>
        <w:rPr>
          <w:rFonts w:ascii="Times New Roman" w:hAnsi="Times New Roman"/>
          <w:lang w:val="bg-BG"/>
        </w:rPr>
        <w:t>Граждани на Сирия: 1802, на Турция: 325, на Ирак: 184, на Иран: 136, на Туркменистан: 76.</w:t>
      </w:r>
    </w:p>
  </w:footnote>
  <w:footnote w:id="10">
    <w:p>
      <w:pPr>
        <w:pStyle w:val="FootnoteText"/>
        <w:ind w:left="720" w:hanging="720"/>
        <w:jc w:val="both"/>
        <w:rPr>
          <w:rFonts w:ascii="Times New Roman" w:hAnsi="Times New Roman" w:cs="Times New Roman"/>
          <w:lang w:val="bg-BG"/>
        </w:rPr>
      </w:pPr>
      <w:r>
        <w:rPr>
          <w:rStyle w:val="FootnoteReference"/>
          <w:rFonts w:ascii="Times New Roman" w:hAnsi="Times New Roman"/>
        </w:rPr>
        <w:footnoteRef/>
      </w:r>
      <w:r>
        <w:rPr>
          <w:lang w:val="bg-BG"/>
        </w:rPr>
        <w:tab/>
      </w:r>
      <w:r>
        <w:rPr>
          <w:rFonts w:ascii="Times New Roman" w:hAnsi="Times New Roman"/>
          <w:lang w:val="bg-BG"/>
        </w:rPr>
        <w:t>Граждани на Турция: 233, на Сирия: 82, на Туркменистан: 36, на Република Молдова: 41, на Нигерия: 15.</w:t>
      </w:r>
    </w:p>
  </w:footnote>
  <w:footnote w:id="11">
    <w:p>
      <w:pPr>
        <w:pStyle w:val="FootnoteText"/>
        <w:ind w:left="709" w:hanging="709"/>
        <w:jc w:val="both"/>
        <w:rPr>
          <w:lang w:val="bg-BG"/>
        </w:rPr>
      </w:pPr>
      <w:r>
        <w:rPr>
          <w:rStyle w:val="FootnoteReference"/>
        </w:rPr>
        <w:footnoteRef/>
      </w:r>
      <w:r>
        <w:rPr>
          <w:lang w:val="bg-BG"/>
        </w:rPr>
        <w:t xml:space="preserve"> </w:t>
      </w:r>
      <w:r>
        <w:rPr>
          <w:lang w:val="bg-BG"/>
        </w:rPr>
        <w:tab/>
      </w:r>
      <w:r>
        <w:rPr>
          <w:rFonts w:ascii="Times New Roman" w:hAnsi="Times New Roman"/>
          <w:lang w:val="bg-BG"/>
        </w:rPr>
        <w:t>Тези 7 незаконни мигранти, задържани в рамките на ИСЗ, са предадени на органите на Република Кипър и се добавят към общия брой лица, които незаконно са преминали демаркационната линия, а тяхното разпределение в зависимост от националността е представено в таблица</w:t>
      </w:r>
      <w:r>
        <w:rPr>
          <w:rFonts w:ascii="Times New Roman" w:hAnsi="Times New Roman"/>
        </w:rPr>
        <w:t> VII</w:t>
      </w:r>
      <w:r>
        <w:rPr>
          <w:rFonts w:ascii="Times New Roman" w:hAnsi="Times New Roman"/>
          <w:lang w:val="bg-BG"/>
        </w:rPr>
        <w:t xml:space="preserve"> от документ </w:t>
      </w:r>
      <w:r>
        <w:rPr>
          <w:rFonts w:ascii="Times New Roman" w:hAnsi="Times New Roman" w:cs="Times New Roman"/>
        </w:rPr>
        <w:t>SWD</w:t>
      </w:r>
      <w:r>
        <w:rPr>
          <w:rFonts w:ascii="Times New Roman" w:hAnsi="Times New Roman" w:cs="Times New Roman"/>
          <w:lang w:val="bg-BG"/>
        </w:rPr>
        <w:t>(2016) 281</w:t>
      </w:r>
      <w:r>
        <w:rPr>
          <w:rFonts w:ascii="Times New Roman" w:hAnsi="Times New Roman"/>
          <w:lang w:val="bg-BG"/>
        </w:rPr>
        <w:t>.</w:t>
      </w:r>
      <w:r>
        <w:rPr>
          <w:lang w:val="bg-BG"/>
        </w:rPr>
        <w:t xml:space="preserve"> </w:t>
      </w:r>
    </w:p>
  </w:footnote>
  <w:footnote w:id="12">
    <w:p>
      <w:pPr>
        <w:pStyle w:val="FootnoteText"/>
        <w:ind w:left="720" w:hanging="720"/>
        <w:jc w:val="both"/>
        <w:rPr>
          <w:rFonts w:ascii="Times New Roman" w:hAnsi="Times New Roman" w:cs="Times New Roman"/>
          <w:lang w:val="bg-BG"/>
        </w:rPr>
      </w:pPr>
      <w:r>
        <w:rPr>
          <w:rStyle w:val="FootnoteReference"/>
          <w:rFonts w:ascii="Times New Roman" w:hAnsi="Times New Roman"/>
        </w:rPr>
        <w:footnoteRef/>
      </w:r>
      <w:r>
        <w:rPr>
          <w:lang w:val="bg-BG"/>
        </w:rPr>
        <w:tab/>
      </w:r>
      <w:r>
        <w:rPr>
          <w:rFonts w:ascii="Times New Roman" w:hAnsi="Times New Roman"/>
          <w:lang w:val="bg-BG"/>
        </w:rPr>
        <w:t>Граждани на Турция: 484, на Русия: 65, на САЩ: 60, на Сирия: 38, на Иран: 31.</w:t>
      </w:r>
    </w:p>
  </w:footnote>
  <w:footnote w:id="13">
    <w:p>
      <w:pPr>
        <w:pStyle w:val="FootnoteText"/>
        <w:ind w:left="720" w:hanging="720"/>
        <w:jc w:val="both"/>
        <w:rPr>
          <w:rFonts w:ascii="Times New Roman" w:hAnsi="Times New Roman" w:cs="Times New Roman"/>
          <w:lang w:val="bg-BG"/>
        </w:rPr>
      </w:pPr>
      <w:r>
        <w:rPr>
          <w:rStyle w:val="FootnoteReference"/>
          <w:rFonts w:ascii="Times New Roman" w:hAnsi="Times New Roman"/>
        </w:rPr>
        <w:footnoteRef/>
      </w:r>
      <w:r>
        <w:rPr>
          <w:lang w:val="bg-BG"/>
        </w:rPr>
        <w:tab/>
      </w:r>
      <w:r>
        <w:rPr>
          <w:rFonts w:ascii="Times New Roman" w:hAnsi="Times New Roman"/>
          <w:lang w:val="bg-BG"/>
        </w:rPr>
        <w:t xml:space="preserve">ОВ </w:t>
      </w:r>
      <w:r>
        <w:rPr>
          <w:rFonts w:ascii="Times New Roman" w:hAnsi="Times New Roman"/>
        </w:rPr>
        <w:t>L </w:t>
      </w:r>
      <w:r>
        <w:rPr>
          <w:rFonts w:ascii="Times New Roman" w:hAnsi="Times New Roman"/>
          <w:lang w:val="bg-BG"/>
        </w:rPr>
        <w:t>236, 23.9.2003</w:t>
      </w:r>
      <w:r>
        <w:rPr>
          <w:rFonts w:ascii="Times New Roman" w:hAnsi="Times New Roman"/>
        </w:rPr>
        <w:t> </w:t>
      </w:r>
      <w:r>
        <w:rPr>
          <w:rFonts w:ascii="Times New Roman" w:hAnsi="Times New Roman"/>
          <w:lang w:val="bg-BG"/>
        </w:rPr>
        <w:t>г., стр.</w:t>
      </w:r>
      <w:r>
        <w:rPr>
          <w:rFonts w:ascii="Times New Roman" w:hAnsi="Times New Roman"/>
        </w:rPr>
        <w:t> </w:t>
      </w:r>
      <w:r>
        <w:rPr>
          <w:rFonts w:ascii="Times New Roman" w:hAnsi="Times New Roman"/>
          <w:lang w:val="bg-BG"/>
        </w:rPr>
        <w:t>940.</w:t>
      </w:r>
    </w:p>
  </w:footnote>
  <w:footnote w:id="14">
    <w:p>
      <w:pPr>
        <w:pStyle w:val="FootnoteText"/>
        <w:ind w:left="720" w:hanging="720"/>
        <w:jc w:val="both"/>
        <w:rPr>
          <w:rFonts w:ascii="Times New Roman" w:hAnsi="Times New Roman" w:cs="Times New Roman"/>
          <w:lang w:val="bg-BG"/>
        </w:rPr>
      </w:pPr>
      <w:r>
        <w:rPr>
          <w:rStyle w:val="FootnoteReference"/>
          <w:rFonts w:ascii="Times New Roman" w:hAnsi="Times New Roman"/>
        </w:rPr>
        <w:footnoteRef/>
      </w:r>
      <w:r>
        <w:rPr>
          <w:lang w:val="bg-BG"/>
        </w:rPr>
        <w:tab/>
      </w:r>
      <w:r>
        <w:rPr>
          <w:rFonts w:ascii="Times New Roman" w:hAnsi="Times New Roman"/>
          <w:lang w:val="bg-BG"/>
        </w:rPr>
        <w:t>Регламент (ЕО) №</w:t>
      </w:r>
      <w:r>
        <w:rPr>
          <w:rFonts w:ascii="Times New Roman" w:hAnsi="Times New Roman"/>
        </w:rPr>
        <w:t> </w:t>
      </w:r>
      <w:r>
        <w:rPr>
          <w:rFonts w:ascii="Times New Roman" w:hAnsi="Times New Roman"/>
          <w:lang w:val="bg-BG"/>
        </w:rPr>
        <w:t>1480/2004 на Комисията от 10 август 2004</w:t>
      </w:r>
      <w:r>
        <w:rPr>
          <w:rFonts w:ascii="Times New Roman" w:hAnsi="Times New Roman"/>
        </w:rPr>
        <w:t> </w:t>
      </w:r>
      <w:r>
        <w:rPr>
          <w:rFonts w:ascii="Times New Roman" w:hAnsi="Times New Roman"/>
          <w:lang w:val="bg-BG"/>
        </w:rPr>
        <w:t xml:space="preserve">г. (ОВ </w:t>
      </w:r>
      <w:r>
        <w:rPr>
          <w:rFonts w:ascii="Times New Roman" w:hAnsi="Times New Roman"/>
        </w:rPr>
        <w:t>L </w:t>
      </w:r>
      <w:r>
        <w:rPr>
          <w:rFonts w:ascii="Times New Roman" w:hAnsi="Times New Roman"/>
          <w:lang w:val="bg-BG"/>
        </w:rPr>
        <w:t>272, 20.8.2004</w:t>
      </w:r>
      <w:r>
        <w:rPr>
          <w:rFonts w:ascii="Times New Roman" w:hAnsi="Times New Roman"/>
        </w:rPr>
        <w:t> </w:t>
      </w:r>
      <w:r>
        <w:rPr>
          <w:rFonts w:ascii="Times New Roman" w:hAnsi="Times New Roman"/>
          <w:lang w:val="bg-BG"/>
        </w:rPr>
        <w:t>г., стр.</w:t>
      </w:r>
      <w:r>
        <w:rPr>
          <w:rFonts w:ascii="Times New Roman" w:hAnsi="Times New Roman"/>
        </w:rPr>
        <w:t> </w:t>
      </w:r>
      <w:r>
        <w:rPr>
          <w:rFonts w:ascii="Times New Roman" w:hAnsi="Times New Roman"/>
          <w:lang w:val="bg-BG"/>
        </w:rPr>
        <w:t>3).</w:t>
      </w:r>
    </w:p>
  </w:footnote>
  <w:footnote w:id="15">
    <w:p>
      <w:pPr>
        <w:pStyle w:val="FootnoteText"/>
        <w:ind w:left="720" w:hanging="720"/>
        <w:jc w:val="both"/>
        <w:rPr>
          <w:rFonts w:ascii="Times New Roman" w:hAnsi="Times New Roman" w:cs="Times New Roman"/>
          <w:lang w:val="bg-BG"/>
        </w:rPr>
      </w:pPr>
      <w:r>
        <w:rPr>
          <w:rStyle w:val="FootnoteReference"/>
        </w:rPr>
        <w:footnoteRef/>
      </w:r>
      <w:r>
        <w:rPr>
          <w:lang w:val="bg-BG"/>
        </w:rPr>
        <w:tab/>
      </w:r>
      <w:r>
        <w:rPr>
          <w:rFonts w:ascii="Times New Roman" w:hAnsi="Times New Roman" w:cs="Times New Roman"/>
        </w:rPr>
        <w:t>SWD</w:t>
      </w:r>
      <w:r>
        <w:rPr>
          <w:rFonts w:ascii="Times New Roman" w:hAnsi="Times New Roman" w:cs="Times New Roman"/>
          <w:lang w:val="bg-BG"/>
        </w:rPr>
        <w:t xml:space="preserve">(2016) 281, таблица </w:t>
      </w:r>
      <w:r>
        <w:rPr>
          <w:rFonts w:ascii="Times New Roman" w:hAnsi="Times New Roman"/>
        </w:rPr>
        <w:t>IV</w:t>
      </w:r>
      <w:r>
        <w:rPr>
          <w:rFonts w:ascii="Times New Roman" w:hAnsi="Times New Roman"/>
          <w:lang w:val="bg-BG"/>
        </w:rPr>
        <w:t xml:space="preserve">. </w:t>
      </w:r>
    </w:p>
  </w:footnote>
  <w:footnote w:id="16">
    <w:p>
      <w:pPr>
        <w:pStyle w:val="FootnoteText"/>
        <w:ind w:left="720" w:hanging="720"/>
        <w:jc w:val="both"/>
        <w:rPr>
          <w:lang w:val="bg-BG"/>
        </w:rPr>
      </w:pPr>
      <w:r>
        <w:rPr>
          <w:rStyle w:val="FootnoteReference"/>
        </w:rPr>
        <w:footnoteRef/>
      </w:r>
      <w:r>
        <w:rPr>
          <w:rStyle w:val="FootnoteReference"/>
          <w:lang w:val="bg-BG"/>
        </w:rPr>
        <w:t xml:space="preserve"> </w:t>
      </w:r>
      <w:r>
        <w:rPr>
          <w:lang w:val="bg-BG"/>
        </w:rPr>
        <w:tab/>
      </w:r>
      <w:r>
        <w:rPr>
          <w:rFonts w:ascii="Times New Roman" w:hAnsi="Times New Roman"/>
          <w:lang w:val="bg-BG"/>
        </w:rPr>
        <w:t>Вж. например девети, десети и единайсети доклад относно прилагането на Регламент (ЕО) №</w:t>
      </w:r>
      <w:r>
        <w:rPr>
          <w:rFonts w:ascii="Times New Roman" w:hAnsi="Times New Roman"/>
        </w:rPr>
        <w:t> </w:t>
      </w:r>
      <w:r>
        <w:rPr>
          <w:rFonts w:ascii="Times New Roman" w:hAnsi="Times New Roman"/>
          <w:lang w:val="bg-BG"/>
        </w:rPr>
        <w:t>866/2004 на Съвета и последиците от това прилагане.</w:t>
      </w:r>
      <w:r>
        <w:rPr>
          <w:lang w:val="bg-BG"/>
        </w:rPr>
        <w:t xml:space="preserve"> </w:t>
      </w:r>
    </w:p>
  </w:footnote>
  <w:footnote w:id="17">
    <w:p>
      <w:pPr>
        <w:pStyle w:val="FootnoteText"/>
        <w:ind w:left="720" w:hanging="720"/>
        <w:rPr>
          <w:rFonts w:ascii="Times New Roman" w:hAnsi="Times New Roman" w:cs="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Десети доклад относно прилагането на Регламент (ЕО) №</w:t>
      </w:r>
      <w:r>
        <w:rPr>
          <w:rFonts w:ascii="Times New Roman" w:hAnsi="Times New Roman"/>
        </w:rPr>
        <w:t> </w:t>
      </w:r>
      <w:r>
        <w:rPr>
          <w:rFonts w:ascii="Times New Roman" w:hAnsi="Times New Roman"/>
          <w:lang w:val="bg-BG"/>
        </w:rPr>
        <w:t xml:space="preserve">866/2004 на Съвета и последиците от това прилагане. </w:t>
      </w:r>
    </w:p>
  </w:footnote>
  <w:footnote w:id="18">
    <w:p>
      <w:pPr>
        <w:pStyle w:val="FootnoteText"/>
        <w:ind w:left="720" w:hanging="720"/>
        <w:rPr>
          <w:rFonts w:ascii="Times New Roman" w:hAnsi="Times New Roman" w:cs="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През 2011</w:t>
      </w:r>
      <w:r>
        <w:rPr>
          <w:rFonts w:ascii="Times New Roman" w:hAnsi="Times New Roman"/>
        </w:rPr>
        <w:t> </w:t>
      </w:r>
      <w:r>
        <w:rPr>
          <w:rFonts w:ascii="Times New Roman" w:hAnsi="Times New Roman"/>
          <w:lang w:val="bg-BG"/>
        </w:rPr>
        <w:t xml:space="preserve">г. Комисията премахна задължението търгуваните през линията картофи да са произведени директно от сертифициран посадъчен материал за картофи. </w:t>
      </w:r>
    </w:p>
  </w:footnote>
  <w:footnote w:id="19">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COM/2015/380 final — 2015/0165 (NLE).</w:t>
      </w:r>
    </w:p>
  </w:footnote>
  <w:footnote w:id="20">
    <w:p>
      <w:pPr>
        <w:pStyle w:val="FootnoteText"/>
        <w:rPr>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http://europa.eu/rapid/press-release_MEX-15-5402_en.htm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14E2"/>
    <w:multiLevelType w:val="hybridMultilevel"/>
    <w:tmpl w:val="9D821CEC"/>
    <w:lvl w:ilvl="0" w:tplc="4E9AD6A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774963"/>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3BA19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AEB7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0B3C6A50C9545DA876EA349E8A61113"/>
    <w:docVar w:name="LW_CROSSREFERENCE" w:val="{SWD(2016) 281 final}"/>
    <w:docVar w:name="LW_DocType" w:val="NORMAL"/>
    <w:docVar w:name="LW_EMISSION" w:val="4.8.2016"/>
    <w:docVar w:name="LW_EMISSION_ISODATE" w:val="2016-08-04"/>
    <w:docVar w:name="LW_EMISSION_LOCATION" w:val="BRX"/>
    <w:docVar w:name="LW_EMISSION_PREFIX" w:val="Брюксел, "/>
    <w:docVar w:name="LW_EMISSION_SUFFIX" w:val=" \u1075?."/>
    <w:docVar w:name="LW_ID_DOCTYPE_NONLW" w:val="CP-00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94"/>
    <w:docVar w:name="LW_REF.INTERNE" w:val="&lt;UNUSED&gt;"/>
    <w:docVar w:name="LW_SOUS.TITRE.OBJ.CP" w:val="&lt;UNUSED&gt;"/>
    <w:docVar w:name="LW_SUPERTITRE" w:val="&lt;UNUSED&gt;"/>
    <w:docVar w:name="LW_TITRE.OBJ.CP" w:val="\u1044?\u1074?\u1072?\u1085?\u1072?\u1076?\u1077?\u1089?\u1077?\u1090?\u1080? \u1076?\u1086?\u1082?\u1083?\u1072?\u1076? \u1086?\u1090?\u1085?\u1086?\u1089?\u1085?\u1086? \u1087?\u1088?\u1080?\u1083?\u1072?\u1075?\u1072?\u1085?\u1077?\u1090?\u1086? \u1085?\u1072? \u1056?\u1077?\u1075?\u1083?\u1072?\u1084?\u1077?\u1085?\u1090? (\u1045?\u1054?) \u8470? 866/2004 \u1085?\u1072? \u1057?\u1098?\u1074?\u1077?\u1090?\u1072? \u1086?\u1090? 29 \u1072?\u1087?\u1088?\u1080?\u1083? 2004 \u1075?. \u1080? \u1087?\u1086?\u1089?\u1083?\u1077?\u1076?\u1080?\u1094?\u1080?\u1090?\u1077? \u1086?\u1090? \u1090?\u1086?\u1074?\u1072? \u1087?\u1088?\u1080?\u1083?\u1072?\u1075?\u1072?\u1085?\u1077? \u1079?\u1072? \u1087?\u1077?\u1088?\u1080?\u1086?\u1076?\u1072? \u1086?\u1090? 1 \u1103?\u1085?\u1091?\u1072?\u1088?\u1080?\u8212?31 \u1076?\u1077?\u1082?\u1077?\u1084?\u1074?\u1088?\u1080? 2015 \u1075?."/>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5"/>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5"/>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semiHidden/>
    <w:unhideWhenUsed/>
    <w:qFormat/>
    <w:pPr>
      <w:keepNext/>
      <w:numPr>
        <w:ilvl w:val="3"/>
        <w:numId w:val="5"/>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Spacing">
    <w:name w:val="No Spacing"/>
    <w:basedOn w:val="Normal"/>
    <w:uiPriority w:val="1"/>
    <w:qFormat/>
    <w:pPr>
      <w:spacing w:after="0" w:line="240" w:lineRule="auto"/>
    </w:pPr>
    <w:rPr>
      <w:rFonts w:ascii="Calibri" w:hAnsi="Calibri" w:cs="Times New Roman"/>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5"/>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5"/>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semiHidden/>
    <w:unhideWhenUsed/>
    <w:qFormat/>
    <w:pPr>
      <w:keepNext/>
      <w:numPr>
        <w:ilvl w:val="3"/>
        <w:numId w:val="5"/>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Spacing">
    <w:name w:val="No Spacing"/>
    <w:basedOn w:val="Normal"/>
    <w:uiPriority w:val="1"/>
    <w:qFormat/>
    <w:pPr>
      <w:spacing w:after="0" w:line="240" w:lineRule="auto"/>
    </w:pPr>
    <w:rPr>
      <w:rFonts w:ascii="Calibri" w:hAnsi="Calibri" w:cs="Times New Roman"/>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724737">
      <w:bodyDiv w:val="1"/>
      <w:marLeft w:val="0"/>
      <w:marRight w:val="0"/>
      <w:marTop w:val="0"/>
      <w:marBottom w:val="0"/>
      <w:divBdr>
        <w:top w:val="none" w:sz="0" w:space="0" w:color="auto"/>
        <w:left w:val="none" w:sz="0" w:space="0" w:color="auto"/>
        <w:bottom w:val="none" w:sz="0" w:space="0" w:color="auto"/>
        <w:right w:val="none" w:sz="0" w:space="0" w:color="auto"/>
      </w:divBdr>
    </w:div>
    <w:div w:id="170244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857B5-1A2F-4CCA-B384-0E20C843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3469</Words>
  <Characters>19808</Characters>
  <Application>Microsoft Office Word</Application>
  <DocSecurity>0</DocSecurity>
  <Lines>330</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2016-02-12T14:58:00Z</cp:lastPrinted>
  <dcterms:created xsi:type="dcterms:W3CDTF">2016-08-18T15:05:00Z</dcterms:created>
  <dcterms:modified xsi:type="dcterms:W3CDTF">2016-08-23T08:34:00Z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