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0759FB6C07A45C5AF80C926E488A545" style="width:450.8pt;height:361.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autoSpaceDE w:val="0"/>
        <w:autoSpaceDN w:val="0"/>
        <w:adjustRightInd w:val="0"/>
        <w:spacing w:after="0" w:line="240" w:lineRule="auto"/>
        <w:rPr>
          <w:rFonts w:ascii="Times New Roman" w:hAnsi="Times New Roman" w:cs="Times New Roman"/>
          <w:b/>
          <w:bCs/>
          <w:noProof/>
          <w:sz w:val="24"/>
          <w:szCs w:val="24"/>
        </w:rPr>
      </w:pPr>
      <w:bookmarkStart w:id="1" w:name="_GoBack"/>
      <w:bookmarkEnd w:id="1"/>
      <w:r>
        <w:rPr>
          <w:rFonts w:ascii="Times New Roman" w:hAnsi="Times New Roman"/>
          <w:b/>
          <w:noProof/>
          <w:sz w:val="24"/>
        </w:rPr>
        <w:lastRenderedPageBreak/>
        <w:t>1. ВЪВЕДЕНИЕ</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С Регламент (ЕС) № 347/2013 на Европейския парламент и на Съвета от 17 април 2013 г. относно указания за трансевропейската енергийна инфраструктура и за отмяна на Решение № 1364/2006/ЕО, както и за изменение на регламенти (ЕО) № 713/2009, (ЕО) № 714/2009 и (ЕО) № 715/2009</w:t>
      </w:r>
      <w:r>
        <w:rPr>
          <w:rStyle w:val="FootnoteReference"/>
          <w:rFonts w:ascii="Times New Roman" w:hAnsi="Times New Roman"/>
          <w:noProof/>
          <w:sz w:val="24"/>
        </w:rPr>
        <w:footnoteReference w:id="1"/>
      </w:r>
      <w:r>
        <w:rPr>
          <w:rFonts w:ascii="Times New Roman" w:hAnsi="Times New Roman"/>
          <w:noProof/>
          <w:sz w:val="24"/>
        </w:rPr>
        <w:t xml:space="preserve"> („Регламент за TEN-E“) се установяват указания за навременното разработване и оперативната съвместимост на приоритетни коридори и тематични области на трансевропейската енергийна инфраструктура.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С Регламента за TEN-E се въвежда понятието „проект от общ интерес („ПОИ“), който представлява проект за инфраструктура, необходима за осъществяването на горепосочените приоритетни енергийни инфраструктурни коридори и тематични области. ПОИ са проекти за енергийна инфраструктура, които са ключови за изграждането на добре свързани енергийни мрежи в Европа и са в основата на различни европейски стратегии, включително стратегията за енергиен съюз и стратегията за климата и енергетиката до 2020 г., както и на рамката за политиките в областта на климата и енергетиката до 2030 г.</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Освен това Регламентът за TEN-E i) предоставя регулаторна рамка за подбор на ПОИ, необходими за осъществяването на приоритетни коридори и тематични области, и ii) определя набор от мерки, които улесняват навременното изпълнение на ПОИ, включително правила за рационализиране на процедурата за издаване на разрешения, правила и указания за трансграничното разпределяне на разходите и за стимулите за компенсиране на риска, както и правила, определящи условията за допустимост на ПОИ за финансова помощ.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Проектите от общ интерес са посочени в списък на Съюза на ПОИ, който представлява приложение към Регламента за TEN-E („списък на Съюза“). Списъкът на Съюза се определя посредством делегиран акт, приет от Комисията съгласно член 3, параграф 4 от Регламента за TEN-E, при спазване на условията за упражняване на делегираните правомощия, посочени в член 16 от него.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Член 3, параграф 4 от Регламента за TEN-E изисква списъкът на Съюза да се определя на всеки две години въз основа на регионалните списъци, приети от органите за вземане на решения на т.нар. „регионални групи“, създадени в съответствие с член 3, параграф 1</w:t>
      </w:r>
      <w:r>
        <w:rPr>
          <w:rStyle w:val="FootnoteReference"/>
          <w:rFonts w:ascii="Times New Roman" w:hAnsi="Times New Roman"/>
          <w:noProof/>
          <w:sz w:val="24"/>
        </w:rPr>
        <w:footnoteReference w:id="2"/>
      </w:r>
      <w:r>
        <w:rPr>
          <w:rFonts w:ascii="Times New Roman" w:hAnsi="Times New Roman"/>
          <w:noProof/>
          <w:sz w:val="24"/>
        </w:rPr>
        <w:t xml:space="preserve"> от Регламента за TEN-E, следвайки процедурата, предвидена в член 3, параграфи 3 и 4, както и в точка 2 от приложение III към Регламента за TEN-E.</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След приемането на Регламента за TEN-E Комисията е упражнила на два пъти своите правомощия, приемайки делегирани регламенти, с които се определят два последователни списъка на ПОИ на Съюза, съответно през 2013 г. и през 2015 г. </w:t>
      </w:r>
    </w:p>
    <w:p>
      <w:pPr>
        <w:autoSpaceDE w:val="0"/>
        <w:autoSpaceDN w:val="0"/>
        <w:adjustRightInd w:val="0"/>
        <w:spacing w:after="0" w:line="240" w:lineRule="auto"/>
        <w:rPr>
          <w:rFonts w:ascii="Times New Roman" w:hAnsi="Times New Roman" w:cs="Times New Roman"/>
          <w:b/>
          <w:bCs/>
          <w:noProof/>
          <w:sz w:val="24"/>
          <w:szCs w:val="24"/>
        </w:rPr>
      </w:pPr>
    </w:p>
    <w:p>
      <w:p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b/>
          <w:noProof/>
          <w:sz w:val="24"/>
        </w:rPr>
        <w:t>2. ПРАВНО ОСНОВАНИЕ</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Настоящият доклад на Комисията се изисква съгласно член 16, параграф 2 от Регламента за TEN-E. Тази разпоредба предоставя на Комисията правомощието да приема делегирани актове за определяне на списъка на Съюза на ПОИ, както е определено в член 3, параграф 4 от Регламента за TEN-E.</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В съответствие с член 16, параграф 2 от Регламента за TEN-E правомощията за приемане на делегирани актове се предоставят на Комисията за срок от четири години, считано от 15 май 2013 г. От Комисията се изисква да изготви доклад относно упражняването на делегираните правомощия най-късно девет месеца преди края на четиригодишния период.</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Член 16, параграф 2 от Регламента за TEN-E предвижда делегирането на правомощия да се продължава с мълчаливо съгласие за последователни периоди от по четири години, освен ако Европейският парламент или Съветът не възразят срещу подобно продължаване не по-късно от три месеца преди изтичането на всеки четиригодишен период.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b/>
          <w:noProof/>
          <w:sz w:val="24"/>
        </w:rPr>
        <w:t>3. УПРАЖНЯВАНЕ НА ДЕЛЕГИРАНОТО ПРАВОМОЩИЕ</w:t>
      </w:r>
    </w:p>
    <w:p>
      <w:pPr>
        <w:autoSpaceDE w:val="0"/>
        <w:autoSpaceDN w:val="0"/>
        <w:adjustRightInd w:val="0"/>
        <w:spacing w:after="0" w:line="240" w:lineRule="auto"/>
        <w:rPr>
          <w:rFonts w:ascii="Times New Roman" w:hAnsi="Times New Roman" w:cs="Times New Roman"/>
          <w:b/>
          <w:bCs/>
          <w:noProof/>
          <w:sz w:val="24"/>
          <w:szCs w:val="24"/>
        </w:rPr>
      </w:pPr>
    </w:p>
    <w:p>
      <w:p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b/>
          <w:noProof/>
          <w:sz w:val="24"/>
        </w:rPr>
        <w:t xml:space="preserve">3.1. Делегиран акт, който е в сила понастоящем </w:t>
      </w:r>
    </w:p>
    <w:p>
      <w:pPr>
        <w:autoSpaceDE w:val="0"/>
        <w:autoSpaceDN w:val="0"/>
        <w:adjustRightInd w:val="0"/>
        <w:spacing w:after="0" w:line="240" w:lineRule="auto"/>
        <w:rPr>
          <w:rFonts w:ascii="Times New Roman" w:hAnsi="Times New Roman" w:cs="Times New Roman"/>
          <w:b/>
          <w:bCs/>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Понастоящем има един делегиран регламент в сила. Той е приет от Комисията съгласно правомощията, предоставени ѝ с член 3, параграф 4 от Регламента за TEN-E, и е преминал успешно срока за представяне на възражения от страна на съзаконодателите: </w:t>
      </w:r>
    </w:p>
    <w:p>
      <w:pPr>
        <w:autoSpaceDE w:val="0"/>
        <w:autoSpaceDN w:val="0"/>
        <w:adjustRightInd w:val="0"/>
        <w:spacing w:after="0" w:line="240" w:lineRule="auto"/>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Делегиран регламент (ЕС) 2016/89 на Комисията от 18 ноември 2015 година за изменение на Регламент (ЕС) № 347/2013 на Европейския парламент и на Съвета относно указания за трансевропейската енергийна инфраструктура по отношение на списъка на Съюза на проекти от общ интерес</w:t>
      </w:r>
      <w:r>
        <w:rPr>
          <w:rStyle w:val="FootnoteReference"/>
          <w:rFonts w:ascii="Times New Roman" w:hAnsi="Times New Roman"/>
          <w:noProof/>
          <w:sz w:val="24"/>
        </w:rPr>
        <w:footnoteReference w:id="3"/>
      </w:r>
      <w:r>
        <w:rPr>
          <w:rFonts w:ascii="Times New Roman" w:hAnsi="Times New Roman"/>
          <w:noProof/>
          <w:sz w:val="24"/>
        </w:rPr>
        <w:t>.</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С Делегиран регламент (ЕС) 2016/89, влязъл в сила на 16 февруари 2016 г., се изменя приложение VІІ към Регламента за TEN-E, като се определя (втори) списък на Съюза на ПОИ.</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b/>
          <w:noProof/>
          <w:sz w:val="24"/>
        </w:rPr>
        <w:t xml:space="preserve">3.2. Делегиран акт, който е с изтекъл срок на действие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Срокът на действие на един делегиран регламент, приет от Комисията съгласно член 3, параграф 4 от Регламента за TEN-E и преминал успешно срока за представяне на възражения от страна на съзаконодателите, вече е изтекъл: </w:t>
      </w: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Делегиран регламент (ЕС) № 1391/2013 на Комисията от 14 октомври 2013 година за изменение на Регламент (ЕС) № 347/2013 на Европейския парламент и на Съвета относно указания за трансевропейската енергийна инфраструктура по отношение на списъка на Съюза на проекти от общ интерес</w:t>
      </w:r>
      <w:r>
        <w:rPr>
          <w:rStyle w:val="FootnoteReference"/>
          <w:rFonts w:ascii="Times New Roman" w:hAnsi="Times New Roman"/>
          <w:noProof/>
          <w:sz w:val="24"/>
        </w:rPr>
        <w:footnoteReference w:id="4"/>
      </w:r>
      <w:r>
        <w:rPr>
          <w:rFonts w:ascii="Times New Roman" w:hAnsi="Times New Roman"/>
          <w:noProof/>
          <w:sz w:val="24"/>
        </w:rPr>
        <w:t xml:space="preserve">. </w:t>
      </w:r>
    </w:p>
    <w:p>
      <w:pPr>
        <w:autoSpaceDE w:val="0"/>
        <w:autoSpaceDN w:val="0"/>
        <w:adjustRightInd w:val="0"/>
        <w:spacing w:after="0" w:line="240" w:lineRule="auto"/>
        <w:jc w:val="both"/>
        <w:rPr>
          <w:rFonts w:hAnsi="Symbol"/>
          <w:noProof/>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С Делегиран регламент (ЕС) № 1391/2013, влязъл в сила на 10 януари 2014 г., се изменя Регламентът за TEN-E, като се определя (първи) списък на Съюза на ПОИ. Списъкът на Съюза, определен с Делегиран регламент (ЕС) 2016/89, замени списъка на Съюза, определен с Делегиран регламент (ЕС) № 1391/2013</w:t>
      </w:r>
      <w:r>
        <w:rPr>
          <w:rStyle w:val="FootnoteReference"/>
          <w:rFonts w:ascii="Times New Roman" w:hAnsi="Times New Roman"/>
          <w:noProof/>
          <w:sz w:val="24"/>
        </w:rPr>
        <w:footnoteReference w:id="5"/>
      </w:r>
      <w:r>
        <w:rPr>
          <w:noProof/>
        </w:rPr>
        <w:t>.</w:t>
      </w:r>
      <w:r>
        <w:rPr>
          <w:noProof/>
        </w:rPr>
        <w:br w:type="page"/>
      </w:r>
    </w:p>
    <w:p>
      <w:p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b/>
          <w:noProof/>
          <w:sz w:val="24"/>
        </w:rPr>
        <w:t xml:space="preserve">3.3 Обществени консултации преди приемането на делегирани актове </w:t>
      </w: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Делегиран регламент (ЕС) 2016/89 от 18 ноември 2015 г. </w:t>
      </w:r>
    </w:p>
    <w:p>
      <w:pPr>
        <w:pStyle w:val="ListParagraph"/>
        <w:autoSpaceDE w:val="0"/>
        <w:autoSpaceDN w:val="0"/>
        <w:adjustRightInd w:val="0"/>
        <w:spacing w:after="0" w:line="240" w:lineRule="auto"/>
        <w:jc w:val="both"/>
        <w:rPr>
          <w:rFonts w:ascii="Times New Roman" w:hAnsi="Times New Roman" w:cs="Times New Roman"/>
          <w:noProof/>
          <w:sz w:val="24"/>
          <w:szCs w:val="24"/>
          <w:highlight w:val="yellow"/>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Комисията проведе обществена консултация от 22 декември 2014 г. до 31 март 2015 г. Процесът на консултация бе отворен и не бяха наложени никакви ограничения по отношение на категориите на заинтересованите страни. Тази консултация беше проведена в съответствие със стандартите на Комисията за провеждане на консултации.</w:t>
      </w:r>
    </w:p>
    <w:p>
      <w:pPr>
        <w:pStyle w:val="ListParagraph"/>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Делегиран регламент (ЕС) № 1391/2013 от 14 октомври 2013 г. </w:t>
      </w:r>
    </w:p>
    <w:p>
      <w:pPr>
        <w:pStyle w:val="ListParagraph"/>
        <w:autoSpaceDE w:val="0"/>
        <w:autoSpaceDN w:val="0"/>
        <w:adjustRightInd w:val="0"/>
        <w:spacing w:after="0" w:line="240" w:lineRule="auto"/>
        <w:jc w:val="both"/>
        <w:rPr>
          <w:rFonts w:ascii="Times New Roman" w:hAnsi="Times New Roman" w:cs="Times New Roman"/>
          <w:noProof/>
          <w:sz w:val="24"/>
          <w:szCs w:val="24"/>
          <w:highlight w:val="yellow"/>
        </w:rPr>
      </w:pPr>
    </w:p>
    <w:p>
      <w:pPr>
        <w:autoSpaceDE w:val="0"/>
        <w:autoSpaceDN w:val="0"/>
        <w:adjustRightInd w:val="0"/>
        <w:spacing w:after="0" w:line="240" w:lineRule="auto"/>
        <w:jc w:val="both"/>
        <w:rPr>
          <w:rFonts w:ascii="Times New Roman" w:hAnsi="Times New Roman" w:cs="Times New Roman"/>
          <w:noProof/>
          <w:sz w:val="24"/>
          <w:szCs w:val="24"/>
          <w:highlight w:val="yellow"/>
        </w:rPr>
      </w:pPr>
      <w:r>
        <w:rPr>
          <w:rFonts w:ascii="Times New Roman" w:hAnsi="Times New Roman"/>
          <w:noProof/>
          <w:sz w:val="24"/>
        </w:rPr>
        <w:t>Комисията започна процеса на консултация шестнадесет месеца преди приемането на делегирания акт. Тази (втора) открита обществена консултация беше проведена между 20 юни и 4 октомври 2012 г. Процесът на консултация бе отворен и не бяха наложени никакви ограничения по отношение на категориите на заинтересованите страни. Тази консултация беше проведена в съответствие със стандартите на Комисията за провеждане на консултации.</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b/>
          <w:noProof/>
          <w:sz w:val="24"/>
        </w:rPr>
        <w:t xml:space="preserve">3.4. Делегирани актове, които предстои да бъдат приети в бъдеще </w:t>
      </w:r>
    </w:p>
    <w:p>
      <w:pPr>
        <w:autoSpaceDE w:val="0"/>
        <w:autoSpaceDN w:val="0"/>
        <w:adjustRightInd w:val="0"/>
        <w:spacing w:after="0" w:line="240" w:lineRule="auto"/>
        <w:rPr>
          <w:rFonts w:ascii="Times New Roman" w:hAnsi="Times New Roman" w:cs="Times New Roman"/>
          <w:b/>
          <w:bCs/>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съответствие с член 3, параграф 4 от Регламента за TEN-E Комисията е задължена да осигури определянето на списък на Съюза на ПОИ на всеки две години. Следователно списъкът на Съюза, определен с Делегиран регламент (ЕС) 2016/89 от 18 ноември 2015 г., ще бъде заменен от нов (трети) списък на Съюза на ПОИ, който ще бъде определен с делегиран регламент на Комисията през 2017 г. в съответствие с процедурата, предвидена в Регламента за TEN-E. </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b/>
          <w:noProof/>
          <w:sz w:val="24"/>
        </w:rPr>
        <w:t>4. ЗАКЛЮЧЕНИЕ</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С настоящия доклад Комисията изпълнява задължението за докладване, установено в член 16, параграф 2 от Регламента за TEN-E. Комисията счита, че е упражнила делегираните ѝ правомощия в рамките на обхвата, в който са ѝ предоставени с Регламента за TEN-E, като е спазила надлежно всички разпоредби на регламента по отношение на прозрачността и участието на обществеността. </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съответствие с член 16, параграф 2 от Регламента за TEN-E делегирането на правомощия, предоставени съгласно член 3, параграф 4 от Регламента за TEN-E, следва да бъде удължено, за да може Комисията да приеме следващите списъци на Съюза на ПОИ, включително един (трети) списък през 2017 г., необходими за постигане на целите на ЕС в областта на енергетиката и изменението на климата. </w:t>
      </w:r>
    </w:p>
    <w:p>
      <w:pPr>
        <w:autoSpaceDE w:val="0"/>
        <w:autoSpaceDN w:val="0"/>
        <w:adjustRightInd w:val="0"/>
        <w:spacing w:after="0" w:line="24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rPr>
        <w:t>Комисията приканва Европейския парламент и Съвета да вземат под внимание настоящия доклад.</w:t>
      </w:r>
    </w:p>
    <w:p>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noProof/>
          <w:sz w:val="24"/>
        </w:rPr>
        <w:t xml:space="preserve">Комисията счита, че не следва да има възражения срещу продължаването на делегирането на правомощия, предвидено в член 16, параграф 2 от Регламента за TEN-E.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92819"/>
      <w:docPartObj>
        <w:docPartGallery w:val="Page Numbers (Bottom of Page)"/>
        <w:docPartUnique/>
      </w:docPartObj>
    </w:sdtPr>
    <w:sdtEndPr>
      <w:rPr>
        <w:rFonts w:ascii="Times New Roman" w:hAnsi="Times New Roman" w:cs="Times New Roman"/>
        <w:noProof/>
        <w:sz w:val="18"/>
        <w:szCs w:val="18"/>
      </w:rPr>
    </w:sdtEndPr>
    <w:sdtContent>
      <w:p>
        <w:pPr>
          <w:pStyle w:val="Foote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noProof/>
            <w:sz w:val="18"/>
            <w:szCs w:val="18"/>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OВ L 115, 25.4.2013 г., стр. 39–75. </w:t>
      </w:r>
    </w:p>
  </w:footnote>
  <w:footnote w:id="2">
    <w:p>
      <w:pPr>
        <w:pStyle w:val="FootnoteText"/>
        <w:ind w:left="720" w:hanging="720"/>
        <w:jc w:val="both"/>
        <w:rPr>
          <w:lang w:val="en-US"/>
        </w:rPr>
      </w:pPr>
      <w:r>
        <w:rPr>
          <w:rStyle w:val="FootnoteReference"/>
        </w:rPr>
        <w:footnoteRef/>
      </w:r>
      <w:r>
        <w:t xml:space="preserve"> </w:t>
      </w:r>
      <w:r>
        <w:tab/>
      </w:r>
      <w:r>
        <w:rPr>
          <w:rFonts w:ascii="EUAlbertina" w:hAnsi="EUAlbertina"/>
          <w:color w:val="000000"/>
          <w:sz w:val="19"/>
        </w:rPr>
        <w:t xml:space="preserve">Регионалните групи, определени в Регламента за TEN-E, се състоят от Комисията и държавите членки, които се намират в конкретните географски райони („приоритетни коридори“), както е посочено в точка 1 от приложение I към Регламента за TEN-E. </w:t>
      </w:r>
    </w:p>
  </w:footnote>
  <w:footnote w:id="3">
    <w:p>
      <w:pPr>
        <w:pStyle w:val="FootnoteText"/>
        <w:jc w:val="both"/>
        <w:rPr>
          <w:rStyle w:val="FootnoteReference"/>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ОВ L 19, 27.1.2016 г., стр. 1.</w:t>
      </w:r>
    </w:p>
  </w:footnote>
  <w:footnote w:id="4">
    <w:p>
      <w:pPr>
        <w:pStyle w:val="FootnoteText"/>
        <w:jc w:val="both"/>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ОВ L 349, 21.12.2013 г., стр.</w:t>
      </w:r>
      <w:r>
        <w:rPr>
          <w:rFonts w:ascii="Times New Roman" w:hAnsi="Times New Roman"/>
        </w:rPr>
        <w:t xml:space="preserve"> </w:t>
      </w:r>
      <w:r>
        <w:rPr>
          <w:rStyle w:val="FootnoteReference"/>
          <w:rFonts w:ascii="Times New Roman" w:hAnsi="Times New Roman"/>
          <w:vertAlign w:val="baseline"/>
        </w:rPr>
        <w:t>28.</w:t>
      </w:r>
      <w:r>
        <w:rPr>
          <w:rFonts w:ascii="EUAlbertina" w:hAnsi="EUAlbertina"/>
          <w:color w:val="000000"/>
          <w:sz w:val="19"/>
        </w:rPr>
        <w:t xml:space="preserve"> </w:t>
      </w:r>
    </w:p>
  </w:footnote>
  <w:footnote w:id="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съображение (10) и член 1 от Делегиран регламент (ЕС) 2016/89.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7F14"/>
    <w:multiLevelType w:val="hybridMultilevel"/>
    <w:tmpl w:val="E1BA4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0759FB6C07A45C5AF80C926E488A545"/>
    <w:docVar w:name="LW_CROSSREFERENCE" w:val="&lt;UNUSED&gt;"/>
    <w:docVar w:name="LW_DocType" w:val="NORMAL"/>
    <w:docVar w:name="LW_EMISSION" w:val="22.8.2016"/>
    <w:docVar w:name="LW_EMISSION_ISODATE" w:val="2016-08-22"/>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509"/>
    <w:docVar w:name="LW_REF.INTERNE" w:val="&lt;UNUSED&gt;"/>
    <w:docVar w:name="LW_SOUS.TITRE.OBJ.CP" w:val="&lt;UNUSED&gt;"/>
    <w:docVar w:name="LW_SUPERTITRE" w:val="&lt;UNUSED&gt;"/>
    <w:docVar w:name="LW_TITRE.OBJ.CP" w:val="\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74? \u1089?\u1098?\u1086?\u1090?\u1074?\u1077?\u1090?\u1089?\u1090?\u1074?\u1080?\u1077? \u1089? \u1056?\u1077?\u1075?\u1083?\u1072?\u1084?\u1077?\u1085?\u1090? (\u1045?\u1057?) \u8470? 347/2013 \u1085?\u1072? \u1045?\u1074?\u1088?\u1086?\u1087?\u1077?\u1081?\u1089?\u1082?\u1080?\u1103? \u1087?\u1072?\u1088?\u1083?\u1072?\u1084?\u1077?\u1085?\u1090? \u1080? \u1085?\u1072? \u1057?\u1098?\u1074?\u1077?\u1090?\u1072? \u1086?\u1090? 17 \u1072?\u1087?\u1088?\u1080?\u1083? 2013 \u1075?\u1086?\u1076?\u1080?\u1085?\u1072? \u1086?\u1090?\u1085?\u1086?\u1089?\u1085?\u1086? \u1091?\u1082?\u1072?\u1079?\u1072?\u1085?\u1080?\u1103? \u1079?\u1072? \u1090?\u1088?\u1072?\u1085?\u1089?\u1077?\u1074?\u1088?\u1086?\u1087?\u1077?\u1081?\u1089?\u1082?\u1072?\u1090?\u1072? \u1077?\u1085?\u1077?\u1088?\u1075?\u1080?\u1081?\u1085?\u1072? \u1080?\u1085?\u1092?\u1088?\u1072?\u1089?\u1090?\u1088?\u1091?\u1082?\u1090?\u1091?\u1088?\u1072? \u1080? \u1079?\u1072? \u1086?\u1090?\u1084?\u1103?\u1085?\u1072? \u1085?\u1072? \u1056?\u1077?\u1096?\u1077?\u1085?\u1080?\u1077? \u8470? 1364/2006/\u1045?\u1054?, \u1082?\u1072?\u1082?\u1090?\u1086? \u1080? \u1079?\u1072? \u1080?\u1079?\u1084?\u1077?\u1085?\u1077?\u1085?\u1080?\u1077? \u1085?\u1072? \u1088?\u1077?\u1075?\u1083?\u1072?\u1084?\u1077?\u1085?\u1090?\u1080? (\u1045?\u1054?) \u8470? 713/2009, (\u1045?\u1054?) \u8470? 714/2009 \u1080? (\u1045?\u1054?) \u8470? 715/2009"/>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bg-BG"/>
    </w:r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pPr>
      <w:autoSpaceDE w:val="0"/>
      <w:autoSpaceDN w:val="0"/>
      <w:adjustRightInd w:val="0"/>
      <w:spacing w:after="0" w:line="240" w:lineRule="auto"/>
    </w:pPr>
    <w:rPr>
      <w:rFonts w:ascii="EUAlbertina" w:hAnsi="EUAlbertina"/>
      <w:sz w:val="24"/>
      <w:szCs w:val="24"/>
    </w:rPr>
  </w:style>
  <w:style w:type="character" w:customStyle="1" w:styleId="date-display-start">
    <w:name w:val="date-display-start"/>
    <w:basedOn w:val="DefaultParagraphFont"/>
  </w:style>
  <w:style w:type="character" w:customStyle="1" w:styleId="date-display-end">
    <w:name w:val="date-display-end"/>
    <w:basedOn w:val="DefaultParagraphFon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bg-BG"/>
    </w:r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pPr>
      <w:autoSpaceDE w:val="0"/>
      <w:autoSpaceDN w:val="0"/>
      <w:adjustRightInd w:val="0"/>
      <w:spacing w:after="0" w:line="240" w:lineRule="auto"/>
    </w:pPr>
    <w:rPr>
      <w:rFonts w:ascii="EUAlbertina" w:hAnsi="EUAlbertina"/>
      <w:sz w:val="24"/>
      <w:szCs w:val="24"/>
    </w:rPr>
  </w:style>
  <w:style w:type="character" w:customStyle="1" w:styleId="date-display-start">
    <w:name w:val="date-display-start"/>
    <w:basedOn w:val="DefaultParagraphFont"/>
  </w:style>
  <w:style w:type="character" w:customStyle="1" w:styleId="date-display-end">
    <w:name w:val="date-display-end"/>
    <w:basedOn w:val="DefaultParagraphFon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44865">
      <w:bodyDiv w:val="1"/>
      <w:marLeft w:val="0"/>
      <w:marRight w:val="0"/>
      <w:marTop w:val="0"/>
      <w:marBottom w:val="0"/>
      <w:divBdr>
        <w:top w:val="none" w:sz="0" w:space="0" w:color="auto"/>
        <w:left w:val="none" w:sz="0" w:space="0" w:color="auto"/>
        <w:bottom w:val="none" w:sz="0" w:space="0" w:color="auto"/>
        <w:right w:val="none" w:sz="0" w:space="0" w:color="auto"/>
      </w:divBdr>
      <w:divsChild>
        <w:div w:id="507140102">
          <w:marLeft w:val="0"/>
          <w:marRight w:val="0"/>
          <w:marTop w:val="0"/>
          <w:marBottom w:val="0"/>
          <w:divBdr>
            <w:top w:val="none" w:sz="0" w:space="0" w:color="auto"/>
            <w:left w:val="none" w:sz="0" w:space="0" w:color="auto"/>
            <w:bottom w:val="none" w:sz="0" w:space="0" w:color="auto"/>
            <w:right w:val="none" w:sz="0" w:space="0" w:color="auto"/>
          </w:divBdr>
          <w:divsChild>
            <w:div w:id="750352113">
              <w:marLeft w:val="0"/>
              <w:marRight w:val="0"/>
              <w:marTop w:val="0"/>
              <w:marBottom w:val="0"/>
              <w:divBdr>
                <w:top w:val="none" w:sz="0" w:space="0" w:color="auto"/>
                <w:left w:val="none" w:sz="0" w:space="0" w:color="auto"/>
                <w:bottom w:val="none" w:sz="0" w:space="0" w:color="auto"/>
                <w:right w:val="none" w:sz="0" w:space="0" w:color="auto"/>
              </w:divBdr>
              <w:divsChild>
                <w:div w:id="1622807257">
                  <w:marLeft w:val="0"/>
                  <w:marRight w:val="0"/>
                  <w:marTop w:val="0"/>
                  <w:marBottom w:val="0"/>
                  <w:divBdr>
                    <w:top w:val="none" w:sz="0" w:space="0" w:color="auto"/>
                    <w:left w:val="none" w:sz="0" w:space="0" w:color="auto"/>
                    <w:bottom w:val="none" w:sz="0" w:space="0" w:color="auto"/>
                    <w:right w:val="none" w:sz="0" w:space="0" w:color="auto"/>
                  </w:divBdr>
                  <w:divsChild>
                    <w:div w:id="2342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238335">
      <w:bodyDiv w:val="1"/>
      <w:marLeft w:val="0"/>
      <w:marRight w:val="0"/>
      <w:marTop w:val="0"/>
      <w:marBottom w:val="0"/>
      <w:divBdr>
        <w:top w:val="none" w:sz="0" w:space="0" w:color="auto"/>
        <w:left w:val="none" w:sz="0" w:space="0" w:color="auto"/>
        <w:bottom w:val="none" w:sz="0" w:space="0" w:color="auto"/>
        <w:right w:val="none" w:sz="0" w:space="0" w:color="auto"/>
      </w:divBdr>
    </w:div>
    <w:div w:id="845554925">
      <w:bodyDiv w:val="1"/>
      <w:marLeft w:val="0"/>
      <w:marRight w:val="0"/>
      <w:marTop w:val="0"/>
      <w:marBottom w:val="0"/>
      <w:divBdr>
        <w:top w:val="none" w:sz="0" w:space="0" w:color="auto"/>
        <w:left w:val="none" w:sz="0" w:space="0" w:color="auto"/>
        <w:bottom w:val="none" w:sz="0" w:space="0" w:color="auto"/>
        <w:right w:val="none" w:sz="0" w:space="0" w:color="auto"/>
      </w:divBdr>
    </w:div>
    <w:div w:id="207495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3076B-7372-4987-B442-6FFBE041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1170</Words>
  <Characters>6483</Characters>
  <Application>Microsoft Office Word</Application>
  <DocSecurity>0</DocSecurity>
  <Lines>144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2016-07-05T17:44:00Z</cp:lastPrinted>
  <dcterms:created xsi:type="dcterms:W3CDTF">2016-08-10T14:23:00Z</dcterms:created>
  <dcterms:modified xsi:type="dcterms:W3CDTF">2016-08-12T09:58:00Z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