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CF" w:rsidRDefault="004A6974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A361231100D4F67BE2BFC94D87842A8" style="width:450.75pt;height:459.75pt">
            <v:imagedata r:id="rId9" o:title=""/>
          </v:shape>
        </w:pict>
      </w:r>
    </w:p>
    <w:p w:rsidR="007C2DCF" w:rsidRDefault="007C2DCF">
      <w:pPr>
        <w:rPr>
          <w:noProof/>
        </w:rPr>
        <w:sectPr w:rsidR="007C2DCF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7C2DCF" w:rsidRDefault="004A6974">
      <w:pPr>
        <w:pStyle w:val="Rfrenceinterinstitutionnelle"/>
        <w:rPr>
          <w:noProof/>
        </w:rPr>
      </w:pPr>
      <w:r>
        <w:rPr>
          <w:noProof/>
        </w:rPr>
        <w:lastRenderedPageBreak/>
        <w:t>2013/0297 (COD)</w:t>
      </w:r>
    </w:p>
    <w:p w:rsidR="007C2DCF" w:rsidRDefault="004A6974"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 xml:space="preserve">съгласно член 294, параграф 6 от </w:t>
      </w:r>
      <w:r>
        <w:rPr>
          <w:noProof/>
        </w:rPr>
        <w:t>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 w:rsidR="007C2DCF" w:rsidRDefault="004A6974"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предложение за Регламент на Европейския парламент и на Съвета за изменение на Регламент (ЕО) № 91/2003 относно статистиката за железопътния транспорт по</w:t>
      </w:r>
      <w:r>
        <w:rPr>
          <w:noProof/>
        </w:rPr>
        <w:t xml:space="preserve"> отношение на събирането на данни за товарите, пътниците и произшествията</w:t>
      </w:r>
    </w:p>
    <w:p w:rsidR="007C2DCF" w:rsidRDefault="004A6974"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 w:rsidR="007C2DCF" w:rsidRDefault="004A6974"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 w:rsidR="007C2DCF">
        <w:tc>
          <w:tcPr>
            <w:tcW w:w="6804" w:type="dxa"/>
          </w:tcPr>
          <w:p w:rsidR="007C2DCF" w:rsidRDefault="004A6974"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</w:t>
            </w:r>
          </w:p>
          <w:p w:rsidR="007C2DCF" w:rsidRDefault="004A6974">
            <w:pPr>
              <w:ind w:left="2127" w:hanging="2127"/>
              <w:rPr>
                <w:b/>
                <w:noProof/>
              </w:rPr>
            </w:pPr>
            <w:r>
              <w:rPr>
                <w:noProof/>
              </w:rPr>
              <w:t>COM(2013) 611– 2013/297(COD)</w:t>
            </w:r>
          </w:p>
        </w:tc>
        <w:tc>
          <w:tcPr>
            <w:tcW w:w="2483" w:type="dxa"/>
          </w:tcPr>
          <w:p w:rsidR="007C2DCF" w:rsidRDefault="004A6974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30 август 2013 г. </w:t>
            </w:r>
          </w:p>
        </w:tc>
      </w:tr>
      <w:tr w:rsidR="007C2DCF">
        <w:tc>
          <w:tcPr>
            <w:tcW w:w="6804" w:type="dxa"/>
          </w:tcPr>
          <w:p w:rsidR="007C2DCF" w:rsidRDefault="004A6974">
            <w:pPr>
              <w:rPr>
                <w:noProof/>
              </w:rPr>
            </w:pPr>
            <w:r>
              <w:rPr>
                <w:noProof/>
              </w:rPr>
              <w:t>Дата на становището на</w:t>
            </w:r>
            <w:r>
              <w:rPr>
                <w:noProof/>
              </w:rPr>
              <w:t xml:space="preserve"> Европейския икономически и социален комитет:</w:t>
            </w:r>
          </w:p>
        </w:tc>
        <w:tc>
          <w:tcPr>
            <w:tcW w:w="2483" w:type="dxa"/>
          </w:tcPr>
          <w:p w:rsidR="007C2DCF" w:rsidRDefault="004A6974">
            <w:pPr>
              <w:jc w:val="left"/>
              <w:rPr>
                <w:noProof/>
              </w:rPr>
            </w:pPr>
            <w:r>
              <w:rPr>
                <w:noProof/>
              </w:rPr>
              <w:t>не е приложимо</w:t>
            </w:r>
          </w:p>
        </w:tc>
      </w:tr>
      <w:tr w:rsidR="007C2DCF">
        <w:tc>
          <w:tcPr>
            <w:tcW w:w="6804" w:type="dxa"/>
          </w:tcPr>
          <w:p w:rsidR="007C2DCF" w:rsidRDefault="004A6974"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 w:rsidR="007C2DCF" w:rsidRDefault="004A6974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11 март 2014 г. </w:t>
            </w:r>
          </w:p>
        </w:tc>
      </w:tr>
      <w:tr w:rsidR="007C2DCF">
        <w:tc>
          <w:tcPr>
            <w:tcW w:w="6804" w:type="dxa"/>
          </w:tcPr>
          <w:p w:rsidR="007C2DCF" w:rsidRDefault="004A6974">
            <w:pPr>
              <w:rPr>
                <w:noProof/>
              </w:rPr>
            </w:pPr>
            <w:r>
              <w:rPr>
                <w:noProof/>
              </w:rPr>
              <w:t>Дата на предаване на измененото предложение:</w:t>
            </w:r>
          </w:p>
        </w:tc>
        <w:tc>
          <w:tcPr>
            <w:tcW w:w="2483" w:type="dxa"/>
          </w:tcPr>
          <w:p w:rsidR="007C2DCF" w:rsidRDefault="004A6974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не е приложимо </w:t>
            </w:r>
          </w:p>
        </w:tc>
      </w:tr>
      <w:tr w:rsidR="007C2DCF">
        <w:tc>
          <w:tcPr>
            <w:tcW w:w="6804" w:type="dxa"/>
          </w:tcPr>
          <w:p w:rsidR="007C2DCF" w:rsidRDefault="004A6974"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 w:rsidR="007C2DCF" w:rsidRDefault="004A6974">
            <w:pPr>
              <w:jc w:val="left"/>
              <w:rPr>
                <w:noProof/>
              </w:rPr>
            </w:pPr>
            <w:r>
              <w:rPr>
                <w:noProof/>
              </w:rPr>
              <w:t>18 юли 2016 г</w:t>
            </w:r>
            <w:r>
              <w:rPr>
                <w:noProof/>
              </w:rPr>
              <w:t>.</w:t>
            </w:r>
          </w:p>
        </w:tc>
      </w:tr>
    </w:tbl>
    <w:p w:rsidR="007C2DCF" w:rsidRDefault="004A6974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 w:rsidR="007C2DCF" w:rsidRDefault="004A6974">
      <w:pPr>
        <w:autoSpaceDE w:val="0"/>
        <w:autoSpaceDN w:val="0"/>
        <w:adjustRightInd w:val="0"/>
        <w:rPr>
          <w:noProof/>
          <w:szCs w:val="20"/>
        </w:rPr>
      </w:pPr>
      <w:r>
        <w:rPr>
          <w:noProof/>
        </w:rPr>
        <w:t>Целта на предложението на Комисията е да се измени Регламент (ЕО) № 91/2003</w:t>
      </w:r>
      <w:r>
        <w:rPr>
          <w:rStyle w:val="FootnoteReference"/>
          <w:noProof/>
        </w:rPr>
        <w:footnoteReference w:id="1"/>
      </w:r>
      <w:r>
        <w:rPr>
          <w:noProof/>
        </w:rPr>
        <w:t>, така че да се актуализира, опрости и оптимизира съществуващата правна рамка за европейската статистика за железопътния транспорт, и същият</w:t>
      </w:r>
      <w:r>
        <w:rPr>
          <w:noProof/>
        </w:rPr>
        <w:t xml:space="preserve"> да се приведе в съответствие с Договора за функционирането на Европейския съюз (ДФЕС), що се отнася до делегираните и изпълнителните правомощия. </w:t>
      </w:r>
    </w:p>
    <w:p w:rsidR="007C2DCF" w:rsidRDefault="004A6974">
      <w:pPr>
        <w:rPr>
          <w:noProof/>
        </w:rPr>
      </w:pPr>
      <w:r>
        <w:rPr>
          <w:noProof/>
        </w:rPr>
        <w:t>С предложения регламент Комисията ще бъде оправомощена да приема делегирани актове с цел адаптиране на опреде</w:t>
      </w:r>
      <w:r>
        <w:rPr>
          <w:noProof/>
        </w:rPr>
        <w:t>ленията и на праговете за докладване, изменение на съдържанието на приложенията и уточняване на информацията, която трябва да бъде предоставена.</w:t>
      </w:r>
    </w:p>
    <w:p w:rsidR="007C2DCF" w:rsidRDefault="004A6974">
      <w:pPr>
        <w:rPr>
          <w:noProof/>
        </w:rPr>
      </w:pPr>
      <w:r>
        <w:rPr>
          <w:noProof/>
        </w:rPr>
        <w:t>Освен това с него ще се предоставят на Комисията изпълнителни правомощия с оглед осигуряване на еднакви условия</w:t>
      </w:r>
      <w:r>
        <w:rPr>
          <w:noProof/>
        </w:rPr>
        <w:t xml:space="preserve"> по отношение на специфичните изисквания за информацията, която трябва да бъде предоставена за целите на изготвянето на </w:t>
      </w:r>
      <w:r>
        <w:rPr>
          <w:noProof/>
        </w:rPr>
        <w:lastRenderedPageBreak/>
        <w:t xml:space="preserve">докладите за качеството и съпоставимостта на резултатите, в съответствие с процедурата по разглеждане, предвидена в член 5 от Регламент </w:t>
      </w:r>
      <w:r>
        <w:rPr>
          <w:noProof/>
        </w:rPr>
        <w:t>(ЕС) № 182/2011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 w:rsidR="007C2DCF" w:rsidRDefault="004A6974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 w:rsidR="007C2DCF" w:rsidRDefault="004A6974">
      <w:pPr>
        <w:pStyle w:val="ManualHeading2"/>
        <w:rPr>
          <w:noProof/>
        </w:rPr>
      </w:pPr>
      <w:r>
        <w:rPr>
          <w:noProof/>
        </w:rPr>
        <w:t>3.1</w:t>
      </w:r>
      <w:r>
        <w:rPr>
          <w:noProof/>
        </w:rPr>
        <w:tab/>
        <w:t>Коментари от общ характер</w:t>
      </w:r>
    </w:p>
    <w:p w:rsidR="007C2DCF" w:rsidRDefault="004A6974">
      <w:pPr>
        <w:widowControl w:val="0"/>
        <w:rPr>
          <w:noProof/>
        </w:rPr>
      </w:pPr>
      <w:r>
        <w:rPr>
          <w:noProof/>
        </w:rPr>
        <w:t xml:space="preserve">Позицията на Съвета отразява, от една страна, постигнатата по време на тристранните обсъждания договореност между Съвета, Комисията по транспорт и туризъм на </w:t>
      </w:r>
      <w:r>
        <w:rPr>
          <w:noProof/>
        </w:rPr>
        <w:t>Европейския парламент и Европейската комисия от 24 май 2016 г., и новото Междуинституционално споразумение за по-добро законотворчество от 13 април 2016 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, от друга. </w:t>
      </w:r>
    </w:p>
    <w:p w:rsidR="007C2DCF" w:rsidRDefault="004A6974">
      <w:pPr>
        <w:widowControl w:val="0"/>
        <w:rPr>
          <w:noProof/>
        </w:rPr>
      </w:pPr>
      <w:r>
        <w:rPr>
          <w:noProof/>
        </w:rPr>
        <w:t xml:space="preserve">Основният въпрос, който блокира досието, беше постигането на съгласие с Европейския </w:t>
      </w:r>
      <w:r>
        <w:rPr>
          <w:noProof/>
        </w:rPr>
        <w:t>парламент за придаване на официален характер на обмена на данни между Евростат, Европейската железопътна агенция (ERA)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генерална дирекция „Мобилност и транспорт“ (MOVE) чрез двустранни меморандуми за разбирателство. </w:t>
      </w:r>
    </w:p>
    <w:p w:rsidR="007C2DCF" w:rsidRDefault="004A6974">
      <w:pPr>
        <w:spacing w:before="0" w:after="0"/>
        <w:rPr>
          <w:noProof/>
        </w:rPr>
      </w:pPr>
      <w:r>
        <w:rPr>
          <w:noProof/>
        </w:rPr>
        <w:t>В крайна сметка бе постигнат консенс</w:t>
      </w:r>
      <w:r>
        <w:rPr>
          <w:noProof/>
        </w:rPr>
        <w:t>ус с подписването на два меморандума за разбирателство — единия между Евростат и ГД „Мобилност и транспорт“, а другия между Евростат и ERA. Посредством тях Европейският парламент получи гаранция, че поисканите от него данни ще бъдат обработвани и предостав</w:t>
      </w:r>
      <w:r>
        <w:rPr>
          <w:noProof/>
        </w:rPr>
        <w:t xml:space="preserve">яни на разположение. </w:t>
      </w:r>
    </w:p>
    <w:p w:rsidR="007C2DCF" w:rsidRDefault="004A6974">
      <w:pPr>
        <w:ind w:left="14" w:right="-8"/>
        <w:rPr>
          <w:bCs/>
          <w:iCs/>
          <w:noProof/>
        </w:rPr>
      </w:pPr>
      <w:r>
        <w:rPr>
          <w:noProof/>
        </w:rPr>
        <w:t>Текстът не съдържа изрично позоваване на меморандумите за разбирателство, но едно от съображенията препраща към „подходящи споразумения за сътрудничество относно статистическите дейности“.</w:t>
      </w:r>
    </w:p>
    <w:p w:rsidR="007C2DCF" w:rsidRDefault="004A6974">
      <w:pPr>
        <w:widowControl w:val="0"/>
        <w:rPr>
          <w:noProof/>
        </w:rPr>
      </w:pPr>
      <w:r>
        <w:rPr>
          <w:noProof/>
        </w:rPr>
        <w:t xml:space="preserve">Съветът прие позицията си на първо четене на </w:t>
      </w:r>
      <w:r>
        <w:rPr>
          <w:noProof/>
        </w:rPr>
        <w:t xml:space="preserve">18 юли 2016 г. </w:t>
      </w:r>
    </w:p>
    <w:p w:rsidR="007C2DCF" w:rsidRDefault="004A6974">
      <w:pPr>
        <w:widowControl w:val="0"/>
        <w:rPr>
          <w:noProof/>
          <w:szCs w:val="24"/>
        </w:rPr>
      </w:pPr>
      <w:r>
        <w:rPr>
          <w:noProof/>
        </w:rPr>
        <w:t>Позицията на Съвета е приемлива за Комисията.</w:t>
      </w:r>
    </w:p>
    <w:p w:rsidR="007C2DCF" w:rsidRDefault="004A6974">
      <w:pPr>
        <w:pStyle w:val="ManualHeading2"/>
        <w:rPr>
          <w:noProof/>
        </w:rPr>
      </w:pPr>
      <w:r>
        <w:rPr>
          <w:noProof/>
        </w:rPr>
        <w:t>3.2</w:t>
      </w:r>
      <w:r>
        <w:rPr>
          <w:noProof/>
        </w:rPr>
        <w:tab/>
        <w:t>Коментари по измененията, приети от Европейския парламент</w:t>
      </w:r>
    </w:p>
    <w:p w:rsidR="007C2DCF" w:rsidRDefault="004A6974">
      <w:pPr>
        <w:pStyle w:val="ManualHeading3"/>
        <w:rPr>
          <w:noProof/>
          <w:highlight w:val="yellow"/>
        </w:rPr>
      </w:pPr>
      <w:r>
        <w:rPr>
          <w:noProof/>
        </w:rPr>
        <w:t>3.2.1.</w:t>
      </w:r>
      <w:r>
        <w:rPr>
          <w:noProof/>
        </w:rPr>
        <w:tab/>
        <w:t xml:space="preserve">Изменения, внесени от Европейския парламент, които са включени изцяло, отчасти или по принцип в позицията на Съвета на първо </w:t>
      </w:r>
      <w:r>
        <w:rPr>
          <w:noProof/>
        </w:rPr>
        <w:t>четене</w:t>
      </w:r>
    </w:p>
    <w:p w:rsidR="007C2DCF" w:rsidRDefault="004A6974">
      <w:pPr>
        <w:spacing w:before="0" w:after="0"/>
        <w:rPr>
          <w:noProof/>
        </w:rPr>
      </w:pPr>
      <w:r>
        <w:rPr>
          <w:noProof/>
        </w:rPr>
        <w:t>На 11 март 2014 г. Европейският парламент прие законодателна резолюция, с която предложи 23 изменения. Комисията отхвърли повечето от тях, включително исканията за допълнителни променливи. По-специално Европейският парламент беше на мнение, че събир</w:t>
      </w:r>
      <w:r>
        <w:rPr>
          <w:noProof/>
        </w:rPr>
        <w:t>ането на данни следва да се разшири допълнително, така че да включва данни за железопътната инфраструктура, и че следва да има повече измервани променливи за статистиката за превоза на пътници, по-специално по отношение на трансграничните връзки, които спо</w:t>
      </w:r>
      <w:r>
        <w:rPr>
          <w:noProof/>
        </w:rPr>
        <w:t xml:space="preserve">ред него следва да бъдат в центъра на транспортната политика на ЕС. </w:t>
      </w:r>
    </w:p>
    <w:p w:rsidR="007C2DCF" w:rsidRDefault="004A6974">
      <w:pPr>
        <w:pStyle w:val="ManualHeading3"/>
        <w:rPr>
          <w:noProof/>
          <w:szCs w:val="24"/>
        </w:rPr>
      </w:pPr>
      <w:r>
        <w:rPr>
          <w:noProof/>
        </w:rPr>
        <w:lastRenderedPageBreak/>
        <w:t>3.2.2.</w:t>
      </w:r>
      <w:r>
        <w:rPr>
          <w:noProof/>
        </w:rPr>
        <w:tab/>
        <w:t>Изменения, внесени от Европейския парламент, които не са включени в позицията на Съвета на първо четене</w:t>
      </w:r>
    </w:p>
    <w:p w:rsidR="007C2DCF" w:rsidRDefault="004A6974">
      <w:pPr>
        <w:rPr>
          <w:noProof/>
        </w:rPr>
      </w:pPr>
      <w:r>
        <w:rPr>
          <w:noProof/>
        </w:rPr>
        <w:t>Основните изменения, свързани с изричното добавяне на нови променливи, не бя</w:t>
      </w:r>
      <w:r>
        <w:rPr>
          <w:noProof/>
        </w:rPr>
        <w:t xml:space="preserve">ха включени в позицията на Съвета. </w:t>
      </w:r>
    </w:p>
    <w:p w:rsidR="007C2DCF" w:rsidRDefault="004A6974">
      <w:pPr>
        <w:pStyle w:val="ManualHeading2"/>
        <w:rPr>
          <w:noProof/>
        </w:rPr>
      </w:pPr>
      <w:r>
        <w:rPr>
          <w:noProof/>
        </w:rPr>
        <w:t>3.3</w:t>
      </w:r>
      <w:r>
        <w:rPr>
          <w:noProof/>
        </w:rPr>
        <w:tab/>
        <w:t>Изменени от Съвета разпоредби и позицията на Комисията по тях</w:t>
      </w:r>
    </w:p>
    <w:p w:rsidR="007C2DCF" w:rsidRDefault="004A6974">
      <w:pPr>
        <w:rPr>
          <w:bCs/>
          <w:iCs/>
          <w:noProof/>
        </w:rPr>
      </w:pPr>
      <w:r>
        <w:rPr>
          <w:noProof/>
        </w:rPr>
        <w:t>Новото съображение 3а засяга въпроса за допълнителното събиране на данни с цел избягване на дублирането на работата и оптимизиране на използването на съще</w:t>
      </w:r>
      <w:r>
        <w:rPr>
          <w:noProof/>
        </w:rPr>
        <w:t>ствуващата информация. В него се уточнява също така, че „между службите на Комисията и имащите отношение образувания, включително на международно равнище, следва да се сключат подходящи споразумения за сътрудничество относно статистическите дейности“.</w:t>
      </w:r>
    </w:p>
    <w:p w:rsidR="007C2DCF" w:rsidRDefault="004A6974">
      <w:pPr>
        <w:rPr>
          <w:noProof/>
        </w:rPr>
      </w:pPr>
      <w:r>
        <w:rPr>
          <w:noProof/>
        </w:rPr>
        <w:t>Член</w:t>
      </w:r>
      <w:r>
        <w:rPr>
          <w:noProof/>
        </w:rPr>
        <w:t> 3, параграф 2 се отнася до единственото правомощие, предоставено на Комисията, да приема делегирани актове за адаптиране на съществуващите технически определения и да въвежда нови технически определения. Освен това в него се уточнява, че при упражняването</w:t>
      </w:r>
      <w:r>
        <w:rPr>
          <w:noProof/>
        </w:rPr>
        <w:t xml:space="preserve"> на това правомощие Комисията гарантира, че делегираните актове не водят до значителна допълнителна тежест за държавите членки и респондентите. Наред с това Комисията има задължението надлежно да обосновава мерките, предвидени в делегираните актове, като п</w:t>
      </w:r>
      <w:r>
        <w:rPr>
          <w:noProof/>
        </w:rPr>
        <w:t>рибягва при нужда към анализ на тяхната разходна ефективност, включително посредством оценка на тежестта върху респондентите и на разходите за изготвяне, както е предвидено в член 14, параграф 3, буква в) от Регламент (ЕО) № 223/2009.</w:t>
      </w:r>
    </w:p>
    <w:p w:rsidR="007C2DCF" w:rsidRDefault="004A6974">
      <w:pPr>
        <w:pStyle w:val="Text1"/>
        <w:spacing w:before="100" w:beforeAutospacing="1" w:after="100" w:afterAutospacing="1"/>
        <w:ind w:left="0"/>
        <w:rPr>
          <w:noProof/>
          <w:szCs w:val="24"/>
        </w:rPr>
      </w:pPr>
      <w:r>
        <w:rPr>
          <w:noProof/>
        </w:rPr>
        <w:t xml:space="preserve">При все че Комисията </w:t>
      </w:r>
      <w:r>
        <w:rPr>
          <w:noProof/>
        </w:rPr>
        <w:t>съжалява за ограничения характер на предоставеното правомощие в сравнение с първоначалното предложение, тя може да счете разпоредбата в сегашната ѝ редакция за приемлива в дух на постигане на съгласие.</w:t>
      </w:r>
    </w:p>
    <w:p w:rsidR="007C2DCF" w:rsidRDefault="004A6974">
      <w:pPr>
        <w:pStyle w:val="Text1"/>
        <w:spacing w:before="100" w:beforeAutospacing="1" w:after="100" w:afterAutospacing="1"/>
        <w:ind w:left="0"/>
        <w:rPr>
          <w:noProof/>
          <w:szCs w:val="24"/>
        </w:rPr>
      </w:pPr>
      <w:r>
        <w:rPr>
          <w:noProof/>
        </w:rPr>
        <w:t xml:space="preserve">Въведени бяха две допълнителни изменения: </w:t>
      </w:r>
    </w:p>
    <w:p w:rsidR="007C2DCF" w:rsidRDefault="004A6974">
      <w:pPr>
        <w:pStyle w:val="Default"/>
        <w:jc w:val="both"/>
        <w:rPr>
          <w:noProof/>
        </w:rPr>
      </w:pPr>
      <w:r>
        <w:rPr>
          <w:noProof/>
        </w:rPr>
        <w:t>Добавен е н</w:t>
      </w:r>
      <w:r>
        <w:rPr>
          <w:noProof/>
        </w:rPr>
        <w:t xml:space="preserve">ов параграф в член 7 относно мерките за изпълнение, които трябва да бъдат приети за определяне на договореностите относно разпространението на резултатите. </w:t>
      </w:r>
    </w:p>
    <w:p w:rsidR="007C2DCF" w:rsidRDefault="007C2DCF">
      <w:pPr>
        <w:pStyle w:val="Default"/>
        <w:jc w:val="both"/>
        <w:rPr>
          <w:noProof/>
        </w:rPr>
      </w:pPr>
    </w:p>
    <w:p w:rsidR="007C2DCF" w:rsidRDefault="004A6974">
      <w:pPr>
        <w:pStyle w:val="Default"/>
        <w:jc w:val="both"/>
        <w:rPr>
          <w:noProof/>
        </w:rPr>
      </w:pPr>
      <w:r>
        <w:rPr>
          <w:noProof/>
        </w:rPr>
        <w:t>В новия член 9 относно отчетността се предвижда Комисията да докладва на Европейския парламент и С</w:t>
      </w:r>
      <w:r>
        <w:rPr>
          <w:noProof/>
        </w:rPr>
        <w:t>ъвета относно изпълнението на Регламент (ЕО) № 91/2003 до 31 декември 2020 г. и на всеки четири години след това, вместо само веднъж, както е предвидено в сегашния регламент.</w:t>
      </w:r>
    </w:p>
    <w:p w:rsidR="007C2DCF" w:rsidRDefault="004A6974">
      <w:pPr>
        <w:pStyle w:val="Text1"/>
        <w:ind w:left="0"/>
        <w:rPr>
          <w:noProof/>
        </w:rPr>
      </w:pPr>
      <w:r>
        <w:rPr>
          <w:noProof/>
        </w:rPr>
        <w:t>Стандартното съображение и член 10 относно упражняването на делегирането на право</w:t>
      </w:r>
      <w:r>
        <w:rPr>
          <w:noProof/>
        </w:rPr>
        <w:t>мощия са в съответствие с новото Междуинституционално споразумение за по-добро законотворчество.</w:t>
      </w:r>
    </w:p>
    <w:p w:rsidR="007C2DCF" w:rsidRDefault="004A6974">
      <w:pPr>
        <w:pStyle w:val="Text1"/>
        <w:ind w:left="0"/>
        <w:rPr>
          <w:noProof/>
        </w:rPr>
      </w:pPr>
      <w:r>
        <w:rPr>
          <w:noProof/>
        </w:rPr>
        <w:t>Комисията подкрепя изложеното по-горе.</w:t>
      </w:r>
    </w:p>
    <w:p w:rsidR="004A6974" w:rsidRDefault="004A6974">
      <w:pPr>
        <w:spacing w:before="0" w:after="200" w:line="276" w:lineRule="auto"/>
        <w:jc w:val="left"/>
        <w:rPr>
          <w:b/>
          <w:smallCaps/>
          <w:noProof/>
        </w:rPr>
      </w:pPr>
      <w:r>
        <w:rPr>
          <w:noProof/>
        </w:rPr>
        <w:br w:type="page"/>
      </w:r>
    </w:p>
    <w:p w:rsidR="007C2DCF" w:rsidRDefault="004A6974">
      <w:pPr>
        <w:pStyle w:val="ManualHeading1"/>
        <w:rPr>
          <w:noProof/>
        </w:rPr>
      </w:pPr>
      <w:bookmarkStart w:id="0" w:name="_GoBack"/>
      <w:bookmarkEnd w:id="0"/>
      <w:r>
        <w:rPr>
          <w:noProof/>
        </w:rPr>
        <w:t>4.</w:t>
      </w:r>
      <w:r>
        <w:rPr>
          <w:noProof/>
        </w:rPr>
        <w:tab/>
        <w:t>Заключение</w:t>
      </w:r>
    </w:p>
    <w:p w:rsidR="007C2DCF" w:rsidRDefault="004A6974">
      <w:pPr>
        <w:autoSpaceDE w:val="0"/>
        <w:autoSpaceDN w:val="0"/>
        <w:adjustRightInd w:val="0"/>
        <w:rPr>
          <w:noProof/>
        </w:rPr>
      </w:pPr>
      <w:r>
        <w:rPr>
          <w:noProof/>
        </w:rPr>
        <w:t>Комисията подкрепя постигнатия компромис, тъй като той до голяма степен се доближава до първоначалното пре</w:t>
      </w:r>
      <w:r>
        <w:rPr>
          <w:noProof/>
        </w:rPr>
        <w:t>дложение на Комисията. Освен това той не поражда допълнителна тежест за доставчиците на данни и поради това е в съответствие с целта за опростяване на съществуващата правна рамка за европейската статистика за железопътния транспорт. Що се отнася до привежд</w:t>
      </w:r>
      <w:r>
        <w:rPr>
          <w:noProof/>
        </w:rPr>
        <w:t>ането на Регламент (ЕО) № 91/2003 в съответствие с ДФЕС, въпреки някои ограничения, компромисът осигурява добър баланс между делегирани актове и актове за изпълнение. Текстът е пример за успешно прилагане на новото Междуинституционално споразумение за по-д</w:t>
      </w:r>
      <w:r>
        <w:rPr>
          <w:noProof/>
        </w:rPr>
        <w:t>обро законотворчество.</w:t>
      </w:r>
    </w:p>
    <w:sectPr w:rsidR="007C2DCF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CF" w:rsidRDefault="004A6974">
      <w:pPr>
        <w:spacing w:before="0" w:after="0"/>
      </w:pPr>
      <w:r>
        <w:separator/>
      </w:r>
    </w:p>
  </w:endnote>
  <w:endnote w:type="continuationSeparator" w:id="0">
    <w:p w:rsidR="007C2DCF" w:rsidRDefault="004A69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CF" w:rsidRDefault="004A6974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CF" w:rsidRDefault="004A6974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CF" w:rsidRDefault="007C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CF" w:rsidRDefault="004A6974">
      <w:pPr>
        <w:spacing w:before="0" w:after="0"/>
      </w:pPr>
      <w:r>
        <w:separator/>
      </w:r>
    </w:p>
  </w:footnote>
  <w:footnote w:type="continuationSeparator" w:id="0">
    <w:p w:rsidR="007C2DCF" w:rsidRDefault="004A6974">
      <w:pPr>
        <w:spacing w:before="0" w:after="0"/>
      </w:pPr>
      <w:r>
        <w:continuationSeparator/>
      </w:r>
    </w:p>
  </w:footnote>
  <w:footnote w:id="1">
    <w:p w:rsidR="007C2DCF" w:rsidRDefault="004A6974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(ЕО) № 91/2003 на Европейския парламент и на Съвета от 16 декември 2002 г. относно статистиката за железопътния транспорт (ОВ L 14, </w:t>
      </w:r>
      <w:r>
        <w:t>21.1.2003 г., стр. 1).</w:t>
      </w:r>
    </w:p>
  </w:footnote>
  <w:footnote w:id="2">
    <w:p w:rsidR="007C2DCF" w:rsidRDefault="004A6974">
      <w:pPr>
        <w:pStyle w:val="FootnoteText"/>
      </w:pPr>
      <w:r>
        <w:rPr>
          <w:rStyle w:val="FootnoteReference"/>
        </w:rPr>
        <w:footnoteRef/>
      </w:r>
      <w:r>
        <w:tab/>
      </w:r>
      <w:r>
        <w:t>Регламент (ЕС) № 182/2011 на Европейския парламент и на Съвета от 16 февруари 2011 г. за установяване на общите правила и принципи относно реда и условията за контрол от страна на държавите членки върху упражняването на изпълнителн</w:t>
      </w:r>
      <w:r>
        <w:t>ите правомощия от страна на Комисията (ОВ L 55, 28.2.2011 г., стр. 13).</w:t>
      </w:r>
    </w:p>
  </w:footnote>
  <w:footnote w:id="3">
    <w:p w:rsidR="007C2DCF" w:rsidRDefault="004A6974">
      <w:pPr>
        <w:pStyle w:val="FootnoteText"/>
      </w:pPr>
      <w:r>
        <w:rPr>
          <w:rStyle w:val="FootnoteReference"/>
        </w:rPr>
        <w:footnoteRef/>
      </w:r>
      <w:r>
        <w:tab/>
      </w:r>
      <w:r>
        <w:t>ОВ L 123, 12.5.2016 г., стр. 1.</w:t>
      </w:r>
    </w:p>
  </w:footnote>
  <w:footnote w:id="4">
    <w:p w:rsidR="007C2DCF" w:rsidRDefault="004A6974">
      <w:pPr>
        <w:spacing w:before="0" w:after="0"/>
        <w:ind w:left="720" w:hanging="720"/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</w:rPr>
        <w:t>Регламент (ЕО) № 881/2004 на Европейския парламент и на Съвета от 29 април 2004 г. за създаване на Европейска железопътна агенция (ОВ L 164, 30.4.20</w:t>
      </w:r>
      <w:r>
        <w:rPr>
          <w:sz w:val="20"/>
        </w:rPr>
        <w:t>04 г., стр. 1). На 16 юни 2016 г., след влизането в сила на Регламент (ЕС) 2016/796 на Европейския парламент и на Съвета от 11 май 2016 г. относно Агенцията за железопътен транспорт на Европейския съюз и за отмяна на Регламент (ЕО) № 881/2004 (ОВ L 138, 26</w:t>
      </w:r>
      <w:r>
        <w:rPr>
          <w:sz w:val="20"/>
        </w:rPr>
        <w:t>.5.2016 г., стр. 1), Агенцията за железопътен транспорт на Европейския съюз замени и стана правоприемник на Европейската железопътна агенция (ERA). </w:t>
      </w:r>
    </w:p>
    <w:p w:rsidR="007C2DCF" w:rsidRDefault="007C2D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3E6A7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0C17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48A4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42480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D3E4F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30D1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7204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F5064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9"/>
  </w:num>
  <w:num w:numId="11">
    <w:abstractNumId w:val="13"/>
  </w:num>
  <w:num w:numId="12">
    <w:abstractNumId w:val="21"/>
  </w:num>
  <w:num w:numId="13">
    <w:abstractNumId w:val="12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1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11 13:50:1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4"/>
    <w:docVar w:name="DQCStatus" w:val="Yellow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5A361231100D4F67BE2BFC94D87842A8"/>
    <w:docVar w:name="LW_CROSSREFERENCE" w:val="&lt;UNUSED&gt;"/>
    <w:docVar w:name="LW_DocType" w:val="COM"/>
    <w:docVar w:name="LW_EMISSION" w:val="10.8.2016"/>
    <w:docVar w:name="LW_EMISSION_ISODATE" w:val="2016-08-10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(\u1090?\u1077?\u1082?\u1089?\u1090? \u1086?\u1090? \u1079?\u1085?\u1072?\u1095?\u1077?\u1085?\u1080?\u1077? \u1079?\u1072? \u1045?\u1048?\u1055?)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97"/>
    <w:docVar w:name="LW_REF.II.NEW.CP_YEAR" w:val="2013"/>
    <w:docVar w:name="LW_REF.INST.NEW" w:val="COM"/>
    <w:docVar w:name="LW_REF.INST.NEW_ADOPTED" w:val="final"/>
    <w:docVar w:name="LW_REF.INST.NEW_TEXT" w:val="(2016) 506"/>
    <w:docVar w:name="LW_REF.INTERNE" w:val="&lt;UNUSED&gt;"/>
    <w:docVar w:name="LW_SOUS.TITRE.OBJ.CP" w:val="&lt;UNUSED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56?\u1077?\u1075?\u1083?\u1072?\u1084?\u1077?\u1085?\u1090? (\u1045?\u1054?) \u8470? 91/2003 \u1086?\u1090?\u1085?\u1086?\u1089?\u1085?\u1086? \u1089?\u1090?\u1072?\u1090?\u1080?\u1089?\u1090?\u1080?\u1082?\u1072?\u1090?\u1072? \u1079?\u1072? \u1078?\u1077?\u1083?\u1077?\u1079?\u1086?\u1087?\u1098?\u1090?\u1085?\u1080?\u1103? \u1090?\u1088?\u1072?\u1085?\u1089?\u1087?\u1086?\u1088?\u1090? \u1087?\u1086? \u1086?\u1090?\u1085?\u1086?\u1096?\u1077?\u1085?\u1080?\u1077? \u1085?\u1072? \u1089?\u1098?\u1073?\u1080?\u1088?\u1072?\u1085?\u1077?\u1090?\u1086? \u1085?\u1072? \u1076?\u1072?\u1085?\u1085?\u1080? \u1079?\u1072? \u1090?\u1086?\u1074?\u1072?\u1088?\u1080?\u1090?\u1077?, \u1087?\u1098?\u1090?\u1085?\u1080?\u1094?\u1080?\u1090?\u1077? \u1080? \u1087?\u1088?\u1086?\u1080?\u1079?\u1096?\u1077?\u1089?\u1090?\u1074?\u1080?\u1103?\u1090?\u1072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w:rsids>
    <w:rsidRoot w:val="007C2DCF"/>
    <w:rsid w:val="004A6974"/>
    <w:rsid w:val="007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Strong">
    <w:name w:val="Strong"/>
    <w:qFormat/>
    <w:rPr>
      <w:b/>
      <w:bCs/>
      <w:shd w:val="clear" w:color="auto" w:fill="auto"/>
    </w:rPr>
  </w:style>
  <w:style w:type="character" w:styleId="Emphasis">
    <w:name w:val="Emphasis"/>
    <w:qFormat/>
    <w:rPr>
      <w:i/>
      <w:iCs/>
      <w:shd w:val="clear" w:color="auto" w:fill="auto"/>
    </w:rPr>
  </w:style>
  <w:style w:type="character" w:customStyle="1" w:styleId="DefaultMargins">
    <w:name w:val="DefaultMargins"/>
    <w:rPr>
      <w:rFonts w:ascii="Courier New" w:hAnsi="Courier New" w:cs="Times New Roman" w:hint="default"/>
      <w:sz w:val="20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itialChar">
    <w:name w:val="Initial Char"/>
    <w:link w:val="Initial"/>
    <w:locked/>
    <w:rPr>
      <w:spacing w:val="-3"/>
      <w:sz w:val="24"/>
      <w:lang w:eastAsia="bg-BG"/>
    </w:rPr>
  </w:style>
  <w:style w:type="paragraph" w:customStyle="1" w:styleId="Initial">
    <w:name w:val="Initial"/>
    <w:link w:val="InitialChar"/>
    <w:pPr>
      <w:tabs>
        <w:tab w:val="left" w:pos="-720"/>
      </w:tabs>
      <w:suppressAutoHyphens/>
      <w:spacing w:after="0" w:line="240" w:lineRule="auto"/>
      <w:jc w:val="both"/>
    </w:pPr>
    <w:rPr>
      <w:spacing w:val="-3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stBullet1">
    <w:name w:val="List Bullet 1"/>
    <w:basedOn w:val="Text1"/>
    <w:pPr>
      <w:numPr>
        <w:numId w:val="9"/>
      </w:numPr>
      <w:spacing w:before="0" w:after="240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Strong">
    <w:name w:val="Strong"/>
    <w:qFormat/>
    <w:rPr>
      <w:b/>
      <w:bCs/>
      <w:shd w:val="clear" w:color="auto" w:fill="auto"/>
    </w:rPr>
  </w:style>
  <w:style w:type="character" w:styleId="Emphasis">
    <w:name w:val="Emphasis"/>
    <w:qFormat/>
    <w:rPr>
      <w:i/>
      <w:iCs/>
      <w:shd w:val="clear" w:color="auto" w:fill="auto"/>
    </w:rPr>
  </w:style>
  <w:style w:type="character" w:customStyle="1" w:styleId="DefaultMargins">
    <w:name w:val="DefaultMargins"/>
    <w:rPr>
      <w:rFonts w:ascii="Courier New" w:hAnsi="Courier New" w:cs="Times New Roman" w:hint="default"/>
      <w:sz w:val="20"/>
      <w:lang w:val="bg-B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itialChar">
    <w:name w:val="Initial Char"/>
    <w:link w:val="Initial"/>
    <w:locked/>
    <w:rPr>
      <w:spacing w:val="-3"/>
      <w:sz w:val="24"/>
      <w:lang w:eastAsia="bg-BG"/>
    </w:rPr>
  </w:style>
  <w:style w:type="paragraph" w:customStyle="1" w:styleId="Initial">
    <w:name w:val="Initial"/>
    <w:link w:val="InitialChar"/>
    <w:pPr>
      <w:tabs>
        <w:tab w:val="left" w:pos="-720"/>
      </w:tabs>
      <w:suppressAutoHyphens/>
      <w:spacing w:after="0" w:line="240" w:lineRule="auto"/>
      <w:jc w:val="both"/>
    </w:pPr>
    <w:rPr>
      <w:spacing w:val="-3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stBullet1">
    <w:name w:val="List Bullet 1"/>
    <w:basedOn w:val="Text1"/>
    <w:pPr>
      <w:numPr>
        <w:numId w:val="9"/>
      </w:numPr>
      <w:spacing w:before="0" w:after="240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950D-3F7E-4580-AFC5-6729E064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17</cp:revision>
  <cp:lastPrinted>2016-07-14T08:38:00Z</cp:lastPrinted>
  <dcterms:created xsi:type="dcterms:W3CDTF">2016-08-11T10:26:00Z</dcterms:created>
  <dcterms:modified xsi:type="dcterms:W3CDTF">2016-08-11T11:53:00Z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SJ-028</vt:lpwstr>
  </property>
  <property fmtid="{D5CDD505-2E9C-101B-9397-08002B2CF9AE}" pid="10" name="DQCStatus">
    <vt:lpwstr>Yellow (DQC version 03)</vt:lpwstr>
  </property>
</Properties>
</file>