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96" w:rsidRDefault="0005273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017D844174469C8BEC7F09AA5BB5C4" style="width:450.75pt;height:446.25pt">
            <v:imagedata r:id="rId9" o:title=""/>
          </v:shape>
        </w:pict>
      </w:r>
    </w:p>
    <w:p w:rsidR="00683096" w:rsidRDefault="00683096">
      <w:pPr>
        <w:rPr>
          <w:noProof/>
        </w:rPr>
        <w:sectPr w:rsidR="00683096">
          <w:footerReference w:type="default" r:id="rId10"/>
          <w:pgSz w:w="11907" w:h="16839"/>
          <w:pgMar w:top="1134" w:right="1417" w:bottom="1134" w:left="1417" w:header="709" w:footer="709" w:gutter="0"/>
          <w:pgNumType w:start="1"/>
          <w:cols w:space="708"/>
          <w:docGrid w:linePitch="360"/>
        </w:sectPr>
      </w:pPr>
    </w:p>
    <w:p w:rsidR="00683096" w:rsidRDefault="00052739">
      <w:pPr>
        <w:pStyle w:val="Rfrenceinterinstitutionnelle"/>
        <w:rPr>
          <w:noProof/>
        </w:rPr>
      </w:pPr>
      <w:r>
        <w:rPr>
          <w:noProof/>
        </w:rPr>
        <w:lastRenderedPageBreak/>
        <w:t>2013/0297 (COD)</w:t>
      </w:r>
    </w:p>
    <w:p w:rsidR="00683096" w:rsidRDefault="00052739">
      <w:pPr>
        <w:pStyle w:val="Typedudocument"/>
        <w:rPr>
          <w:noProof/>
        </w:rPr>
      </w:pPr>
      <w:r>
        <w:rPr>
          <w:noProof/>
        </w:rPr>
        <w:t>COMMUNICATION FROM THE COMMISSION</w:t>
      </w:r>
      <w:r>
        <w:rPr>
          <w:noProof/>
        </w:rPr>
        <w:br/>
        <w:t>TO THE EUROPEAN PARLIAMENT</w:t>
      </w:r>
      <w:r>
        <w:rPr>
          <w:noProof/>
        </w:rPr>
        <w:br/>
      </w:r>
      <w:r>
        <w:rPr>
          <w:noProof/>
        </w:rPr>
        <w:br/>
        <w:t>pursuant to Article</w:t>
      </w:r>
      <w:r>
        <w:rPr>
          <w:noProof/>
        </w:rPr>
        <w:t xml:space="preserve"> 294(6) of the Treaty on the Functioning of the European Union</w:t>
      </w:r>
      <w:r>
        <w:rPr>
          <w:noProof/>
        </w:rPr>
        <w:br/>
      </w:r>
      <w:r>
        <w:rPr>
          <w:noProof/>
        </w:rPr>
        <w:br/>
        <w:t>concerning the</w:t>
      </w:r>
    </w:p>
    <w:p w:rsidR="00683096" w:rsidRDefault="00052739">
      <w:pPr>
        <w:pStyle w:val="Titreobjet"/>
        <w:rPr>
          <w:noProof/>
        </w:rPr>
      </w:pPr>
      <w:r>
        <w:rPr>
          <w:noProof/>
        </w:rPr>
        <w:t>position of the Council on the adoption of a Proposal for a Regulation of the European Parliament and of the Council amending Regulation (EC) No 91/2003 on rail transport statis</w:t>
      </w:r>
      <w:r>
        <w:rPr>
          <w:noProof/>
        </w:rPr>
        <w:t>tics, as regards the collection of data on goods, passengers and accidents</w:t>
      </w:r>
    </w:p>
    <w:p w:rsidR="00683096" w:rsidRDefault="00052739">
      <w:pPr>
        <w:pStyle w:val="IntrtEEE"/>
        <w:rPr>
          <w:noProof/>
        </w:rPr>
      </w:pPr>
      <w:r>
        <w:rPr>
          <w:noProof/>
        </w:rPr>
        <w:t>(Text with EEA relevance)</w:t>
      </w:r>
    </w:p>
    <w:p w:rsidR="00683096" w:rsidRDefault="00052739">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rsidR="00683096">
        <w:tc>
          <w:tcPr>
            <w:tcW w:w="6804" w:type="dxa"/>
          </w:tcPr>
          <w:p w:rsidR="00683096" w:rsidRDefault="00052739">
            <w:pPr>
              <w:jc w:val="left"/>
              <w:rPr>
                <w:noProof/>
              </w:rPr>
            </w:pPr>
            <w:r>
              <w:rPr>
                <w:noProof/>
              </w:rPr>
              <w:t>Date of transmission of the proposal to the European Parliament and to the Council</w:t>
            </w:r>
          </w:p>
          <w:p w:rsidR="00683096" w:rsidRDefault="00052739">
            <w:pPr>
              <w:ind w:left="2127" w:hanging="2127"/>
              <w:rPr>
                <w:b/>
                <w:noProof/>
              </w:rPr>
            </w:pPr>
            <w:r>
              <w:rPr>
                <w:smallCaps/>
                <w:noProof/>
                <w:spacing w:val="-3"/>
              </w:rPr>
              <w:t>COM(2013) 611– 2013/297(COD)</w:t>
            </w:r>
          </w:p>
        </w:tc>
        <w:tc>
          <w:tcPr>
            <w:tcW w:w="2483" w:type="dxa"/>
          </w:tcPr>
          <w:p w:rsidR="00683096" w:rsidRDefault="00052739">
            <w:pPr>
              <w:jc w:val="left"/>
              <w:rPr>
                <w:noProof/>
              </w:rPr>
            </w:pPr>
            <w:r>
              <w:rPr>
                <w:noProof/>
              </w:rPr>
              <w:t xml:space="preserve">30 August 2013 </w:t>
            </w:r>
          </w:p>
        </w:tc>
      </w:tr>
      <w:tr w:rsidR="00683096">
        <w:tc>
          <w:tcPr>
            <w:tcW w:w="6804" w:type="dxa"/>
          </w:tcPr>
          <w:p w:rsidR="00683096" w:rsidRDefault="00052739">
            <w:pPr>
              <w:rPr>
                <w:noProof/>
              </w:rPr>
            </w:pPr>
            <w:r>
              <w:rPr>
                <w:noProof/>
              </w:rPr>
              <w:t xml:space="preserve">Date of the </w:t>
            </w:r>
            <w:r>
              <w:rPr>
                <w:noProof/>
              </w:rPr>
              <w:t>opinion of the European Economic and Social Committee:</w:t>
            </w:r>
          </w:p>
        </w:tc>
        <w:tc>
          <w:tcPr>
            <w:tcW w:w="2483" w:type="dxa"/>
          </w:tcPr>
          <w:p w:rsidR="00683096" w:rsidRDefault="00052739">
            <w:pPr>
              <w:jc w:val="left"/>
              <w:rPr>
                <w:noProof/>
              </w:rPr>
            </w:pPr>
            <w:r>
              <w:rPr>
                <w:noProof/>
              </w:rPr>
              <w:t>NA</w:t>
            </w:r>
          </w:p>
        </w:tc>
      </w:tr>
      <w:tr w:rsidR="00683096">
        <w:tc>
          <w:tcPr>
            <w:tcW w:w="6804" w:type="dxa"/>
          </w:tcPr>
          <w:p w:rsidR="00683096" w:rsidRDefault="00052739">
            <w:pPr>
              <w:rPr>
                <w:noProof/>
              </w:rPr>
            </w:pPr>
            <w:r>
              <w:rPr>
                <w:noProof/>
              </w:rPr>
              <w:t>Date of the position of the European Parliament, first reading:</w:t>
            </w:r>
          </w:p>
        </w:tc>
        <w:tc>
          <w:tcPr>
            <w:tcW w:w="2483" w:type="dxa"/>
          </w:tcPr>
          <w:p w:rsidR="00683096" w:rsidRDefault="00052739">
            <w:pPr>
              <w:jc w:val="left"/>
              <w:rPr>
                <w:noProof/>
              </w:rPr>
            </w:pPr>
            <w:r>
              <w:rPr>
                <w:noProof/>
              </w:rPr>
              <w:t xml:space="preserve">11 March 2014 </w:t>
            </w:r>
          </w:p>
        </w:tc>
      </w:tr>
      <w:tr w:rsidR="00683096">
        <w:tc>
          <w:tcPr>
            <w:tcW w:w="6804" w:type="dxa"/>
          </w:tcPr>
          <w:p w:rsidR="00683096" w:rsidRDefault="00052739">
            <w:pPr>
              <w:rPr>
                <w:noProof/>
              </w:rPr>
            </w:pPr>
            <w:r>
              <w:rPr>
                <w:noProof/>
              </w:rPr>
              <w:t>Date of transmission of the amended proposal:</w:t>
            </w:r>
          </w:p>
        </w:tc>
        <w:tc>
          <w:tcPr>
            <w:tcW w:w="2483" w:type="dxa"/>
          </w:tcPr>
          <w:p w:rsidR="00683096" w:rsidRDefault="00052739">
            <w:pPr>
              <w:jc w:val="left"/>
              <w:rPr>
                <w:noProof/>
              </w:rPr>
            </w:pPr>
            <w:r>
              <w:rPr>
                <w:noProof/>
              </w:rPr>
              <w:t xml:space="preserve">NA </w:t>
            </w:r>
          </w:p>
        </w:tc>
      </w:tr>
      <w:tr w:rsidR="00683096">
        <w:tc>
          <w:tcPr>
            <w:tcW w:w="6804" w:type="dxa"/>
          </w:tcPr>
          <w:p w:rsidR="00683096" w:rsidRDefault="00052739">
            <w:pPr>
              <w:rPr>
                <w:noProof/>
              </w:rPr>
            </w:pPr>
            <w:r>
              <w:rPr>
                <w:noProof/>
              </w:rPr>
              <w:t>Date of adoption of the position of the Council:</w:t>
            </w:r>
          </w:p>
        </w:tc>
        <w:tc>
          <w:tcPr>
            <w:tcW w:w="2483" w:type="dxa"/>
          </w:tcPr>
          <w:p w:rsidR="00683096" w:rsidRDefault="00052739">
            <w:pPr>
              <w:jc w:val="left"/>
              <w:rPr>
                <w:noProof/>
              </w:rPr>
            </w:pPr>
            <w:r>
              <w:rPr>
                <w:noProof/>
              </w:rPr>
              <w:t>18 July 2016</w:t>
            </w:r>
          </w:p>
        </w:tc>
      </w:tr>
    </w:tbl>
    <w:p w:rsidR="00683096" w:rsidRDefault="00052739">
      <w:pPr>
        <w:pStyle w:val="ManualHeading1"/>
        <w:rPr>
          <w:noProof/>
        </w:rPr>
      </w:pPr>
      <w:r>
        <w:rPr>
          <w:noProof/>
        </w:rPr>
        <w:t>2.</w:t>
      </w:r>
      <w:r>
        <w:rPr>
          <w:noProof/>
        </w:rPr>
        <w:tab/>
      </w:r>
      <w:r>
        <w:rPr>
          <w:noProof/>
        </w:rPr>
        <w:t>Objective of the proposal from the Commission</w:t>
      </w:r>
    </w:p>
    <w:p w:rsidR="00683096" w:rsidRDefault="00052739">
      <w:pPr>
        <w:autoSpaceDE w:val="0"/>
        <w:autoSpaceDN w:val="0"/>
        <w:adjustRightInd w:val="0"/>
        <w:rPr>
          <w:noProof/>
          <w:szCs w:val="20"/>
        </w:rPr>
      </w:pPr>
      <w:r>
        <w:rPr>
          <w:noProof/>
          <w:szCs w:val="20"/>
        </w:rPr>
        <w:t xml:space="preserve">The aim of the Commission’s proposal is to modify </w:t>
      </w:r>
      <w:r>
        <w:rPr>
          <w:noProof/>
        </w:rPr>
        <w:t>Regulation (EC) No 91/2003</w:t>
      </w:r>
      <w:r>
        <w:rPr>
          <w:rStyle w:val="FootnoteReference"/>
          <w:noProof/>
        </w:rPr>
        <w:footnoteReference w:id="1"/>
      </w:r>
      <w:r>
        <w:rPr>
          <w:noProof/>
        </w:rPr>
        <w:t xml:space="preserve"> </w:t>
      </w:r>
      <w:r>
        <w:rPr>
          <w:noProof/>
          <w:szCs w:val="20"/>
        </w:rPr>
        <w:t>in order to update, simplify and optimise the existing legal framework for European statistics on rail transport and to align it wit</w:t>
      </w:r>
      <w:r>
        <w:rPr>
          <w:noProof/>
          <w:szCs w:val="20"/>
        </w:rPr>
        <w:t xml:space="preserve">h </w:t>
      </w:r>
      <w:r>
        <w:rPr>
          <w:noProof/>
        </w:rPr>
        <w:t xml:space="preserve">the Treaty on the Functioning of the European Union (TFEU), as far as delegated and implementing powers is concerned. </w:t>
      </w:r>
    </w:p>
    <w:p w:rsidR="00683096" w:rsidRDefault="00052739">
      <w:pPr>
        <w:rPr>
          <w:noProof/>
        </w:rPr>
      </w:pPr>
      <w:r>
        <w:rPr>
          <w:noProof/>
        </w:rPr>
        <w:t>The proposed Regulation would empower the Commission to adopt delegated acts for the purpose of adapting the definitions and thresholds</w:t>
      </w:r>
      <w:r>
        <w:rPr>
          <w:noProof/>
        </w:rPr>
        <w:t xml:space="preserve"> for reporting,  amending the content of the Annexes, and  specifying the information to be supplied.</w:t>
      </w:r>
    </w:p>
    <w:p w:rsidR="00683096" w:rsidRDefault="00052739">
      <w:pPr>
        <w:rPr>
          <w:noProof/>
        </w:rPr>
      </w:pPr>
      <w:r>
        <w:rPr>
          <w:noProof/>
        </w:rPr>
        <w:t xml:space="preserve">It would also confer implementing powers on the Commission with a view to ensuring uniform conditions </w:t>
      </w:r>
      <w:r>
        <w:rPr>
          <w:noProof/>
          <w:lang w:eastAsia="en-GB"/>
        </w:rPr>
        <w:t>as regards the specification of information to be su</w:t>
      </w:r>
      <w:r>
        <w:rPr>
          <w:noProof/>
          <w:lang w:eastAsia="en-GB"/>
        </w:rPr>
        <w:t>pplied for producing the reports on the quality and comparability of the results</w:t>
      </w:r>
      <w:r>
        <w:rPr>
          <w:noProof/>
        </w:rPr>
        <w:t xml:space="preserve">, in accordance with the examination procedure laid down in </w:t>
      </w:r>
      <w:r>
        <w:rPr>
          <w:noProof/>
          <w:lang w:eastAsia="hu-HU"/>
        </w:rPr>
        <w:t>Article 5 of Regulation (EU) No 182/2011</w:t>
      </w:r>
      <w:r>
        <w:rPr>
          <w:rStyle w:val="FootnoteReference"/>
          <w:bCs/>
          <w:noProof/>
        </w:rPr>
        <w:footnoteReference w:id="2"/>
      </w:r>
      <w:r>
        <w:rPr>
          <w:noProof/>
          <w:lang w:eastAsia="hu-HU"/>
        </w:rPr>
        <w:t xml:space="preserve">. </w:t>
      </w:r>
    </w:p>
    <w:p w:rsidR="00683096" w:rsidRDefault="00052739">
      <w:pPr>
        <w:pStyle w:val="ManualHeading1"/>
        <w:rPr>
          <w:noProof/>
        </w:rPr>
      </w:pPr>
      <w:r>
        <w:rPr>
          <w:noProof/>
        </w:rPr>
        <w:lastRenderedPageBreak/>
        <w:t>3.</w:t>
      </w:r>
      <w:r>
        <w:rPr>
          <w:noProof/>
        </w:rPr>
        <w:tab/>
        <w:t>Comments on the position of the Council</w:t>
      </w:r>
    </w:p>
    <w:p w:rsidR="00683096" w:rsidRDefault="00052739">
      <w:pPr>
        <w:pStyle w:val="ManualHeading2"/>
        <w:rPr>
          <w:noProof/>
        </w:rPr>
      </w:pPr>
      <w:r>
        <w:rPr>
          <w:noProof/>
        </w:rPr>
        <w:t>3.1</w:t>
      </w:r>
      <w:r>
        <w:rPr>
          <w:noProof/>
        </w:rPr>
        <w:tab/>
        <w:t>General comments</w:t>
      </w:r>
    </w:p>
    <w:p w:rsidR="00683096" w:rsidRDefault="00052739">
      <w:pPr>
        <w:widowControl w:val="0"/>
        <w:rPr>
          <w:noProof/>
        </w:rPr>
      </w:pPr>
      <w:r>
        <w:rPr>
          <w:noProof/>
        </w:rPr>
        <w:t>The posi</w:t>
      </w:r>
      <w:r>
        <w:rPr>
          <w:noProof/>
        </w:rPr>
        <w:t>tion of the Council reflects on the one hand the agreement reached between the Council, the European Parliament Transport and Tourism  Committee  and the Commission in the tripartite discussions of  24 May 2016 and, on the other hand, the new Inter-Institu</w:t>
      </w:r>
      <w:r>
        <w:rPr>
          <w:noProof/>
        </w:rPr>
        <w:t>tional Agreement  on Better law-making of  13 April 2016</w:t>
      </w:r>
      <w:r>
        <w:rPr>
          <w:rStyle w:val="FootnoteReference"/>
          <w:noProof/>
        </w:rPr>
        <w:footnoteReference w:id="3"/>
      </w:r>
      <w:r>
        <w:rPr>
          <w:noProof/>
        </w:rPr>
        <w:t xml:space="preserve">. </w:t>
      </w:r>
    </w:p>
    <w:p w:rsidR="00683096" w:rsidRDefault="00052739">
      <w:pPr>
        <w:widowControl w:val="0"/>
        <w:rPr>
          <w:noProof/>
        </w:rPr>
      </w:pPr>
      <w:r>
        <w:rPr>
          <w:noProof/>
        </w:rPr>
        <w:t xml:space="preserve">The main issue blocking the file was reaching an understanding with the European Parliament on the formalisation of the sharing of data between Eurostat, the </w:t>
      </w:r>
      <w:r>
        <w:rPr>
          <w:noProof/>
          <w:szCs w:val="20"/>
        </w:rPr>
        <w:t>European Railway Agency (</w:t>
      </w:r>
      <w:r>
        <w:rPr>
          <w:noProof/>
        </w:rPr>
        <w:t>ERA)</w:t>
      </w:r>
      <w:r>
        <w:rPr>
          <w:rStyle w:val="FootnoteReference"/>
          <w:noProof/>
        </w:rPr>
        <w:footnoteReference w:id="4"/>
      </w:r>
      <w:r>
        <w:rPr>
          <w:noProof/>
        </w:rPr>
        <w:t xml:space="preserve"> and the Directorate-General for Mobility and Transport (DG MOVE) through bilateral Memoranda of Understanding (MoU). </w:t>
      </w:r>
    </w:p>
    <w:p w:rsidR="00683096" w:rsidRDefault="00052739">
      <w:pPr>
        <w:spacing w:before="0" w:after="0"/>
        <w:rPr>
          <w:noProof/>
        </w:rPr>
      </w:pPr>
      <w:r>
        <w:rPr>
          <w:noProof/>
        </w:rPr>
        <w:t>A consensus was eventually reached with the signature of two MoU, one between Eurostat and DG MOVE and one between Eurostat and ERA. Thes</w:t>
      </w:r>
      <w:r>
        <w:rPr>
          <w:noProof/>
        </w:rPr>
        <w:t xml:space="preserve">e gave the European Parliament the guarantee that the data it requested will be processed and made available. </w:t>
      </w:r>
    </w:p>
    <w:p w:rsidR="00683096" w:rsidRDefault="00052739">
      <w:pPr>
        <w:ind w:left="14" w:right="-8"/>
        <w:rPr>
          <w:bCs/>
          <w:iCs/>
          <w:noProof/>
        </w:rPr>
      </w:pPr>
      <w:r>
        <w:rPr>
          <w:noProof/>
        </w:rPr>
        <w:t>The text does not contain any explicit reference to MoUs, but a recital refers to “</w:t>
      </w:r>
      <w:r>
        <w:rPr>
          <w:bCs/>
          <w:iCs/>
          <w:noProof/>
        </w:rPr>
        <w:t>appropriate cooperation agreements on statistical activities”.</w:t>
      </w:r>
    </w:p>
    <w:p w:rsidR="00683096" w:rsidRDefault="00052739">
      <w:pPr>
        <w:widowControl w:val="0"/>
        <w:rPr>
          <w:noProof/>
        </w:rPr>
      </w:pPr>
      <w:r>
        <w:rPr>
          <w:noProof/>
        </w:rPr>
        <w:t xml:space="preserve">The Council adopted its </w:t>
      </w:r>
      <w:r>
        <w:rPr>
          <w:noProof/>
          <w:lang w:val="en-US"/>
        </w:rPr>
        <w:t>position at first reading</w:t>
      </w:r>
      <w:r>
        <w:rPr>
          <w:rFonts w:ascii="Cambria" w:hAnsi="Cambria"/>
          <w:noProof/>
          <w:lang w:val="en-US"/>
        </w:rPr>
        <w:t xml:space="preserve"> </w:t>
      </w:r>
      <w:r>
        <w:rPr>
          <w:noProof/>
        </w:rPr>
        <w:t>on 18 July 2016</w:t>
      </w:r>
      <w:r>
        <w:rPr>
          <w:i/>
          <w:noProof/>
        </w:rPr>
        <w:t>.</w:t>
      </w:r>
      <w:r>
        <w:rPr>
          <w:noProof/>
        </w:rPr>
        <w:t xml:space="preserve"> </w:t>
      </w:r>
    </w:p>
    <w:p w:rsidR="00683096" w:rsidRDefault="00052739">
      <w:pPr>
        <w:widowControl w:val="0"/>
        <w:rPr>
          <w:noProof/>
          <w:szCs w:val="24"/>
          <w:lang w:val="en-US"/>
        </w:rPr>
      </w:pPr>
      <w:r>
        <w:rPr>
          <w:noProof/>
          <w:szCs w:val="24"/>
          <w:lang w:val="en-US"/>
        </w:rPr>
        <w:t>The Council’s position is acceptable for the Commission.</w:t>
      </w:r>
    </w:p>
    <w:p w:rsidR="00683096" w:rsidRDefault="00052739">
      <w:pPr>
        <w:pStyle w:val="ManualHeading2"/>
        <w:rPr>
          <w:noProof/>
        </w:rPr>
      </w:pPr>
      <w:r>
        <w:rPr>
          <w:noProof/>
        </w:rPr>
        <w:t>3.2</w:t>
      </w:r>
      <w:r>
        <w:rPr>
          <w:noProof/>
        </w:rPr>
        <w:tab/>
        <w:t>Comments on the amendments adopted by the European Parliament</w:t>
      </w:r>
    </w:p>
    <w:p w:rsidR="00683096" w:rsidRDefault="00052739">
      <w:pPr>
        <w:pStyle w:val="ManualHeading3"/>
        <w:rPr>
          <w:noProof/>
          <w:highlight w:val="yellow"/>
        </w:rPr>
      </w:pPr>
      <w:r>
        <w:rPr>
          <w:noProof/>
        </w:rPr>
        <w:t>3.2.1.</w:t>
      </w:r>
      <w:r>
        <w:rPr>
          <w:noProof/>
        </w:rPr>
        <w:tab/>
        <w:t xml:space="preserve">European Parliament amendments included in full, in part </w:t>
      </w:r>
      <w:r>
        <w:rPr>
          <w:noProof/>
        </w:rPr>
        <w:t>or in principle in the Councils position at first reading</w:t>
      </w:r>
    </w:p>
    <w:p w:rsidR="00683096" w:rsidRDefault="00052739">
      <w:pPr>
        <w:spacing w:before="0" w:after="0"/>
        <w:rPr>
          <w:noProof/>
        </w:rPr>
      </w:pPr>
      <w:r>
        <w:rPr>
          <w:noProof/>
        </w:rPr>
        <w:t xml:space="preserve">On 11 March 2014, the European Parliament adopted a legislative resolution proposing 23 amendments. The Commission rejected the majority of them, including the requests for additional variables. In </w:t>
      </w:r>
      <w:r>
        <w:rPr>
          <w:noProof/>
        </w:rPr>
        <w:t xml:space="preserve">particular the European Parliament was </w:t>
      </w:r>
      <w:r>
        <w:rPr>
          <w:noProof/>
          <w:szCs w:val="20"/>
        </w:rPr>
        <w:t>of the opinion that data collection should be extended further to include rail infrastructure data, and that there should be more measurement variables for  statistics on passenger transport , in particular with regar</w:t>
      </w:r>
      <w:r>
        <w:rPr>
          <w:noProof/>
          <w:szCs w:val="20"/>
        </w:rPr>
        <w:t xml:space="preserve">d to cross-border connections that it considered should be at the heart of the EU’s transport policy. </w:t>
      </w:r>
    </w:p>
    <w:p w:rsidR="00683096" w:rsidRDefault="00052739">
      <w:pPr>
        <w:pStyle w:val="ManualHeading3"/>
        <w:rPr>
          <w:noProof/>
          <w:szCs w:val="24"/>
        </w:rPr>
      </w:pPr>
      <w:r>
        <w:rPr>
          <w:noProof/>
          <w:szCs w:val="24"/>
        </w:rPr>
        <w:t>3.2.2.</w:t>
      </w:r>
      <w:r>
        <w:rPr>
          <w:noProof/>
          <w:szCs w:val="24"/>
        </w:rPr>
        <w:tab/>
        <w:t>European Parliament amendments not included in the Council position at first reading</w:t>
      </w:r>
    </w:p>
    <w:p w:rsidR="00683096" w:rsidRDefault="00052739">
      <w:pPr>
        <w:rPr>
          <w:noProof/>
        </w:rPr>
      </w:pPr>
      <w:r>
        <w:rPr>
          <w:noProof/>
          <w:szCs w:val="24"/>
        </w:rPr>
        <w:t xml:space="preserve">The main amendments relating to the explicit addition of new </w:t>
      </w:r>
      <w:r>
        <w:rPr>
          <w:noProof/>
          <w:szCs w:val="24"/>
        </w:rPr>
        <w:t>variables were not included in the Council p</w:t>
      </w:r>
      <w:r>
        <w:rPr>
          <w:noProof/>
        </w:rPr>
        <w:t xml:space="preserve">osition. </w:t>
      </w:r>
    </w:p>
    <w:p w:rsidR="00683096" w:rsidRDefault="00052739">
      <w:pPr>
        <w:pStyle w:val="ManualHeading2"/>
        <w:rPr>
          <w:noProof/>
        </w:rPr>
      </w:pPr>
      <w:r>
        <w:rPr>
          <w:noProof/>
        </w:rPr>
        <w:t>3.3</w:t>
      </w:r>
      <w:r>
        <w:rPr>
          <w:noProof/>
        </w:rPr>
        <w:tab/>
        <w:t>Provisions modified by the Council and the Commission's position</w:t>
      </w:r>
    </w:p>
    <w:p w:rsidR="00683096" w:rsidRDefault="00052739">
      <w:pPr>
        <w:rPr>
          <w:bCs/>
          <w:iCs/>
          <w:noProof/>
        </w:rPr>
      </w:pPr>
      <w:r>
        <w:rPr>
          <w:noProof/>
        </w:rPr>
        <w:t xml:space="preserve">The new recital (3a) addresses the issue of further data collection with a view to avoiding </w:t>
      </w:r>
      <w:r>
        <w:rPr>
          <w:noProof/>
          <w:lang w:val="en-US"/>
        </w:rPr>
        <w:t>duplication of work and optimizing the us</w:t>
      </w:r>
      <w:r>
        <w:rPr>
          <w:noProof/>
          <w:lang w:val="en-US"/>
        </w:rPr>
        <w:t>e of existing information. It also specifies that</w:t>
      </w:r>
      <w:r>
        <w:rPr>
          <w:i/>
          <w:noProof/>
          <w:lang w:val="en-US"/>
        </w:rPr>
        <w:t xml:space="preserve"> </w:t>
      </w:r>
      <w:r>
        <w:rPr>
          <w:noProof/>
          <w:lang w:val="en-US"/>
        </w:rPr>
        <w:t>“</w:t>
      </w:r>
      <w:r>
        <w:rPr>
          <w:bCs/>
          <w:iCs/>
          <w:noProof/>
        </w:rPr>
        <w:t>appropriate cooperation agreements on statistical activities should be established between the Commission’s services and relevant entities, including at international level”.</w:t>
      </w:r>
    </w:p>
    <w:p w:rsidR="00683096" w:rsidRDefault="00052739">
      <w:pPr>
        <w:rPr>
          <w:noProof/>
        </w:rPr>
      </w:pPr>
      <w:r>
        <w:rPr>
          <w:noProof/>
        </w:rPr>
        <w:lastRenderedPageBreak/>
        <w:t xml:space="preserve">Article 3(2) refers to the </w:t>
      </w:r>
      <w:r>
        <w:rPr>
          <w:noProof/>
        </w:rPr>
        <w:t>sole power conferred on the Commission to adopt delegated acts in order to adapt   existing technical definitions and introduce new technical definitions. It also specifies that, when exercising this power the Commission shall ensure that the delegated act</w:t>
      </w:r>
      <w:r>
        <w:rPr>
          <w:noProof/>
        </w:rPr>
        <w:t>s do not impose a significant additional burden on the Member States or on the respondents. In addition, the Commission shall duly justify the measures provided for in the delegated acts using, where appropriate, analysis of their cost-effectiveness, inclu</w:t>
      </w:r>
      <w:r>
        <w:rPr>
          <w:noProof/>
        </w:rPr>
        <w:t>ding assessments of the burden on respondents and of the production costs, as referred to in Article 14(3) (c) of Regulation (EC) No 223/2009.</w:t>
      </w:r>
    </w:p>
    <w:p w:rsidR="00683096" w:rsidRDefault="00052739">
      <w:pPr>
        <w:pStyle w:val="Text1"/>
        <w:spacing w:before="100" w:beforeAutospacing="1" w:after="100" w:afterAutospacing="1"/>
        <w:ind w:left="0"/>
        <w:rPr>
          <w:noProof/>
          <w:szCs w:val="24"/>
        </w:rPr>
      </w:pPr>
      <w:r>
        <w:rPr>
          <w:noProof/>
          <w:szCs w:val="24"/>
        </w:rPr>
        <w:t xml:space="preserve">Although the Commission regrets the limited nature of the empowerment given relative </w:t>
      </w:r>
      <w:r>
        <w:rPr>
          <w:rStyle w:val="DefaultMargins"/>
          <w:rFonts w:ascii="Times New Roman" w:hAnsi="Times New Roman"/>
          <w:noProof/>
          <w:spacing w:val="-2"/>
          <w:sz w:val="24"/>
          <w:szCs w:val="24"/>
        </w:rPr>
        <w:t>to the original proposal, it</w:t>
      </w:r>
      <w:r>
        <w:rPr>
          <w:rStyle w:val="DefaultMargins"/>
          <w:rFonts w:ascii="Times New Roman" w:hAnsi="Times New Roman"/>
          <w:noProof/>
          <w:spacing w:val="-2"/>
          <w:sz w:val="24"/>
          <w:szCs w:val="24"/>
        </w:rPr>
        <w:t xml:space="preserve"> can</w:t>
      </w:r>
      <w:r>
        <w:rPr>
          <w:noProof/>
          <w:szCs w:val="24"/>
        </w:rPr>
        <w:t xml:space="preserve"> however consider the current provision acceptable in the spirit of reaching an agreement.</w:t>
      </w:r>
    </w:p>
    <w:p w:rsidR="00683096" w:rsidRDefault="00052739">
      <w:pPr>
        <w:pStyle w:val="Text1"/>
        <w:spacing w:before="100" w:beforeAutospacing="1" w:after="100" w:afterAutospacing="1"/>
        <w:ind w:left="0"/>
        <w:rPr>
          <w:noProof/>
          <w:szCs w:val="24"/>
        </w:rPr>
      </w:pPr>
      <w:r>
        <w:rPr>
          <w:rFonts w:cs="Calibri"/>
          <w:noProof/>
        </w:rPr>
        <w:t xml:space="preserve">Two further changes have been introduced: </w:t>
      </w:r>
    </w:p>
    <w:p w:rsidR="00683096" w:rsidRDefault="00052739">
      <w:pPr>
        <w:pStyle w:val="Default"/>
        <w:jc w:val="both"/>
        <w:rPr>
          <w:noProof/>
          <w:lang w:val="en-US"/>
        </w:rPr>
      </w:pPr>
      <w:r>
        <w:rPr>
          <w:noProof/>
          <w:lang w:val="en-US"/>
        </w:rPr>
        <w:t>A new paragraph has been added to Article 7 on implementing measures to be adopted laying down the arrangements for th</w:t>
      </w:r>
      <w:r>
        <w:rPr>
          <w:noProof/>
          <w:lang w:val="en-US"/>
        </w:rPr>
        <w:t xml:space="preserve">e dissemination of results. </w:t>
      </w:r>
    </w:p>
    <w:p w:rsidR="00683096" w:rsidRDefault="00683096">
      <w:pPr>
        <w:pStyle w:val="Default"/>
        <w:jc w:val="both"/>
        <w:rPr>
          <w:noProof/>
          <w:lang w:val="en-US"/>
        </w:rPr>
      </w:pPr>
    </w:p>
    <w:p w:rsidR="00683096" w:rsidRDefault="00052739">
      <w:pPr>
        <w:pStyle w:val="Default"/>
        <w:jc w:val="both"/>
        <w:rPr>
          <w:noProof/>
          <w:lang w:val="en-GB"/>
        </w:rPr>
      </w:pPr>
      <w:r>
        <w:rPr>
          <w:noProof/>
          <w:lang w:val="en-US"/>
        </w:rPr>
        <w:t>The new Article 9 on reporting provides for the Commission to report to the European Parliament and to the Council on the implementation of Regulation (EC) No 91/2003 by 31 December 2020, and every four years thereafter instea</w:t>
      </w:r>
      <w:r>
        <w:rPr>
          <w:noProof/>
          <w:lang w:val="en-US"/>
        </w:rPr>
        <w:t>d of only reporting once as specified in the current Regulation.</w:t>
      </w:r>
    </w:p>
    <w:p w:rsidR="00683096" w:rsidRDefault="00052739">
      <w:pPr>
        <w:pStyle w:val="Text1"/>
        <w:ind w:left="0"/>
        <w:rPr>
          <w:noProof/>
        </w:rPr>
      </w:pPr>
      <w:r>
        <w:rPr>
          <w:noProof/>
        </w:rPr>
        <w:t xml:space="preserve">The standard recital and </w:t>
      </w:r>
      <w:r>
        <w:rPr>
          <w:noProof/>
          <w:spacing w:val="-3"/>
        </w:rPr>
        <w:t xml:space="preserve">Article 10 on the exercise of the delegation of power are in line with the </w:t>
      </w:r>
      <w:r>
        <w:rPr>
          <w:noProof/>
        </w:rPr>
        <w:t xml:space="preserve">new Inter-Institutional Agreement </w:t>
      </w:r>
      <w:r>
        <w:rPr>
          <w:noProof/>
          <w:szCs w:val="24"/>
          <w:lang w:val="en-US"/>
        </w:rPr>
        <w:t>on Better Law-Making</w:t>
      </w:r>
      <w:r>
        <w:rPr>
          <w:noProof/>
        </w:rPr>
        <w:t>.</w:t>
      </w:r>
    </w:p>
    <w:p w:rsidR="00683096" w:rsidRDefault="00052739">
      <w:pPr>
        <w:pStyle w:val="Text1"/>
        <w:ind w:left="0"/>
        <w:rPr>
          <w:noProof/>
        </w:rPr>
      </w:pPr>
      <w:r>
        <w:rPr>
          <w:noProof/>
        </w:rPr>
        <w:t>The Commission supports the above.</w:t>
      </w:r>
    </w:p>
    <w:p w:rsidR="00683096" w:rsidRDefault="00052739">
      <w:pPr>
        <w:pStyle w:val="ManualHeading1"/>
        <w:rPr>
          <w:noProof/>
        </w:rPr>
      </w:pPr>
      <w:r>
        <w:rPr>
          <w:noProof/>
        </w:rPr>
        <w:t>4.</w:t>
      </w:r>
      <w:r>
        <w:rPr>
          <w:noProof/>
        </w:rPr>
        <w:tab/>
        <w:t>Conclusion</w:t>
      </w:r>
    </w:p>
    <w:p w:rsidR="00683096" w:rsidRDefault="00052739">
      <w:pPr>
        <w:autoSpaceDE w:val="0"/>
        <w:autoSpaceDN w:val="0"/>
        <w:adjustRightInd w:val="0"/>
        <w:rPr>
          <w:noProof/>
        </w:rPr>
      </w:pPr>
      <w:r>
        <w:rPr>
          <w:noProof/>
        </w:rPr>
        <w:t xml:space="preserve">The Commission supports the compromise reached as it is very close to the Commission’s original proposal. </w:t>
      </w:r>
      <w:r>
        <w:rPr>
          <w:noProof/>
          <w:szCs w:val="24"/>
        </w:rPr>
        <w:t xml:space="preserve">Furthermore, it creates no additional burden for data providers and is thus </w:t>
      </w:r>
      <w:r>
        <w:rPr>
          <w:noProof/>
        </w:rPr>
        <w:t xml:space="preserve">in line with the aim of simplifying </w:t>
      </w:r>
      <w:r>
        <w:rPr>
          <w:noProof/>
          <w:szCs w:val="20"/>
        </w:rPr>
        <w:t>the existing legal frame</w:t>
      </w:r>
      <w:r>
        <w:rPr>
          <w:noProof/>
          <w:szCs w:val="20"/>
        </w:rPr>
        <w:t>work for European statistics on rail transport</w:t>
      </w:r>
      <w:r>
        <w:rPr>
          <w:noProof/>
          <w:szCs w:val="24"/>
        </w:rPr>
        <w:t>.</w:t>
      </w:r>
      <w:r>
        <w:rPr>
          <w:noProof/>
        </w:rPr>
        <w:t xml:space="preserve"> With regard to the </w:t>
      </w:r>
      <w:r>
        <w:rPr>
          <w:noProof/>
          <w:szCs w:val="20"/>
        </w:rPr>
        <w:t xml:space="preserve">alignment of </w:t>
      </w:r>
      <w:r>
        <w:rPr>
          <w:noProof/>
          <w:lang w:val="en-US"/>
        </w:rPr>
        <w:t xml:space="preserve">Regulation (EC) No 91/2003 with </w:t>
      </w:r>
      <w:r>
        <w:rPr>
          <w:noProof/>
        </w:rPr>
        <w:t>the TFEU, despite some limitations, the compromise provides a good balance between delegated and implementing acts. The text is an example of th</w:t>
      </w:r>
      <w:r>
        <w:rPr>
          <w:noProof/>
        </w:rPr>
        <w:t xml:space="preserve">e successful application of the </w:t>
      </w:r>
      <w:r>
        <w:rPr>
          <w:noProof/>
          <w:szCs w:val="24"/>
          <w:lang w:val="en-US"/>
        </w:rPr>
        <w:t xml:space="preserve">new </w:t>
      </w:r>
      <w:r>
        <w:rPr>
          <w:noProof/>
        </w:rPr>
        <w:t xml:space="preserve">Inter-Institutional Agreement </w:t>
      </w:r>
      <w:r>
        <w:rPr>
          <w:noProof/>
          <w:szCs w:val="24"/>
          <w:lang w:val="en-US"/>
        </w:rPr>
        <w:t>on Better Law-Making.</w:t>
      </w:r>
    </w:p>
    <w:sectPr w:rsidR="00683096">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39" w:rsidRDefault="00052739">
      <w:pPr>
        <w:spacing w:before="0" w:after="0"/>
      </w:pPr>
      <w:r>
        <w:separator/>
      </w:r>
    </w:p>
  </w:endnote>
  <w:endnote w:type="continuationSeparator" w:id="0">
    <w:p w:rsidR="00052739" w:rsidRDefault="000527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96" w:rsidRDefault="0005273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96" w:rsidRDefault="0005273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F3536E">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96" w:rsidRDefault="00683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39" w:rsidRDefault="00052739">
      <w:pPr>
        <w:spacing w:before="0" w:after="0"/>
      </w:pPr>
      <w:r>
        <w:separator/>
      </w:r>
    </w:p>
  </w:footnote>
  <w:footnote w:type="continuationSeparator" w:id="0">
    <w:p w:rsidR="00052739" w:rsidRDefault="00052739">
      <w:pPr>
        <w:spacing w:before="0" w:after="0"/>
      </w:pPr>
      <w:r>
        <w:continuationSeparator/>
      </w:r>
    </w:p>
  </w:footnote>
  <w:footnote w:id="1">
    <w:p w:rsidR="00683096" w:rsidRDefault="00052739">
      <w:pPr>
        <w:pStyle w:val="FootnoteText"/>
      </w:pPr>
      <w:r>
        <w:rPr>
          <w:rStyle w:val="FootnoteReference"/>
        </w:rPr>
        <w:footnoteRef/>
      </w:r>
      <w:r>
        <w:tab/>
        <w:t xml:space="preserve">Regulation (EC) No 91/2003 of the European Parliament and of the Council of 16 </w:t>
      </w:r>
      <w:r>
        <w:t>December 2002 on rail transport statistics (OJ L 14, 21.1.2003, p. 1).</w:t>
      </w:r>
    </w:p>
  </w:footnote>
  <w:footnote w:id="2">
    <w:p w:rsidR="00683096" w:rsidRDefault="00052739">
      <w:pPr>
        <w:pStyle w:val="FootnoteText"/>
        <w:rPr>
          <w:lang w:val="en-US"/>
        </w:rPr>
      </w:pPr>
      <w:r>
        <w:rPr>
          <w:rStyle w:val="FootnoteReference"/>
        </w:rPr>
        <w:footnoteRef/>
      </w:r>
      <w:r>
        <w:rPr>
          <w:lang w:val="en-US"/>
        </w:rPr>
        <w:tab/>
      </w:r>
      <w:r>
        <w:rPr>
          <w:rStyle w:val="Strong"/>
          <w:b w:val="0"/>
          <w:noProof/>
        </w:rPr>
        <w:t xml:space="preserve">Regulation (EU) No 182/2011 of the European Parliament and of the Council of 16 February 2011 laying down the rules and general principles concerning mechanisms for control by Member </w:t>
      </w:r>
      <w:r>
        <w:rPr>
          <w:rStyle w:val="Strong"/>
          <w:b w:val="0"/>
          <w:noProof/>
        </w:rPr>
        <w:t>States of the Commission’s exercise of implementing powers (</w:t>
      </w:r>
      <w:r>
        <w:rPr>
          <w:rStyle w:val="Emphasis"/>
          <w:i w:val="0"/>
          <w:lang w:val="en-US"/>
        </w:rPr>
        <w:t>OJ L 55, 28.2.2011, p.13).</w:t>
      </w:r>
    </w:p>
  </w:footnote>
  <w:footnote w:id="3">
    <w:p w:rsidR="00683096" w:rsidRDefault="00052739">
      <w:pPr>
        <w:pStyle w:val="FootnoteText"/>
        <w:rPr>
          <w:lang w:val="en-US"/>
        </w:rPr>
      </w:pPr>
      <w:r>
        <w:rPr>
          <w:rStyle w:val="FootnoteReference"/>
        </w:rPr>
        <w:footnoteRef/>
      </w:r>
      <w:r>
        <w:tab/>
      </w:r>
      <w:r>
        <w:rPr>
          <w:lang w:val="en-US"/>
        </w:rPr>
        <w:t>OJ L 123, 12.5.2016, p.1.</w:t>
      </w:r>
    </w:p>
  </w:footnote>
  <w:footnote w:id="4">
    <w:p w:rsidR="00683096" w:rsidRDefault="00052739">
      <w:pPr>
        <w:spacing w:before="0" w:after="0"/>
        <w:rPr>
          <w:sz w:val="20"/>
          <w:szCs w:val="20"/>
          <w:lang w:val="en-US"/>
        </w:rPr>
      </w:pPr>
      <w:r>
        <w:rPr>
          <w:rStyle w:val="FootnoteReference"/>
        </w:rPr>
        <w:footnoteRef/>
      </w:r>
      <w:r>
        <w:tab/>
      </w:r>
      <w:r>
        <w:rPr>
          <w:sz w:val="20"/>
          <w:szCs w:val="20"/>
        </w:rPr>
        <w:t>Regulation (EC) No 881/2004 of the European Parliament and of the Council of 29 April 2004 establishing a European railway agency (OJ L 164</w:t>
      </w:r>
      <w:r>
        <w:rPr>
          <w:sz w:val="20"/>
          <w:szCs w:val="20"/>
        </w:rPr>
        <w:t xml:space="preserve">, 30.4.2004, p. 1). On 16 June 2016, </w:t>
      </w:r>
      <w:r>
        <w:rPr>
          <w:sz w:val="20"/>
          <w:szCs w:val="20"/>
          <w:lang w:val="en-US"/>
        </w:rPr>
        <w:t xml:space="preserve">following the entry into force of </w:t>
      </w:r>
      <w:r>
        <w:rPr>
          <w:rFonts w:eastAsia="Times New Roman"/>
          <w:bCs/>
          <w:sz w:val="20"/>
          <w:szCs w:val="20"/>
          <w:lang w:val="en" w:eastAsia="fr-FR"/>
        </w:rPr>
        <w:t>Regulation (EU) 2016/796 of the European Parliament and of the Council of 11 May 2016 on the European Union Agency for Railways and repealing Regulation (EC) No 881/2004</w:t>
      </w:r>
      <w:r>
        <w:rPr>
          <w:rFonts w:eastAsia="Times New Roman"/>
          <w:iCs/>
          <w:sz w:val="20"/>
          <w:szCs w:val="20"/>
          <w:lang w:val="en" w:eastAsia="fr-FR"/>
        </w:rPr>
        <w:t>(OJ L 138, 26.5.</w:t>
      </w:r>
      <w:r>
        <w:rPr>
          <w:rFonts w:eastAsia="Times New Roman"/>
          <w:iCs/>
          <w:sz w:val="20"/>
          <w:szCs w:val="20"/>
          <w:lang w:val="en" w:eastAsia="fr-FR"/>
        </w:rPr>
        <w:t>2016, p. 1)</w:t>
      </w:r>
      <w:r>
        <w:rPr>
          <w:sz w:val="20"/>
          <w:szCs w:val="20"/>
          <w:lang w:val="en-US"/>
        </w:rPr>
        <w:t>, the European Union Agency for Railways replaces and succeeds the European Railway Agency (ERA). </w:t>
      </w:r>
    </w:p>
    <w:p w:rsidR="00683096" w:rsidRDefault="00683096">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6A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C17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48A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248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3E4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0D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204BD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506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19"/>
  </w:num>
  <w:num w:numId="11">
    <w:abstractNumId w:val="13"/>
  </w:num>
  <w:num w:numId="12">
    <w:abstractNumId w:val="21"/>
  </w:num>
  <w:num w:numId="13">
    <w:abstractNumId w:val="12"/>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1"/>
  </w:num>
  <w:num w:numId="22">
    <w:abstractNumId w:val="16"/>
  </w:num>
  <w:num w:numId="23">
    <w:abstractNumId w:val="22"/>
  </w:num>
  <w:num w:numId="24">
    <w:abstractNumId w:val="19"/>
  </w:num>
  <w:num w:numId="25">
    <w:abstractNumId w:val="13"/>
  </w:num>
  <w:num w:numId="26">
    <w:abstractNumId w:val="21"/>
  </w:num>
  <w:num w:numId="27">
    <w:abstractNumId w:val="12"/>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1"/>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5 08:58: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06017D844174469C8BEC7F09AA5BB5C4"/>
    <w:docVar w:name="LW_CROSSREFERENCE" w:val="&lt;UNUSED&gt;"/>
    <w:docVar w:name="LW_DocType" w:val="COM"/>
    <w:docVar w:name="LW_EMISSION" w:val="10.8.2016"/>
    <w:docVar w:name="LW_EMISSION_ISODATE" w:val="2016-08-10"/>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97"/>
    <w:docVar w:name="LW_REF.II.NEW.CP_YEAR" w:val="2013"/>
    <w:docVar w:name="LW_REF.INST.NEW" w:val="COM"/>
    <w:docVar w:name="LW_REF.INST.NEW_ADOPTED" w:val="final"/>
    <w:docVar w:name="LW_REF.INST.NEW_TEXT" w:val="(2016) 506"/>
    <w:docVar w:name="LW_REF.INTERNE" w:val="&lt;UNUSED&gt;"/>
    <w:docVar w:name="LW_SOUS.TITRE.OBJ.CP" w:val="&lt;UNUSED&gt;"/>
    <w:docVar w:name="LW_SUPERTITRE" w:val="&lt;UNUSED&gt;"/>
    <w:docVar w:name="LW_TITRE.OBJ.CP" w:val="position of the Council on the adoption of a Proposal for a Regulation of the European Parliament and of the Council amending Regulation (EC) No 91/2003 on rail transport statistics, as regards the collection of data on goods, passengers and accidents"/>
    <w:docVar w:name="LW_TYPE.DOC.CP" w:val="COMMUNICATION FROM THE COMMISSION_x000b_TO THE EUROPEAN PARLIAMENT_x000b__x000b_pursuant to Article 294(6) of the Treaty on the Functioning of the European Union_x000b__x000b_concerning the"/>
  </w:docVars>
  <w:rsids>
    <w:rsidRoot w:val="00683096"/>
    <w:rsid w:val="00052739"/>
    <w:rsid w:val="00683096"/>
    <w:rsid w:val="0090325E"/>
    <w:rsid w:val="00F3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InitialChar">
    <w:name w:val="Initial Char"/>
    <w:link w:val="Initial"/>
    <w:locked/>
    <w:rPr>
      <w:spacing w:val="-3"/>
      <w:sz w:val="24"/>
      <w:lang w:eastAsia="en-GB"/>
    </w:rPr>
  </w:style>
  <w:style w:type="paragraph" w:customStyle="1" w:styleId="Initial">
    <w:name w:val="Initial"/>
    <w:link w:val="InitialChar"/>
    <w:pPr>
      <w:tabs>
        <w:tab w:val="left" w:pos="-720"/>
      </w:tabs>
      <w:suppressAutoHyphens/>
      <w:spacing w:after="0" w:line="240" w:lineRule="auto"/>
      <w:jc w:val="both"/>
    </w:pPr>
    <w:rPr>
      <w:spacing w:val="-3"/>
      <w:sz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Text1"/>
    <w:pPr>
      <w:numPr>
        <w:numId w:val="9"/>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InitialChar">
    <w:name w:val="Initial Char"/>
    <w:link w:val="Initial"/>
    <w:locked/>
    <w:rPr>
      <w:spacing w:val="-3"/>
      <w:sz w:val="24"/>
      <w:lang w:eastAsia="en-GB"/>
    </w:rPr>
  </w:style>
  <w:style w:type="paragraph" w:customStyle="1" w:styleId="Initial">
    <w:name w:val="Initial"/>
    <w:link w:val="InitialChar"/>
    <w:pPr>
      <w:tabs>
        <w:tab w:val="left" w:pos="-720"/>
      </w:tabs>
      <w:suppressAutoHyphens/>
      <w:spacing w:after="0" w:line="240" w:lineRule="auto"/>
      <w:jc w:val="both"/>
    </w:pPr>
    <w:rPr>
      <w:spacing w:val="-3"/>
      <w:sz w:val="24"/>
      <w:lang w:eastAsia="en-GB"/>
    </w:rPr>
  </w:style>
  <w:style w:type="paragraph" w:styleId="NormalWeb">
    <w:name w:val="Normal (Web)"/>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Text1"/>
    <w:pPr>
      <w:numPr>
        <w:numId w:val="9"/>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4832">
      <w:bodyDiv w:val="1"/>
      <w:marLeft w:val="0"/>
      <w:marRight w:val="0"/>
      <w:marTop w:val="0"/>
      <w:marBottom w:val="0"/>
      <w:divBdr>
        <w:top w:val="none" w:sz="0" w:space="0" w:color="auto"/>
        <w:left w:val="none" w:sz="0" w:space="0" w:color="auto"/>
        <w:bottom w:val="none" w:sz="0" w:space="0" w:color="auto"/>
        <w:right w:val="none" w:sz="0" w:space="0" w:color="auto"/>
      </w:divBdr>
    </w:div>
    <w:div w:id="781189942">
      <w:bodyDiv w:val="1"/>
      <w:marLeft w:val="0"/>
      <w:marRight w:val="0"/>
      <w:marTop w:val="0"/>
      <w:marBottom w:val="0"/>
      <w:divBdr>
        <w:top w:val="none" w:sz="0" w:space="0" w:color="auto"/>
        <w:left w:val="none" w:sz="0" w:space="0" w:color="auto"/>
        <w:bottom w:val="none" w:sz="0" w:space="0" w:color="auto"/>
        <w:right w:val="none" w:sz="0" w:space="0" w:color="auto"/>
      </w:divBdr>
    </w:div>
    <w:div w:id="1046443012">
      <w:bodyDiv w:val="1"/>
      <w:marLeft w:val="0"/>
      <w:marRight w:val="0"/>
      <w:marTop w:val="0"/>
      <w:marBottom w:val="0"/>
      <w:divBdr>
        <w:top w:val="none" w:sz="0" w:space="0" w:color="auto"/>
        <w:left w:val="none" w:sz="0" w:space="0" w:color="auto"/>
        <w:bottom w:val="none" w:sz="0" w:space="0" w:color="auto"/>
        <w:right w:val="none" w:sz="0" w:space="0" w:color="auto"/>
      </w:divBdr>
    </w:div>
    <w:div w:id="1281642853">
      <w:bodyDiv w:val="1"/>
      <w:marLeft w:val="0"/>
      <w:marRight w:val="0"/>
      <w:marTop w:val="0"/>
      <w:marBottom w:val="0"/>
      <w:divBdr>
        <w:top w:val="none" w:sz="0" w:space="0" w:color="auto"/>
        <w:left w:val="none" w:sz="0" w:space="0" w:color="auto"/>
        <w:bottom w:val="none" w:sz="0" w:space="0" w:color="auto"/>
        <w:right w:val="none" w:sz="0" w:space="0" w:color="auto"/>
      </w:divBdr>
    </w:div>
    <w:div w:id="1632979602">
      <w:bodyDiv w:val="1"/>
      <w:marLeft w:val="0"/>
      <w:marRight w:val="0"/>
      <w:marTop w:val="0"/>
      <w:marBottom w:val="0"/>
      <w:divBdr>
        <w:top w:val="none" w:sz="0" w:space="0" w:color="auto"/>
        <w:left w:val="none" w:sz="0" w:space="0" w:color="auto"/>
        <w:bottom w:val="none" w:sz="0" w:space="0" w:color="auto"/>
        <w:right w:val="none" w:sz="0" w:space="0" w:color="auto"/>
      </w:divBdr>
    </w:div>
    <w:div w:id="1704551639">
      <w:bodyDiv w:val="1"/>
      <w:marLeft w:val="0"/>
      <w:marRight w:val="0"/>
      <w:marTop w:val="0"/>
      <w:marBottom w:val="0"/>
      <w:divBdr>
        <w:top w:val="none" w:sz="0" w:space="0" w:color="auto"/>
        <w:left w:val="none" w:sz="0" w:space="0" w:color="auto"/>
        <w:bottom w:val="none" w:sz="0" w:space="0" w:color="auto"/>
        <w:right w:val="none" w:sz="0" w:space="0" w:color="auto"/>
      </w:divBdr>
    </w:div>
    <w:div w:id="18991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87A8-690F-4D2F-96DF-E9FC14B1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1018</Words>
  <Characters>5559</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2016-07-14T08:38:00Z</cp:lastPrinted>
  <dcterms:created xsi:type="dcterms:W3CDTF">2016-08-01T15:48:00Z</dcterms:created>
  <dcterms:modified xsi:type="dcterms:W3CDTF">2016-08-05T07:01:00Z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