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353F0438754C9E8B200B3A26BDCFBA" style="width:450.6pt;height:334.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Pharmacovigilance related activities of Member States and</w:t>
      </w:r>
      <w:r>
        <w:rPr>
          <w:noProof/>
        </w:rPr>
        <w:br/>
        <w:t>the European Medicines Agency concerning medicinal products for human use</w:t>
      </w:r>
      <w:r>
        <w:rPr>
          <w:noProof/>
        </w:rPr>
        <w:br/>
        <w:t xml:space="preserve"> (2012 – 2014)</w:t>
      </w:r>
    </w:p>
    <w:p>
      <w:pPr>
        <w:pStyle w:val="ManualHeading1"/>
        <w:jc w:val="cente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rPr>
          <w:noProof/>
        </w:rPr>
      </w:pPr>
      <w:r>
        <w:rPr>
          <w:noProof/>
        </w:rPr>
        <w:t>1.</w:t>
      </w:r>
      <w:r>
        <w:rPr>
          <w:noProof/>
        </w:rPr>
        <w:tab/>
        <w:t>Introduction</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In the European Union (EU) medicinal products for human use are subject to strict testing and assessment of their quality, efficacy and safety before being authorised either at Member State or EU level. Once placed on the market they continue to be monitored through pharmacovigilance activities.</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Pharmacovigilance, as defined by the World Health Organisation (WHO), is ‘the science and activities relating to the detection, assessment, understanding and prevention of adverse effects or any other drug-related problem’.</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lang w:val="en"/>
        </w:rPr>
        <w:t>Some side effects or ‘adverse reactions’ may not be seen until a large number of people have in real-life use received the medicine. It is therefore vital that the safety of all medicines is monitored throughout their use in healthcare practice.</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EU legal framework of pharmacovigilance for medicinal products for human use is provided for in Regulation (EC) No 726/2004</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and Directive 2001/83/EC</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The legislation was amended in 2010</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and 2012</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Article 29 of Regulation (EC) No 726/2004 and Article 108b of Directive 2001/83/EC require regular reporting on the performance of pharmacovigilance tasks by the European Medicines Agency (EMA) and the Member States respectively.</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and the accompanying Staff Working Document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describe the activities of the EU’s networked and collaborative system for monitoring and controlling the safety of human medicines and is focused on activities since the start of operation of new legislation in 2012 until the end of 2014, but also includes information on some tasks and processes initiated up to July 2015.</w:t>
      </w:r>
    </w:p>
    <w:p>
      <w:pPr>
        <w:rPr>
          <w:rFonts w:ascii="Times New Roman" w:eastAsia="MS Mincho" w:hAnsi="Times New Roman" w:cs="Times New Roman"/>
          <w:b/>
          <w:smallCaps/>
          <w:noProof/>
          <w:sz w:val="24"/>
          <w:szCs w:val="24"/>
        </w:rPr>
      </w:pPr>
    </w:p>
    <w:p>
      <w:pPr>
        <w:pStyle w:val="ManualHeading1"/>
        <w:rPr>
          <w:noProof/>
        </w:rPr>
      </w:pPr>
      <w:r>
        <w:rPr>
          <w:noProof/>
        </w:rPr>
        <w:t>2.</w:t>
      </w:r>
      <w:r>
        <w:rPr>
          <w:noProof/>
        </w:rPr>
        <w:tab/>
        <w:t>Strong collaboration between European Regulatory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Ensuring that regulators can respond to emerging or urgent health issues in a timely and efficient way is a key deliverable of the new pharmacovigilance legislation. For that purpose the medicines regulatory authorities in 31 European Economic Area (EEA) countries, the EMA and the European Commission closely collaborate and work in partnership as a network to discuss and deal swiftly with any emerging problem in the interest of patients' access to safe and efficacious medicines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 ability to take quick and robust regulatory action was enhanced through the legislation by: the creation of the Pharmacovigilance Risk Assessment Committee; strengthening of the </w:t>
      </w:r>
      <w:r>
        <w:rPr>
          <w:rFonts w:ascii="Times New Roman" w:hAnsi="Times New Roman" w:cs="Times New Roman"/>
          <w:noProof/>
          <w:sz w:val="24"/>
          <w:szCs w:val="24"/>
          <w:lang w:val="en"/>
        </w:rPr>
        <w:t xml:space="preserve">Co-ordination group for Mutual recognition and Decentralised procedures – human </w:t>
      </w:r>
      <w:r>
        <w:rPr>
          <w:rFonts w:ascii="Times New Roman" w:hAnsi="Times New Roman" w:cs="Times New Roman"/>
          <w:noProof/>
          <w:sz w:val="24"/>
          <w:szCs w:val="24"/>
        </w:rPr>
        <w:t>and the introduction of new procedures to fast-track decision-making when public health is at risk.</w:t>
      </w:r>
    </w:p>
    <w:p>
      <w:pPr>
        <w:pStyle w:val="ManualHeading2"/>
        <w:rPr>
          <w:noProof/>
        </w:rPr>
      </w:pPr>
      <w:r>
        <w:rPr>
          <w:noProof/>
        </w:rPr>
        <w:t>2.1.</w:t>
      </w:r>
      <w:r>
        <w:rPr>
          <w:noProof/>
        </w:rPr>
        <w:tab/>
        <w:t>The role of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 individual Member States of the EEA power the entire pharmacovigilance system. They provide much of the resource and knowledge for assessing signals of possible emerging side effects and take the lead in evaluating and analysing data when a safety issue is assessed at a European level. They maintain the inspectorates that ensure that medicines marketed in the EU are manufactured appropriately and are of suitable quality, and that the pharmacovigilance systems of industry are working as they should.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legislation gives the </w:t>
      </w:r>
      <w:r>
        <w:rPr>
          <w:rFonts w:ascii="Times New Roman" w:hAnsi="Times New Roman" w:cs="Times New Roman"/>
          <w:noProof/>
          <w:sz w:val="24"/>
          <w:szCs w:val="24"/>
          <w:lang w:val="en"/>
        </w:rPr>
        <w:t>Co-ordination group for Mutual recognition and Decentralised procedures – human</w:t>
      </w:r>
      <w:r>
        <w:rPr>
          <w:rFonts w:ascii="Times New Roman" w:hAnsi="Times New Roman" w:cs="Times New Roman"/>
          <w:noProof/>
          <w:sz w:val="24"/>
          <w:szCs w:val="24"/>
        </w:rPr>
        <w:t xml:space="preserve"> (CMDh)</w:t>
      </w:r>
      <w:r>
        <w:rPr>
          <w:rStyle w:val="FootnoteReference"/>
          <w:rFonts w:ascii="Times New Roman" w:hAnsi="Times New Roman" w:cs="Times New Roman"/>
          <w:noProof/>
          <w:sz w:val="24"/>
          <w:szCs w:val="24"/>
          <w:lang w:val="en"/>
        </w:rPr>
        <w:footnoteReference w:id="7"/>
      </w:r>
      <w:r>
        <w:rPr>
          <w:rFonts w:ascii="Times New Roman" w:hAnsi="Times New Roman" w:cs="Times New Roman"/>
          <w:noProof/>
          <w:sz w:val="24"/>
          <w:szCs w:val="24"/>
        </w:rPr>
        <w:t xml:space="preserve">, a body representing the national regulators of the EEA, the mandate to lead on decision-making when no centrally authorised medicines are involved. </w:t>
      </w:r>
    </w:p>
    <w:p>
      <w:pPr>
        <w:pStyle w:val="ManualHeading2"/>
        <w:rPr>
          <w:noProof/>
        </w:rPr>
      </w:pPr>
      <w:r>
        <w:rPr>
          <w:noProof/>
        </w:rPr>
        <w:t>2.2.</w:t>
      </w:r>
      <w:r>
        <w:rPr>
          <w:noProof/>
        </w:rPr>
        <w:tab/>
        <w:t>The role of the European Medicines Agency</w:t>
      </w:r>
    </w:p>
    <w:p>
      <w:pPr>
        <w:jc w:val="both"/>
        <w:rPr>
          <w:rFonts w:ascii="Times New Roman" w:hAnsi="Times New Roman" w:cs="Times New Roman"/>
          <w:noProof/>
          <w:sz w:val="24"/>
          <w:szCs w:val="24"/>
        </w:rPr>
      </w:pPr>
      <w:r>
        <w:rPr>
          <w:rFonts w:ascii="Times New Roman" w:hAnsi="Times New Roman"/>
          <w:noProof/>
          <w:sz w:val="24"/>
          <w:szCs w:val="24"/>
        </w:rPr>
        <w:t>The EMA has a central role in the EU system</w:t>
      </w:r>
      <w:r>
        <w:rPr>
          <w:rFonts w:ascii="Times New Roman" w:hAnsi="Times New Roman" w:cs="Times New Roman"/>
          <w:noProof/>
          <w:sz w:val="24"/>
          <w:szCs w:val="24"/>
        </w:rPr>
        <w:t xml:space="preserve"> co-ordinating its activities and providing technical, regulatory and scientific support to the Member States and industry.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new scientific committee, the Pharmacovigilance Risk Assessment Committee (PRAC), came into existence in July 2012. PRAC’s mandate covers all aspects of risk management of medicinal products for human use. PRAC members include experts in pharmacovigilance and regulation from EU Member States as well as scientific experts and representatives of healthcare professionals and patient organisations appointed by the European Commission. Figure 1 in the annex presents the relative frequency of the main pharmacovigilance-related activities on the PRAC agenda between July 2012 and December 2014. </w:t>
      </w:r>
    </w:p>
    <w:p>
      <w:pPr>
        <w:pStyle w:val="ManualHeading2"/>
        <w:rPr>
          <w:noProof/>
        </w:rPr>
      </w:pPr>
      <w:r>
        <w:rPr>
          <w:noProof/>
        </w:rPr>
        <w:t>2.3.</w:t>
      </w:r>
      <w:r>
        <w:rPr>
          <w:noProof/>
        </w:rPr>
        <w:tab/>
        <w:t>The role of the Commission</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Commission is the competent authority for centrally authorised medicines and supplies the legal authority that underpins the EU pharmacovigilance system.</w:t>
      </w:r>
    </w:p>
    <w:p>
      <w:pPr>
        <w:pStyle w:val="ManualHeading1"/>
        <w:rPr>
          <w:noProof/>
        </w:rPr>
      </w:pPr>
      <w:r>
        <w:rPr>
          <w:noProof/>
        </w:rPr>
        <w:t>3.</w:t>
      </w:r>
      <w:r>
        <w:rPr>
          <w:noProof/>
        </w:rPr>
        <w:tab/>
        <w:t>Main pharmacovigilance related tasks and activities</w:t>
      </w:r>
    </w:p>
    <w:p>
      <w:pPr>
        <w:jc w:val="both"/>
        <w:rPr>
          <w:rFonts w:ascii="Times New Roman" w:hAnsi="Times New Roman" w:cs="Times New Roman"/>
          <w:noProof/>
          <w:sz w:val="24"/>
          <w:szCs w:val="24"/>
        </w:rPr>
      </w:pPr>
      <w:r>
        <w:rPr>
          <w:rFonts w:ascii="Times New Roman" w:hAnsi="Times New Roman" w:cs="Times New Roman"/>
          <w:noProof/>
          <w:sz w:val="24"/>
          <w:szCs w:val="24"/>
        </w:rPr>
        <w:t>The entire pharmacovigilance process—from systems that monitor for and detect possible adverse effects through to regulatory action to mitigate risks—is highly co-ordinated across the regulatory network, the pharmaceutical industry and health systems. The system receives a wide range of input including that from non-EU regulators, academia, health professionals and patients.</w:t>
      </w:r>
    </w:p>
    <w:p>
      <w:pPr>
        <w:jc w:val="both"/>
        <w:rPr>
          <w:rFonts w:ascii="Times New Roman" w:hAnsi="Times New Roman" w:cs="Times New Roman"/>
          <w:noProof/>
          <w:sz w:val="24"/>
          <w:szCs w:val="24"/>
        </w:rPr>
      </w:pPr>
      <w:r>
        <w:rPr>
          <w:rFonts w:ascii="Times New Roman" w:hAnsi="Times New Roman" w:cs="Times New Roman"/>
          <w:noProof/>
          <w:sz w:val="24"/>
          <w:szCs w:val="24"/>
        </w:rPr>
        <w:t>The pharmacovigilance process can be broken down into the following key tasks:</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Risk management planning</w:t>
      </w:r>
      <w:r>
        <w:rPr>
          <w:rFonts w:ascii="Times New Roman" w:hAnsi="Times New Roman" w:cs="Times New Roman"/>
          <w:noProof/>
          <w:sz w:val="24"/>
          <w:szCs w:val="24"/>
        </w:rPr>
        <w:t xml:space="preserve"> - assessing the risks of each new medicine and developing plans to collect data and minimise those risks. PRAC reviewed 48 risk management plans (RMPs) in July–December 2012, 637 in 2013 and 597 in 2014. The Member States, collectively, received around 3 500 (2012), 7 500 (2013), and 9 000 (2014) RMPs for nationally authorised medicines.</w:t>
      </w:r>
    </w:p>
    <w:p>
      <w:pPr>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Collecting and managing case reports of possible side effects (</w:t>
      </w:r>
      <w:r>
        <w:rPr>
          <w:rFonts w:ascii="Times New Roman" w:hAnsi="Times New Roman" w:cs="Times New Roman"/>
          <w:b/>
          <w:noProof/>
          <w:sz w:val="24"/>
          <w:szCs w:val="24"/>
        </w:rPr>
        <w:t xml:space="preserve">adverse drug reactions </w:t>
      </w:r>
      <w:r>
        <w:rPr>
          <w:rFonts w:ascii="Times New Roman" w:hAnsi="Times New Roman" w:cs="Times New Roman"/>
          <w:noProof/>
          <w:sz w:val="24"/>
          <w:szCs w:val="24"/>
        </w:rPr>
        <w:t>(ADR)). Figure 2 in the annex presents the reports of serious adverse events between 2011 and 2014.</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 xml:space="preserve">Signal detection and management - </w:t>
      </w:r>
      <w:r>
        <w:rPr>
          <w:rFonts w:ascii="Times New Roman" w:hAnsi="Times New Roman" w:cs="Times New Roman"/>
          <w:noProof/>
          <w:sz w:val="24"/>
          <w:szCs w:val="24"/>
        </w:rPr>
        <w:t>analysing reports of suspected side effects to identify signals. Some 193 unique signals were evaluated by PRAC between September 2012 and December 2014. Figure 3 in the annex presents the number of discussions in PRAC concerning either new signals or follow up discussions and Figure 4 gives an overview of the regulatory action following signal assessment.</w:t>
      </w:r>
    </w:p>
    <w:p>
      <w:pPr>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Routine benefit-risk monitoring of medicines via </w:t>
      </w:r>
      <w:r>
        <w:rPr>
          <w:rFonts w:ascii="Times New Roman" w:hAnsi="Times New Roman" w:cs="Times New Roman"/>
          <w:b/>
          <w:noProof/>
          <w:sz w:val="24"/>
          <w:szCs w:val="24"/>
        </w:rPr>
        <w:t>periodic safety update reports</w:t>
      </w:r>
      <w:r>
        <w:rPr>
          <w:rFonts w:ascii="Times New Roman" w:hAnsi="Times New Roman" w:cs="Times New Roman"/>
          <w:noProof/>
          <w:sz w:val="24"/>
          <w:szCs w:val="24"/>
        </w:rPr>
        <w:t xml:space="preserve"> (PSURs) and maintaining the list (EURD list) of schedules for submitting PSURs. The number of PSURs reviewed by PRAC was 20 (July-December 2012), 436 (2013) and 471 (2014). Figure 5 in the annex gives an overview of the regulatory action following PSUR assessment. In addition, the number of PSURs submitted to national competent authorities in the Member States for purely national assessments were around 5 000 in 2012, 3 500 in 2013 and 3 000 in 2014 with an additional 62, 151 and 116 PSUR worksharing procedures for purely nationally authorised medicines during the same periods.</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Referrals</w:t>
      </w:r>
      <w:r>
        <w:rPr>
          <w:rFonts w:ascii="Times New Roman" w:hAnsi="Times New Roman" w:cs="Times New Roman"/>
          <w:noProof/>
          <w:sz w:val="24"/>
          <w:szCs w:val="24"/>
        </w:rPr>
        <w:t xml:space="preserve"> - Europe-wide reviews of important safety and benefit-risk issues. Between July 2012 and December 2014, 31 safety referrals were sent to the PRAC. Nine of these referrals involved centrally authorised medicines, the remainder dealt solely with nationally authorised products. (See Figure 6 in the annex). Some additional concerns at a national level were also discussed by the CMDh to decide on whether an assessment at EU level was required but did not ultimately trigger a referral. Such CMDh discussions were held on 2 occasions in 2013 and 6 in 2014.</w:t>
      </w:r>
    </w:p>
    <w:p>
      <w:pPr>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Managing information on products subject to </w:t>
      </w:r>
      <w:r>
        <w:rPr>
          <w:rFonts w:ascii="Times New Roman" w:hAnsi="Times New Roman" w:cs="Times New Roman"/>
          <w:b/>
          <w:noProof/>
          <w:sz w:val="24"/>
          <w:szCs w:val="24"/>
        </w:rPr>
        <w:t>additional monitoring</w:t>
      </w:r>
      <w:r>
        <w:rPr>
          <w:rFonts w:ascii="Times New Roman" w:hAnsi="Times New Roman" w:cs="Times New Roman"/>
          <w:noProof/>
          <w:sz w:val="24"/>
          <w:szCs w:val="24"/>
        </w:rPr>
        <w:t xml:space="preserve">, and products that have been </w:t>
      </w:r>
      <w:r>
        <w:rPr>
          <w:rFonts w:ascii="Times New Roman" w:hAnsi="Times New Roman" w:cs="Times New Roman"/>
          <w:b/>
          <w:noProof/>
          <w:sz w:val="24"/>
          <w:szCs w:val="24"/>
        </w:rPr>
        <w:t>withdrawn</w:t>
      </w:r>
      <w:r>
        <w:rPr>
          <w:rFonts w:ascii="Times New Roman" w:hAnsi="Times New Roman" w:cs="Times New Roman"/>
          <w:noProof/>
          <w:sz w:val="24"/>
          <w:szCs w:val="24"/>
        </w:rPr>
        <w:t>. At the end of 2014, the list of medicines under additional monitoring included 193 centrally authorised medicines and 8 substances in 1 269 nationally authorised products. During 2014 EMA received 132 notifications of withdrawal of products.</w:t>
      </w:r>
    </w:p>
    <w:p>
      <w:pPr>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Assessing and co-ordinating studies after marketing through </w:t>
      </w:r>
      <w:r>
        <w:rPr>
          <w:rFonts w:ascii="Times New Roman" w:hAnsi="Times New Roman" w:cs="Times New Roman"/>
          <w:b/>
          <w:noProof/>
          <w:sz w:val="24"/>
          <w:szCs w:val="24"/>
        </w:rPr>
        <w:t>post-authorisation safety studies and post-authorisation efficacy studies</w:t>
      </w:r>
      <w:r>
        <w:rPr>
          <w:rFonts w:ascii="Times New Roman" w:hAnsi="Times New Roman" w:cs="Times New Roman"/>
          <w:noProof/>
          <w:sz w:val="24"/>
          <w:szCs w:val="24"/>
        </w:rPr>
        <w:t>. Between July 2012 and December 2014, PRAC reviewed protocols for 38 imposed non-interventional post-authorisation safety studies (PASSs). Member States evaluated an additional 17 PASS protocols for nationally authorised medicines.</w:t>
      </w:r>
    </w:p>
    <w:p>
      <w:pPr>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Carrying out </w:t>
      </w:r>
      <w:r>
        <w:rPr>
          <w:rFonts w:ascii="Times New Roman" w:hAnsi="Times New Roman" w:cs="Times New Roman"/>
          <w:b/>
          <w:noProof/>
          <w:sz w:val="24"/>
          <w:szCs w:val="24"/>
        </w:rPr>
        <w:t>inspections</w:t>
      </w:r>
      <w:r>
        <w:rPr>
          <w:rFonts w:ascii="Times New Roman" w:hAnsi="Times New Roman" w:cs="Times New Roman"/>
          <w:noProof/>
          <w:sz w:val="24"/>
          <w:szCs w:val="24"/>
        </w:rPr>
        <w:t xml:space="preserve"> to ensure company pharmacovigilance systems comply with good pharmacovigilance practice. The number of inspections undertaken was 207 (2012), 195 (2013) and 167 (2014) with 26, 37 and 48 respectively for centrally authorised medicines.</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Communicating about safety-related issues</w:t>
      </w:r>
      <w:r>
        <w:rPr>
          <w:rFonts w:ascii="Times New Roman" w:hAnsi="Times New Roman" w:cs="Times New Roman"/>
          <w:noProof/>
          <w:sz w:val="24"/>
          <w:szCs w:val="24"/>
        </w:rPr>
        <w:t>, and interacting with and engaging with relevant stakeholders. The agendas, highlights and minutes of the PRAC meetings are published as well as public safety communications on relevant issues. There were 14 public safety communications issued in the second half of 2012, 78 in 2013 and 57 in 2014.</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Development of systems and guidelines</w:t>
      </w:r>
      <w:r>
        <w:rPr>
          <w:rFonts w:ascii="Times New Roman" w:hAnsi="Times New Roman" w:cs="Times New Roman"/>
          <w:noProof/>
          <w:sz w:val="24"/>
          <w:szCs w:val="24"/>
        </w:rPr>
        <w:t>, and promotion of research to address gaps in knowledge.</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Monitoring performance of the system</w:t>
      </w:r>
      <w:r>
        <w:rPr>
          <w:rFonts w:ascii="Times New Roman" w:hAnsi="Times New Roman" w:cs="Times New Roman"/>
          <w:noProof/>
          <w:sz w:val="24"/>
          <w:szCs w:val="24"/>
        </w:rPr>
        <w:t>, including compliance with legal obligations and standards.</w:t>
      </w:r>
    </w:p>
    <w:p>
      <w:pPr>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Training and capacity building</w:t>
      </w:r>
      <w:r>
        <w:rPr>
          <w:rFonts w:ascii="Times New Roman" w:hAnsi="Times New Roman" w:cs="Times New Roman"/>
          <w:noProof/>
          <w:sz w:val="24"/>
          <w:szCs w:val="24"/>
        </w:rPr>
        <w:t>.</w:t>
      </w:r>
    </w:p>
    <w:p>
      <w:pPr>
        <w:pStyle w:val="ManualHeading1"/>
        <w:rPr>
          <w:noProof/>
        </w:rPr>
      </w:pPr>
      <w:r>
        <w:rPr>
          <w:noProof/>
        </w:rPr>
        <w:t>4.</w:t>
      </w:r>
      <w:r>
        <w:rPr>
          <w:noProof/>
        </w:rPr>
        <w:tab/>
        <w:t>Systems and services improvement</w:t>
      </w:r>
    </w:p>
    <w:p>
      <w:pPr>
        <w:jc w:val="both"/>
        <w:rPr>
          <w:rFonts w:ascii="Times New Roman" w:hAnsi="Times New Roman" w:cs="Times New Roman"/>
          <w:noProof/>
          <w:sz w:val="24"/>
          <w:szCs w:val="24"/>
        </w:rPr>
      </w:pPr>
      <w:r>
        <w:rPr>
          <w:rFonts w:ascii="Times New Roman" w:hAnsi="Times New Roman" w:cs="Times New Roman"/>
          <w:noProof/>
          <w:sz w:val="24"/>
          <w:szCs w:val="24"/>
        </w:rPr>
        <w:t>The role of EMA includes the provision of some of the systems and services needed for the pharmacovigilance network to function. The new legislation has required the development of some new systems and services and enhancement or simplification of others. Member States and key stakeholders including the pharmaceutical industry have had an important input to the design and development of these systems. The developments have included:</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Article 57 database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of all authorised medicines (both centrally and nationally authorised) in the EU with information on over 580 000 medicines from nearly 4 300 marketing authorisation holders.</w:t>
      </w:r>
    </w:p>
    <w:p>
      <w:pPr>
        <w:numPr>
          <w:ilvl w:val="0"/>
          <w:numId w:val="2"/>
        </w:numPr>
        <w:jc w:val="both"/>
        <w:rPr>
          <w:rFonts w:ascii="Times New Roman" w:hAnsi="Times New Roman" w:cs="Times New Roman"/>
          <w:noProof/>
          <w:sz w:val="24"/>
          <w:szCs w:val="24"/>
        </w:rPr>
      </w:pPr>
      <w:r>
        <w:rPr>
          <w:rFonts w:ascii="Times New Roman" w:hAnsi="Times New Roman" w:cs="Times New Roman"/>
          <w:b/>
          <w:noProof/>
          <w:sz w:val="24"/>
          <w:szCs w:val="24"/>
        </w:rPr>
        <w:t>Literature monitoring service</w:t>
      </w:r>
      <w:r>
        <w:rPr>
          <w:rFonts w:ascii="Times New Roman" w:hAnsi="Times New Roman" w:cs="Times New Roman"/>
          <w:noProof/>
          <w:sz w:val="24"/>
          <w:szCs w:val="24"/>
        </w:rPr>
        <w:t xml:space="preserve"> - EMA is required to monitor selected medical literature for reports of suspected side effects to certain active substances and enter them into the EudraVigilance database as individual case safety reports. The service was launched in June 2015.</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PSUR repository</w:t>
      </w:r>
      <w:r>
        <w:rPr>
          <w:rFonts w:ascii="Times New Roman" w:hAnsi="Times New Roman" w:cs="Times New Roman"/>
          <w:noProof/>
          <w:sz w:val="24"/>
          <w:szCs w:val="24"/>
        </w:rPr>
        <w:t xml:space="preserve"> was developed and made available during the reporting period with its functionality successfully audited in 2015.</w:t>
      </w:r>
    </w:p>
    <w:p>
      <w:pPr>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legislation requires enhancement of </w:t>
      </w:r>
      <w:r>
        <w:rPr>
          <w:rFonts w:ascii="Times New Roman" w:hAnsi="Times New Roman" w:cs="Times New Roman"/>
          <w:b/>
          <w:noProof/>
          <w:sz w:val="24"/>
          <w:szCs w:val="24"/>
        </w:rPr>
        <w:t>EudraVigilance database</w:t>
      </w:r>
      <w:r>
        <w:rPr>
          <w:rFonts w:ascii="Times New Roman" w:hAnsi="Times New Roman" w:cs="Times New Roman"/>
          <w:noProof/>
          <w:sz w:val="24"/>
          <w:szCs w:val="24"/>
        </w:rPr>
        <w:t xml:space="preserve"> to support simplified reporting, better search, analysis and tracking functions, and improved data quality. Progress has been made on enhancements during the reporting period including the launch of the ADR website and support to signal detection activities. The final audit of the updated system is expected to be completed in early 2018</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ManualHeading1"/>
        <w:rPr>
          <w:noProof/>
        </w:rPr>
      </w:pPr>
      <w:r>
        <w:rPr>
          <w:noProof/>
        </w:rPr>
        <w:t>5.</w:t>
      </w:r>
      <w:r>
        <w:rPr>
          <w:noProof/>
        </w:rPr>
        <w:tab/>
        <w:t xml:space="preserve">Cooperation and coordination </w:t>
      </w:r>
    </w:p>
    <w:p>
      <w:pPr>
        <w:jc w:val="both"/>
        <w:rPr>
          <w:rFonts w:ascii="Times New Roman" w:hAnsi="Times New Roman" w:cs="Times New Roman"/>
          <w:noProof/>
          <w:sz w:val="24"/>
          <w:szCs w:val="24"/>
        </w:rPr>
      </w:pPr>
      <w:r>
        <w:rPr>
          <w:rFonts w:ascii="Times New Roman" w:hAnsi="Times New Roman" w:cs="Times New Roman"/>
          <w:noProof/>
          <w:sz w:val="24"/>
          <w:szCs w:val="24"/>
        </w:rPr>
        <w:t>As well as co-ordination among the network of over 30 national competent authorities, the Commission and the EMA work closely with other international regulators through bilateral arrangements and through multilateral fora such as the Association of the International Council for Harmonisation of Technical Requirements for Pharmaceuticals for Human Use (ICH) to promote common approaches and standardised requirements for the authorisation of medicines.</w:t>
      </w:r>
    </w:p>
    <w:p>
      <w:pPr>
        <w:jc w:val="both"/>
        <w:rPr>
          <w:rFonts w:ascii="Times New Roman" w:hAnsi="Times New Roman" w:cs="Times New Roman"/>
          <w:noProof/>
          <w:sz w:val="24"/>
          <w:szCs w:val="24"/>
          <w:lang w:eastAsia="ja-JP"/>
        </w:rPr>
      </w:pPr>
      <w:r>
        <w:rPr>
          <w:rFonts w:ascii="Times New Roman" w:hAnsi="Times New Roman" w:cs="Times New Roman"/>
          <w:noProof/>
          <w:sz w:val="24"/>
          <w:szCs w:val="24"/>
        </w:rPr>
        <w:t>Good pharmacovigilance relies on co-operation among the stakeholders and this has been encouraged by the legislation. The input of patients and healthcare professionals throughout the authorisation of medicines and pharmacovigilance is vital. This is provided through civil society representatives being members of PRAC and specifically consulted for certain types of referrals.</w:t>
      </w:r>
    </w:p>
    <w:p>
      <w:pPr>
        <w:pStyle w:val="ManualHeading1"/>
        <w:rPr>
          <w:noProof/>
        </w:rPr>
      </w:pPr>
      <w:r>
        <w:rPr>
          <w:noProof/>
        </w:rPr>
        <w:t>6.</w:t>
      </w:r>
      <w:r>
        <w:rPr>
          <w:noProof/>
        </w:rPr>
        <w:tab/>
        <w:t>Continuing and future development of the network</w:t>
      </w:r>
    </w:p>
    <w:p>
      <w:pPr>
        <w:jc w:val="both"/>
        <w:rPr>
          <w:rFonts w:ascii="Times New Roman" w:hAnsi="Times New Roman" w:cs="Times New Roman"/>
          <w:noProof/>
          <w:sz w:val="24"/>
          <w:szCs w:val="24"/>
        </w:rPr>
      </w:pPr>
      <w:r>
        <w:rPr>
          <w:rFonts w:ascii="Times New Roman" w:hAnsi="Times New Roman" w:cs="Times New Roman"/>
          <w:noProof/>
          <w:sz w:val="24"/>
          <w:szCs w:val="24"/>
        </w:rPr>
        <w:t>Over the period of the report and beyond, the pharmacovigilance network is focusing on training to develop understanding of pharmacovigilance and regulatory science to enable sharing of best practice, improving the efficiency and effectiveness of the processes, and building capacity.</w:t>
      </w:r>
    </w:p>
    <w:p>
      <w:pPr>
        <w:jc w:val="both"/>
        <w:rPr>
          <w:rFonts w:ascii="Times New Roman" w:hAnsi="Times New Roman" w:cs="Times New Roman"/>
          <w:noProof/>
          <w:sz w:val="24"/>
          <w:szCs w:val="24"/>
        </w:rPr>
      </w:pPr>
      <w:r>
        <w:rPr>
          <w:rFonts w:ascii="Times New Roman" w:hAnsi="Times New Roman" w:cs="Times New Roman"/>
          <w:noProof/>
          <w:sz w:val="24"/>
          <w:szCs w:val="24"/>
        </w:rPr>
        <w:t>The Member States and EMA offer extensive training for regulatory staff and for relevant external stakeholders. The efficiency and effectiveness of pharmacovigilance processes have improved. Projects have been initiated to improve the science and practice of pharmacovigilance including: the Strengthening Collaboration for Operating Pharmacovigilance in Europe (SCOPE) Joint Action; the European Network of Centres for Pharmacoepidemiology and Pharmacovigilance (ENCePP); and, the PROTECT project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Outcomes from these initiatives are already starting to inform further process development and updates to guidelines.</w:t>
      </w:r>
    </w:p>
    <w:p>
      <w:pPr>
        <w:pStyle w:val="ManualHeading1"/>
        <w:rPr>
          <w:noProof/>
        </w:rPr>
      </w:pPr>
      <w:r>
        <w:rPr>
          <w:noProof/>
        </w:rPr>
        <w:t>7.</w:t>
      </w:r>
      <w:r>
        <w:rPr>
          <w:noProof/>
        </w:rPr>
        <w:tab/>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pharmacovigilance network represents an example of successful co-operation at the European level, to the benefit of EU citizens. The networked system allows participants to share in the best available expertise and evidence and co-ordinate the regulatory actions, producing more efficient and consistent outcomes for everybody. The regulatory tools made available under the revised legislation, including risk management plans, post-authorisation studies, signal detection and management at EU level, periodic safety update reports assessment and reviews of medicines through referrals, represent an increasingly proactive approach to medicines safety, complemented by improvements in regulatory action and communication when safety concerns are identified.</w:t>
      </w:r>
    </w:p>
    <w:p>
      <w:pPr>
        <w:jc w:val="both"/>
        <w:rPr>
          <w:rFonts w:ascii="Times New Roman" w:hAnsi="Times New Roman" w:cs="Times New Roman"/>
          <w:noProof/>
          <w:sz w:val="24"/>
          <w:szCs w:val="24"/>
        </w:rPr>
      </w:pPr>
      <w:r>
        <w:rPr>
          <w:rFonts w:ascii="Times New Roman" w:hAnsi="Times New Roman" w:cs="Times New Roman"/>
          <w:noProof/>
          <w:sz w:val="24"/>
          <w:szCs w:val="24"/>
        </w:rPr>
        <w:t>The system operates with high transparency, necessary to develop the trust of the society it serves. Mechanisms have been put in place to ensure that accurate safety information reaches the EU public in a timely manner. Engagement of key stakeholders such as patients and healthcare professionals is embedded in the system including through patient reporting of suspected side effects. For the future, deepening involvement is foreseen, including the holding of public hearings for critical safety issues.</w:t>
      </w:r>
    </w:p>
    <w:p>
      <w:pPr>
        <w:jc w:val="both"/>
        <w:rPr>
          <w:rFonts w:ascii="Times New Roman" w:hAnsi="Times New Roman" w:cs="Times New Roman"/>
          <w:noProof/>
          <w:sz w:val="24"/>
          <w:szCs w:val="24"/>
        </w:rPr>
      </w:pPr>
      <w:r>
        <w:rPr>
          <w:rFonts w:ascii="Times New Roman" w:hAnsi="Times New Roman" w:cs="Times New Roman"/>
          <w:noProof/>
          <w:sz w:val="24"/>
          <w:szCs w:val="24"/>
        </w:rPr>
        <w:t>Work is proceeding on the infrastructure needed to support further development of the system, and to simplify and streamline existing processes where possible so that the regulatory burden is minimised for all stakeholders. Delivery of the medical literature monitoring service, of the new EudraVigilance system, of the PSUR repository and full use of the Article 57 EU product database will increase efficiency and deliver simplification for stakeholders. Work continues to complete the development and implementation of other systems such as centralised ADR reporting through the EudraVigilance database. Ongoing research in the field of regulatory science, such as the research supported through the EU Research Framework Programmes, will also support future improvements.</w:t>
      </w:r>
    </w:p>
    <w:p>
      <w:pPr>
        <w:pStyle w:val="ManualHeading1"/>
        <w:ind w:left="0" w:firstLine="0"/>
        <w:rPr>
          <w:noProof/>
        </w:rPr>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pPr>
        <w:pStyle w:val="Annexetitre"/>
        <w:rPr>
          <w:noProof/>
        </w:rPr>
      </w:pPr>
      <w:r>
        <w:rPr>
          <w:noProof/>
        </w:rPr>
        <w:t>Abbreviations</w:t>
      </w:r>
    </w:p>
    <w:tbl>
      <w:tblPr>
        <w:tblW w:w="0" w:type="auto"/>
        <w:tblLook w:val="04A0" w:firstRow="1" w:lastRow="0" w:firstColumn="1" w:lastColumn="0" w:noHBand="0" w:noVBand="1"/>
      </w:tblPr>
      <w:tblGrid>
        <w:gridCol w:w="1384"/>
        <w:gridCol w:w="7905"/>
      </w:tblGrid>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ADR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adverse drug reaction</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CHMP</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Committee for Medicinal Products for Human Use</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CMDh</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Co-ordination Group for Mutual Recognition and Decentralised procedures—human</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EEA</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European Economic Area</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EMA</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European Medicines Agency</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EU</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European Union</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EURD</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list of European Union reference dates and frequency of submission of periodic safety update reports</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ICSR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individual case safety report</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PASS</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post-authorisation safety study</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PRAC</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Pharmacovigilance Risk Assessment Committee</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PSUR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periodic safety update report</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cs="Times New Roman"/>
                <w:noProof/>
                <w:sz w:val="24"/>
                <w:szCs w:val="24"/>
              </w:rPr>
              <w:t>RMP</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cs="Times New Roman"/>
                <w:noProof/>
                <w:sz w:val="24"/>
                <w:szCs w:val="24"/>
              </w:rPr>
              <w:t>risk management plan</w:t>
            </w:r>
          </w:p>
        </w:tc>
      </w:tr>
    </w:tbl>
    <w:p>
      <w:pPr>
        <w:pStyle w:val="ManualHeading1"/>
        <w:ind w:left="0" w:firstLine="0"/>
        <w:rPr>
          <w:noProof/>
        </w:rPr>
        <w:sectPr>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pPr>
        <w:pStyle w:val="Annexetitre"/>
        <w:rPr>
          <w:noProof/>
        </w:rPr>
      </w:pPr>
      <w:r>
        <w:rPr>
          <w:noProof/>
        </w:rPr>
        <w:t>ANNEX — Figures and Tables</w:t>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t>Figure 1</w:t>
      </w:r>
      <w:r>
        <w:rPr>
          <w:rFonts w:ascii="Times New Roman" w:hAnsi="Times New Roman" w:cs="Times New Roman"/>
          <w:noProof/>
          <w:sz w:val="24"/>
          <w:szCs w:val="24"/>
        </w:rPr>
        <w:t>: Number of items on the Pharmacovigilance Risk Assessment Committee (PRAC) agenda July–December 2012, January–December 2013 and January–December 2014</w:t>
      </w:r>
    </w:p>
    <w:p>
      <w:pPr>
        <w:spacing w:before="720"/>
        <w:rPr>
          <w:rFonts w:ascii="Times New Roman" w:hAnsi="Times New Roman" w:cs="Times New Roman"/>
          <w:b/>
          <w:noProof/>
          <w:sz w:val="24"/>
          <w:szCs w:val="24"/>
          <w:u w:val="single"/>
        </w:rPr>
      </w:pPr>
      <w:r>
        <w:rPr>
          <w:noProof/>
          <w:lang w:eastAsia="en-GB"/>
        </w:rPr>
        <w:t xml:space="preserve"> </w:t>
      </w:r>
      <w:r>
        <w:rPr>
          <w:noProof/>
          <w:lang w:val="en-US"/>
        </w:rPr>
        <w:drawing>
          <wp:inline distT="0" distB="0" distL="0" distR="0">
            <wp:extent cx="5695950" cy="39243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br w:type="page"/>
        <w:t>Figure 2</w:t>
      </w:r>
      <w:r>
        <w:rPr>
          <w:rFonts w:ascii="Times New Roman" w:hAnsi="Times New Roman" w:cs="Times New Roman"/>
          <w:noProof/>
          <w:sz w:val="24"/>
          <w:szCs w:val="24"/>
        </w:rPr>
        <w:t xml:space="preserve"> Reporting of individual case safety reports to the EudraVigilance database from European Economic Area countries or non-European Economic Area countries 2011–2014</w:t>
      </w:r>
    </w:p>
    <w:p>
      <w:pPr>
        <w:spacing w:before="720"/>
        <w:rPr>
          <w:rFonts w:ascii="Times New Roman" w:hAnsi="Times New Roman" w:cs="Times New Roman"/>
          <w:noProof/>
          <w:sz w:val="24"/>
          <w:szCs w:val="24"/>
        </w:rPr>
      </w:pPr>
      <w:r>
        <w:rPr>
          <w:noProof/>
          <w:lang w:val="en-US"/>
        </w:rPr>
        <w:drawing>
          <wp:inline distT="0" distB="0" distL="0" distR="0">
            <wp:extent cx="3962400" cy="41338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before="720"/>
        <w:rPr>
          <w:rFonts w:ascii="Times New Roman" w:hAnsi="Times New Roman" w:cs="Times New Roman"/>
          <w:noProof/>
          <w:sz w:val="24"/>
          <w:szCs w:val="24"/>
        </w:rPr>
      </w:pPr>
      <w:r>
        <w:rPr>
          <w:noProof/>
          <w:lang w:val="en-US"/>
        </w:rPr>
        <w:drawing>
          <wp:inline distT="0" distB="0" distL="0" distR="0">
            <wp:extent cx="3962400" cy="416242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before="720"/>
        <w:rPr>
          <w:rFonts w:ascii="Times New Roman" w:hAnsi="Times New Roman" w:cs="Times New Roman"/>
          <w:noProof/>
          <w:sz w:val="24"/>
          <w:szCs w:val="24"/>
        </w:rPr>
      </w:pPr>
    </w:p>
    <w:p>
      <w:pPr>
        <w:spacing w:before="720"/>
        <w:rPr>
          <w:rFonts w:ascii="Times New Roman" w:hAnsi="Times New Roman" w:cs="Times New Roman"/>
          <w:noProof/>
          <w:sz w:val="24"/>
          <w:szCs w:val="24"/>
        </w:rPr>
      </w:pPr>
    </w:p>
    <w:p>
      <w:pPr>
        <w:spacing w:before="720"/>
        <w:jc w:val="both"/>
        <w:rPr>
          <w:rFonts w:ascii="Times New Roman" w:hAnsi="Times New Roman" w:cs="Times New Roman"/>
          <w:noProof/>
          <w:sz w:val="24"/>
          <w:szCs w:val="24"/>
        </w:rPr>
      </w:pPr>
      <w:r>
        <w:rPr>
          <w:rFonts w:ascii="Times New Roman" w:hAnsi="Times New Roman" w:cs="Times New Roman"/>
          <w:noProof/>
          <w:sz w:val="24"/>
          <w:szCs w:val="24"/>
        </w:rPr>
        <w:t>HCPs - Healthcare professionals</w:t>
      </w:r>
    </w:p>
    <w:p>
      <w:pPr>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t>Figure 3</w:t>
      </w:r>
      <w:r>
        <w:rPr>
          <w:rFonts w:ascii="Times New Roman" w:hAnsi="Times New Roman" w:cs="Times New Roman"/>
          <w:noProof/>
          <w:sz w:val="24"/>
          <w:szCs w:val="24"/>
        </w:rPr>
        <w:t>: Number of signal related discussions, initial and follow up, in the Pharmacovigilance Risk Assessment Committee (PRAC) September 2012 to December 2014</w:t>
      </w:r>
    </w:p>
    <w:p>
      <w:pPr>
        <w:spacing w:before="720"/>
        <w:jc w:val="both"/>
        <w:rPr>
          <w:rFonts w:ascii="Times New Roman" w:hAnsi="Times New Roman" w:cs="Times New Roman"/>
          <w:noProof/>
          <w:sz w:val="24"/>
          <w:szCs w:val="24"/>
        </w:rPr>
      </w:pPr>
      <w:r>
        <w:rPr>
          <w:noProof/>
          <w:lang w:val="en-US"/>
        </w:rPr>
        <w:drawing>
          <wp:inline distT="0" distB="0" distL="0" distR="0">
            <wp:extent cx="5761355" cy="4305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61355" cy="4305397"/>
                    </a:xfrm>
                    <a:prstGeom prst="rect">
                      <a:avLst/>
                    </a:prstGeom>
                  </pic:spPr>
                </pic:pic>
              </a:graphicData>
            </a:graphic>
          </wp:inline>
        </w:drawing>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br w:type="page"/>
        <w:t>Figure 4</w:t>
      </w:r>
      <w:r>
        <w:rPr>
          <w:rFonts w:ascii="Times New Roman" w:hAnsi="Times New Roman" w:cs="Times New Roman"/>
          <w:noProof/>
          <w:sz w:val="24"/>
          <w:szCs w:val="24"/>
        </w:rPr>
        <w:t>: Type of regulatory action following signal assessment by the Pharmacovigilance Risk Assessment Committee (PRAC) September 2012 to December 2014</w:t>
      </w:r>
    </w:p>
    <w:p>
      <w:pPr>
        <w:spacing w:before="720"/>
        <w:rPr>
          <w:rFonts w:ascii="Times New Roman" w:hAnsi="Times New Roman" w:cs="Times New Roman"/>
          <w:noProof/>
          <w:sz w:val="24"/>
          <w:szCs w:val="24"/>
        </w:rPr>
      </w:pPr>
      <w:r>
        <w:rPr>
          <w:noProof/>
          <w:lang w:val="en-US"/>
        </w:rPr>
        <w:drawing>
          <wp:inline distT="0" distB="0" distL="0" distR="0">
            <wp:extent cx="4400550" cy="45910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br w:type="page"/>
        <w:t>Figure 5</w:t>
      </w:r>
      <w:r>
        <w:rPr>
          <w:rFonts w:ascii="Times New Roman" w:hAnsi="Times New Roman" w:cs="Times New Roman"/>
          <w:noProof/>
          <w:sz w:val="24"/>
          <w:szCs w:val="24"/>
        </w:rPr>
        <w:t>: Outcome of the periodic safety update report (PSUR) assessment by the Pharmacovigilance Risk Assessment Committee (PRAC) September 2012 to December 2014</w:t>
      </w:r>
    </w:p>
    <w:p>
      <w:pPr>
        <w:spacing w:before="720"/>
        <w:rPr>
          <w:rFonts w:ascii="Times New Roman" w:hAnsi="Times New Roman" w:cs="Times New Roman"/>
          <w:noProof/>
          <w:sz w:val="24"/>
          <w:szCs w:val="24"/>
        </w:rPr>
      </w:pPr>
      <w:r>
        <w:rPr>
          <w:noProof/>
          <w:lang w:eastAsia="en-GB"/>
        </w:rPr>
        <w:t xml:space="preserve"> </w:t>
      </w:r>
      <w:r>
        <w:rPr>
          <w:noProof/>
          <w:lang w:val="en-US"/>
        </w:rPr>
        <w:drawing>
          <wp:inline distT="0" distB="0" distL="0" distR="0">
            <wp:extent cx="4503964" cy="3793672"/>
            <wp:effectExtent l="0" t="0" r="1143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spacing w:before="720"/>
        <w:rPr>
          <w:rFonts w:ascii="Times New Roman" w:hAnsi="Times New Roman" w:cs="Times New Roman"/>
          <w:noProof/>
          <w:sz w:val="24"/>
          <w:szCs w:val="24"/>
        </w:rPr>
      </w:pPr>
      <w:r>
        <w:rPr>
          <w:rFonts w:ascii="Times New Roman" w:hAnsi="Times New Roman" w:cs="Times New Roman"/>
          <w:noProof/>
          <w:sz w:val="24"/>
          <w:szCs w:val="24"/>
        </w:rPr>
        <w:t>PSUSA – Periodic safety update report – Single assessment</w:t>
      </w:r>
    </w:p>
    <w:p>
      <w:pPr>
        <w:spacing w:before="720"/>
        <w:jc w:val="both"/>
        <w:rPr>
          <w:rFonts w:ascii="Times New Roman" w:hAnsi="Times New Roman" w:cs="Times New Roman"/>
          <w:noProof/>
          <w:sz w:val="24"/>
          <w:szCs w:val="24"/>
        </w:rPr>
      </w:pPr>
      <w:r>
        <w:rPr>
          <w:rFonts w:ascii="Times New Roman" w:hAnsi="Times New Roman" w:cs="Times New Roman"/>
          <w:b/>
          <w:noProof/>
          <w:sz w:val="24"/>
          <w:szCs w:val="24"/>
          <w:u w:val="single"/>
        </w:rPr>
        <w:br w:type="page"/>
        <w:t>Figure 6</w:t>
      </w:r>
      <w:r>
        <w:rPr>
          <w:rFonts w:ascii="Times New Roman" w:hAnsi="Times New Roman" w:cs="Times New Roman"/>
          <w:noProof/>
          <w:sz w:val="24"/>
          <w:szCs w:val="24"/>
        </w:rPr>
        <w:t>: Pharmacovigilance related referral started in 2012, 2013 and 2014</w:t>
      </w:r>
    </w:p>
    <w:tbl>
      <w:tblPr>
        <w:tblW w:w="903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134"/>
        <w:gridCol w:w="1418"/>
      </w:tblGrid>
      <w:tr>
        <w:trPr>
          <w:trHeight w:val="450"/>
          <w:tblHeader/>
        </w:trPr>
        <w:tc>
          <w:tcPr>
            <w:tcW w:w="5495"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cs="Times New Roman"/>
                <w:b/>
                <w:bCs/>
                <w:noProof/>
                <w:sz w:val="24"/>
                <w:szCs w:val="24"/>
              </w:rPr>
              <w:t>Procedure</w:t>
            </w:r>
          </w:p>
        </w:tc>
        <w:tc>
          <w:tcPr>
            <w:tcW w:w="992"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cs="Times New Roman"/>
                <w:b/>
                <w:bCs/>
                <w:noProof/>
                <w:sz w:val="24"/>
                <w:szCs w:val="24"/>
              </w:rPr>
              <w:t>Article</w:t>
            </w:r>
          </w:p>
        </w:tc>
        <w:tc>
          <w:tcPr>
            <w:tcW w:w="1134"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cs="Times New Roman"/>
                <w:b/>
                <w:bCs/>
                <w:noProof/>
                <w:sz w:val="24"/>
                <w:szCs w:val="24"/>
              </w:rPr>
              <w:t>Started</w:t>
            </w:r>
          </w:p>
        </w:tc>
        <w:tc>
          <w:tcPr>
            <w:tcW w:w="1418" w:type="dxa"/>
            <w:tcBorders>
              <w:top w:val="nil"/>
              <w:left w:val="nil"/>
              <w:bottom w:val="single" w:sz="6" w:space="0" w:color="FFFFFF"/>
              <w:right w:val="nil"/>
              <w:tl2br w:val="nil"/>
              <w:tr2bl w:val="nil"/>
            </w:tcBorders>
            <w:shd w:val="clear" w:color="auto" w:fill="002060"/>
          </w:tcPr>
          <w:p>
            <w:pPr>
              <w:pStyle w:val="BodytextAgency"/>
              <w:jc w:val="center"/>
              <w:rPr>
                <w:rFonts w:ascii="Times New Roman" w:hAnsi="Times New Roman" w:cs="Times New Roman"/>
                <w:b/>
                <w:bCs/>
                <w:noProof/>
                <w:sz w:val="24"/>
                <w:szCs w:val="24"/>
              </w:rPr>
            </w:pPr>
            <w:r>
              <w:rPr>
                <w:rFonts w:ascii="Times New Roman" w:hAnsi="Times New Roman" w:cs="Times New Roman"/>
                <w:b/>
                <w:bCs/>
                <w:noProof/>
                <w:sz w:val="24"/>
                <w:szCs w:val="24"/>
              </w:rPr>
              <w:t>Outcome</w:t>
            </w:r>
          </w:p>
        </w:tc>
      </w:tr>
      <w:tr>
        <w:trPr>
          <w:trHeight w:val="300"/>
        </w:trPr>
        <w:tc>
          <w:tcPr>
            <w:tcW w:w="5495" w:type="dxa"/>
            <w:tcBorders>
              <w:top w:val="single" w:sz="6" w:space="0" w:color="FFFFFF"/>
              <w:bottom w:val="single" w:sz="6" w:space="0" w:color="FFFFFF"/>
            </w:tcBorders>
            <w:shd w:val="clear" w:color="auto" w:fill="95B3D7"/>
            <w:noWrap/>
          </w:tcPr>
          <w:p>
            <w:pPr>
              <w:pStyle w:val="BodytextAgency"/>
              <w:jc w:val="center"/>
              <w:rPr>
                <w:rFonts w:ascii="Times New Roman" w:hAnsi="Times New Roman" w:cs="Times New Roman"/>
                <w:b/>
                <w:noProof/>
                <w:sz w:val="24"/>
                <w:szCs w:val="24"/>
              </w:rPr>
            </w:pPr>
            <w:r>
              <w:rPr>
                <w:rFonts w:ascii="Times New Roman" w:hAnsi="Times New Roman" w:cs="Times New Roman"/>
                <w:b/>
                <w:noProof/>
                <w:sz w:val="24"/>
                <w:szCs w:val="24"/>
              </w:rPr>
              <w:t>2012</w:t>
            </w:r>
          </w:p>
        </w:tc>
        <w:tc>
          <w:tcPr>
            <w:tcW w:w="992"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c>
          <w:tcPr>
            <w:tcW w:w="1134"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c>
          <w:tcPr>
            <w:tcW w:w="1418"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Codeine</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Oct-12</w:t>
            </w:r>
          </w:p>
        </w:tc>
        <w:tc>
          <w:tcPr>
            <w:tcW w:w="1418"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Diclofenac</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Oct-12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SABA (Short Acting Beta Agonists)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Nov-12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V,R</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HES (Hydroxyethyl starch solutions)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Nov-12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Almitrine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Nov-12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R</w:t>
            </w:r>
          </w:p>
        </w:tc>
      </w:tr>
      <w:tr>
        <w:trPr>
          <w:trHeight w:val="300"/>
        </w:trPr>
        <w:tc>
          <w:tcPr>
            <w:tcW w:w="5495" w:type="dxa"/>
            <w:tcBorders>
              <w:bottom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Diacerein</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Nov-12</w:t>
            </w:r>
          </w:p>
        </w:tc>
        <w:tc>
          <w:tcPr>
            <w:tcW w:w="1418"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rPr>
            </w:pPr>
            <w:r>
              <w:rPr>
                <w:rFonts w:ascii="Times New Roman" w:hAnsi="Times New Roman" w:cs="Times New Roman"/>
                <w:b/>
                <w:bCs/>
                <w:noProof/>
                <w:sz w:val="24"/>
                <w:szCs w:val="24"/>
              </w:rPr>
              <w:t>2013</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134"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418"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Tredaptive, Trevaclyn, Pelzont (nicotinic acid/laropiprant)</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20</w:t>
            </w:r>
          </w:p>
        </w:tc>
        <w:tc>
          <w:tcPr>
            <w:tcW w:w="1134"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Jan-13</w:t>
            </w:r>
          </w:p>
        </w:tc>
        <w:tc>
          <w:tcPr>
            <w:tcW w:w="1418"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S</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Tetrazepam</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Jan-13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S</w:t>
            </w:r>
          </w:p>
        </w:tc>
      </w:tr>
      <w:t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Cyproterone, ethinylestradiol - DIANE 35 &amp; other medicines containing cyproterone acetate 2mg and ethinylestradiol 35 micrograms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Feb-13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Combined hormonal contraceptives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Feb-13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Flupirtine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Domperidone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V,R</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Nicotinic acid and related substances - acipimox, xantinol nicotinate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Kogenate Bayer/Helixate NexGen (octocog alfa)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20</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c>
          <w:tcPr>
            <w:tcW w:w="5495" w:type="dxa"/>
            <w:shd w:val="clear" w:color="auto" w:fill="E1E3F2"/>
            <w:noWrap/>
            <w:hideMark/>
          </w:tcPr>
          <w:p>
            <w:pPr>
              <w:pStyle w:val="BodytextAgency"/>
              <w:rPr>
                <w:rFonts w:ascii="Times New Roman" w:hAnsi="Times New Roman" w:cs="Times New Roman"/>
                <w:noProof/>
                <w:sz w:val="24"/>
                <w:szCs w:val="24"/>
                <w:lang w:val="sv-SE"/>
              </w:rPr>
            </w:pPr>
            <w:r>
              <w:rPr>
                <w:rFonts w:ascii="Times New Roman" w:hAnsi="Times New Roman" w:cs="Times New Roman"/>
                <w:noProof/>
                <w:sz w:val="24"/>
                <w:szCs w:val="24"/>
                <w:lang w:val="sv-SE"/>
              </w:rPr>
              <w:t>Renin-angiotensin system (RAS)-acting agents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May-13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Protelos/Osseor (strontium ranelate)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20</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May-13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NUMETA G13%E, NUMETA G16%E emulsion for infusion and associated names (glucose, lipids, amino-acids and electrolytes)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Jun-13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V,S</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Zolpidem-containing medicinal products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Jul-13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Hydroxyethyl starch (HES) - containing medicinal products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Jul-13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 xml:space="preserve">Bromocriptine-containing medicines </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Sep-13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 xml:space="preserve">Valproate related substances </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Oct-13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tcBorders>
              <w:bottom w:val="single" w:sz="6" w:space="0" w:color="FFFFFF"/>
            </w:tcBorders>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Iclusig (ponatinib)</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20</w:t>
            </w:r>
          </w:p>
        </w:tc>
        <w:tc>
          <w:tcPr>
            <w:tcW w:w="1134"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Dec-13</w:t>
            </w:r>
          </w:p>
        </w:tc>
        <w:tc>
          <w:tcPr>
            <w:tcW w:w="1418"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bl>
    <w:p>
      <w:pPr>
        <w:rPr>
          <w:noProof/>
        </w:rPr>
      </w:pPr>
      <w:r>
        <w:rPr>
          <w:noProof/>
        </w:rPr>
        <w:br w:type="page"/>
      </w:r>
    </w:p>
    <w:tbl>
      <w:tblPr>
        <w:tblW w:w="903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134"/>
        <w:gridCol w:w="1418"/>
      </w:tblGrid>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rPr>
            </w:pPr>
            <w:r>
              <w:rPr>
                <w:rFonts w:ascii="Times New Roman" w:hAnsi="Times New Roman" w:cs="Times New Roman"/>
                <w:b/>
                <w:bCs/>
                <w:noProof/>
                <w:sz w:val="24"/>
                <w:szCs w:val="24"/>
              </w:rPr>
              <w:t>2014</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134"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418"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Testosterone</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Apr-14</w:t>
            </w:r>
          </w:p>
        </w:tc>
        <w:tc>
          <w:tcPr>
            <w:tcW w:w="1418"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Codeine for cough in paediatric population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Apr-14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V,R</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Ambroxol/Bromhexine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Apr-14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Methadone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Apr-14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V,S</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Hydroxyzine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May-14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Corlentor and Procoralan (ivabradine)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20</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May-14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cs="Times New Roman"/>
                <w:noProof/>
                <w:sz w:val="24"/>
                <w:szCs w:val="24"/>
              </w:rPr>
              <w:t>Ibuprofen and dexibuprofen</w:t>
            </w:r>
          </w:p>
        </w:tc>
        <w:tc>
          <w:tcPr>
            <w:tcW w:w="992" w:type="dxa"/>
            <w:shd w:val="clear" w:color="auto" w:fill="E1E3F2"/>
            <w:noWrap/>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Jun-14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cs="Times New Roman"/>
                <w:noProof/>
                <w:sz w:val="24"/>
                <w:szCs w:val="24"/>
              </w:rPr>
              <w:t>V</w:t>
            </w:r>
          </w:p>
        </w:tc>
      </w:tr>
    </w:tbl>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Key:</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Article 20 referrals – only centrally authorised medicines are concerned</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Article 107 referrals – urgent Union interest referrals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Article 31 referrals – Union interest referrals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V – variation of the marketing authorisation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R – revocation of the marketing authorisation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S – suspension of the marketing authorisation</w:t>
      </w:r>
    </w:p>
    <w:p>
      <w:pPr>
        <w:rPr>
          <w:rFonts w:ascii="Times New Roman" w:hAnsi="Times New Roman" w:cs="Times New Roman"/>
          <w:noProof/>
          <w:sz w:val="24"/>
          <w:szCs w:val="24"/>
        </w:rPr>
      </w:pPr>
    </w:p>
    <w:sectPr>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59951"/>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9</w:t>
        </w:r>
        <w:r>
          <w:rPr>
            <w:rFonts w:ascii="Times New Roman" w:hAnsi="Times New Roman" w:cs="Times New Roman"/>
            <w:noProof/>
            <w:sz w:val="24"/>
            <w:szCs w:val="24"/>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8105"/>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17</w:t>
        </w:r>
        <w:r>
          <w:rPr>
            <w:rFonts w:ascii="Times New Roman" w:hAnsi="Times New Roman" w:cs="Times New Roman"/>
            <w:noProof/>
            <w:sz w:val="24"/>
            <w:szCs w:val="24"/>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06321"/>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5528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8</w:t>
        </w:r>
        <w:r>
          <w:rPr>
            <w:rFonts w:ascii="Times New Roman" w:hAnsi="Times New Roman" w:cs="Times New Roman"/>
            <w:noProof/>
            <w:sz w:val="24"/>
            <w:szCs w:val="24"/>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ind w:left="720" w:hanging="720"/>
        <w:rPr>
          <w:rFonts w:ascii="Times New Roman" w:hAnsi="Times New Roman" w:cs="Times New Roman"/>
          <w:color w:val="auto"/>
          <w:sz w:val="20"/>
          <w:szCs w:val="20"/>
          <w:lang w:eastAsia="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lang w:eastAsia="en-US"/>
        </w:rPr>
        <w:t>Regulation (EC) No 726/2004 of the European Parliament and of the Council of 31 March 2004 laying down Community procedures for the authorisation and supervision of medicinal products for human and veterinary use and establishing a European Medicines Agency, OJ L 136, 30.4.2004, p. 1.</w:t>
      </w:r>
    </w:p>
  </w:footnote>
  <w:footnote w:id="2">
    <w:p>
      <w:pPr>
        <w:pStyle w:val="Default"/>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color w:val="auto"/>
          <w:sz w:val="20"/>
          <w:szCs w:val="20"/>
          <w:lang w:eastAsia="en-US"/>
        </w:rPr>
        <w:t>Directive 2001/83/EC of the European Parliament and of the Council of 6 November 2001 on the Community code relating to medicinal products for human use, OJ L 311, 28.11.2001, p. 67.</w:t>
      </w:r>
    </w:p>
  </w:footnote>
  <w:footnote w:id="3">
    <w:p>
      <w:pPr>
        <w:pStyle w:val="FootnoteText"/>
        <w:rPr>
          <w:lang w:val="en-GB"/>
        </w:rPr>
      </w:pPr>
      <w:r>
        <w:rPr>
          <w:rStyle w:val="FootnoteReference"/>
        </w:rPr>
        <w:footnoteRef/>
      </w:r>
      <w:r>
        <w:rPr>
          <w:lang w:val="en-GB"/>
        </w:rPr>
        <w:t xml:space="preserve"> </w:t>
      </w:r>
      <w:r>
        <w:rPr>
          <w:lang w:val="en-GB"/>
        </w:rPr>
        <w:tab/>
      </w:r>
      <w:r>
        <w:t>Regulation (EU) No 1235/2010 of the European Parliament and of the Council of 15 December 2010 amending, as regards pharmacovigilance of medicinal products for human use, Regulation (EC) No</w:t>
      </w:r>
      <w:r>
        <w:rPr>
          <w:lang w:val="en-GB"/>
        </w:rPr>
        <w:t> </w:t>
      </w:r>
      <w:r>
        <w:t>726/2004 laying down Community procedures for the authorisation and supervision of medicinal products for human and veterinary use and establishing a European Medicines Agency, and Regulation (EC) No 1394/2007 on advanced therapy medicinal products, OJ L 348, 31.12.2010, p.1</w:t>
      </w:r>
      <w:r>
        <w:rPr>
          <w:lang w:val="en-GB"/>
        </w:rPr>
        <w:t xml:space="preserve"> and </w:t>
      </w:r>
      <w:r>
        <w:t xml:space="preserve"> Directive 2010/84/EU of the European Parliament and of the Council of 15 December 2010 amending, as regards pharmacovigilance, Directive 2001/83/EC of the European Parliament and of the Council on the Community code relating to medicinal products for human use, OJ L 348, 31.12.2010, p. 74</w:t>
      </w:r>
      <w:r>
        <w:rPr>
          <w:lang w:val="en-GB"/>
        </w:rPr>
        <w:t>.</w:t>
      </w:r>
    </w:p>
  </w:footnote>
  <w:footnote w:id="4">
    <w:p>
      <w:pPr>
        <w:pStyle w:val="FootnoteText"/>
        <w:rPr>
          <w:lang w:val="en-GB"/>
        </w:rPr>
      </w:pPr>
      <w:r>
        <w:rPr>
          <w:rStyle w:val="FootnoteReference"/>
        </w:rPr>
        <w:footnoteRef/>
      </w:r>
      <w:r>
        <w:rPr>
          <w:lang w:val="en-GB"/>
        </w:rPr>
        <w:t xml:space="preserve"> </w:t>
      </w:r>
      <w:r>
        <w:rPr>
          <w:lang w:val="en-GB"/>
        </w:rPr>
        <w:tab/>
      </w:r>
      <w:r>
        <w:t xml:space="preserve">Regulation (EU) No 1027/2012 of the European Parliament and of the Council of 25 October 2012 amending </w:t>
      </w:r>
      <w:r>
        <w:rPr>
          <w:lang w:val="en-GB"/>
        </w:rPr>
        <w:t xml:space="preserve">Regulation (EC) No 726/2004 </w:t>
      </w:r>
      <w:r>
        <w:t>as regards pharmacovigilance, OJ L 316, 14.11.2012, p. 38</w:t>
      </w:r>
      <w:r>
        <w:rPr>
          <w:lang w:val="en-GB"/>
        </w:rPr>
        <w:t xml:space="preserve"> and </w:t>
      </w:r>
      <w:r>
        <w:t>Directive 2012/26/EU of the European Parliament and of the Council of 25 October 2012 amending, as regards pharmacovigilance, Directive 2001/83/EC, OJ L 299, 27.10.2012, p.1</w:t>
      </w:r>
      <w:r>
        <w:rPr>
          <w:lang w:val="en-GB"/>
        </w:rPr>
        <w:t>.</w:t>
      </w:r>
    </w:p>
  </w:footnote>
  <w:footnote w:id="5">
    <w:p>
      <w:pPr>
        <w:pStyle w:val="FootnoteText"/>
        <w:rPr>
          <w:lang w:val="en-GB"/>
        </w:rPr>
      </w:pPr>
      <w:r>
        <w:rPr>
          <w:rStyle w:val="FootnoteReference"/>
        </w:rPr>
        <w:footnoteRef/>
      </w:r>
      <w:r>
        <w:t xml:space="preserve"> </w:t>
      </w:r>
      <w:r>
        <w:rPr>
          <w:lang w:val="en-GB"/>
        </w:rPr>
        <w:tab/>
        <w:t>SWD (2016) 284 final</w:t>
      </w:r>
    </w:p>
  </w:footnote>
  <w:footnote w:id="6">
    <w:p>
      <w:pPr>
        <w:pStyle w:val="FootnoteText"/>
        <w:rPr>
          <w:lang w:val="en-GB"/>
        </w:rPr>
      </w:pPr>
      <w:r>
        <w:rPr>
          <w:rStyle w:val="FootnoteReference"/>
        </w:rPr>
        <w:footnoteRef/>
      </w:r>
      <w:r>
        <w:t xml:space="preserve"> </w:t>
      </w:r>
      <w:r>
        <w:rPr>
          <w:lang w:val="en-GB"/>
        </w:rPr>
        <w:tab/>
        <w:t>European Medicines Agency, The European regulatory system for medicines and the European Medicines Agency, EMA/437313/2014.</w:t>
      </w:r>
    </w:p>
  </w:footnote>
  <w:footnote w:id="7">
    <w:p>
      <w:pPr>
        <w:pStyle w:val="FootnoteText"/>
      </w:pPr>
      <w:r>
        <w:rPr>
          <w:rStyle w:val="FootnoteReference"/>
        </w:rPr>
        <w:footnoteRef/>
      </w:r>
      <w:r>
        <w:t xml:space="preserve"> </w:t>
      </w:r>
      <w:r>
        <w:tab/>
        <w:t xml:space="preserve">Further information on the role and activities of CMDh </w:t>
      </w:r>
      <w:r>
        <w:rPr>
          <w:lang w:val="en-GB"/>
        </w:rPr>
        <w:t>is</w:t>
      </w:r>
      <w:r>
        <w:t xml:space="preserve"> available on the following webpage: </w:t>
      </w:r>
      <w:hyperlink r:id="rId1" w:history="1">
        <w:r>
          <w:rPr>
            <w:rStyle w:val="Hyperlink"/>
          </w:rPr>
          <w:t>http://www.hma.eu/cmdh.html</w:t>
        </w:r>
      </w:hyperlink>
      <w:r>
        <w:rPr>
          <w:rStyle w:val="Hyperlink"/>
          <w:lang w:val="en-GB"/>
        </w:rPr>
        <w:t>.</w:t>
      </w:r>
      <w:r>
        <w:t xml:space="preserve"> </w:t>
      </w:r>
    </w:p>
  </w:footnote>
  <w:footnote w:id="8">
    <w:p>
      <w:pPr>
        <w:pStyle w:val="FootnoteText"/>
        <w:rPr>
          <w:lang w:val="en-GB"/>
        </w:rPr>
      </w:pPr>
      <w:r>
        <w:rPr>
          <w:rStyle w:val="FootnoteReference"/>
        </w:rPr>
        <w:footnoteRef/>
      </w:r>
      <w:r>
        <w:t xml:space="preserve"> </w:t>
      </w:r>
      <w:r>
        <w:rPr>
          <w:lang w:val="en-GB"/>
        </w:rPr>
        <w:t>Article 57(1)(l) of Regulation (EC) No 726/2004.</w:t>
      </w:r>
    </w:p>
  </w:footnote>
  <w:footnote w:id="9">
    <w:p>
      <w:pPr>
        <w:pStyle w:val="FootnoteText"/>
        <w:rPr>
          <w:lang w:val="en-GB"/>
        </w:rPr>
      </w:pPr>
      <w:r>
        <w:rPr>
          <w:rStyle w:val="FootnoteReference"/>
        </w:rPr>
        <w:footnoteRef/>
      </w:r>
      <w:r>
        <w:t xml:space="preserve"> </w:t>
      </w:r>
      <w:r>
        <w:rPr>
          <w:lang w:val="en-GB"/>
        </w:rPr>
        <w:tab/>
        <w:t>Further information on the EudraVigilance database is available in the annual report foreseen under Article 24(2) of Regulation (EC) No 726/2004</w:t>
      </w:r>
    </w:p>
    <w:p>
      <w:pPr>
        <w:pStyle w:val="FootnoteText"/>
        <w:ind w:firstLine="0"/>
        <w:rPr>
          <w:lang w:val="en-GB"/>
        </w:rPr>
      </w:pPr>
      <w:r>
        <w:rPr>
          <w:lang w:val="en-GB"/>
        </w:rPr>
        <w:t>(http://www.ema.europa.eu/docs/en_GB/document_library/Report/2016/03/WC500203705.pdf).</w:t>
      </w:r>
    </w:p>
  </w:footnote>
  <w:footnote w:id="10">
    <w:p>
      <w:pPr>
        <w:pStyle w:val="FootnoteText"/>
        <w:rPr>
          <w:lang w:val="en-GB"/>
        </w:rPr>
      </w:pPr>
      <w:r>
        <w:rPr>
          <w:rStyle w:val="FootnoteReference"/>
        </w:rPr>
        <w:footnoteRef/>
      </w:r>
      <w:r>
        <w:t xml:space="preserve"> </w:t>
      </w:r>
      <w:r>
        <w:rPr>
          <w:lang w:val="en-GB"/>
        </w:rPr>
        <w:tab/>
      </w:r>
      <w:r>
        <w:t>Pharmacoepidemiological Research on Outcomes of Therapeutics by a European Consortium</w:t>
      </w:r>
      <w:r>
        <w:rPr>
          <w:lang w:val="en-GB"/>
        </w:rPr>
        <w:t>, an Innovative Medicines Initiative public-private funded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AA5"/>
    <w:multiLevelType w:val="hybridMultilevel"/>
    <w:tmpl w:val="621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5261C"/>
    <w:multiLevelType w:val="hybridMultilevel"/>
    <w:tmpl w:val="781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removePersonalInformation/>
  <w:removeDateAndTime/>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9E353F0438754C9E8B200B3A26BDCFBA"/>
    <w:docVar w:name="LW_CROSSREFERENCE" w:val="{SWD(2016) 284 final}"/>
    <w:docVar w:name="LW_DocType" w:val="NORMAL"/>
    <w:docVar w:name="LW_EMISSION" w:val="8.8.2016"/>
    <w:docVar w:name="LW_EMISSION_ISODATE" w:val="2016-08-08"/>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98"/>
    <w:docVar w:name="LW_REF.INTERNE" w:val="&lt;UNUSED&gt;"/>
    <w:docVar w:name="LW_SOUS.TITRE.OBJ.CP" w:val="&lt;UNUSED&gt;"/>
    <w:docVar w:name="LW_SUPERTITRE" w:val="&lt;UNUSED&gt;"/>
    <w:docVar w:name="LW_TITRE.OBJ.CP" w:val="Pharmacovigilance related activities of Member States and_x000b_the European Medicines Agency concerning medicinal products for human use_x000b_ (2012 \u8211? 2014)"/>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x-non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x-non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1.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hart" Target="charts/chart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2.png"/><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chart" Target="charts/chart2.xml"/><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www.hma.eu/cmd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ghiocsi\Desktop\ISC%20PhV\COM%20report%20editable%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Number of items on PRAC agenda</a:t>
            </a:r>
          </a:p>
        </c:rich>
      </c:tx>
      <c:overlay val="0"/>
    </c:title>
    <c:autoTitleDeleted val="0"/>
    <c:plotArea>
      <c:layout/>
      <c:barChart>
        <c:barDir val="col"/>
        <c:grouping val="stacked"/>
        <c:varyColors val="0"/>
        <c:ser>
          <c:idx val="0"/>
          <c:order val="0"/>
          <c:tx>
            <c:strRef>
              <c:f>'Fig.1 Workload'!$A$3</c:f>
              <c:strCache>
                <c:ptCount val="1"/>
                <c:pt idx="0">
                  <c:v>Referrals</c:v>
                </c:pt>
              </c:strCache>
            </c:strRef>
          </c:tx>
          <c:spPr>
            <a:solidFill>
              <a:srgbClr val="0033CC"/>
            </a:solidFill>
          </c:spPr>
          <c:invertIfNegative val="0"/>
          <c:cat>
            <c:strRef>
              <c:f>'Fig.1 Workload'!$B$2:$D$2</c:f>
              <c:strCache>
                <c:ptCount val="3"/>
                <c:pt idx="0">
                  <c:v>Jul-Dec 2012</c:v>
                </c:pt>
                <c:pt idx="1">
                  <c:v>2013</c:v>
                </c:pt>
                <c:pt idx="2">
                  <c:v>2014</c:v>
                </c:pt>
              </c:strCache>
            </c:strRef>
          </c:cat>
          <c:val>
            <c:numRef>
              <c:f>'Fig.1 Workload'!$B$3:$D$3</c:f>
              <c:numCache>
                <c:formatCode>General</c:formatCode>
                <c:ptCount val="3"/>
                <c:pt idx="0">
                  <c:v>7</c:v>
                </c:pt>
                <c:pt idx="1">
                  <c:v>70</c:v>
                </c:pt>
                <c:pt idx="2">
                  <c:v>39</c:v>
                </c:pt>
              </c:numCache>
            </c:numRef>
          </c:val>
        </c:ser>
        <c:ser>
          <c:idx val="1"/>
          <c:order val="1"/>
          <c:tx>
            <c:strRef>
              <c:f>'Fig.1 Workload'!$A$4</c:f>
              <c:strCache>
                <c:ptCount val="1"/>
                <c:pt idx="0">
                  <c:v>Signals</c:v>
                </c:pt>
              </c:strCache>
            </c:strRef>
          </c:tx>
          <c:spPr>
            <a:solidFill>
              <a:srgbClr val="00B0F0"/>
            </a:solidFill>
          </c:spPr>
          <c:invertIfNegative val="0"/>
          <c:cat>
            <c:strRef>
              <c:f>'Fig.1 Workload'!$B$2:$D$2</c:f>
              <c:strCache>
                <c:ptCount val="3"/>
                <c:pt idx="0">
                  <c:v>Jul-Dec 2012</c:v>
                </c:pt>
                <c:pt idx="1">
                  <c:v>2013</c:v>
                </c:pt>
                <c:pt idx="2">
                  <c:v>2014</c:v>
                </c:pt>
              </c:strCache>
            </c:strRef>
          </c:cat>
          <c:val>
            <c:numRef>
              <c:f>'Fig.1 Workload'!$B$4:$D$4</c:f>
              <c:numCache>
                <c:formatCode>General</c:formatCode>
                <c:ptCount val="3"/>
                <c:pt idx="0">
                  <c:v>51</c:v>
                </c:pt>
                <c:pt idx="1">
                  <c:v>127</c:v>
                </c:pt>
                <c:pt idx="2">
                  <c:v>118</c:v>
                </c:pt>
              </c:numCache>
            </c:numRef>
          </c:val>
        </c:ser>
        <c:ser>
          <c:idx val="2"/>
          <c:order val="2"/>
          <c:tx>
            <c:strRef>
              <c:f>'Fig.1 Workload'!$A$5</c:f>
              <c:strCache>
                <c:ptCount val="1"/>
                <c:pt idx="0">
                  <c:v>RMPs</c:v>
                </c:pt>
              </c:strCache>
            </c:strRef>
          </c:tx>
          <c:spPr>
            <a:solidFill>
              <a:srgbClr val="FFC000"/>
            </a:solidFill>
          </c:spPr>
          <c:invertIfNegative val="0"/>
          <c:cat>
            <c:strRef>
              <c:f>'Fig.1 Workload'!$B$2:$D$2</c:f>
              <c:strCache>
                <c:ptCount val="3"/>
                <c:pt idx="0">
                  <c:v>Jul-Dec 2012</c:v>
                </c:pt>
                <c:pt idx="1">
                  <c:v>2013</c:v>
                </c:pt>
                <c:pt idx="2">
                  <c:v>2014</c:v>
                </c:pt>
              </c:strCache>
            </c:strRef>
          </c:cat>
          <c:val>
            <c:numRef>
              <c:f>'Fig.1 Workload'!$B$5:$D$5</c:f>
              <c:numCache>
                <c:formatCode>General</c:formatCode>
                <c:ptCount val="3"/>
                <c:pt idx="0">
                  <c:v>48</c:v>
                </c:pt>
                <c:pt idx="1">
                  <c:v>637</c:v>
                </c:pt>
                <c:pt idx="2">
                  <c:v>597</c:v>
                </c:pt>
              </c:numCache>
            </c:numRef>
          </c:val>
        </c:ser>
        <c:ser>
          <c:idx val="3"/>
          <c:order val="3"/>
          <c:tx>
            <c:strRef>
              <c:f>'Fig.1 Workload'!$A$6</c:f>
              <c:strCache>
                <c:ptCount val="1"/>
                <c:pt idx="0">
                  <c:v>PSURs</c:v>
                </c:pt>
              </c:strCache>
            </c:strRef>
          </c:tx>
          <c:spPr>
            <a:solidFill>
              <a:schemeClr val="accent6">
                <a:lumMod val="75000"/>
              </a:schemeClr>
            </a:solidFill>
          </c:spPr>
          <c:invertIfNegative val="0"/>
          <c:cat>
            <c:strRef>
              <c:f>'Fig.1 Workload'!$B$2:$D$2</c:f>
              <c:strCache>
                <c:ptCount val="3"/>
                <c:pt idx="0">
                  <c:v>Jul-Dec 2012</c:v>
                </c:pt>
                <c:pt idx="1">
                  <c:v>2013</c:v>
                </c:pt>
                <c:pt idx="2">
                  <c:v>2014</c:v>
                </c:pt>
              </c:strCache>
            </c:strRef>
          </c:cat>
          <c:val>
            <c:numRef>
              <c:f>'Fig.1 Workload'!$B$6:$D$6</c:f>
              <c:numCache>
                <c:formatCode>General</c:formatCode>
                <c:ptCount val="3"/>
                <c:pt idx="0">
                  <c:v>20</c:v>
                </c:pt>
                <c:pt idx="1">
                  <c:v>438</c:v>
                </c:pt>
                <c:pt idx="2">
                  <c:v>470</c:v>
                </c:pt>
              </c:numCache>
            </c:numRef>
          </c:val>
        </c:ser>
        <c:ser>
          <c:idx val="4"/>
          <c:order val="4"/>
          <c:tx>
            <c:strRef>
              <c:f>'Fig.1 Workload'!$A$7</c:f>
              <c:strCache>
                <c:ptCount val="1"/>
                <c:pt idx="0">
                  <c:v>PASS Protocols</c:v>
                </c:pt>
              </c:strCache>
            </c:strRef>
          </c:tx>
          <c:spPr>
            <a:solidFill>
              <a:schemeClr val="accent5">
                <a:lumMod val="75000"/>
              </a:schemeClr>
            </a:solidFill>
          </c:spPr>
          <c:invertIfNegative val="0"/>
          <c:cat>
            <c:strRef>
              <c:f>'Fig.1 Workload'!$B$2:$D$2</c:f>
              <c:strCache>
                <c:ptCount val="3"/>
                <c:pt idx="0">
                  <c:v>Jul-Dec 2012</c:v>
                </c:pt>
                <c:pt idx="1">
                  <c:v>2013</c:v>
                </c:pt>
                <c:pt idx="2">
                  <c:v>2014</c:v>
                </c:pt>
              </c:strCache>
            </c:strRef>
          </c:cat>
          <c:val>
            <c:numRef>
              <c:f>'Fig.1 Workload'!$B$7:$D$7</c:f>
              <c:numCache>
                <c:formatCode>General</c:formatCode>
                <c:ptCount val="3"/>
                <c:pt idx="0">
                  <c:v>5</c:v>
                </c:pt>
                <c:pt idx="1">
                  <c:v>91</c:v>
                </c:pt>
                <c:pt idx="2">
                  <c:v>137</c:v>
                </c:pt>
              </c:numCache>
            </c:numRef>
          </c:val>
        </c:ser>
        <c:ser>
          <c:idx val="5"/>
          <c:order val="5"/>
          <c:tx>
            <c:strRef>
              <c:f>'Fig.1 Workload'!$A$8</c:f>
              <c:strCache>
                <c:ptCount val="1"/>
                <c:pt idx="0">
                  <c:v>PASS Results</c:v>
                </c:pt>
              </c:strCache>
            </c:strRef>
          </c:tx>
          <c:spPr>
            <a:solidFill>
              <a:schemeClr val="bg2">
                <a:lumMod val="75000"/>
              </a:schemeClr>
            </a:solidFill>
          </c:spPr>
          <c:invertIfNegative val="0"/>
          <c:cat>
            <c:strRef>
              <c:f>'Fig.1 Workload'!$B$2:$D$2</c:f>
              <c:strCache>
                <c:ptCount val="3"/>
                <c:pt idx="0">
                  <c:v>Jul-Dec 2012</c:v>
                </c:pt>
                <c:pt idx="1">
                  <c:v>2013</c:v>
                </c:pt>
                <c:pt idx="2">
                  <c:v>2014</c:v>
                </c:pt>
              </c:strCache>
            </c:strRef>
          </c:cat>
          <c:val>
            <c:numRef>
              <c:f>'Fig.1 Workload'!$B$8:$D$8</c:f>
              <c:numCache>
                <c:formatCode>General</c:formatCode>
                <c:ptCount val="3"/>
                <c:pt idx="1">
                  <c:v>13</c:v>
                </c:pt>
                <c:pt idx="2">
                  <c:v>51</c:v>
                </c:pt>
              </c:numCache>
            </c:numRef>
          </c:val>
        </c:ser>
        <c:ser>
          <c:idx val="6"/>
          <c:order val="6"/>
          <c:tx>
            <c:strRef>
              <c:f>'Fig.1 Workload'!$A$9</c:f>
              <c:strCache>
                <c:ptCount val="1"/>
                <c:pt idx="0">
                  <c:v>Renewals, Conditional Renewals and Annual Reassessments</c:v>
                </c:pt>
              </c:strCache>
            </c:strRef>
          </c:tx>
          <c:invertIfNegative val="0"/>
          <c:cat>
            <c:strRef>
              <c:f>'Fig.1 Workload'!$B$2:$D$2</c:f>
              <c:strCache>
                <c:ptCount val="3"/>
                <c:pt idx="0">
                  <c:v>Jul-Dec 2012</c:v>
                </c:pt>
                <c:pt idx="1">
                  <c:v>2013</c:v>
                </c:pt>
                <c:pt idx="2">
                  <c:v>2014</c:v>
                </c:pt>
              </c:strCache>
            </c:strRef>
          </c:cat>
          <c:val>
            <c:numRef>
              <c:f>'Fig.1 Workload'!$B$9:$D$9</c:f>
              <c:numCache>
                <c:formatCode>General</c:formatCode>
                <c:ptCount val="3"/>
                <c:pt idx="1">
                  <c:v>104</c:v>
                </c:pt>
                <c:pt idx="2">
                  <c:v>56</c:v>
                </c:pt>
              </c:numCache>
            </c:numRef>
          </c:val>
        </c:ser>
        <c:ser>
          <c:idx val="7"/>
          <c:order val="7"/>
          <c:tx>
            <c:strRef>
              <c:f>'Fig.1 Workload'!$A$10</c:f>
              <c:strCache>
                <c:ptCount val="1"/>
                <c:pt idx="0">
                  <c:v>Pharmacovigilance Inspections</c:v>
                </c:pt>
              </c:strCache>
            </c:strRef>
          </c:tx>
          <c:invertIfNegative val="0"/>
          <c:cat>
            <c:strRef>
              <c:f>'Fig.1 Workload'!$B$2:$D$2</c:f>
              <c:strCache>
                <c:ptCount val="3"/>
                <c:pt idx="0">
                  <c:v>Jul-Dec 2012</c:v>
                </c:pt>
                <c:pt idx="1">
                  <c:v>2013</c:v>
                </c:pt>
                <c:pt idx="2">
                  <c:v>2014</c:v>
                </c:pt>
              </c:strCache>
            </c:strRef>
          </c:cat>
          <c:val>
            <c:numRef>
              <c:f>'Fig.1 Workload'!$B$10:$D$10</c:f>
              <c:numCache>
                <c:formatCode>General</c:formatCode>
                <c:ptCount val="3"/>
                <c:pt idx="0">
                  <c:v>11</c:v>
                </c:pt>
                <c:pt idx="1">
                  <c:v>14</c:v>
                </c:pt>
                <c:pt idx="2">
                  <c:v>10</c:v>
                </c:pt>
              </c:numCache>
            </c:numRef>
          </c:val>
        </c:ser>
        <c:ser>
          <c:idx val="8"/>
          <c:order val="8"/>
          <c:tx>
            <c:strRef>
              <c:f>'Fig.1 Workload'!$A$11</c:f>
              <c:strCache>
                <c:ptCount val="1"/>
                <c:pt idx="0">
                  <c:v>Other safety issues - CHMP (including CHMP requests to PRAC for Art.5.3 referrals)</c:v>
                </c:pt>
              </c:strCache>
            </c:strRef>
          </c:tx>
          <c:invertIfNegative val="0"/>
          <c:cat>
            <c:strRef>
              <c:f>'Fig.1 Workload'!$B$2:$D$2</c:f>
              <c:strCache>
                <c:ptCount val="3"/>
                <c:pt idx="0">
                  <c:v>Jul-Dec 2012</c:v>
                </c:pt>
                <c:pt idx="1">
                  <c:v>2013</c:v>
                </c:pt>
                <c:pt idx="2">
                  <c:v>2014</c:v>
                </c:pt>
              </c:strCache>
            </c:strRef>
          </c:cat>
          <c:val>
            <c:numRef>
              <c:f>'Fig.1 Workload'!$B$11:$D$11</c:f>
              <c:numCache>
                <c:formatCode>General</c:formatCode>
                <c:ptCount val="3"/>
                <c:pt idx="0">
                  <c:v>12</c:v>
                </c:pt>
                <c:pt idx="1">
                  <c:v>32</c:v>
                </c:pt>
                <c:pt idx="2">
                  <c:v>20</c:v>
                </c:pt>
              </c:numCache>
            </c:numRef>
          </c:val>
        </c:ser>
        <c:ser>
          <c:idx val="9"/>
          <c:order val="9"/>
          <c:tx>
            <c:strRef>
              <c:f>'Fig.1 Workload'!$A$12</c:f>
              <c:strCache>
                <c:ptCount val="1"/>
                <c:pt idx="0">
                  <c:v>Other safety issues - MS</c:v>
                </c:pt>
              </c:strCache>
            </c:strRef>
          </c:tx>
          <c:invertIfNegative val="0"/>
          <c:cat>
            <c:strRef>
              <c:f>'Fig.1 Workload'!$B$2:$D$2</c:f>
              <c:strCache>
                <c:ptCount val="3"/>
                <c:pt idx="0">
                  <c:v>Jul-Dec 2012</c:v>
                </c:pt>
                <c:pt idx="1">
                  <c:v>2013</c:v>
                </c:pt>
                <c:pt idx="2">
                  <c:v>2014</c:v>
                </c:pt>
              </c:strCache>
            </c:strRef>
          </c:cat>
          <c:val>
            <c:numRef>
              <c:f>'Fig.1 Workload'!$B$12:$D$12</c:f>
              <c:numCache>
                <c:formatCode>General</c:formatCode>
                <c:ptCount val="3"/>
                <c:pt idx="0">
                  <c:v>5</c:v>
                </c:pt>
                <c:pt idx="1">
                  <c:v>8</c:v>
                </c:pt>
                <c:pt idx="2">
                  <c:v>23</c:v>
                </c:pt>
              </c:numCache>
            </c:numRef>
          </c:val>
        </c:ser>
        <c:dLbls>
          <c:showLegendKey val="0"/>
          <c:showVal val="0"/>
          <c:showCatName val="0"/>
          <c:showSerName val="0"/>
          <c:showPercent val="0"/>
          <c:showBubbleSize val="0"/>
        </c:dLbls>
        <c:gapWidth val="55"/>
        <c:overlap val="100"/>
        <c:axId val="70203648"/>
        <c:axId val="70213632"/>
      </c:barChart>
      <c:catAx>
        <c:axId val="70203648"/>
        <c:scaling>
          <c:orientation val="minMax"/>
        </c:scaling>
        <c:delete val="0"/>
        <c:axPos val="b"/>
        <c:numFmt formatCode="General" sourceLinked="1"/>
        <c:majorTickMark val="none"/>
        <c:minorTickMark val="none"/>
        <c:tickLblPos val="nextTo"/>
        <c:txPr>
          <a:bodyPr/>
          <a:lstStyle/>
          <a:p>
            <a:pPr>
              <a:defRPr sz="800"/>
            </a:pPr>
            <a:endParaRPr lang="en-US"/>
          </a:p>
        </c:txPr>
        <c:crossAx val="70213632"/>
        <c:crosses val="autoZero"/>
        <c:auto val="1"/>
        <c:lblAlgn val="ctr"/>
        <c:lblOffset val="100"/>
        <c:noMultiLvlLbl val="0"/>
      </c:catAx>
      <c:valAx>
        <c:axId val="70213632"/>
        <c:scaling>
          <c:orientation val="minMax"/>
        </c:scaling>
        <c:delete val="0"/>
        <c:axPos val="l"/>
        <c:majorGridlines/>
        <c:numFmt formatCode="General" sourceLinked="1"/>
        <c:majorTickMark val="none"/>
        <c:minorTickMark val="none"/>
        <c:tickLblPos val="nextTo"/>
        <c:txPr>
          <a:bodyPr/>
          <a:lstStyle/>
          <a:p>
            <a:pPr>
              <a:defRPr sz="800"/>
            </a:pPr>
            <a:endParaRPr lang="en-US"/>
          </a:p>
        </c:txPr>
        <c:crossAx val="70203648"/>
        <c:crosses val="autoZero"/>
        <c:crossBetween val="between"/>
      </c:valAx>
    </c:plotArea>
    <c:legend>
      <c:legendPos val="r"/>
      <c:layout>
        <c:manualLayout>
          <c:xMode val="edge"/>
          <c:yMode val="edge"/>
          <c:x val="0.65953335264530066"/>
          <c:y val="0.12938460362357618"/>
          <c:w val="0.32708872093329466"/>
          <c:h val="0.86470962974288412"/>
        </c:manualLayout>
      </c:layout>
      <c:overlay val="0"/>
      <c:spPr>
        <a:ln w="0"/>
      </c:spPr>
      <c:txPr>
        <a:bodyPr/>
        <a:lstStyle/>
        <a:p>
          <a:pPr>
            <a:defRPr sz="700"/>
          </a:pPr>
          <a:endParaRPr lang="en-US"/>
        </a:p>
      </c:txPr>
    </c:legend>
    <c:plotVisOnly val="1"/>
    <c:dispBlanksAs val="gap"/>
    <c:showDLblsOverMax val="0"/>
  </c:chart>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b="1" i="0" u="none" strike="noStrike" baseline="0">
                <a:solidFill>
                  <a:srgbClr val="000000"/>
                </a:solidFill>
                <a:latin typeface="Verdana"/>
                <a:ea typeface="Verdana"/>
                <a:cs typeface="Verdana"/>
              </a:defRPr>
            </a:pPr>
            <a:r>
              <a:rPr lang="en-GB"/>
              <a:t>Individual Case Safety Reporting to EudraVigilance</a:t>
            </a:r>
            <a:r>
              <a:rPr lang="en-GB" baseline="0"/>
              <a:t> (EEA)</a:t>
            </a:r>
            <a:endParaRPr lang="en-GB"/>
          </a:p>
        </c:rich>
      </c:tx>
      <c:overlay val="0"/>
    </c:title>
    <c:autoTitleDeleted val="0"/>
    <c:plotArea>
      <c:layout/>
      <c:areaChart>
        <c:grouping val="stacked"/>
        <c:varyColors val="0"/>
        <c:ser>
          <c:idx val="3"/>
          <c:order val="0"/>
          <c:tx>
            <c:v>Patients and HCPs</c:v>
          </c:tx>
          <c:spPr>
            <a:solidFill>
              <a:schemeClr val="accent3">
                <a:lumMod val="60000"/>
                <a:lumOff val="40000"/>
              </a:schemeClr>
            </a:solidFill>
            <a:ln w="25400">
              <a:noFill/>
            </a:ln>
          </c:spPr>
          <c:val>
            <c:numRef>
              <c:f>'C:\Users\blakep\Documentum\Viewed\[ADR reporting data.xls]Sheet1'!$C$11:$F$11</c:f>
              <c:numCache>
                <c:formatCode>General</c:formatCode>
                <c:ptCount val="4"/>
                <c:pt idx="0">
                  <c:v>15860</c:v>
                </c:pt>
                <c:pt idx="1">
                  <c:v>17563</c:v>
                </c:pt>
                <c:pt idx="2">
                  <c:v>17474</c:v>
                </c:pt>
                <c:pt idx="3">
                  <c:v>18880</c:v>
                </c:pt>
              </c:numCache>
            </c:numRef>
          </c:val>
        </c:ser>
        <c:ser>
          <c:idx val="2"/>
          <c:order val="1"/>
          <c:tx>
            <c:strRef>
              <c:f>'C:\Users\blakep\Documentum\Viewed\[ADR reporting data.xls]Sheet1'!$A$6</c:f>
              <c:strCache>
                <c:ptCount val="1"/>
                <c:pt idx="0">
                  <c:v>Patients</c:v>
                </c:pt>
              </c:strCache>
            </c:strRef>
          </c:tx>
          <c:spPr>
            <a:solidFill>
              <a:srgbClr val="FECB00"/>
            </a:solidFill>
            <a:ln w="25400">
              <a:noFill/>
            </a:ln>
          </c:spPr>
          <c:val>
            <c:numRef>
              <c:f>'C:\Users\blakep\Documentum\Viewed\[ADR reporting data.xls]Sheet1'!$C$8:$F$8</c:f>
              <c:numCache>
                <c:formatCode>General</c:formatCode>
                <c:ptCount val="4"/>
                <c:pt idx="0">
                  <c:v>12675</c:v>
                </c:pt>
                <c:pt idx="1">
                  <c:v>18429</c:v>
                </c:pt>
                <c:pt idx="2">
                  <c:v>32010</c:v>
                </c:pt>
                <c:pt idx="3">
                  <c:v>33292</c:v>
                </c:pt>
              </c:numCache>
            </c:numRef>
          </c:val>
        </c:ser>
        <c:ser>
          <c:idx val="1"/>
          <c:order val="2"/>
          <c:tx>
            <c:v>Healthcare professionals</c:v>
          </c:tx>
          <c:spPr>
            <a:solidFill>
              <a:srgbClr val="0000FF"/>
            </a:solidFill>
          </c:spPr>
          <c:cat>
            <c:numRef>
              <c:f>'C:\Users\blakep\Documentum\Viewed\[ADR reporting data.xls]Sheet1'!$C$1:$F$1</c:f>
              <c:numCache>
                <c:formatCode>General</c:formatCode>
                <c:ptCount val="4"/>
                <c:pt idx="0">
                  <c:v>2011</c:v>
                </c:pt>
                <c:pt idx="1">
                  <c:v>2012</c:v>
                </c:pt>
                <c:pt idx="2">
                  <c:v>2013</c:v>
                </c:pt>
                <c:pt idx="3">
                  <c:v>2014</c:v>
                </c:pt>
              </c:numCache>
            </c:numRef>
          </c:cat>
          <c:val>
            <c:numRef>
              <c:f>'C:\Users\blakep\Documentum\Viewed\[ADR reporting data.xls]Sheet1'!$C$22:$F$22</c:f>
              <c:numCache>
                <c:formatCode>General</c:formatCode>
                <c:ptCount val="4"/>
                <c:pt idx="0">
                  <c:v>199916</c:v>
                </c:pt>
                <c:pt idx="1">
                  <c:v>204752</c:v>
                </c:pt>
                <c:pt idx="2">
                  <c:v>230973</c:v>
                </c:pt>
                <c:pt idx="3">
                  <c:v>237270</c:v>
                </c:pt>
              </c:numCache>
            </c:numRef>
          </c:val>
        </c:ser>
        <c:dLbls>
          <c:showLegendKey val="0"/>
          <c:showVal val="0"/>
          <c:showCatName val="0"/>
          <c:showSerName val="0"/>
          <c:showPercent val="0"/>
          <c:showBubbleSize val="0"/>
        </c:dLbls>
        <c:axId val="70850048"/>
        <c:axId val="70851584"/>
      </c:areaChart>
      <c:catAx>
        <c:axId val="70850048"/>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70851584"/>
        <c:crosses val="autoZero"/>
        <c:auto val="1"/>
        <c:lblAlgn val="ctr"/>
        <c:lblOffset val="100"/>
        <c:noMultiLvlLbl val="0"/>
      </c:catAx>
      <c:valAx>
        <c:axId val="70851584"/>
        <c:scaling>
          <c:orientation val="minMax"/>
        </c:scaling>
        <c:delete val="0"/>
        <c:axPos val="l"/>
        <c:majorGridlines/>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70850048"/>
        <c:crosses val="autoZero"/>
        <c:crossBetween val="midCat"/>
      </c:valAx>
    </c:plotArea>
    <c:legend>
      <c:legendPos val="b"/>
      <c:layout>
        <c:manualLayout>
          <c:xMode val="edge"/>
          <c:yMode val="edge"/>
          <c:x val="9.8557692307692304E-2"/>
          <c:y val="0.93778801843317972"/>
          <c:w val="0.81009615384615385"/>
          <c:h val="4.6082949308755762E-2"/>
        </c:manualLayout>
      </c:layout>
      <c:overlay val="0"/>
      <c:txPr>
        <a:bodyPr/>
        <a:lstStyle/>
        <a:p>
          <a:pPr>
            <a:defRPr sz="735" b="0" i="0" u="none" strike="noStrike" baseline="0">
              <a:solidFill>
                <a:srgbClr val="000000"/>
              </a:solidFill>
              <a:latin typeface="Verdana"/>
              <a:ea typeface="Verdana"/>
              <a:cs typeface="Verdana"/>
            </a:defRPr>
          </a:pPr>
          <a:endParaRPr lang="en-US"/>
        </a:p>
      </c:txPr>
    </c:legend>
    <c:plotVisOnly val="1"/>
    <c:dispBlanksAs val="gap"/>
    <c:showDLblsOverMax val="0"/>
  </c:chart>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b="1" i="0" u="none" strike="noStrike" baseline="0">
                <a:solidFill>
                  <a:srgbClr val="000000"/>
                </a:solidFill>
                <a:latin typeface="Verdana"/>
                <a:ea typeface="Verdana"/>
                <a:cs typeface="Verdana"/>
              </a:defRPr>
            </a:pPr>
            <a:r>
              <a:rPr lang="en-US"/>
              <a:t>Individual Case Safety</a:t>
            </a:r>
            <a:r>
              <a:rPr lang="en-US" baseline="0"/>
              <a:t> reporting to EudraVigilance (non-EEA)</a:t>
            </a:r>
            <a:endParaRPr lang="en-US"/>
          </a:p>
        </c:rich>
      </c:tx>
      <c:overlay val="0"/>
    </c:title>
    <c:autoTitleDeleted val="0"/>
    <c:plotArea>
      <c:layout/>
      <c:areaChart>
        <c:grouping val="stacked"/>
        <c:varyColors val="0"/>
        <c:ser>
          <c:idx val="3"/>
          <c:order val="0"/>
          <c:tx>
            <c:v>Patients and HCPs</c:v>
          </c:tx>
          <c:spPr>
            <a:solidFill>
              <a:schemeClr val="accent3">
                <a:lumMod val="60000"/>
                <a:lumOff val="40000"/>
              </a:schemeClr>
            </a:solidFill>
            <a:ln w="25400">
              <a:noFill/>
            </a:ln>
          </c:spPr>
          <c:cat>
            <c:numRef>
              <c:f>'C:\Users\blakep\Documentum\Viewed\[ADR reporting data.xls]Sheet1'!$C$1:$F$1</c:f>
              <c:numCache>
                <c:formatCode>General</c:formatCode>
                <c:ptCount val="4"/>
                <c:pt idx="0">
                  <c:v>2011</c:v>
                </c:pt>
                <c:pt idx="1">
                  <c:v>2012</c:v>
                </c:pt>
                <c:pt idx="2">
                  <c:v>2013</c:v>
                </c:pt>
                <c:pt idx="3">
                  <c:v>2014</c:v>
                </c:pt>
              </c:numCache>
            </c:numRef>
          </c:cat>
          <c:val>
            <c:numRef>
              <c:f>'C:\Users\blakep\Documentum\Viewed\[ADR reporting data.xls]Sheet1'!$C$29:$F$29</c:f>
              <c:numCache>
                <c:formatCode>General</c:formatCode>
                <c:ptCount val="4"/>
                <c:pt idx="0">
                  <c:v>100980</c:v>
                </c:pt>
                <c:pt idx="1">
                  <c:v>134532</c:v>
                </c:pt>
                <c:pt idx="2">
                  <c:v>156794</c:v>
                </c:pt>
                <c:pt idx="3">
                  <c:v>174361</c:v>
                </c:pt>
              </c:numCache>
            </c:numRef>
          </c:val>
        </c:ser>
        <c:ser>
          <c:idx val="1"/>
          <c:order val="1"/>
          <c:tx>
            <c:strRef>
              <c:f>'C:\Users\blakep\Documentum\Viewed\[ADR reporting data.xls]Sheet1'!$A$27</c:f>
              <c:strCache>
                <c:ptCount val="1"/>
                <c:pt idx="0">
                  <c:v>Patients</c:v>
                </c:pt>
              </c:strCache>
            </c:strRef>
          </c:tx>
          <c:spPr>
            <a:solidFill>
              <a:srgbClr val="FFC000"/>
            </a:solidFill>
            <a:ln w="25400">
              <a:noFill/>
            </a:ln>
          </c:spPr>
          <c:cat>
            <c:numRef>
              <c:f>'C:\Users\blakep\Documentum\Viewed\[ADR reporting data.xls]Sheet1'!$C$1:$F$1</c:f>
              <c:numCache>
                <c:formatCode>General</c:formatCode>
                <c:ptCount val="4"/>
                <c:pt idx="0">
                  <c:v>2011</c:v>
                </c:pt>
                <c:pt idx="1">
                  <c:v>2012</c:v>
                </c:pt>
                <c:pt idx="2">
                  <c:v>2013</c:v>
                </c:pt>
                <c:pt idx="3">
                  <c:v>2014</c:v>
                </c:pt>
              </c:numCache>
            </c:numRef>
          </c:cat>
          <c:val>
            <c:numRef>
              <c:f>'C:\Users\blakep\Documentum\Viewed\[ADR reporting data.xls]Sheet1'!$C$27:$F$27</c:f>
              <c:numCache>
                <c:formatCode>General</c:formatCode>
                <c:ptCount val="4"/>
                <c:pt idx="0">
                  <c:v>46502</c:v>
                </c:pt>
                <c:pt idx="1">
                  <c:v>143257</c:v>
                </c:pt>
                <c:pt idx="2">
                  <c:v>212777</c:v>
                </c:pt>
                <c:pt idx="3">
                  <c:v>210179</c:v>
                </c:pt>
              </c:numCache>
            </c:numRef>
          </c:val>
        </c:ser>
        <c:ser>
          <c:idx val="0"/>
          <c:order val="2"/>
          <c:tx>
            <c:v>Healthcare professionals</c:v>
          </c:tx>
          <c:spPr>
            <a:solidFill>
              <a:srgbClr val="0000FF"/>
            </a:solidFill>
          </c:spPr>
          <c:cat>
            <c:numRef>
              <c:f>'C:\Users\blakep\Documentum\Viewed\[ADR reporting data.xls]Sheet1'!$C$1:$F$1</c:f>
              <c:numCache>
                <c:formatCode>General</c:formatCode>
                <c:ptCount val="4"/>
                <c:pt idx="0">
                  <c:v>2011</c:v>
                </c:pt>
                <c:pt idx="1">
                  <c:v>2012</c:v>
                </c:pt>
                <c:pt idx="2">
                  <c:v>2013</c:v>
                </c:pt>
                <c:pt idx="3">
                  <c:v>2014</c:v>
                </c:pt>
              </c:numCache>
            </c:numRef>
          </c:cat>
          <c:val>
            <c:numRef>
              <c:f>'C:\Users\blakep\Documentum\Viewed\[ADR reporting data.xls]Sheet1'!$C$31:$F$31</c:f>
              <c:numCache>
                <c:formatCode>General</c:formatCode>
                <c:ptCount val="4"/>
                <c:pt idx="0">
                  <c:v>270434</c:v>
                </c:pt>
                <c:pt idx="1">
                  <c:v>335803</c:v>
                </c:pt>
                <c:pt idx="2">
                  <c:v>344226</c:v>
                </c:pt>
                <c:pt idx="3">
                  <c:v>381014</c:v>
                </c:pt>
              </c:numCache>
            </c:numRef>
          </c:val>
        </c:ser>
        <c:dLbls>
          <c:showLegendKey val="0"/>
          <c:showVal val="0"/>
          <c:showCatName val="0"/>
          <c:showSerName val="0"/>
          <c:showPercent val="0"/>
          <c:showBubbleSize val="0"/>
        </c:dLbls>
        <c:axId val="73190400"/>
        <c:axId val="73552640"/>
      </c:areaChart>
      <c:catAx>
        <c:axId val="7319040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73552640"/>
        <c:crosses val="autoZero"/>
        <c:auto val="1"/>
        <c:lblAlgn val="ctr"/>
        <c:lblOffset val="100"/>
        <c:noMultiLvlLbl val="0"/>
      </c:catAx>
      <c:valAx>
        <c:axId val="73552640"/>
        <c:scaling>
          <c:orientation val="minMax"/>
        </c:scaling>
        <c:delete val="0"/>
        <c:axPos val="l"/>
        <c:majorGridlines/>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73190400"/>
        <c:crosses val="autoZero"/>
        <c:crossBetween val="midCat"/>
      </c:valAx>
    </c:plotArea>
    <c:legend>
      <c:legendPos val="b"/>
      <c:layout>
        <c:manualLayout>
          <c:xMode val="edge"/>
          <c:yMode val="edge"/>
          <c:x val="9.6153846153846159E-2"/>
          <c:y val="0.93821510297482835"/>
          <c:w val="0.81009615384615385"/>
          <c:h val="4.5766590389016017E-2"/>
        </c:manualLayout>
      </c:layout>
      <c:overlay val="0"/>
      <c:txPr>
        <a:bodyPr/>
        <a:lstStyle/>
        <a:p>
          <a:pPr>
            <a:defRPr sz="735" b="0" i="0" u="none" strike="noStrike" baseline="0">
              <a:solidFill>
                <a:srgbClr val="000000"/>
              </a:solidFill>
              <a:latin typeface="Verdana"/>
              <a:ea typeface="Verdana"/>
              <a:cs typeface="Verdana"/>
            </a:defRPr>
          </a:pPr>
          <a:endParaRPr lang="en-US"/>
        </a:p>
      </c:txPr>
    </c:legend>
    <c:plotVisOnly val="1"/>
    <c:dispBlanksAs val="gap"/>
    <c:showDLblsOverMax val="0"/>
  </c:chart>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PRAC signals assessment Sep 2012 - Dec 2014, total=193</a:t>
            </a:r>
          </a:p>
        </c:rich>
      </c:tx>
      <c:overlay val="0"/>
    </c:title>
    <c:autoTitleDeleted val="0"/>
    <c:plotArea>
      <c:layout>
        <c:manualLayout>
          <c:layoutTarget val="inner"/>
          <c:xMode val="edge"/>
          <c:yMode val="edge"/>
          <c:x val="0.13355514904071333"/>
          <c:y val="0.18013983126785038"/>
          <c:w val="0.73850159512889169"/>
          <c:h val="0.7582885868739182"/>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Lbls>
            <c:dLbl>
              <c:idx val="0"/>
              <c:spPr/>
              <c:txPr>
                <a:bodyPr/>
                <a:lstStyle/>
                <a:p>
                  <a:pPr>
                    <a:defRPr sz="800">
                      <a:solidFill>
                        <a:schemeClr val="bg1"/>
                      </a:solidFill>
                    </a:defRPr>
                  </a:pPr>
                  <a:endParaRPr lang="en-US"/>
                </a:p>
              </c:txPr>
              <c:showLegendKey val="0"/>
              <c:showVal val="1"/>
              <c:showCatName val="1"/>
              <c:showSerName val="0"/>
              <c:showPercent val="1"/>
              <c:showBubbleSize val="0"/>
            </c:dLbl>
            <c:dLbl>
              <c:idx val="1"/>
              <c:layout>
                <c:manualLayout>
                  <c:x val="-0.18189418241911681"/>
                  <c:y val="-0.20881590319792567"/>
                </c:manualLayout>
              </c:layout>
              <c:dLblPos val="bestFit"/>
              <c:showLegendKey val="0"/>
              <c:showVal val="1"/>
              <c:showCatName val="1"/>
              <c:showSerName val="0"/>
              <c:showPercent val="1"/>
              <c:showBubbleSize val="0"/>
            </c:dLbl>
            <c:dLbl>
              <c:idx val="2"/>
              <c:layout>
                <c:manualLayout>
                  <c:x val="0.20904882154882154"/>
                  <c:y val="0.10246451475328765"/>
                </c:manualLayout>
              </c:layout>
              <c:tx>
                <c:rich>
                  <a:bodyPr/>
                  <a:lstStyle/>
                  <a:p>
                    <a:r>
                      <a:rPr lang="en-US" sz="800"/>
                      <a:t>Routine pharmaco-vigilance, 46, 24%</a:t>
                    </a:r>
                    <a:endParaRPr lang="en-US"/>
                  </a:p>
                </c:rich>
              </c:tx>
              <c:dLblPos val="bestFit"/>
              <c:showLegendKey val="0"/>
              <c:showVal val="0"/>
              <c:showCatName val="0"/>
              <c:showSerName val="0"/>
              <c:showPercent val="0"/>
              <c:showBubbleSize val="0"/>
            </c:dLbl>
            <c:dLbl>
              <c:idx val="3"/>
              <c:layout>
                <c:manualLayout>
                  <c:x val="-0.16087891160069637"/>
                  <c:y val="7.2416898622330805E-2"/>
                </c:manualLayout>
              </c:layout>
              <c:dLblPos val="bestFit"/>
              <c:showLegendKey val="0"/>
              <c:showVal val="1"/>
              <c:showCatName val="1"/>
              <c:showSerName val="0"/>
              <c:showPercent val="1"/>
              <c:showBubbleSize val="0"/>
            </c:dLbl>
            <c:dLbl>
              <c:idx val="5"/>
              <c:layout>
                <c:manualLayout>
                  <c:x val="0.30593644228814831"/>
                  <c:y val="1.0836696406899009E-3"/>
                </c:manualLayout>
              </c:layout>
              <c:dLblPos val="bestFit"/>
              <c:showLegendKey val="0"/>
              <c:showVal val="1"/>
              <c:showCatName val="1"/>
              <c:showSerName val="0"/>
              <c:showPercent val="1"/>
              <c:showBubbleSize val="0"/>
            </c:dLbl>
            <c:txPr>
              <a:bodyPr/>
              <a:lstStyle/>
              <a:p>
                <a:pPr>
                  <a:defRPr sz="800"/>
                </a:pPr>
                <a:endParaRPr lang="en-US"/>
              </a:p>
            </c:txPr>
            <c:showLegendKey val="0"/>
            <c:showVal val="1"/>
            <c:showCatName val="1"/>
            <c:showSerName val="0"/>
            <c:showPercent val="1"/>
            <c:showBubbleSize val="0"/>
            <c:showLeaderLines val="1"/>
          </c:dLbls>
          <c:cat>
            <c:strRef>
              <c:f>'C:\Users\blakep\Documentum\Viewed\[ASE Copy of SM metrics 2012 to 2014.xls]Outcomes'!$A$3:$A$8</c:f>
              <c:strCache>
                <c:ptCount val="6"/>
                <c:pt idx="0">
                  <c:v>Assessment on-going</c:v>
                </c:pt>
                <c:pt idx="1">
                  <c:v>Update of product information</c:v>
                </c:pt>
                <c:pt idx="2">
                  <c:v>Routine pharmacovigilance</c:v>
                </c:pt>
                <c:pt idx="3">
                  <c:v>Referral </c:v>
                </c:pt>
                <c:pt idx="4">
                  <c:v>Update of RMP</c:v>
                </c:pt>
                <c:pt idx="5">
                  <c:v>PASS</c:v>
                </c:pt>
              </c:strCache>
            </c:strRef>
          </c:cat>
          <c:val>
            <c:numRef>
              <c:f>'C:\Users\blakep\Documentum\Viewed\[ASE Copy of SM metrics 2012 to 2014.xls]Outcomes'!$F$3:$F$8</c:f>
              <c:numCache>
                <c:formatCode>General</c:formatCode>
                <c:ptCount val="6"/>
                <c:pt idx="0">
                  <c:v>33</c:v>
                </c:pt>
                <c:pt idx="1">
                  <c:v>100</c:v>
                </c:pt>
                <c:pt idx="2">
                  <c:v>46</c:v>
                </c:pt>
                <c:pt idx="3">
                  <c:v>11</c:v>
                </c:pt>
                <c:pt idx="4">
                  <c:v>2</c:v>
                </c:pt>
                <c:pt idx="5">
                  <c:v>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txPr>
    <a:bodyPr/>
    <a:lstStyle/>
    <a:p>
      <a:pPr>
        <a:defRPr sz="1000">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b="1" i="0" u="none" strike="noStrike" baseline="0">
                <a:solidFill>
                  <a:srgbClr val="000000"/>
                </a:solidFill>
                <a:latin typeface="Verdana"/>
                <a:ea typeface="Verdana"/>
                <a:cs typeface="Verdana"/>
              </a:defRPr>
            </a:pPr>
            <a:r>
              <a:rPr lang="en-GB"/>
              <a:t>Outcomes of PSUR assessments and PSUSAs</a:t>
            </a:r>
          </a:p>
        </c:rich>
      </c:tx>
      <c:overlay val="0"/>
    </c:title>
    <c:autoTitleDeleted val="0"/>
    <c:plotArea>
      <c:layout/>
      <c:barChart>
        <c:barDir val="bar"/>
        <c:grouping val="percentStacked"/>
        <c:varyColors val="0"/>
        <c:ser>
          <c:idx val="1"/>
          <c:order val="0"/>
          <c:tx>
            <c:v>Maintenance</c:v>
          </c:tx>
          <c:spPr>
            <a:solidFill>
              <a:schemeClr val="accent5">
                <a:lumMod val="75000"/>
              </a:schemeClr>
            </a:solidFill>
          </c:spPr>
          <c:invertIfNegative val="0"/>
          <c:dLbls>
            <c:txPr>
              <a:bodyPr/>
              <a:lstStyle/>
              <a:p>
                <a:pPr>
                  <a:defRPr sz="800" b="0" i="0" u="none" strike="noStrike" baseline="0">
                    <a:solidFill>
                      <a:srgbClr val="000000"/>
                    </a:solidFill>
                    <a:latin typeface="Verdana"/>
                    <a:ea typeface="Verdana"/>
                    <a:cs typeface="Verdana"/>
                  </a:defRPr>
                </a:pPr>
                <a:endParaRPr lang="en-US"/>
              </a:p>
            </c:txPr>
            <c:showLegendKey val="0"/>
            <c:showVal val="1"/>
            <c:showCatName val="0"/>
            <c:showSerName val="0"/>
            <c:showPercent val="0"/>
            <c:showBubbleSize val="0"/>
            <c:showLeaderLines val="0"/>
          </c:dLbls>
          <c:cat>
            <c:strLit>
              <c:ptCount val="3"/>
              <c:pt idx="0">
                <c:v>Jul-Dec 2012</c:v>
              </c:pt>
              <c:pt idx="1">
                <c:v>2013</c:v>
              </c:pt>
              <c:pt idx="2">
                <c:v>2014</c:v>
              </c:pt>
            </c:strLit>
          </c:cat>
          <c:val>
            <c:numLit>
              <c:formatCode>General</c:formatCode>
              <c:ptCount val="3"/>
              <c:pt idx="0">
                <c:v>17</c:v>
              </c:pt>
              <c:pt idx="1">
                <c:v>360</c:v>
              </c:pt>
              <c:pt idx="2">
                <c:v>383</c:v>
              </c:pt>
            </c:numLit>
          </c:val>
        </c:ser>
        <c:ser>
          <c:idx val="0"/>
          <c:order val="1"/>
          <c:tx>
            <c:v>CHMP variation</c:v>
          </c:tx>
          <c:spPr>
            <a:solidFill>
              <a:srgbClr val="FFC000"/>
            </a:solidFill>
          </c:spPr>
          <c:invertIfNegative val="0"/>
          <c:dLbls>
            <c:txPr>
              <a:bodyPr/>
              <a:lstStyle/>
              <a:p>
                <a:pPr>
                  <a:defRPr sz="800" b="0" i="0" u="none" strike="noStrike" baseline="0">
                    <a:solidFill>
                      <a:srgbClr val="000000"/>
                    </a:solidFill>
                    <a:latin typeface="Verdana"/>
                    <a:ea typeface="Verdana"/>
                    <a:cs typeface="Verdana"/>
                  </a:defRPr>
                </a:pPr>
                <a:endParaRPr lang="en-US"/>
              </a:p>
            </c:txPr>
            <c:showLegendKey val="0"/>
            <c:showVal val="1"/>
            <c:showCatName val="0"/>
            <c:showSerName val="0"/>
            <c:showPercent val="0"/>
            <c:showBubbleSize val="0"/>
            <c:showLeaderLines val="0"/>
          </c:dLbls>
          <c:val>
            <c:numLit>
              <c:formatCode>General</c:formatCode>
              <c:ptCount val="3"/>
              <c:pt idx="0">
                <c:v>3</c:v>
              </c:pt>
              <c:pt idx="1">
                <c:v>76</c:v>
              </c:pt>
              <c:pt idx="2">
                <c:v>88</c:v>
              </c:pt>
            </c:numLit>
          </c:val>
        </c:ser>
        <c:ser>
          <c:idx val="2"/>
          <c:order val="2"/>
          <c:tx>
            <c:v>Suspension</c:v>
          </c:tx>
          <c:spPr>
            <a:solidFill>
              <a:schemeClr val="accent5"/>
            </a:solidFill>
          </c:spPr>
          <c:invertIfNegative val="0"/>
          <c:val>
            <c:numLit>
              <c:formatCode>General</c:formatCode>
              <c:ptCount val="3"/>
              <c:pt idx="0">
                <c:v>0</c:v>
              </c:pt>
              <c:pt idx="1">
                <c:v>0</c:v>
              </c:pt>
              <c:pt idx="2">
                <c:v>0</c:v>
              </c:pt>
            </c:numLit>
          </c:val>
        </c:ser>
        <c:ser>
          <c:idx val="3"/>
          <c:order val="3"/>
          <c:tx>
            <c:v>Revocation</c:v>
          </c:tx>
          <c:spPr>
            <a:solidFill>
              <a:schemeClr val="accent6"/>
            </a:solidFill>
          </c:spPr>
          <c:invertIfNegative val="0"/>
          <c:val>
            <c:numLit>
              <c:formatCode>General</c:formatCode>
              <c:ptCount val="3"/>
              <c:pt idx="0">
                <c:v>0</c:v>
              </c:pt>
              <c:pt idx="1">
                <c:v>0</c:v>
              </c:pt>
              <c:pt idx="2">
                <c:v>0</c:v>
              </c:pt>
            </c:numLit>
          </c:val>
        </c:ser>
        <c:dLbls>
          <c:showLegendKey val="0"/>
          <c:showVal val="0"/>
          <c:showCatName val="0"/>
          <c:showSerName val="0"/>
          <c:showPercent val="0"/>
          <c:showBubbleSize val="0"/>
        </c:dLbls>
        <c:gapWidth val="55"/>
        <c:overlap val="100"/>
        <c:axId val="43875328"/>
        <c:axId val="43881216"/>
      </c:barChart>
      <c:catAx>
        <c:axId val="43875328"/>
        <c:scaling>
          <c:orientation val="maxMin"/>
        </c:scaling>
        <c:delete val="0"/>
        <c:axPos val="l"/>
        <c:numFmt formatCode="General"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43881216"/>
        <c:crosses val="autoZero"/>
        <c:auto val="1"/>
        <c:lblAlgn val="ctr"/>
        <c:lblOffset val="100"/>
        <c:noMultiLvlLbl val="0"/>
      </c:catAx>
      <c:valAx>
        <c:axId val="43881216"/>
        <c:scaling>
          <c:orientation val="minMax"/>
          <c:max val="1"/>
          <c:min val="0"/>
        </c:scaling>
        <c:delete val="0"/>
        <c:axPos val="t"/>
        <c:majorGridlines/>
        <c:numFmt formatCode="0%" sourceLinked="1"/>
        <c:majorTickMark val="none"/>
        <c:minorTickMark val="none"/>
        <c:tickLblPos val="nextTo"/>
        <c:txPr>
          <a:bodyPr rot="0" vert="horz"/>
          <a:lstStyle/>
          <a:p>
            <a:pPr>
              <a:defRPr sz="800" b="0" i="0" u="none" strike="noStrike" baseline="0">
                <a:solidFill>
                  <a:srgbClr val="000000"/>
                </a:solidFill>
                <a:latin typeface="Verdana"/>
                <a:ea typeface="Verdana"/>
                <a:cs typeface="Verdana"/>
              </a:defRPr>
            </a:pPr>
            <a:endParaRPr lang="en-US"/>
          </a:p>
        </c:txPr>
        <c:crossAx val="43875328"/>
        <c:crosses val="autoZero"/>
        <c:crossBetween val="between"/>
      </c:valAx>
    </c:plotArea>
    <c:legend>
      <c:legendPos val="r"/>
      <c:layout>
        <c:manualLayout>
          <c:xMode val="edge"/>
          <c:yMode val="edge"/>
          <c:x val="0.10570824524312897"/>
          <c:y val="0.92211055276381915"/>
          <c:w val="0.80126849894291752"/>
          <c:h val="5.2763819095477386E-2"/>
        </c:manualLayout>
      </c:layout>
      <c:overlay val="0"/>
      <c:txPr>
        <a:bodyPr/>
        <a:lstStyle/>
        <a:p>
          <a:pPr>
            <a:defRPr sz="735" b="0" i="0" u="none" strike="noStrike" baseline="0">
              <a:solidFill>
                <a:srgbClr val="000000"/>
              </a:solidFill>
              <a:latin typeface="Verdana"/>
              <a:ea typeface="Verdana"/>
              <a:cs typeface="Verdana"/>
            </a:defRPr>
          </a:pPr>
          <a:endParaRPr lang="en-US"/>
        </a:p>
      </c:txPr>
    </c:legend>
    <c:plotVisOnly val="1"/>
    <c:dispBlanksAs val="gap"/>
    <c:showDLblsOverMax val="0"/>
  </c:chart>
  <c:txPr>
    <a:bodyPr/>
    <a:lstStyle/>
    <a:p>
      <a:pPr>
        <a:defRPr sz="800" b="0" i="0" u="none" strike="noStrike" baseline="0">
          <a:solidFill>
            <a:srgbClr val="000000"/>
          </a:solidFill>
          <a:latin typeface="Verdana"/>
          <a:ea typeface="Verdana"/>
          <a:cs typeface="Verdana"/>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gency">
    <a:dk1>
      <a:sysClr val="windowText" lastClr="000000"/>
    </a:dk1>
    <a:lt1>
      <a:sysClr val="window" lastClr="FFFFFF"/>
    </a:lt1>
    <a:dk2>
      <a:srgbClr val="1F497D"/>
    </a:dk2>
    <a:lt2>
      <a:srgbClr val="EEECE1"/>
    </a:lt2>
    <a:accent1>
      <a:srgbClr val="003399"/>
    </a:accent1>
    <a:accent2>
      <a:srgbClr val="7BBBB2"/>
    </a:accent2>
    <a:accent3>
      <a:srgbClr val="FECB00"/>
    </a:accent3>
    <a:accent4>
      <a:srgbClr val="009BBB"/>
    </a:accent4>
    <a:accent5>
      <a:srgbClr val="E98300"/>
    </a:accent5>
    <a:accent6>
      <a:srgbClr val="98322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70CB-8073-420C-9B44-C2CA7145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2524</Words>
  <Characters>14971</Characters>
  <Application>Microsoft Office Word</Application>
  <DocSecurity>0</DocSecurity>
  <Lines>404</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2016-07-28T09:26:00Z</dcterms:created>
  <dcterms:modified xsi:type="dcterms:W3CDTF">2016-08-05T08:38:00Z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