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FE9" w:rsidRDefault="005F36F9">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24079EFBEDF44ECB906DD0C4D6310A1" style="width:450.75pt;height:334.5pt">
            <v:imagedata r:id="rId9" o:title=""/>
          </v:shape>
        </w:pict>
      </w:r>
    </w:p>
    <w:bookmarkEnd w:id="0"/>
    <w:p w:rsidR="004E7FE9" w:rsidRDefault="004E7FE9">
      <w:pPr>
        <w:pStyle w:val="Pagedecouverture"/>
        <w:rPr>
          <w:noProof/>
        </w:rPr>
        <w:sectPr w:rsidR="004E7FE9">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4E7FE9" w:rsidRDefault="004E7FE9">
      <w:pPr>
        <w:spacing w:before="360" w:after="0" w:line="240" w:lineRule="auto"/>
        <w:jc w:val="center"/>
        <w:rPr>
          <w:rFonts w:ascii="Times New Roman" w:eastAsia="MS Mincho" w:hAnsi="Times New Roman" w:cs="Times New Roman"/>
          <w:b/>
          <w:noProof/>
          <w:sz w:val="24"/>
          <w:szCs w:val="24"/>
          <w:lang w:val="fr-FR" w:eastAsia="fr-FR" w:bidi="fr-FR"/>
        </w:rPr>
      </w:pPr>
    </w:p>
    <w:p w:rsidR="004E7FE9" w:rsidRDefault="005F36F9">
      <w:pPr>
        <w:pStyle w:val="Typedudocument"/>
        <w:rPr>
          <w:noProof/>
          <w:lang w:val="fr-FR"/>
        </w:rPr>
      </w:pPr>
      <w:r>
        <w:rPr>
          <w:noProof/>
          <w:lang w:val="fr-FR"/>
        </w:rPr>
        <w:t>RAPPORT DE LA COMMISSION</w:t>
      </w:r>
    </w:p>
    <w:p w:rsidR="004E7FE9" w:rsidRDefault="005F36F9">
      <w:pPr>
        <w:pStyle w:val="Titreobjet"/>
        <w:rPr>
          <w:noProof/>
          <w:lang w:val="fr-FR"/>
        </w:rPr>
      </w:pPr>
      <w:r>
        <w:rPr>
          <w:noProof/>
          <w:lang w:val="fr-FR"/>
        </w:rPr>
        <w:t xml:space="preserve">Activités des États membres et de l’Agence européenne des médicaments </w:t>
      </w:r>
      <w:r>
        <w:rPr>
          <w:noProof/>
          <w:lang w:val="fr-FR"/>
        </w:rPr>
        <w:t>liées à la pharmacovigilance concernant les médicaments à usage humain</w:t>
      </w:r>
      <w:r>
        <w:rPr>
          <w:noProof/>
          <w:lang w:val="fr-FR"/>
        </w:rPr>
        <w:br/>
        <w:t xml:space="preserve"> (2012 – 2014)</w:t>
      </w:r>
    </w:p>
    <w:p w:rsidR="004E7FE9" w:rsidRDefault="004E7FE9">
      <w:pPr>
        <w:spacing w:before="360" w:after="360" w:line="240" w:lineRule="auto"/>
        <w:jc w:val="center"/>
        <w:rPr>
          <w:rFonts w:ascii="Times New Roman" w:eastAsia="MS Mincho" w:hAnsi="Times New Roman" w:cs="Times New Roman"/>
          <w:b/>
          <w:noProof/>
          <w:sz w:val="24"/>
          <w:szCs w:val="24"/>
          <w:lang w:val="fr-FR" w:eastAsia="fr-FR" w:bidi="fr-FR"/>
        </w:rPr>
        <w:sectPr w:rsidR="004E7FE9">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2"/>
          <w:cols w:space="708"/>
          <w:docGrid w:linePitch="360"/>
        </w:sectPr>
      </w:pPr>
    </w:p>
    <w:p w:rsidR="004E7FE9" w:rsidRDefault="005F36F9">
      <w:pPr>
        <w:keepNext/>
        <w:tabs>
          <w:tab w:val="left" w:pos="850"/>
        </w:tabs>
        <w:spacing w:before="360" w:after="120" w:line="240" w:lineRule="auto"/>
        <w:ind w:left="850" w:hanging="850"/>
        <w:jc w:val="both"/>
        <w:outlineLvl w:val="0"/>
        <w:rPr>
          <w:rFonts w:ascii="Times New Roman" w:eastAsia="MS Mincho" w:hAnsi="Times New Roman" w:cs="Times New Roman"/>
          <w:b/>
          <w:smallCaps/>
          <w:noProof/>
          <w:sz w:val="24"/>
          <w:szCs w:val="24"/>
          <w:lang w:val="fr-FR" w:eastAsia="fr-FR" w:bidi="fr-FR"/>
        </w:rPr>
      </w:pPr>
      <w:r>
        <w:rPr>
          <w:rFonts w:ascii="Times New Roman" w:eastAsia="MS Mincho" w:hAnsi="Times New Roman" w:cs="Times New Roman"/>
          <w:b/>
          <w:smallCaps/>
          <w:noProof/>
          <w:sz w:val="24"/>
          <w:szCs w:val="24"/>
          <w:lang w:val="fr-FR" w:eastAsia="fr-FR" w:bidi="fr-FR"/>
        </w:rPr>
        <w:t>1.</w:t>
      </w:r>
      <w:r>
        <w:rPr>
          <w:rFonts w:ascii="Times New Roman" w:eastAsia="MS Mincho" w:hAnsi="Times New Roman" w:cs="Times New Roman"/>
          <w:b/>
          <w:smallCaps/>
          <w:noProof/>
          <w:sz w:val="24"/>
          <w:szCs w:val="24"/>
          <w:lang w:val="fr-FR" w:eastAsia="fr-FR" w:bidi="fr-FR"/>
        </w:rPr>
        <w:tab/>
        <w:t>Introduction</w:t>
      </w:r>
    </w:p>
    <w:p w:rsidR="004E7FE9" w:rsidRDefault="005F36F9">
      <w:pPr>
        <w:widowControl w:val="0"/>
        <w:autoSpaceDE w:val="0"/>
        <w:autoSpaceDN w:val="0"/>
        <w:adjustRightInd w:val="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Dans l’Union européenne (UE), les médicaments à usage humain sont soumis à de rigoureux </w:t>
      </w:r>
      <w:r>
        <w:rPr>
          <w:rFonts w:ascii="Times New Roman" w:hAnsi="Times New Roman"/>
          <w:noProof/>
          <w:sz w:val="24"/>
          <w:lang w:val="fr-FR" w:eastAsia="fr-FR" w:bidi="fr-FR"/>
        </w:rPr>
        <w:t>essais et évaluations de leur qualité, efficacité et innocuité avant d’être autorisés tant au niveau national qu’au niveau de l’Union. Une fois mis sur le marché, leur suivi continue grâce à la pharmacovigilance.</w:t>
      </w:r>
    </w:p>
    <w:p w:rsidR="004E7FE9" w:rsidRDefault="005F36F9">
      <w:pPr>
        <w:widowControl w:val="0"/>
        <w:autoSpaceDE w:val="0"/>
        <w:autoSpaceDN w:val="0"/>
        <w:adjustRightInd w:val="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pharmacovigilance est définie par l’Orga</w:t>
      </w:r>
      <w:r>
        <w:rPr>
          <w:rFonts w:ascii="Times New Roman" w:hAnsi="Times New Roman"/>
          <w:noProof/>
          <w:sz w:val="24"/>
          <w:lang w:val="fr-FR" w:eastAsia="fr-FR" w:bidi="fr-FR"/>
        </w:rPr>
        <w:t>nisation mondiale de la santé (OMS) comme la science et les activités relatives à la détection, à l’évaluation, à la compréhension et à la prévention des effets indésirables ou de tout autre problème lié aux médicaments.</w:t>
      </w:r>
    </w:p>
    <w:p w:rsidR="004E7FE9" w:rsidRDefault="005F36F9">
      <w:pPr>
        <w:widowControl w:val="0"/>
        <w:autoSpaceDE w:val="0"/>
        <w:autoSpaceDN w:val="0"/>
        <w:adjustRightInd w:val="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Les effets secondaires ou «indésira</w:t>
      </w:r>
      <w:r>
        <w:rPr>
          <w:rFonts w:ascii="Times New Roman" w:hAnsi="Times New Roman"/>
          <w:noProof/>
          <w:sz w:val="24"/>
          <w:lang w:val="fr-FR" w:eastAsia="fr-FR" w:bidi="fr-FR"/>
        </w:rPr>
        <w:t>bles» ne sont parfois détectés que lorsque un grand nombre de personnes ont utilisé le médicament dans des conditions réelles. Il s’avère donc essentiel de contrôler l’innocuité de tous les médicaments tant qu’ils sont utilisés pour des soins de santé.</w:t>
      </w:r>
    </w:p>
    <w:p w:rsidR="004E7FE9" w:rsidRDefault="005F36F9">
      <w:pPr>
        <w:widowControl w:val="0"/>
        <w:autoSpaceDE w:val="0"/>
        <w:autoSpaceDN w:val="0"/>
        <w:adjustRightInd w:val="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Le </w:t>
      </w:r>
      <w:r>
        <w:rPr>
          <w:rFonts w:ascii="Times New Roman" w:hAnsi="Times New Roman"/>
          <w:noProof/>
          <w:sz w:val="24"/>
          <w:lang w:val="fr-FR" w:eastAsia="fr-FR" w:bidi="fr-FR"/>
        </w:rPr>
        <w:t>cadre juridique de l’Union en matière de pharmacovigilance pour les médicaments à usage humain est établi par le règlement (CE) nº 726/2004</w:t>
      </w:r>
      <w:r>
        <w:rPr>
          <w:rFonts w:ascii="Times New Roman" w:hAnsi="Times New Roman"/>
          <w:noProof/>
          <w:sz w:val="24"/>
          <w:vertAlign w:val="superscript"/>
          <w:lang w:val="fr-FR" w:eastAsia="fr-FR" w:bidi="fr-FR"/>
        </w:rPr>
        <w:footnoteReference w:id="1"/>
      </w:r>
      <w:r>
        <w:rPr>
          <w:rFonts w:ascii="Times New Roman" w:hAnsi="Times New Roman"/>
          <w:noProof/>
          <w:sz w:val="24"/>
          <w:lang w:val="fr-FR" w:eastAsia="fr-FR" w:bidi="fr-FR"/>
        </w:rPr>
        <w:t xml:space="preserve"> et la directive 2001/83/CE</w:t>
      </w:r>
      <w:r>
        <w:rPr>
          <w:rFonts w:ascii="Times New Roman" w:hAnsi="Times New Roman"/>
          <w:noProof/>
          <w:sz w:val="24"/>
          <w:vertAlign w:val="superscript"/>
          <w:lang w:val="fr-FR" w:eastAsia="fr-FR" w:bidi="fr-FR"/>
        </w:rPr>
        <w:footnoteReference w:id="2"/>
      </w:r>
      <w:r>
        <w:rPr>
          <w:rFonts w:ascii="Times New Roman" w:hAnsi="Times New Roman"/>
          <w:noProof/>
          <w:sz w:val="24"/>
          <w:lang w:val="fr-FR" w:eastAsia="fr-FR" w:bidi="fr-FR"/>
        </w:rPr>
        <w:t>. La réglementation a été modifiée en 2010</w:t>
      </w:r>
      <w:r>
        <w:rPr>
          <w:rFonts w:ascii="Times New Roman" w:hAnsi="Times New Roman"/>
          <w:noProof/>
          <w:sz w:val="24"/>
          <w:vertAlign w:val="superscript"/>
          <w:lang w:val="fr-FR" w:eastAsia="fr-FR" w:bidi="fr-FR"/>
        </w:rPr>
        <w:footnoteReference w:id="3"/>
      </w:r>
      <w:r>
        <w:rPr>
          <w:rFonts w:ascii="Times New Roman" w:hAnsi="Times New Roman"/>
          <w:noProof/>
          <w:sz w:val="24"/>
          <w:lang w:val="fr-FR" w:eastAsia="fr-FR" w:bidi="fr-FR"/>
        </w:rPr>
        <w:t xml:space="preserve"> et 2012</w:t>
      </w:r>
      <w:r>
        <w:rPr>
          <w:rFonts w:ascii="Times New Roman" w:hAnsi="Times New Roman"/>
          <w:noProof/>
          <w:sz w:val="24"/>
          <w:vertAlign w:val="superscript"/>
          <w:lang w:val="fr-FR" w:eastAsia="fr-FR" w:bidi="fr-FR"/>
        </w:rPr>
        <w:footnoteReference w:id="4"/>
      </w:r>
      <w:r>
        <w:rPr>
          <w:rFonts w:ascii="Times New Roman" w:hAnsi="Times New Roman"/>
          <w:noProof/>
          <w:sz w:val="24"/>
          <w:lang w:val="fr-FR" w:eastAsia="fr-FR" w:bidi="fr-FR"/>
        </w:rPr>
        <w:t>.</w:t>
      </w:r>
    </w:p>
    <w:p w:rsidR="004E7FE9" w:rsidRDefault="005F36F9">
      <w:pPr>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L’article 29 du règlement (EC) nº </w:t>
      </w:r>
      <w:r>
        <w:rPr>
          <w:rFonts w:ascii="Times New Roman" w:hAnsi="Times New Roman"/>
          <w:noProof/>
          <w:sz w:val="24"/>
          <w:lang w:val="fr-FR" w:eastAsia="fr-FR" w:bidi="fr-FR"/>
        </w:rPr>
        <w:t xml:space="preserve">726/2004 et l’article 108 </w:t>
      </w:r>
      <w:r>
        <w:rPr>
          <w:rFonts w:ascii="Times New Roman" w:hAnsi="Times New Roman"/>
          <w:i/>
          <w:noProof/>
          <w:sz w:val="24"/>
          <w:lang w:val="fr-FR" w:eastAsia="fr-FR" w:bidi="fr-FR"/>
        </w:rPr>
        <w:t>ter</w:t>
      </w:r>
      <w:r>
        <w:rPr>
          <w:rFonts w:ascii="Times New Roman" w:hAnsi="Times New Roman"/>
          <w:noProof/>
          <w:sz w:val="24"/>
          <w:lang w:val="fr-FR" w:eastAsia="fr-FR" w:bidi="fr-FR"/>
        </w:rPr>
        <w:t xml:space="preserve"> de la directive 2001/83/CE requièrent de la Commission l’élaboration de rapports réguliers sur l’exécution des tâches de pharmacovigilance, respectivement par l’Agence européenne des médicaments (EMA) et par les États membres.</w:t>
      </w:r>
    </w:p>
    <w:p w:rsidR="004E7FE9" w:rsidRDefault="005F36F9">
      <w:pPr>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Le présent rapport et le document de travail des services de la Commission qui l’accompagne</w:t>
      </w:r>
      <w:r>
        <w:rPr>
          <w:rFonts w:ascii="Times New Roman" w:hAnsi="Times New Roman"/>
          <w:noProof/>
          <w:sz w:val="24"/>
          <w:vertAlign w:val="superscript"/>
          <w:lang w:val="fr-FR" w:eastAsia="fr-FR" w:bidi="fr-FR"/>
        </w:rPr>
        <w:footnoteReference w:id="5"/>
      </w:r>
      <w:r>
        <w:rPr>
          <w:rFonts w:ascii="Times New Roman" w:hAnsi="Times New Roman"/>
          <w:noProof/>
          <w:sz w:val="24"/>
          <w:lang w:val="fr-FR" w:eastAsia="fr-FR" w:bidi="fr-FR"/>
        </w:rPr>
        <w:t xml:space="preserve"> décrivent les activités du système collaboratif en réseau de l’Union pour le suivi et le contrôle de l’innocuité des médicaments à usage humain. Ils mettent l’acc</w:t>
      </w:r>
      <w:r>
        <w:rPr>
          <w:rFonts w:ascii="Times New Roman" w:hAnsi="Times New Roman"/>
          <w:noProof/>
          <w:sz w:val="24"/>
          <w:lang w:val="fr-FR" w:eastAsia="fr-FR" w:bidi="fr-FR"/>
        </w:rPr>
        <w:t>ent sur les activités réalisées entre la mise en application de la nouvelle réglementation en 2012 et la fin 2014, mais donnent aussi des informations sur des activités et processus amorcés avant juillet 2015.</w:t>
      </w:r>
    </w:p>
    <w:p w:rsidR="004E7FE9" w:rsidRDefault="004E7FE9">
      <w:pPr>
        <w:rPr>
          <w:rFonts w:ascii="Times New Roman" w:eastAsia="MS Mincho" w:hAnsi="Times New Roman" w:cs="Times New Roman"/>
          <w:b/>
          <w:smallCaps/>
          <w:noProof/>
          <w:sz w:val="24"/>
          <w:szCs w:val="24"/>
          <w:lang w:val="fr-FR" w:eastAsia="fr-FR" w:bidi="fr-FR"/>
        </w:rPr>
      </w:pPr>
    </w:p>
    <w:p w:rsidR="004E7FE9" w:rsidRDefault="005F36F9">
      <w:pPr>
        <w:keepNext/>
        <w:tabs>
          <w:tab w:val="left" w:pos="850"/>
        </w:tabs>
        <w:spacing w:before="360" w:after="120" w:line="240" w:lineRule="auto"/>
        <w:ind w:left="850" w:hanging="850"/>
        <w:jc w:val="both"/>
        <w:outlineLvl w:val="0"/>
        <w:rPr>
          <w:rFonts w:ascii="Times New Roman" w:eastAsia="MS Mincho" w:hAnsi="Times New Roman" w:cs="Times New Roman"/>
          <w:b/>
          <w:smallCaps/>
          <w:noProof/>
          <w:sz w:val="24"/>
          <w:szCs w:val="24"/>
          <w:lang w:val="fr-FR" w:eastAsia="fr-FR" w:bidi="fr-FR"/>
        </w:rPr>
      </w:pPr>
      <w:r>
        <w:rPr>
          <w:rFonts w:ascii="Times New Roman" w:eastAsia="MS Mincho" w:hAnsi="Times New Roman" w:cs="Times New Roman"/>
          <w:b/>
          <w:smallCaps/>
          <w:noProof/>
          <w:sz w:val="24"/>
          <w:szCs w:val="24"/>
          <w:lang w:val="fr-FR" w:eastAsia="fr-FR" w:bidi="fr-FR"/>
        </w:rPr>
        <w:t>2.</w:t>
      </w:r>
      <w:r>
        <w:rPr>
          <w:rFonts w:ascii="Times New Roman" w:eastAsia="MS Mincho" w:hAnsi="Times New Roman" w:cs="Times New Roman"/>
          <w:b/>
          <w:smallCaps/>
          <w:noProof/>
          <w:sz w:val="24"/>
          <w:szCs w:val="24"/>
          <w:lang w:val="fr-FR" w:eastAsia="fr-FR" w:bidi="fr-FR"/>
        </w:rPr>
        <w:tab/>
        <w:t>Forte coopération entre les autorités de r</w:t>
      </w:r>
      <w:r>
        <w:rPr>
          <w:rFonts w:ascii="Times New Roman" w:eastAsia="MS Mincho" w:hAnsi="Times New Roman" w:cs="Times New Roman"/>
          <w:b/>
          <w:smallCaps/>
          <w:noProof/>
          <w:sz w:val="24"/>
          <w:szCs w:val="24"/>
          <w:lang w:val="fr-FR" w:eastAsia="fr-FR" w:bidi="fr-FR"/>
        </w:rPr>
        <w:t>églementation européennes</w:t>
      </w:r>
    </w:p>
    <w:p w:rsidR="004E7FE9" w:rsidRDefault="005F36F9">
      <w:pPr>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L’un des principaux objectifs visés par la nouvelle réglementation en matière de pharmacovigilance est de garantir que les autorités de réglementation sont à même de répondre aux problèmes de santé émergents ou urgents en temps ut</w:t>
      </w:r>
      <w:r>
        <w:rPr>
          <w:rFonts w:ascii="Times New Roman" w:hAnsi="Times New Roman"/>
          <w:noProof/>
          <w:sz w:val="24"/>
          <w:lang w:val="fr-FR" w:eastAsia="fr-FR" w:bidi="fr-FR"/>
        </w:rPr>
        <w:t>ile et de manière efficace. À cette fin, les autorités de réglementation pharmaceutique de 31 pays de l’Espace économique européen (EEE), l’EMA et la Commission européenne coopèrent étroitement et travaillent en partenariat sous forme de réseau pour discut</w:t>
      </w:r>
      <w:r>
        <w:rPr>
          <w:rFonts w:ascii="Times New Roman" w:hAnsi="Times New Roman"/>
          <w:noProof/>
          <w:sz w:val="24"/>
          <w:lang w:val="fr-FR" w:eastAsia="fr-FR" w:bidi="fr-FR"/>
        </w:rPr>
        <w:t>er et traiter rapidement tout problème émergent dans l’intérêt de l’accès des patients à des médicaments sûrs et efficaces</w:t>
      </w:r>
      <w:r>
        <w:rPr>
          <w:rFonts w:ascii="Times New Roman" w:hAnsi="Times New Roman"/>
          <w:noProof/>
          <w:sz w:val="24"/>
          <w:vertAlign w:val="superscript"/>
          <w:lang w:val="fr-FR" w:eastAsia="fr-FR" w:bidi="fr-FR"/>
        </w:rPr>
        <w:footnoteReference w:id="6"/>
      </w:r>
      <w:r>
        <w:rPr>
          <w:rFonts w:ascii="Times New Roman" w:hAnsi="Times New Roman"/>
          <w:noProof/>
          <w:sz w:val="24"/>
          <w:lang w:val="fr-FR" w:eastAsia="fr-FR" w:bidi="fr-FR"/>
        </w:rPr>
        <w:t>. La réglementation a amélioré la capacité à adopter rapidement des mesures réglementaires fiables: création du comité pour l’évaluat</w:t>
      </w:r>
      <w:r>
        <w:rPr>
          <w:rFonts w:ascii="Times New Roman" w:hAnsi="Times New Roman"/>
          <w:noProof/>
          <w:sz w:val="24"/>
          <w:lang w:val="fr-FR" w:eastAsia="fr-FR" w:bidi="fr-FR"/>
        </w:rPr>
        <w:t xml:space="preserve">ion des risques en matière de pharmacovigilance; renforcement du groupe de coordination pour les procédures de reconnaissance mutuelle et d’autorisation décentralisée (médicaments à usage humain); adoption de nouvelles procédures permettant d’accélérer la </w:t>
      </w:r>
      <w:r>
        <w:rPr>
          <w:rFonts w:ascii="Times New Roman" w:hAnsi="Times New Roman"/>
          <w:noProof/>
          <w:sz w:val="24"/>
          <w:lang w:val="fr-FR" w:eastAsia="fr-FR" w:bidi="fr-FR"/>
        </w:rPr>
        <w:t>prise de décision lorsqu’il existe un risque pour la santé publique.</w:t>
      </w:r>
    </w:p>
    <w:p w:rsidR="004E7FE9" w:rsidRDefault="005F36F9">
      <w:pPr>
        <w:keepNext/>
        <w:tabs>
          <w:tab w:val="left" w:pos="850"/>
        </w:tabs>
        <w:spacing w:before="120" w:after="120" w:line="240" w:lineRule="auto"/>
        <w:ind w:left="850" w:hanging="850"/>
        <w:jc w:val="both"/>
        <w:outlineLvl w:val="1"/>
        <w:rPr>
          <w:rFonts w:ascii="Times New Roman" w:eastAsia="MS Mincho" w:hAnsi="Times New Roman" w:cs="Times New Roman"/>
          <w:b/>
          <w:noProof/>
          <w:sz w:val="24"/>
          <w:szCs w:val="24"/>
          <w:lang w:val="fr-FR" w:eastAsia="fr-FR" w:bidi="fr-FR"/>
        </w:rPr>
      </w:pPr>
      <w:r>
        <w:rPr>
          <w:rFonts w:ascii="Times New Roman" w:eastAsia="MS Mincho" w:hAnsi="Times New Roman" w:cs="Times New Roman"/>
          <w:b/>
          <w:noProof/>
          <w:sz w:val="24"/>
          <w:szCs w:val="24"/>
          <w:lang w:val="fr-FR" w:eastAsia="fr-FR" w:bidi="fr-FR"/>
        </w:rPr>
        <w:t>2.1.</w:t>
      </w:r>
      <w:r>
        <w:rPr>
          <w:rFonts w:ascii="Times New Roman" w:eastAsia="MS Mincho" w:hAnsi="Times New Roman" w:cs="Times New Roman"/>
          <w:b/>
          <w:noProof/>
          <w:sz w:val="24"/>
          <w:szCs w:val="24"/>
          <w:lang w:val="fr-FR" w:eastAsia="fr-FR" w:bidi="fr-FR"/>
        </w:rPr>
        <w:tab/>
        <w:t>Rôle des États membres</w:t>
      </w:r>
    </w:p>
    <w:p w:rsidR="004E7FE9" w:rsidRDefault="005F36F9">
      <w:pPr>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Le fonctionnement de l’ensemble du système de pharmacovigilance repose sur les États membres de l’EEE. Ceux-ci fournissent une grande partie des ressources et </w:t>
      </w:r>
      <w:r>
        <w:rPr>
          <w:rFonts w:ascii="Times New Roman" w:hAnsi="Times New Roman"/>
          <w:noProof/>
          <w:sz w:val="24"/>
          <w:lang w:val="fr-FR" w:eastAsia="fr-FR" w:bidi="fr-FR"/>
        </w:rPr>
        <w:t>des connaissances permettant d’évaluer les signaux d’effets secondaires émergents éventuels, et ils prennent l’initiative d’évaluer et d’analyser les données lorsqu’une question de sécurité est évaluée au niveau européen. Ce sont leurs services d’inspectio</w:t>
      </w:r>
      <w:r>
        <w:rPr>
          <w:rFonts w:ascii="Times New Roman" w:hAnsi="Times New Roman"/>
          <w:noProof/>
          <w:sz w:val="24"/>
          <w:lang w:val="fr-FR" w:eastAsia="fr-FR" w:bidi="fr-FR"/>
        </w:rPr>
        <w:t>n qui garantissent la bonne fabrication et la bonne qualité des médicaments mis sur le marché de l’Union, ainsi que le bon fonctionnement des systèmes de pharmacovigilance du secteur pharmaceutique.</w:t>
      </w:r>
    </w:p>
    <w:p w:rsidR="004E7FE9" w:rsidRDefault="005F36F9">
      <w:pPr>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La réglementation confère au groupe de coordination pour </w:t>
      </w:r>
      <w:r>
        <w:rPr>
          <w:rFonts w:ascii="Times New Roman" w:hAnsi="Times New Roman"/>
          <w:noProof/>
          <w:sz w:val="24"/>
          <w:lang w:val="fr-FR" w:eastAsia="fr-FR" w:bidi="fr-FR"/>
        </w:rPr>
        <w:t>les procédures de reconnaissance mutuelle et d’autorisation décentralisée — médicaments à usage humain (CMDh)</w:t>
      </w:r>
      <w:r>
        <w:rPr>
          <w:rFonts w:ascii="Times New Roman" w:hAnsi="Times New Roman"/>
          <w:noProof/>
          <w:sz w:val="24"/>
          <w:vertAlign w:val="superscript"/>
          <w:lang w:val="fr-FR" w:eastAsia="fr-FR" w:bidi="fr-FR"/>
        </w:rPr>
        <w:footnoteReference w:id="7"/>
      </w:r>
      <w:r>
        <w:rPr>
          <w:rFonts w:ascii="Times New Roman" w:hAnsi="Times New Roman"/>
          <w:noProof/>
          <w:sz w:val="24"/>
          <w:lang w:val="fr-FR" w:eastAsia="fr-FR" w:bidi="fr-FR"/>
        </w:rPr>
        <w:t>, organisme représentant les autorités de réglementation nationales de l’EEE, un rôle d’initiative dans la prise de décision lorsqu’il ne s’agit p</w:t>
      </w:r>
      <w:r>
        <w:rPr>
          <w:rFonts w:ascii="Times New Roman" w:hAnsi="Times New Roman"/>
          <w:noProof/>
          <w:sz w:val="24"/>
          <w:lang w:val="fr-FR" w:eastAsia="fr-FR" w:bidi="fr-FR"/>
        </w:rPr>
        <w:t xml:space="preserve">as de médicaments ayant fait l’objet d’une procédure d’autorisation centralisée. </w:t>
      </w:r>
    </w:p>
    <w:p w:rsidR="004E7FE9" w:rsidRDefault="005F36F9">
      <w:pPr>
        <w:keepNext/>
        <w:tabs>
          <w:tab w:val="left" w:pos="850"/>
        </w:tabs>
        <w:spacing w:before="120" w:after="120" w:line="240" w:lineRule="auto"/>
        <w:ind w:left="850" w:hanging="850"/>
        <w:jc w:val="both"/>
        <w:outlineLvl w:val="1"/>
        <w:rPr>
          <w:rFonts w:ascii="Times New Roman" w:eastAsia="MS Mincho" w:hAnsi="Times New Roman" w:cs="Times New Roman"/>
          <w:b/>
          <w:noProof/>
          <w:sz w:val="24"/>
          <w:szCs w:val="24"/>
          <w:lang w:val="fr-FR" w:eastAsia="fr-FR" w:bidi="fr-FR"/>
        </w:rPr>
      </w:pPr>
      <w:r>
        <w:rPr>
          <w:rFonts w:ascii="Times New Roman" w:eastAsia="MS Mincho" w:hAnsi="Times New Roman" w:cs="Times New Roman"/>
          <w:b/>
          <w:noProof/>
          <w:sz w:val="24"/>
          <w:szCs w:val="24"/>
          <w:lang w:val="fr-FR" w:eastAsia="fr-FR" w:bidi="fr-FR"/>
        </w:rPr>
        <w:t>2.2.</w:t>
      </w:r>
      <w:r>
        <w:rPr>
          <w:rFonts w:ascii="Times New Roman" w:eastAsia="MS Mincho" w:hAnsi="Times New Roman" w:cs="Times New Roman"/>
          <w:b/>
          <w:noProof/>
          <w:sz w:val="24"/>
          <w:szCs w:val="24"/>
          <w:lang w:val="fr-FR" w:eastAsia="fr-FR" w:bidi="fr-FR"/>
        </w:rPr>
        <w:tab/>
        <w:t>Rôle de l’Agence européenne des médicaments</w:t>
      </w:r>
    </w:p>
    <w:p w:rsidR="004E7FE9" w:rsidRDefault="005F36F9">
      <w:pPr>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L’EMA joue un rôle central dans le système de l’Union en coordonnant les activités et en apportant un soutien technique, réglementaire et scientifique aux États membres et aux industriels. </w:t>
      </w:r>
    </w:p>
    <w:p w:rsidR="004E7FE9" w:rsidRDefault="005F36F9">
      <w:pPr>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Le comité pour l’évaluation des risques en matière de pharmacovigi</w:t>
      </w:r>
      <w:r>
        <w:rPr>
          <w:rFonts w:ascii="Times New Roman" w:hAnsi="Times New Roman"/>
          <w:noProof/>
          <w:sz w:val="24"/>
          <w:lang w:val="fr-FR" w:eastAsia="fr-FR" w:bidi="fr-FR"/>
        </w:rPr>
        <w:t>lance (PRAC), son nouveau comité scientifique, existe depuis juillet 2012. Le mandat du PRAC inclut tous les aspects de la gestion des risques des médicaments à usage humain. Les membres du PRAC sont des experts en pharmacovigilance et en réglementation de</w:t>
      </w:r>
      <w:r>
        <w:rPr>
          <w:rFonts w:ascii="Times New Roman" w:hAnsi="Times New Roman"/>
          <w:noProof/>
          <w:sz w:val="24"/>
          <w:lang w:val="fr-FR" w:eastAsia="fr-FR" w:bidi="fr-FR"/>
        </w:rPr>
        <w:t>s États membres de l’Union, ainsi que des experts scientifiques et des représentants des professionnels de la santé et des associations de patients nommés par la Commission européenne. Le graphique 1 de l’annexe montre la place des principales activités de</w:t>
      </w:r>
      <w:r>
        <w:rPr>
          <w:rFonts w:ascii="Times New Roman" w:hAnsi="Times New Roman"/>
          <w:noProof/>
          <w:sz w:val="24"/>
          <w:lang w:val="fr-FR" w:eastAsia="fr-FR" w:bidi="fr-FR"/>
        </w:rPr>
        <w:t xml:space="preserve"> pharmacovigilance dans l’ordre du jour du PRAC entre juillet 2012 et décembre 2014. </w:t>
      </w:r>
    </w:p>
    <w:p w:rsidR="004E7FE9" w:rsidRDefault="005F36F9">
      <w:pPr>
        <w:keepNext/>
        <w:tabs>
          <w:tab w:val="left" w:pos="850"/>
        </w:tabs>
        <w:spacing w:before="120" w:after="120" w:line="240" w:lineRule="auto"/>
        <w:ind w:left="850" w:hanging="850"/>
        <w:jc w:val="both"/>
        <w:outlineLvl w:val="1"/>
        <w:rPr>
          <w:rFonts w:ascii="Times New Roman" w:eastAsia="MS Mincho" w:hAnsi="Times New Roman" w:cs="Times New Roman"/>
          <w:b/>
          <w:noProof/>
          <w:sz w:val="24"/>
          <w:szCs w:val="24"/>
          <w:lang w:val="fr-FR" w:eastAsia="fr-FR" w:bidi="fr-FR"/>
        </w:rPr>
      </w:pPr>
      <w:r>
        <w:rPr>
          <w:rFonts w:ascii="Times New Roman" w:eastAsia="MS Mincho" w:hAnsi="Times New Roman" w:cs="Times New Roman"/>
          <w:b/>
          <w:noProof/>
          <w:sz w:val="24"/>
          <w:szCs w:val="24"/>
          <w:lang w:val="fr-FR" w:eastAsia="fr-FR" w:bidi="fr-FR"/>
        </w:rPr>
        <w:t>2.3.</w:t>
      </w:r>
      <w:r>
        <w:rPr>
          <w:rFonts w:ascii="Times New Roman" w:eastAsia="MS Mincho" w:hAnsi="Times New Roman" w:cs="Times New Roman"/>
          <w:b/>
          <w:noProof/>
          <w:sz w:val="24"/>
          <w:szCs w:val="24"/>
          <w:lang w:val="fr-FR" w:eastAsia="fr-FR" w:bidi="fr-FR"/>
        </w:rPr>
        <w:tab/>
        <w:t>Rôle de la Commission</w:t>
      </w:r>
    </w:p>
    <w:p w:rsidR="004E7FE9" w:rsidRDefault="005F36F9">
      <w:pPr>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Commission européenne est l’autorité compétente pour les médicaments ayant fait l’objet d’une procédure d’autorisation centralisée et élabor</w:t>
      </w:r>
      <w:r>
        <w:rPr>
          <w:rFonts w:ascii="Times New Roman" w:hAnsi="Times New Roman"/>
          <w:noProof/>
          <w:sz w:val="24"/>
          <w:lang w:val="fr-FR" w:eastAsia="fr-FR" w:bidi="fr-FR"/>
        </w:rPr>
        <w:t>e le cadre légal du système de pharmacovigilance de l’Union.</w:t>
      </w:r>
    </w:p>
    <w:p w:rsidR="004E7FE9" w:rsidRDefault="005F36F9">
      <w:pPr>
        <w:keepNext/>
        <w:tabs>
          <w:tab w:val="left" w:pos="850"/>
        </w:tabs>
        <w:spacing w:before="360" w:after="120" w:line="240" w:lineRule="auto"/>
        <w:ind w:left="850" w:hanging="850"/>
        <w:jc w:val="both"/>
        <w:outlineLvl w:val="0"/>
        <w:rPr>
          <w:rFonts w:ascii="Times New Roman" w:eastAsia="MS Mincho" w:hAnsi="Times New Roman" w:cs="Times New Roman"/>
          <w:b/>
          <w:smallCaps/>
          <w:noProof/>
          <w:sz w:val="24"/>
          <w:szCs w:val="24"/>
          <w:lang w:val="fr-FR" w:eastAsia="fr-FR" w:bidi="fr-FR"/>
        </w:rPr>
      </w:pPr>
      <w:r>
        <w:rPr>
          <w:rFonts w:ascii="Times New Roman" w:eastAsia="MS Mincho" w:hAnsi="Times New Roman" w:cs="Times New Roman"/>
          <w:b/>
          <w:smallCaps/>
          <w:noProof/>
          <w:sz w:val="24"/>
          <w:szCs w:val="24"/>
          <w:lang w:val="fr-FR" w:eastAsia="fr-FR" w:bidi="fr-FR"/>
        </w:rPr>
        <w:t>3.</w:t>
      </w:r>
      <w:r>
        <w:rPr>
          <w:rFonts w:ascii="Times New Roman" w:eastAsia="MS Mincho" w:hAnsi="Times New Roman" w:cs="Times New Roman"/>
          <w:b/>
          <w:smallCaps/>
          <w:noProof/>
          <w:sz w:val="24"/>
          <w:szCs w:val="24"/>
          <w:lang w:val="fr-FR" w:eastAsia="fr-FR" w:bidi="fr-FR"/>
        </w:rPr>
        <w:tab/>
        <w:t>Principales tâches et activités liées à la pharmacovigilance</w:t>
      </w:r>
    </w:p>
    <w:p w:rsidR="004E7FE9" w:rsidRDefault="005F36F9">
      <w:pPr>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L’ensemble du processus de pharmacovigilance — des systèmes de suivi et de détection des éventuels effets indésirables aux mesures </w:t>
      </w:r>
      <w:r>
        <w:rPr>
          <w:rFonts w:ascii="Times New Roman" w:hAnsi="Times New Roman"/>
          <w:noProof/>
          <w:sz w:val="24"/>
          <w:lang w:val="fr-FR" w:eastAsia="fr-FR" w:bidi="fr-FR"/>
        </w:rPr>
        <w:t xml:space="preserve">réglementaires visant à atténuer les risques — est caractérisé par une intense coordination entre le réseau des autorités de réglementation, l’industrie pharmaceutique et les systèmes de santé. Il est alimenté par des contributions très diverses provenant </w:t>
      </w:r>
      <w:r>
        <w:rPr>
          <w:rFonts w:ascii="Times New Roman" w:hAnsi="Times New Roman"/>
          <w:noProof/>
          <w:sz w:val="24"/>
          <w:lang w:val="fr-FR" w:eastAsia="fr-FR" w:bidi="fr-FR"/>
        </w:rPr>
        <w:t>aussi d’autorités réglementaires de pays tiers, d’universitaires, de professionnels de la santé et de patients.</w:t>
      </w:r>
    </w:p>
    <w:p w:rsidR="004E7FE9" w:rsidRDefault="005F36F9">
      <w:pPr>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Le processus de pharmacovigilance se compose avant tout des tâches suivantes:</w:t>
      </w:r>
    </w:p>
    <w:p w:rsidR="004E7FE9" w:rsidRDefault="005F36F9">
      <w:pPr>
        <w:numPr>
          <w:ilvl w:val="0"/>
          <w:numId w:val="1"/>
        </w:numPr>
        <w:jc w:val="both"/>
        <w:rPr>
          <w:rFonts w:ascii="Times New Roman" w:hAnsi="Times New Roman" w:cs="Times New Roman"/>
          <w:noProof/>
          <w:sz w:val="24"/>
          <w:szCs w:val="24"/>
          <w:lang w:val="fr-FR" w:eastAsia="fr-FR" w:bidi="fr-FR"/>
        </w:rPr>
      </w:pPr>
      <w:r>
        <w:rPr>
          <w:rFonts w:ascii="Times New Roman" w:hAnsi="Times New Roman"/>
          <w:b/>
          <w:noProof/>
          <w:sz w:val="24"/>
          <w:lang w:val="fr-FR" w:eastAsia="fr-FR" w:bidi="fr-FR"/>
        </w:rPr>
        <w:t>Planification de la gestion des risques</w:t>
      </w:r>
      <w:r>
        <w:rPr>
          <w:rFonts w:ascii="Times New Roman" w:hAnsi="Times New Roman"/>
          <w:noProof/>
          <w:sz w:val="24"/>
          <w:lang w:val="fr-FR" w:eastAsia="fr-FR" w:bidi="fr-FR"/>
        </w:rPr>
        <w:t xml:space="preserve"> — évaluation des risques d</w:t>
      </w:r>
      <w:r>
        <w:rPr>
          <w:rFonts w:ascii="Times New Roman" w:hAnsi="Times New Roman"/>
          <w:noProof/>
          <w:sz w:val="24"/>
          <w:lang w:val="fr-FR" w:eastAsia="fr-FR" w:bidi="fr-FR"/>
        </w:rPr>
        <w:t>e chaque nouveau médicament et élaboration de plans de collecte de données et de minimisation des risques. Le PRAC a examiné 48 plans de gestion des risques (PGR) de juillet à décembre 2012, 637 en 2013 et 597 en 2014. Les États membres ont reçu, au total,</w:t>
      </w:r>
      <w:r>
        <w:rPr>
          <w:rFonts w:ascii="Times New Roman" w:hAnsi="Times New Roman"/>
          <w:noProof/>
          <w:sz w:val="24"/>
          <w:lang w:val="fr-FR" w:eastAsia="fr-FR" w:bidi="fr-FR"/>
        </w:rPr>
        <w:t xml:space="preserve"> environ 3 500 PGR en 2012, 7 500 en 2013 et 9 000 en 2014 pour des médicaments autorisés sur un plan national.</w:t>
      </w:r>
    </w:p>
    <w:p w:rsidR="004E7FE9" w:rsidRDefault="005F36F9">
      <w:pPr>
        <w:numPr>
          <w:ilvl w:val="0"/>
          <w:numId w:val="1"/>
        </w:numPr>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Collecte et gestion de cas d’effets secondaires possibles signalés (</w:t>
      </w:r>
      <w:r>
        <w:rPr>
          <w:rFonts w:ascii="Times New Roman" w:hAnsi="Times New Roman"/>
          <w:b/>
          <w:noProof/>
          <w:sz w:val="24"/>
          <w:lang w:val="fr-FR" w:eastAsia="fr-FR" w:bidi="fr-FR"/>
        </w:rPr>
        <w:t>effets indésirables</w:t>
      </w:r>
      <w:r>
        <w:rPr>
          <w:rFonts w:ascii="Times New Roman" w:hAnsi="Times New Roman"/>
          <w:noProof/>
          <w:sz w:val="24"/>
          <w:lang w:val="fr-FR" w:eastAsia="fr-FR" w:bidi="fr-FR"/>
        </w:rPr>
        <w:t>). Le graphique 2 de l’annexe indique le nombre de rappor</w:t>
      </w:r>
      <w:r>
        <w:rPr>
          <w:rFonts w:ascii="Times New Roman" w:hAnsi="Times New Roman"/>
          <w:noProof/>
          <w:sz w:val="24"/>
          <w:lang w:val="fr-FR" w:eastAsia="fr-FR" w:bidi="fr-FR"/>
        </w:rPr>
        <w:t>ts d’effets indésirables graves reçus entre 2011 et 2014.</w:t>
      </w:r>
    </w:p>
    <w:p w:rsidR="004E7FE9" w:rsidRDefault="005F36F9">
      <w:pPr>
        <w:numPr>
          <w:ilvl w:val="0"/>
          <w:numId w:val="1"/>
        </w:numPr>
        <w:jc w:val="both"/>
        <w:rPr>
          <w:rFonts w:ascii="Times New Roman" w:hAnsi="Times New Roman" w:cs="Times New Roman"/>
          <w:noProof/>
          <w:sz w:val="24"/>
          <w:szCs w:val="24"/>
          <w:lang w:val="fr-FR" w:eastAsia="fr-FR" w:bidi="fr-FR"/>
        </w:rPr>
      </w:pPr>
      <w:r>
        <w:rPr>
          <w:rFonts w:ascii="Times New Roman" w:hAnsi="Times New Roman"/>
          <w:b/>
          <w:noProof/>
          <w:sz w:val="24"/>
          <w:lang w:val="fr-FR" w:eastAsia="fr-FR" w:bidi="fr-FR"/>
        </w:rPr>
        <w:t>Détection et gestion des signaux</w:t>
      </w:r>
      <w:r>
        <w:rPr>
          <w:rFonts w:ascii="Times New Roman" w:hAnsi="Times New Roman"/>
          <w:noProof/>
          <w:sz w:val="24"/>
          <w:lang w:val="fr-FR" w:eastAsia="fr-FR" w:bidi="fr-FR"/>
        </w:rPr>
        <w:t xml:space="preserve"> — analyse des rapports d’effets secondaires suspectés pour y détecter des signaux. Le PRAC a évalué environ 193 signaux isolés entre septembre 2012 et décembre 2014. Le graphique 3 de l’annexe représente le nombre de discussions au sein du PRAC concernant</w:t>
      </w:r>
      <w:r>
        <w:rPr>
          <w:rFonts w:ascii="Times New Roman" w:hAnsi="Times New Roman"/>
          <w:noProof/>
          <w:sz w:val="24"/>
          <w:lang w:val="fr-FR" w:eastAsia="fr-FR" w:bidi="fr-FR"/>
        </w:rPr>
        <w:t xml:space="preserve"> de nouveaux signaux ou le suivi de discussions antérieures. Le graphique 4 donne un aperçu des mesures réglementaires adoptées à la suite de l’évaluation des signaux.</w:t>
      </w:r>
    </w:p>
    <w:p w:rsidR="004E7FE9" w:rsidRDefault="005F36F9">
      <w:pPr>
        <w:numPr>
          <w:ilvl w:val="0"/>
          <w:numId w:val="1"/>
        </w:numPr>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Suivi régulier du rapport bénéfice/risque des médicaments au moyen de </w:t>
      </w:r>
      <w:r>
        <w:rPr>
          <w:rFonts w:ascii="Times New Roman" w:hAnsi="Times New Roman"/>
          <w:b/>
          <w:noProof/>
          <w:sz w:val="24"/>
          <w:lang w:val="fr-FR" w:eastAsia="fr-FR" w:bidi="fr-FR"/>
        </w:rPr>
        <w:t>rapports périodiqu</w:t>
      </w:r>
      <w:r>
        <w:rPr>
          <w:rFonts w:ascii="Times New Roman" w:hAnsi="Times New Roman"/>
          <w:b/>
          <w:noProof/>
          <w:sz w:val="24"/>
          <w:lang w:val="fr-FR" w:eastAsia="fr-FR" w:bidi="fr-FR"/>
        </w:rPr>
        <w:t>es actualisés de sécurité</w:t>
      </w:r>
      <w:r>
        <w:rPr>
          <w:rFonts w:ascii="Times New Roman" w:hAnsi="Times New Roman"/>
          <w:noProof/>
          <w:sz w:val="24"/>
          <w:lang w:val="fr-FR" w:eastAsia="fr-FR" w:bidi="fr-FR"/>
        </w:rPr>
        <w:t xml:space="preserve"> (PSUR) et gestion des calendriers de soumission de ces rapports (liste EURD). Le PRAC a examiné 20 rapports périodiques de juillet à décembre 2012, 436 en 2013 et 471 en 2014. Le graphique 5 de l’annexe donne un aperçu des mesures</w:t>
      </w:r>
      <w:r>
        <w:rPr>
          <w:rFonts w:ascii="Times New Roman" w:hAnsi="Times New Roman"/>
          <w:noProof/>
          <w:sz w:val="24"/>
          <w:lang w:val="fr-FR" w:eastAsia="fr-FR" w:bidi="fr-FR"/>
        </w:rPr>
        <w:t xml:space="preserve"> réglementaires adoptées à la suite de l’évaluation des rapports. En outre, les rapports périodiques soumis aux autorités compétentes nationales pour des évaluations purement nationales étaient au nombre d’environ 5 000 en 2012, 3 500 en 2013 et 3 000 en 2</w:t>
      </w:r>
      <w:r>
        <w:rPr>
          <w:rFonts w:ascii="Times New Roman" w:hAnsi="Times New Roman"/>
          <w:noProof/>
          <w:sz w:val="24"/>
          <w:lang w:val="fr-FR" w:eastAsia="fr-FR" w:bidi="fr-FR"/>
        </w:rPr>
        <w:t>014, accompagnés respectivement de 62, 151 et 116 procédures de répartition des tâches pour des médicaments autorisés uniquement au plan national.</w:t>
      </w:r>
    </w:p>
    <w:p w:rsidR="004E7FE9" w:rsidRDefault="005F36F9">
      <w:pPr>
        <w:numPr>
          <w:ilvl w:val="0"/>
          <w:numId w:val="1"/>
        </w:numPr>
        <w:jc w:val="both"/>
        <w:rPr>
          <w:rFonts w:ascii="Times New Roman" w:hAnsi="Times New Roman" w:cs="Times New Roman"/>
          <w:noProof/>
          <w:sz w:val="24"/>
          <w:szCs w:val="24"/>
          <w:lang w:val="fr-FR" w:eastAsia="fr-FR" w:bidi="fr-FR"/>
        </w:rPr>
      </w:pPr>
      <w:r>
        <w:rPr>
          <w:rFonts w:ascii="Times New Roman" w:hAnsi="Times New Roman"/>
          <w:b/>
          <w:noProof/>
          <w:sz w:val="24"/>
          <w:lang w:val="fr-FR" w:eastAsia="fr-FR" w:bidi="fr-FR"/>
        </w:rPr>
        <w:t>Saisines</w:t>
      </w:r>
      <w:r>
        <w:rPr>
          <w:rFonts w:ascii="Times New Roman" w:hAnsi="Times New Roman"/>
          <w:noProof/>
          <w:sz w:val="24"/>
          <w:lang w:val="fr-FR" w:eastAsia="fr-FR" w:bidi="fr-FR"/>
        </w:rPr>
        <w:t xml:space="preserve"> — examens sur un plan européen de questions importantes en matière de sécurité et de rapport bénéfic</w:t>
      </w:r>
      <w:r>
        <w:rPr>
          <w:rFonts w:ascii="Times New Roman" w:hAnsi="Times New Roman"/>
          <w:noProof/>
          <w:sz w:val="24"/>
          <w:lang w:val="fr-FR" w:eastAsia="fr-FR" w:bidi="fr-FR"/>
        </w:rPr>
        <w:t>e/risque. Entre juillet 2012 et décembre 2014, le PRAC a connu 31 saisines de sécurité. Neuf de ces saisines concernaient des médicaments ayant fait l’objet d’une procédure d’autorisation centralisée, les autres concernaient des produits autorisés sur un p</w:t>
      </w:r>
      <w:r>
        <w:rPr>
          <w:rFonts w:ascii="Times New Roman" w:hAnsi="Times New Roman"/>
          <w:noProof/>
          <w:sz w:val="24"/>
          <w:lang w:val="fr-FR" w:eastAsia="fr-FR" w:bidi="fr-FR"/>
        </w:rPr>
        <w:t>lan national (voir le graphique 6 de l’annexe). Le CMDh a aussi examiné divers sujets de préoccupations nationaux pour décider s’il fallait les évaluer au niveau de l’Union, mais aucune saisine ne s’est ensuivie. Ces discussions ont eu lieu deux fois en 20</w:t>
      </w:r>
      <w:r>
        <w:rPr>
          <w:rFonts w:ascii="Times New Roman" w:hAnsi="Times New Roman"/>
          <w:noProof/>
          <w:sz w:val="24"/>
          <w:lang w:val="fr-FR" w:eastAsia="fr-FR" w:bidi="fr-FR"/>
        </w:rPr>
        <w:t>13 et six fois en 2014.</w:t>
      </w:r>
    </w:p>
    <w:p w:rsidR="004E7FE9" w:rsidRDefault="005F36F9">
      <w:pPr>
        <w:numPr>
          <w:ilvl w:val="0"/>
          <w:numId w:val="1"/>
        </w:numPr>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Gestion des informations sur les médicaments faisant l’objet d’une </w:t>
      </w:r>
      <w:r>
        <w:rPr>
          <w:rFonts w:ascii="Times New Roman" w:hAnsi="Times New Roman"/>
          <w:b/>
          <w:noProof/>
          <w:sz w:val="24"/>
          <w:lang w:val="fr-FR" w:eastAsia="fr-FR" w:bidi="fr-FR"/>
        </w:rPr>
        <w:t>surveillance supplémentaire</w:t>
      </w:r>
      <w:r>
        <w:rPr>
          <w:rFonts w:ascii="Times New Roman" w:hAnsi="Times New Roman"/>
          <w:noProof/>
          <w:sz w:val="24"/>
          <w:lang w:val="fr-FR" w:eastAsia="fr-FR" w:bidi="fr-FR"/>
        </w:rPr>
        <w:t xml:space="preserve"> et les médicaments retirés. En fin 2014, la liste des médicaments faisant l’objet d’une surveillance supplémentaire comprenait 193 médica</w:t>
      </w:r>
      <w:r>
        <w:rPr>
          <w:rFonts w:ascii="Times New Roman" w:hAnsi="Times New Roman"/>
          <w:noProof/>
          <w:sz w:val="24"/>
          <w:lang w:val="fr-FR" w:eastAsia="fr-FR" w:bidi="fr-FR"/>
        </w:rPr>
        <w:t>ments autorisés de manière centralisée et 8 substances présentes dans 1 269 médicaments autorisés sur un plan national. Au cours de l’année 2014, l’EMA a reçu 132 avis de retrait de produits.</w:t>
      </w:r>
    </w:p>
    <w:p w:rsidR="004E7FE9" w:rsidRDefault="005F36F9">
      <w:pPr>
        <w:numPr>
          <w:ilvl w:val="0"/>
          <w:numId w:val="1"/>
        </w:numPr>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Évaluation et coordination des études intervenant après la comme</w:t>
      </w:r>
      <w:r>
        <w:rPr>
          <w:rFonts w:ascii="Times New Roman" w:hAnsi="Times New Roman"/>
          <w:noProof/>
          <w:sz w:val="24"/>
          <w:lang w:val="fr-FR" w:eastAsia="fr-FR" w:bidi="fr-FR"/>
        </w:rPr>
        <w:t xml:space="preserve">rcialisation grâce aux </w:t>
      </w:r>
      <w:r>
        <w:rPr>
          <w:rFonts w:ascii="Times New Roman" w:hAnsi="Times New Roman"/>
          <w:b/>
          <w:noProof/>
          <w:sz w:val="24"/>
          <w:lang w:val="fr-FR" w:eastAsia="fr-FR" w:bidi="fr-FR"/>
        </w:rPr>
        <w:t>études de sécurité post-autorisation</w:t>
      </w:r>
      <w:r>
        <w:rPr>
          <w:rFonts w:ascii="Times New Roman" w:hAnsi="Times New Roman"/>
          <w:noProof/>
          <w:sz w:val="24"/>
          <w:lang w:val="fr-FR" w:eastAsia="fr-FR" w:bidi="fr-FR"/>
        </w:rPr>
        <w:t xml:space="preserve"> et aux </w:t>
      </w:r>
      <w:r>
        <w:rPr>
          <w:rFonts w:ascii="Times New Roman" w:hAnsi="Times New Roman"/>
          <w:b/>
          <w:noProof/>
          <w:sz w:val="24"/>
          <w:lang w:val="fr-FR" w:eastAsia="fr-FR" w:bidi="fr-FR"/>
        </w:rPr>
        <w:t>études d’efficacité post-autorisation</w:t>
      </w:r>
      <w:r>
        <w:rPr>
          <w:rFonts w:ascii="Times New Roman" w:hAnsi="Times New Roman"/>
          <w:noProof/>
          <w:sz w:val="24"/>
          <w:lang w:val="fr-FR" w:eastAsia="fr-FR" w:bidi="fr-FR"/>
        </w:rPr>
        <w:t>. Entre juillet 2012 et décembre 2014, le PRAC a examiné les protocoles de 38 études de sécurité post-autorisation non interventionnelles imposées. De p</w:t>
      </w:r>
      <w:r>
        <w:rPr>
          <w:rFonts w:ascii="Times New Roman" w:hAnsi="Times New Roman"/>
          <w:noProof/>
          <w:sz w:val="24"/>
          <w:lang w:val="fr-FR" w:eastAsia="fr-FR" w:bidi="fr-FR"/>
        </w:rPr>
        <w:t>lus, les États membres ont évalué les protocoles de 17 études portant sur des médicaments autorisés sur le plan national.</w:t>
      </w:r>
    </w:p>
    <w:p w:rsidR="004E7FE9" w:rsidRDefault="005F36F9">
      <w:pPr>
        <w:numPr>
          <w:ilvl w:val="0"/>
          <w:numId w:val="1"/>
        </w:numPr>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Réalisation d’</w:t>
      </w:r>
      <w:r>
        <w:rPr>
          <w:rFonts w:ascii="Times New Roman" w:hAnsi="Times New Roman"/>
          <w:b/>
          <w:noProof/>
          <w:sz w:val="24"/>
          <w:lang w:val="fr-FR" w:eastAsia="fr-FR" w:bidi="fr-FR"/>
        </w:rPr>
        <w:t>inspections</w:t>
      </w:r>
      <w:r>
        <w:rPr>
          <w:rFonts w:ascii="Times New Roman" w:hAnsi="Times New Roman"/>
          <w:noProof/>
          <w:sz w:val="24"/>
          <w:lang w:val="fr-FR" w:eastAsia="fr-FR" w:bidi="fr-FR"/>
        </w:rPr>
        <w:t xml:space="preserve"> visant à garantir que les systèmes de pharmacovigilance des sociétés sont conformes aux bonnes pratiques en </w:t>
      </w:r>
      <w:r>
        <w:rPr>
          <w:rFonts w:ascii="Times New Roman" w:hAnsi="Times New Roman"/>
          <w:noProof/>
          <w:sz w:val="24"/>
          <w:lang w:val="fr-FR" w:eastAsia="fr-FR" w:bidi="fr-FR"/>
        </w:rPr>
        <w:t>la matière. 207 inspections ont été réalisées en 2012, 195 en 2013 et 167 en 2014, dont respectivement 26, 37 et 48 pour des médicaments autorisés de manière centralisée.</w:t>
      </w:r>
    </w:p>
    <w:p w:rsidR="004E7FE9" w:rsidRDefault="005F36F9">
      <w:pPr>
        <w:numPr>
          <w:ilvl w:val="0"/>
          <w:numId w:val="1"/>
        </w:numPr>
        <w:jc w:val="both"/>
        <w:rPr>
          <w:rFonts w:ascii="Times New Roman" w:hAnsi="Times New Roman" w:cs="Times New Roman"/>
          <w:noProof/>
          <w:sz w:val="24"/>
          <w:szCs w:val="24"/>
          <w:lang w:val="fr-FR" w:eastAsia="fr-FR" w:bidi="fr-FR"/>
        </w:rPr>
      </w:pPr>
      <w:r>
        <w:rPr>
          <w:rFonts w:ascii="Times New Roman" w:hAnsi="Times New Roman"/>
          <w:b/>
          <w:noProof/>
          <w:sz w:val="24"/>
          <w:lang w:val="fr-FR" w:eastAsia="fr-FR" w:bidi="fr-FR"/>
        </w:rPr>
        <w:t>Communication relative aux questions de sécurité</w:t>
      </w:r>
      <w:r>
        <w:rPr>
          <w:rFonts w:ascii="Times New Roman" w:hAnsi="Times New Roman"/>
          <w:noProof/>
          <w:sz w:val="24"/>
          <w:lang w:val="fr-FR" w:eastAsia="fr-FR" w:bidi="fr-FR"/>
        </w:rPr>
        <w:t>; interaction et coopération avec les</w:t>
      </w:r>
      <w:r>
        <w:rPr>
          <w:rFonts w:ascii="Times New Roman" w:hAnsi="Times New Roman"/>
          <w:noProof/>
          <w:sz w:val="24"/>
          <w:lang w:val="fr-FR" w:eastAsia="fr-FR" w:bidi="fr-FR"/>
        </w:rPr>
        <w:t xml:space="preserve"> parties prenantes concernées. L’ordre du jour, les faits marquants et le procès-verbal des réunions du PRAC sont publiés, ainsi que des communications concernant des points de sécurité publique. Le PRAC a émis 14 communications en matière de sécurité publ</w:t>
      </w:r>
      <w:r>
        <w:rPr>
          <w:rFonts w:ascii="Times New Roman" w:hAnsi="Times New Roman"/>
          <w:noProof/>
          <w:sz w:val="24"/>
          <w:lang w:val="fr-FR" w:eastAsia="fr-FR" w:bidi="fr-FR"/>
        </w:rPr>
        <w:t>ique au deuxième semestre 2012, 78 en 2013 et 57 en 2014.</w:t>
      </w:r>
    </w:p>
    <w:p w:rsidR="004E7FE9" w:rsidRDefault="005F36F9">
      <w:pPr>
        <w:numPr>
          <w:ilvl w:val="0"/>
          <w:numId w:val="1"/>
        </w:numPr>
        <w:jc w:val="both"/>
        <w:rPr>
          <w:rFonts w:ascii="Times New Roman" w:hAnsi="Times New Roman" w:cs="Times New Roman"/>
          <w:noProof/>
          <w:sz w:val="24"/>
          <w:szCs w:val="24"/>
          <w:lang w:val="fr-FR" w:eastAsia="fr-FR" w:bidi="fr-FR"/>
        </w:rPr>
      </w:pPr>
      <w:r>
        <w:rPr>
          <w:rFonts w:ascii="Times New Roman" w:hAnsi="Times New Roman"/>
          <w:b/>
          <w:noProof/>
          <w:sz w:val="24"/>
          <w:lang w:val="fr-FR" w:eastAsia="fr-FR" w:bidi="fr-FR"/>
        </w:rPr>
        <w:t>Élaboration de systèmes et d’orientations</w:t>
      </w:r>
      <w:r>
        <w:rPr>
          <w:rFonts w:ascii="Times New Roman" w:hAnsi="Times New Roman"/>
          <w:noProof/>
          <w:sz w:val="24"/>
          <w:lang w:val="fr-FR" w:eastAsia="fr-FR" w:bidi="fr-FR"/>
        </w:rPr>
        <w:t>; soutien de la recherche pour combler les lacunes des connaissances.</w:t>
      </w:r>
    </w:p>
    <w:p w:rsidR="004E7FE9" w:rsidRDefault="005F36F9">
      <w:pPr>
        <w:numPr>
          <w:ilvl w:val="0"/>
          <w:numId w:val="1"/>
        </w:numPr>
        <w:jc w:val="both"/>
        <w:rPr>
          <w:rFonts w:ascii="Times New Roman" w:hAnsi="Times New Roman" w:cs="Times New Roman"/>
          <w:noProof/>
          <w:sz w:val="24"/>
          <w:szCs w:val="24"/>
          <w:lang w:val="fr-FR" w:eastAsia="fr-FR" w:bidi="fr-FR"/>
        </w:rPr>
      </w:pPr>
      <w:r>
        <w:rPr>
          <w:rFonts w:ascii="Times New Roman" w:hAnsi="Times New Roman"/>
          <w:b/>
          <w:noProof/>
          <w:sz w:val="24"/>
          <w:lang w:val="fr-FR" w:eastAsia="fr-FR" w:bidi="fr-FR"/>
        </w:rPr>
        <w:t>Suivi des résultats du système</w:t>
      </w:r>
      <w:r>
        <w:rPr>
          <w:rFonts w:ascii="Times New Roman" w:hAnsi="Times New Roman"/>
          <w:noProof/>
          <w:sz w:val="24"/>
          <w:lang w:val="fr-FR" w:eastAsia="fr-FR" w:bidi="fr-FR"/>
        </w:rPr>
        <w:t>, notamment par rapport aux obligations légales et aux no</w:t>
      </w:r>
      <w:r>
        <w:rPr>
          <w:rFonts w:ascii="Times New Roman" w:hAnsi="Times New Roman"/>
          <w:noProof/>
          <w:sz w:val="24"/>
          <w:lang w:val="fr-FR" w:eastAsia="fr-FR" w:bidi="fr-FR"/>
        </w:rPr>
        <w:t>rmes.</w:t>
      </w:r>
    </w:p>
    <w:p w:rsidR="004E7FE9" w:rsidRDefault="005F36F9">
      <w:pPr>
        <w:numPr>
          <w:ilvl w:val="0"/>
          <w:numId w:val="1"/>
        </w:numPr>
        <w:jc w:val="both"/>
        <w:rPr>
          <w:rFonts w:ascii="Times New Roman" w:hAnsi="Times New Roman" w:cs="Times New Roman"/>
          <w:noProof/>
          <w:sz w:val="24"/>
          <w:szCs w:val="24"/>
          <w:lang w:val="fr-FR" w:eastAsia="fr-FR" w:bidi="fr-FR"/>
        </w:rPr>
      </w:pPr>
      <w:r>
        <w:rPr>
          <w:rFonts w:ascii="Times New Roman" w:hAnsi="Times New Roman"/>
          <w:b/>
          <w:noProof/>
          <w:sz w:val="24"/>
          <w:lang w:val="fr-FR" w:eastAsia="fr-FR" w:bidi="fr-FR"/>
        </w:rPr>
        <w:t>Formation et renforcement des capacités.</w:t>
      </w:r>
    </w:p>
    <w:p w:rsidR="004E7FE9" w:rsidRDefault="005F36F9">
      <w:pPr>
        <w:keepNext/>
        <w:tabs>
          <w:tab w:val="left" w:pos="850"/>
        </w:tabs>
        <w:spacing w:before="360" w:after="120" w:line="240" w:lineRule="auto"/>
        <w:ind w:left="850" w:hanging="850"/>
        <w:jc w:val="both"/>
        <w:outlineLvl w:val="0"/>
        <w:rPr>
          <w:rFonts w:ascii="Times New Roman" w:eastAsia="MS Mincho" w:hAnsi="Times New Roman" w:cs="Times New Roman"/>
          <w:b/>
          <w:smallCaps/>
          <w:noProof/>
          <w:sz w:val="24"/>
          <w:szCs w:val="24"/>
          <w:lang w:val="fr-FR" w:eastAsia="fr-FR" w:bidi="fr-FR"/>
        </w:rPr>
      </w:pPr>
      <w:r>
        <w:rPr>
          <w:rFonts w:ascii="Times New Roman" w:eastAsia="MS Mincho" w:hAnsi="Times New Roman" w:cs="Times New Roman"/>
          <w:b/>
          <w:smallCaps/>
          <w:noProof/>
          <w:sz w:val="24"/>
          <w:szCs w:val="24"/>
          <w:lang w:val="fr-FR" w:eastAsia="fr-FR" w:bidi="fr-FR"/>
        </w:rPr>
        <w:t>4.</w:t>
      </w:r>
      <w:r>
        <w:rPr>
          <w:rFonts w:ascii="Times New Roman" w:eastAsia="MS Mincho" w:hAnsi="Times New Roman" w:cs="Times New Roman"/>
          <w:b/>
          <w:smallCaps/>
          <w:noProof/>
          <w:sz w:val="24"/>
          <w:szCs w:val="24"/>
          <w:lang w:val="fr-FR" w:eastAsia="fr-FR" w:bidi="fr-FR"/>
        </w:rPr>
        <w:tab/>
        <w:t>Amélioration des systèmes et des services</w:t>
      </w:r>
    </w:p>
    <w:p w:rsidR="004E7FE9" w:rsidRDefault="005F36F9">
      <w:pPr>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Parmi les tâches de l’EMA figure l’élaboration de certains des systèmes et services dont le réseau de pharmacovigilance a besoin pour fonctionner. La nouvelle </w:t>
      </w:r>
      <w:r>
        <w:rPr>
          <w:rFonts w:ascii="Times New Roman" w:hAnsi="Times New Roman"/>
          <w:noProof/>
          <w:sz w:val="24"/>
          <w:lang w:val="fr-FR" w:eastAsia="fr-FR" w:bidi="fr-FR"/>
        </w:rPr>
        <w:t>réglementation a nécessité l’élaboration de plusieurs systèmes et services nouveaux et l’amélioration ou la simplification de certains autres. Les États membres et les principales parties prenantes, dont l’industrie pharmaceutique, ont contribué de manière</w:t>
      </w:r>
      <w:r>
        <w:rPr>
          <w:rFonts w:ascii="Times New Roman" w:hAnsi="Times New Roman"/>
          <w:noProof/>
          <w:sz w:val="24"/>
          <w:lang w:val="fr-FR" w:eastAsia="fr-FR" w:bidi="fr-FR"/>
        </w:rPr>
        <w:t xml:space="preserve"> significative à la conception et à l’élaboration de ces systèmes. En voici quelques exemples:</w:t>
      </w:r>
    </w:p>
    <w:p w:rsidR="004E7FE9" w:rsidRDefault="005F36F9">
      <w:pPr>
        <w:numPr>
          <w:ilvl w:val="0"/>
          <w:numId w:val="2"/>
        </w:numPr>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La </w:t>
      </w:r>
      <w:r>
        <w:rPr>
          <w:rFonts w:ascii="Times New Roman" w:hAnsi="Times New Roman"/>
          <w:b/>
          <w:noProof/>
          <w:sz w:val="24"/>
          <w:lang w:val="fr-FR" w:eastAsia="fr-FR" w:bidi="fr-FR"/>
        </w:rPr>
        <w:t>banque de données prévue à l’article 57</w:t>
      </w:r>
      <w:r>
        <w:rPr>
          <w:rFonts w:ascii="Times New Roman" w:hAnsi="Times New Roman"/>
          <w:noProof/>
          <w:sz w:val="24"/>
          <w:vertAlign w:val="superscript"/>
          <w:lang w:val="fr-FR" w:eastAsia="fr-FR" w:bidi="fr-FR"/>
        </w:rPr>
        <w:footnoteReference w:id="8"/>
      </w:r>
      <w:r>
        <w:rPr>
          <w:rFonts w:ascii="Times New Roman" w:hAnsi="Times New Roman"/>
          <w:noProof/>
          <w:sz w:val="24"/>
          <w:lang w:val="fr-FR" w:eastAsia="fr-FR" w:bidi="fr-FR"/>
        </w:rPr>
        <w:t xml:space="preserve"> de tous les médicaments autorisés (tant au niveau central que national) dans l’Union, contenant des informations sur </w:t>
      </w:r>
      <w:r>
        <w:rPr>
          <w:rFonts w:ascii="Times New Roman" w:hAnsi="Times New Roman"/>
          <w:noProof/>
          <w:sz w:val="24"/>
          <w:lang w:val="fr-FR" w:eastAsia="fr-FR" w:bidi="fr-FR"/>
        </w:rPr>
        <w:t>plus de 580 000 médicaments proposés par près de 4 300 titulaires d’autorisations de mise sur le marché.</w:t>
      </w:r>
    </w:p>
    <w:p w:rsidR="004E7FE9" w:rsidRDefault="005F36F9">
      <w:pPr>
        <w:numPr>
          <w:ilvl w:val="0"/>
          <w:numId w:val="2"/>
        </w:numPr>
        <w:jc w:val="both"/>
        <w:rPr>
          <w:rFonts w:ascii="Times New Roman" w:hAnsi="Times New Roman" w:cs="Times New Roman"/>
          <w:noProof/>
          <w:sz w:val="24"/>
          <w:szCs w:val="24"/>
          <w:lang w:val="fr-FR" w:eastAsia="fr-FR" w:bidi="fr-FR"/>
        </w:rPr>
      </w:pPr>
      <w:r>
        <w:rPr>
          <w:rFonts w:ascii="Times New Roman" w:hAnsi="Times New Roman"/>
          <w:b/>
          <w:noProof/>
          <w:sz w:val="24"/>
          <w:lang w:val="fr-FR" w:eastAsia="fr-FR" w:bidi="fr-FR"/>
        </w:rPr>
        <w:t>Service de suivi des publications médicales</w:t>
      </w:r>
      <w:r>
        <w:rPr>
          <w:rFonts w:ascii="Times New Roman" w:hAnsi="Times New Roman"/>
          <w:noProof/>
          <w:sz w:val="24"/>
          <w:lang w:val="fr-FR" w:eastAsia="fr-FR" w:bidi="fr-FR"/>
        </w:rPr>
        <w:t xml:space="preserve"> — l’EMA est tenue de suivre des publications médicales sélectionnées à la recherche de signalements d’effet</w:t>
      </w:r>
      <w:r>
        <w:rPr>
          <w:rFonts w:ascii="Times New Roman" w:hAnsi="Times New Roman"/>
          <w:noProof/>
          <w:sz w:val="24"/>
          <w:lang w:val="fr-FR" w:eastAsia="fr-FR" w:bidi="fr-FR"/>
        </w:rPr>
        <w:t>s secondaires suspectés de certaines substances actives et de les introduire dans la base de données EudraVigilance sous la forme de rapports de sécurité de cas individuels. Le service a été inauguré en juin 2015.</w:t>
      </w:r>
    </w:p>
    <w:p w:rsidR="004E7FE9" w:rsidRDefault="005F36F9">
      <w:pPr>
        <w:numPr>
          <w:ilvl w:val="0"/>
          <w:numId w:val="2"/>
        </w:numPr>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Le </w:t>
      </w:r>
      <w:r>
        <w:rPr>
          <w:rFonts w:ascii="Times New Roman" w:hAnsi="Times New Roman"/>
          <w:b/>
          <w:noProof/>
          <w:sz w:val="24"/>
          <w:lang w:val="fr-FR" w:eastAsia="fr-FR" w:bidi="fr-FR"/>
        </w:rPr>
        <w:t>répertoire des PSUR</w:t>
      </w:r>
      <w:r>
        <w:rPr>
          <w:rFonts w:ascii="Times New Roman" w:hAnsi="Times New Roman"/>
          <w:noProof/>
          <w:sz w:val="24"/>
          <w:lang w:val="fr-FR" w:eastAsia="fr-FR" w:bidi="fr-FR"/>
        </w:rPr>
        <w:t xml:space="preserve"> a été élaboré et mi</w:t>
      </w:r>
      <w:r>
        <w:rPr>
          <w:rFonts w:ascii="Times New Roman" w:hAnsi="Times New Roman"/>
          <w:noProof/>
          <w:sz w:val="24"/>
          <w:lang w:val="fr-FR" w:eastAsia="fr-FR" w:bidi="fr-FR"/>
        </w:rPr>
        <w:t>s en service pendant la période faisant l’objet du présent rapport, et son fonctionnement a fait l’objet d’un audit positif en 2015.</w:t>
      </w:r>
    </w:p>
    <w:p w:rsidR="004E7FE9" w:rsidRDefault="005F36F9">
      <w:pPr>
        <w:numPr>
          <w:ilvl w:val="0"/>
          <w:numId w:val="2"/>
        </w:numPr>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La réglementation prévoit l’amélioration de la </w:t>
      </w:r>
      <w:r>
        <w:rPr>
          <w:rFonts w:ascii="Times New Roman" w:hAnsi="Times New Roman"/>
          <w:b/>
          <w:noProof/>
          <w:sz w:val="24"/>
          <w:lang w:val="fr-FR" w:eastAsia="fr-FR" w:bidi="fr-FR"/>
        </w:rPr>
        <w:t>base de données EudraVigilance</w:t>
      </w:r>
      <w:r>
        <w:rPr>
          <w:rFonts w:ascii="Times New Roman" w:hAnsi="Times New Roman"/>
          <w:noProof/>
          <w:sz w:val="24"/>
          <w:lang w:val="fr-FR" w:eastAsia="fr-FR" w:bidi="fr-FR"/>
        </w:rPr>
        <w:t xml:space="preserve"> pour simplifier les rapports et améliorer les fonctions de recherche, d’analyse et de suivi et la qualité des données. Pendant la période faisant l’objet du présent rapport, des progrès ont été obtenus sur ce point avec le lancement du site internet consa</w:t>
      </w:r>
      <w:r>
        <w:rPr>
          <w:rFonts w:ascii="Times New Roman" w:hAnsi="Times New Roman"/>
          <w:noProof/>
          <w:sz w:val="24"/>
          <w:lang w:val="fr-FR" w:eastAsia="fr-FR" w:bidi="fr-FR"/>
        </w:rPr>
        <w:t>cré aux effets indésirables et le soutien aux activités de détection de signaux. Un audit final du système amélioré devrait être réalisé en début 2018</w:t>
      </w:r>
      <w:r>
        <w:rPr>
          <w:rFonts w:ascii="Times New Roman" w:hAnsi="Times New Roman"/>
          <w:noProof/>
          <w:sz w:val="24"/>
          <w:vertAlign w:val="superscript"/>
          <w:lang w:val="fr-FR" w:eastAsia="fr-FR" w:bidi="fr-FR"/>
        </w:rPr>
        <w:footnoteReference w:id="9"/>
      </w:r>
      <w:r>
        <w:rPr>
          <w:rFonts w:ascii="Times New Roman" w:hAnsi="Times New Roman"/>
          <w:noProof/>
          <w:sz w:val="24"/>
          <w:lang w:val="fr-FR" w:eastAsia="fr-FR" w:bidi="fr-FR"/>
        </w:rPr>
        <w:t>.</w:t>
      </w:r>
    </w:p>
    <w:p w:rsidR="004E7FE9" w:rsidRDefault="005F36F9">
      <w:pPr>
        <w:keepNext/>
        <w:tabs>
          <w:tab w:val="left" w:pos="850"/>
        </w:tabs>
        <w:spacing w:before="360" w:after="120" w:line="240" w:lineRule="auto"/>
        <w:ind w:left="850" w:hanging="850"/>
        <w:jc w:val="both"/>
        <w:outlineLvl w:val="0"/>
        <w:rPr>
          <w:rFonts w:ascii="Times New Roman" w:eastAsia="MS Mincho" w:hAnsi="Times New Roman" w:cs="Times New Roman"/>
          <w:b/>
          <w:smallCaps/>
          <w:noProof/>
          <w:sz w:val="24"/>
          <w:szCs w:val="24"/>
          <w:lang w:val="fr-FR" w:eastAsia="fr-FR" w:bidi="fr-FR"/>
        </w:rPr>
      </w:pPr>
      <w:r>
        <w:rPr>
          <w:rFonts w:ascii="Times New Roman" w:eastAsia="MS Mincho" w:hAnsi="Times New Roman" w:cs="Times New Roman"/>
          <w:b/>
          <w:smallCaps/>
          <w:noProof/>
          <w:sz w:val="24"/>
          <w:szCs w:val="24"/>
          <w:lang w:val="fr-FR" w:eastAsia="fr-FR" w:bidi="fr-FR"/>
        </w:rPr>
        <w:t>5.</w:t>
      </w:r>
      <w:r>
        <w:rPr>
          <w:rFonts w:ascii="Times New Roman" w:eastAsia="MS Mincho" w:hAnsi="Times New Roman" w:cs="Times New Roman"/>
          <w:b/>
          <w:smallCaps/>
          <w:noProof/>
          <w:sz w:val="24"/>
          <w:szCs w:val="24"/>
          <w:lang w:val="fr-FR" w:eastAsia="fr-FR" w:bidi="fr-FR"/>
        </w:rPr>
        <w:tab/>
        <w:t xml:space="preserve">Coopération et coordination </w:t>
      </w:r>
    </w:p>
    <w:p w:rsidR="004E7FE9" w:rsidRDefault="005F36F9">
      <w:pPr>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Outre la coordination en réseau de plus de trente autorités compétentes</w:t>
      </w:r>
      <w:r>
        <w:rPr>
          <w:rFonts w:ascii="Times New Roman" w:hAnsi="Times New Roman"/>
          <w:noProof/>
          <w:sz w:val="24"/>
          <w:lang w:val="fr-FR" w:eastAsia="fr-FR" w:bidi="fr-FR"/>
        </w:rPr>
        <w:t xml:space="preserve"> nationales, la Commission et l’EMA travaillent étroitement avec d’autres autorités de réglementation internationales au moyen d’accords bilatéraux et de forums multilatéraux tels que le Conseil international d’harmonisation des exigences techniques pour l</w:t>
      </w:r>
      <w:r>
        <w:rPr>
          <w:rFonts w:ascii="Times New Roman" w:hAnsi="Times New Roman"/>
          <w:noProof/>
          <w:sz w:val="24"/>
          <w:lang w:val="fr-FR" w:eastAsia="fr-FR" w:bidi="fr-FR"/>
        </w:rPr>
        <w:t>’enregistrement des médicaments à usage humain, pour soutenir des conceptions communes et des exigences normalisées lors de l’autorisation des médicaments.</w:t>
      </w:r>
    </w:p>
    <w:p w:rsidR="004E7FE9" w:rsidRDefault="005F36F9">
      <w:pPr>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La réussite de la pharmacovigilance dépend de la coopération des parties prenantes, laquelle est enc</w:t>
      </w:r>
      <w:r>
        <w:rPr>
          <w:rFonts w:ascii="Times New Roman" w:hAnsi="Times New Roman"/>
          <w:noProof/>
          <w:sz w:val="24"/>
          <w:lang w:val="fr-FR" w:eastAsia="fr-FR" w:bidi="fr-FR"/>
        </w:rPr>
        <w:t>ouragée par la réglementation. Les contributions des patients et des professionnels de la santé pendant le processus d’autorisation des médicaments et les activités de pharmacovigilance sont primordiales. Elles sont soumises par l’intermédiaire des représe</w:t>
      </w:r>
      <w:r>
        <w:rPr>
          <w:rFonts w:ascii="Times New Roman" w:hAnsi="Times New Roman"/>
          <w:noProof/>
          <w:sz w:val="24"/>
          <w:lang w:val="fr-FR" w:eastAsia="fr-FR" w:bidi="fr-FR"/>
        </w:rPr>
        <w:t>ntants de la société civile membres du PRAC et font l’objet de procédures de consultation spécifiques dans certains types de saisines.</w:t>
      </w:r>
    </w:p>
    <w:p w:rsidR="004E7FE9" w:rsidRDefault="005F36F9">
      <w:pPr>
        <w:keepNext/>
        <w:tabs>
          <w:tab w:val="left" w:pos="850"/>
        </w:tabs>
        <w:spacing w:before="360" w:after="120" w:line="240" w:lineRule="auto"/>
        <w:ind w:left="850" w:hanging="850"/>
        <w:jc w:val="both"/>
        <w:outlineLvl w:val="0"/>
        <w:rPr>
          <w:rFonts w:ascii="Times New Roman" w:eastAsia="MS Mincho" w:hAnsi="Times New Roman" w:cs="Times New Roman"/>
          <w:b/>
          <w:smallCaps/>
          <w:noProof/>
          <w:sz w:val="24"/>
          <w:szCs w:val="24"/>
          <w:lang w:val="fr-FR" w:eastAsia="fr-FR" w:bidi="fr-FR"/>
        </w:rPr>
      </w:pPr>
      <w:r>
        <w:rPr>
          <w:rFonts w:ascii="Times New Roman" w:eastAsia="MS Mincho" w:hAnsi="Times New Roman" w:cs="Times New Roman"/>
          <w:b/>
          <w:smallCaps/>
          <w:noProof/>
          <w:sz w:val="24"/>
          <w:szCs w:val="24"/>
          <w:lang w:val="fr-FR" w:eastAsia="fr-FR" w:bidi="fr-FR"/>
        </w:rPr>
        <w:t>6.</w:t>
      </w:r>
      <w:r>
        <w:rPr>
          <w:rFonts w:ascii="Times New Roman" w:eastAsia="MS Mincho" w:hAnsi="Times New Roman" w:cs="Times New Roman"/>
          <w:b/>
          <w:smallCaps/>
          <w:noProof/>
          <w:sz w:val="24"/>
          <w:szCs w:val="24"/>
          <w:lang w:val="fr-FR" w:eastAsia="fr-FR" w:bidi="fr-FR"/>
        </w:rPr>
        <w:tab/>
        <w:t>Évolution et développement du réseau</w:t>
      </w:r>
    </w:p>
    <w:p w:rsidR="004E7FE9" w:rsidRDefault="005F36F9">
      <w:pPr>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Pendant la période faisant l’objet du présent rapport, et ultérieurement aussi, l</w:t>
      </w:r>
      <w:r>
        <w:rPr>
          <w:rFonts w:ascii="Times New Roman" w:hAnsi="Times New Roman"/>
          <w:noProof/>
          <w:sz w:val="24"/>
          <w:lang w:val="fr-FR" w:eastAsia="fr-FR" w:bidi="fr-FR"/>
        </w:rPr>
        <w:t>e réseau de pharmacovigilance a mis l’accent sur la formation, pour sensibiliser à la pharmacovigilance, et sur les aspects scientifiques de la réglementation, pour permettre un partage des bonnes pratiques, une amélioration de l’efficacité des modalités d</w:t>
      </w:r>
      <w:r>
        <w:rPr>
          <w:rFonts w:ascii="Times New Roman" w:hAnsi="Times New Roman"/>
          <w:noProof/>
          <w:sz w:val="24"/>
          <w:lang w:val="fr-FR" w:eastAsia="fr-FR" w:bidi="fr-FR"/>
        </w:rPr>
        <w:t>e pharmacovigilance et le renforcement des capacités.</w:t>
      </w:r>
    </w:p>
    <w:p w:rsidR="004E7FE9" w:rsidRDefault="005F36F9">
      <w:pPr>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Les États membres et l’EMA offrent des formations poussées au personnel des instances de réglementation et aux parties externes concernées. L’efficacité des modalités de pharmacovigilance s’est amélioré</w:t>
      </w:r>
      <w:r>
        <w:rPr>
          <w:rFonts w:ascii="Times New Roman" w:hAnsi="Times New Roman"/>
          <w:noProof/>
          <w:sz w:val="24"/>
          <w:lang w:val="fr-FR" w:eastAsia="fr-FR" w:bidi="fr-FR"/>
        </w:rPr>
        <w:t>e. Des projets visant à améliorer les aspects scientifiques et les pratiques de la pharmacovigilance ont été lancés, comme l’action commune «Renforcer la collaboration pour la mise en œuvre de la pharmacovigilance en Europe» (</w:t>
      </w:r>
      <w:r>
        <w:rPr>
          <w:rFonts w:ascii="Times New Roman" w:hAnsi="Times New Roman"/>
          <w:i/>
          <w:noProof/>
          <w:sz w:val="24"/>
          <w:lang w:val="fr-FR" w:eastAsia="fr-FR" w:bidi="fr-FR"/>
        </w:rPr>
        <w:t>Strengthening Collaboration fo</w:t>
      </w:r>
      <w:r>
        <w:rPr>
          <w:rFonts w:ascii="Times New Roman" w:hAnsi="Times New Roman"/>
          <w:i/>
          <w:noProof/>
          <w:sz w:val="24"/>
          <w:lang w:val="fr-FR" w:eastAsia="fr-FR" w:bidi="fr-FR"/>
        </w:rPr>
        <w:t>r Operating Pharmacovigilance in Europe</w:t>
      </w:r>
      <w:r>
        <w:rPr>
          <w:rFonts w:ascii="Times New Roman" w:hAnsi="Times New Roman"/>
          <w:noProof/>
          <w:sz w:val="24"/>
          <w:lang w:val="fr-FR" w:eastAsia="fr-FR" w:bidi="fr-FR"/>
        </w:rPr>
        <w:t>, SCOPE), le réseau européen de centres de pharmacovigilance et de pharmacoépidémiologie (ENCePP) et le projet PROTECT</w:t>
      </w:r>
      <w:r>
        <w:rPr>
          <w:rFonts w:ascii="Times New Roman" w:hAnsi="Times New Roman"/>
          <w:noProof/>
          <w:sz w:val="24"/>
          <w:vertAlign w:val="superscript"/>
          <w:lang w:val="fr-FR" w:eastAsia="fr-FR" w:bidi="fr-FR"/>
        </w:rPr>
        <w:footnoteReference w:id="10"/>
      </w:r>
      <w:r>
        <w:rPr>
          <w:rFonts w:ascii="Times New Roman" w:hAnsi="Times New Roman"/>
          <w:noProof/>
          <w:sz w:val="24"/>
          <w:lang w:val="fr-FR" w:eastAsia="fr-FR" w:bidi="fr-FR"/>
        </w:rPr>
        <w:t>. Les résultats de ces initiatives offrent déjà des éléments permettant de mettre à jour les orien</w:t>
      </w:r>
      <w:r>
        <w:rPr>
          <w:rFonts w:ascii="Times New Roman" w:hAnsi="Times New Roman"/>
          <w:noProof/>
          <w:sz w:val="24"/>
          <w:lang w:val="fr-FR" w:eastAsia="fr-FR" w:bidi="fr-FR"/>
        </w:rPr>
        <w:t>tations et de développer les modalités de pharmacovigilance.</w:t>
      </w:r>
    </w:p>
    <w:p w:rsidR="004E7FE9" w:rsidRDefault="005F36F9">
      <w:pPr>
        <w:keepNext/>
        <w:tabs>
          <w:tab w:val="left" w:pos="850"/>
        </w:tabs>
        <w:spacing w:before="360" w:after="120" w:line="240" w:lineRule="auto"/>
        <w:ind w:left="850" w:hanging="850"/>
        <w:jc w:val="both"/>
        <w:outlineLvl w:val="0"/>
        <w:rPr>
          <w:rFonts w:ascii="Times New Roman" w:eastAsia="MS Mincho" w:hAnsi="Times New Roman" w:cs="Times New Roman"/>
          <w:b/>
          <w:smallCaps/>
          <w:noProof/>
          <w:sz w:val="24"/>
          <w:szCs w:val="24"/>
          <w:lang w:val="fr-FR" w:eastAsia="fr-FR" w:bidi="fr-FR"/>
        </w:rPr>
      </w:pPr>
      <w:r>
        <w:rPr>
          <w:rFonts w:ascii="Times New Roman" w:eastAsia="MS Mincho" w:hAnsi="Times New Roman" w:cs="Times New Roman"/>
          <w:b/>
          <w:smallCaps/>
          <w:noProof/>
          <w:sz w:val="24"/>
          <w:szCs w:val="24"/>
          <w:lang w:val="fr-FR" w:eastAsia="fr-FR" w:bidi="fr-FR"/>
        </w:rPr>
        <w:t>7.</w:t>
      </w:r>
      <w:r>
        <w:rPr>
          <w:rFonts w:ascii="Times New Roman" w:eastAsia="MS Mincho" w:hAnsi="Times New Roman" w:cs="Times New Roman"/>
          <w:b/>
          <w:smallCaps/>
          <w:noProof/>
          <w:sz w:val="24"/>
          <w:szCs w:val="24"/>
          <w:lang w:val="fr-FR" w:eastAsia="fr-FR" w:bidi="fr-FR"/>
        </w:rPr>
        <w:tab/>
        <w:t>Conclusions</w:t>
      </w:r>
    </w:p>
    <w:p w:rsidR="004E7FE9" w:rsidRDefault="005F36F9">
      <w:pPr>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Le réseau européen de pharmacovigilance est un exemple de coopération réussie au niveau européen dont les citoyens de l’Union sont les premiers bénéficiaires. Le système en réseau </w:t>
      </w:r>
      <w:r>
        <w:rPr>
          <w:rFonts w:ascii="Times New Roman" w:hAnsi="Times New Roman"/>
          <w:noProof/>
          <w:sz w:val="24"/>
          <w:lang w:val="fr-FR" w:eastAsia="fr-FR" w:bidi="fr-FR"/>
        </w:rPr>
        <w:t>permet aux participants de partager leurs conseils et leurs données et de coordonner leurs mesures réglementaires pour augmenter l’efficacité et la cohérence de leur action. Les outils réglementaires offerts par la réglementation révisée, comme les plans d</w:t>
      </w:r>
      <w:r>
        <w:rPr>
          <w:rFonts w:ascii="Times New Roman" w:hAnsi="Times New Roman"/>
          <w:noProof/>
          <w:sz w:val="24"/>
          <w:lang w:val="fr-FR" w:eastAsia="fr-FR" w:bidi="fr-FR"/>
        </w:rPr>
        <w:t xml:space="preserve">e gestion des risques, les études post-autorisation, la détection et la gestion des signaux au niveau de l’Union, les rapports périodiques actualisés de sécurité et le réexamen de médicaments au moyen de saisines, concrétisent une conception toujours plus </w:t>
      </w:r>
      <w:r>
        <w:rPr>
          <w:rFonts w:ascii="Times New Roman" w:hAnsi="Times New Roman"/>
          <w:noProof/>
          <w:sz w:val="24"/>
          <w:lang w:val="fr-FR" w:eastAsia="fr-FR" w:bidi="fr-FR"/>
        </w:rPr>
        <w:t>prévoyante de l’innocuité des médicaments et sont complétés par des améliorations de l’activité réglementaire et de la communication afférente en cas d’inquiétudes concernant la sécurité.</w:t>
      </w:r>
    </w:p>
    <w:p w:rsidR="004E7FE9" w:rsidRDefault="005F36F9">
      <w:pPr>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Le système fonctionne avec un degré de transparence élevé, nécessair</w:t>
      </w:r>
      <w:r>
        <w:rPr>
          <w:rFonts w:ascii="Times New Roman" w:hAnsi="Times New Roman"/>
          <w:noProof/>
          <w:sz w:val="24"/>
          <w:lang w:val="fr-FR" w:eastAsia="fr-FR" w:bidi="fr-FR"/>
        </w:rPr>
        <w:t>e pour gagner la confiance de la société qu’il sert. Des mécanismes ont été mis en place pour garantir une bonne information en temps utile du public de l’Union en matière de sécurité. La coopération avec les personnes les plus intéressées, comme les patie</w:t>
      </w:r>
      <w:r>
        <w:rPr>
          <w:rFonts w:ascii="Times New Roman" w:hAnsi="Times New Roman"/>
          <w:noProof/>
          <w:sz w:val="24"/>
          <w:lang w:val="fr-FR" w:eastAsia="fr-FR" w:bidi="fr-FR"/>
        </w:rPr>
        <w:t>nts et les professionnels de la santé, est intégrée dans le système, grâce entre autres aux signalements par des patients d’effets secondaires suspectés. À l’avenir, il est prévu d’approfondir cette participation, notamment au moyen de consultations publiq</w:t>
      </w:r>
      <w:r>
        <w:rPr>
          <w:rFonts w:ascii="Times New Roman" w:hAnsi="Times New Roman"/>
          <w:noProof/>
          <w:sz w:val="24"/>
          <w:lang w:val="fr-FR" w:eastAsia="fr-FR" w:bidi="fr-FR"/>
        </w:rPr>
        <w:t>ues sur des problèmes de sécurité majeurs.</w:t>
      </w:r>
    </w:p>
    <w:p w:rsidR="004E7FE9" w:rsidRDefault="005F36F9">
      <w:pPr>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Des travaux d’infrastructure permettant de développer le système de pharmacovigilance sont en cours pour simplifier et rationaliser les modalités existantes et, si possible, réduire les charges liées à la réglemen</w:t>
      </w:r>
      <w:r>
        <w:rPr>
          <w:rFonts w:ascii="Times New Roman" w:hAnsi="Times New Roman"/>
          <w:noProof/>
          <w:sz w:val="24"/>
          <w:lang w:val="fr-FR" w:eastAsia="fr-FR" w:bidi="fr-FR"/>
        </w:rPr>
        <w:t>tation pour toutes les parties prenantes. La mise en service du suivi des publications médicales, du nouveau système EudraVigilance et du répertoire des PSUR, ainsi que la pleine utilisation de la banque de données des médicaments de l’Union prévue à l’art</w:t>
      </w:r>
      <w:r>
        <w:rPr>
          <w:rFonts w:ascii="Times New Roman" w:hAnsi="Times New Roman"/>
          <w:noProof/>
          <w:sz w:val="24"/>
          <w:lang w:val="fr-FR" w:eastAsia="fr-FR" w:bidi="fr-FR"/>
        </w:rPr>
        <w:t xml:space="preserve">icle 57, simplifieront et amélioreront l’efficacité des activités des parties prenantes. Les travaux continuent pour terminer et mettre en place d’autres systèmes tels que la centralisation des rapports d’effets indésirables au moyen de la base de données </w:t>
      </w:r>
      <w:r>
        <w:rPr>
          <w:rFonts w:ascii="Times New Roman" w:hAnsi="Times New Roman"/>
          <w:noProof/>
          <w:sz w:val="24"/>
          <w:lang w:val="fr-FR" w:eastAsia="fr-FR" w:bidi="fr-FR"/>
        </w:rPr>
        <w:t>EudraVigilance. Les recherches en cours sur les fondements scientifiques de la réglementation, telles que celles soutenues par les programmes-cadres pour la recherche de l’Union, apporteront de nouvelles améliorations.</w:t>
      </w:r>
    </w:p>
    <w:p w:rsidR="004E7FE9" w:rsidRDefault="004E7FE9">
      <w:pPr>
        <w:keepNext/>
        <w:tabs>
          <w:tab w:val="left" w:pos="850"/>
        </w:tabs>
        <w:spacing w:before="360" w:after="120" w:line="240" w:lineRule="auto"/>
        <w:jc w:val="both"/>
        <w:outlineLvl w:val="0"/>
        <w:rPr>
          <w:rFonts w:ascii="Times New Roman" w:eastAsia="MS Mincho" w:hAnsi="Times New Roman" w:cs="Times New Roman"/>
          <w:b/>
          <w:smallCaps/>
          <w:noProof/>
          <w:sz w:val="24"/>
          <w:szCs w:val="24"/>
          <w:lang w:val="fr-FR" w:eastAsia="fr-FR" w:bidi="fr-FR"/>
        </w:rPr>
        <w:sectPr w:rsidR="004E7FE9">
          <w:headerReference w:type="even" r:id="rId22"/>
          <w:headerReference w:type="default" r:id="rId23"/>
          <w:footerReference w:type="even" r:id="rId24"/>
          <w:footerReference w:type="default" r:id="rId25"/>
          <w:headerReference w:type="first" r:id="rId26"/>
          <w:footerReference w:type="first" r:id="rId27"/>
          <w:pgSz w:w="11907" w:h="16839"/>
          <w:pgMar w:top="1134" w:right="1417" w:bottom="1134" w:left="1417" w:header="709" w:footer="709" w:gutter="0"/>
          <w:cols w:space="708"/>
          <w:docGrid w:linePitch="360"/>
        </w:sectPr>
      </w:pPr>
    </w:p>
    <w:p w:rsidR="004E7FE9" w:rsidRDefault="005F36F9">
      <w:pPr>
        <w:spacing w:before="120" w:after="120" w:line="240" w:lineRule="auto"/>
        <w:jc w:val="center"/>
        <w:rPr>
          <w:rFonts w:ascii="Times New Roman" w:eastAsia="MS Mincho" w:hAnsi="Times New Roman" w:cs="Times New Roman"/>
          <w:b/>
          <w:noProof/>
          <w:sz w:val="24"/>
          <w:szCs w:val="24"/>
          <w:u w:val="single"/>
          <w:lang w:val="fr-FR" w:eastAsia="fr-FR" w:bidi="fr-FR"/>
        </w:rPr>
      </w:pPr>
      <w:r>
        <w:rPr>
          <w:rFonts w:ascii="Times New Roman" w:eastAsia="MS Mincho" w:hAnsi="Times New Roman" w:cs="Times New Roman"/>
          <w:b/>
          <w:noProof/>
          <w:sz w:val="24"/>
          <w:szCs w:val="24"/>
          <w:u w:val="single"/>
          <w:lang w:val="fr-FR" w:eastAsia="fr-FR" w:bidi="fr-FR"/>
        </w:rPr>
        <w:t>Abréviations</w:t>
      </w:r>
    </w:p>
    <w:tbl>
      <w:tblPr>
        <w:tblW w:w="0" w:type="auto"/>
        <w:tblLook w:val="04A0" w:firstRow="1" w:lastRow="0" w:firstColumn="1" w:lastColumn="0" w:noHBand="0" w:noVBand="1"/>
      </w:tblPr>
      <w:tblGrid>
        <w:gridCol w:w="1384"/>
        <w:gridCol w:w="7905"/>
      </w:tblGrid>
      <w:tr w:rsidR="004E7FE9" w:rsidRPr="005F36F9">
        <w:tc>
          <w:tcPr>
            <w:tcW w:w="1384" w:type="dxa"/>
            <w:shd w:val="clear" w:color="auto" w:fill="auto"/>
          </w:tcPr>
          <w:p w:rsidR="004E7FE9" w:rsidRDefault="005F36F9">
            <w:pPr>
              <w:spacing w:before="60" w:after="60"/>
              <w:ind w:left="142"/>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CHMP</w:t>
            </w:r>
          </w:p>
        </w:tc>
        <w:tc>
          <w:tcPr>
            <w:tcW w:w="7905" w:type="dxa"/>
            <w:shd w:val="clear" w:color="auto" w:fill="auto"/>
          </w:tcPr>
          <w:p w:rsidR="004E7FE9" w:rsidRDefault="005F36F9">
            <w:pPr>
              <w:spacing w:before="60" w:after="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Comité des médicaments à usage humain</w:t>
            </w:r>
          </w:p>
        </w:tc>
      </w:tr>
      <w:tr w:rsidR="004E7FE9" w:rsidRPr="005F36F9">
        <w:tc>
          <w:tcPr>
            <w:tcW w:w="1384" w:type="dxa"/>
            <w:shd w:val="clear" w:color="auto" w:fill="auto"/>
          </w:tcPr>
          <w:p w:rsidR="004E7FE9" w:rsidRDefault="005F36F9">
            <w:pPr>
              <w:spacing w:before="60" w:after="60"/>
              <w:ind w:left="142"/>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CMDh</w:t>
            </w:r>
          </w:p>
        </w:tc>
        <w:tc>
          <w:tcPr>
            <w:tcW w:w="7905" w:type="dxa"/>
            <w:shd w:val="clear" w:color="auto" w:fill="auto"/>
          </w:tcPr>
          <w:p w:rsidR="004E7FE9" w:rsidRDefault="005F36F9">
            <w:pPr>
              <w:spacing w:before="60" w:after="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groupe de coordination pour les procédures de reconnaissance mutuelle et d’autorisation décentralisée — médicaments à usage humain</w:t>
            </w:r>
          </w:p>
        </w:tc>
      </w:tr>
      <w:tr w:rsidR="004E7FE9">
        <w:tc>
          <w:tcPr>
            <w:tcW w:w="1384" w:type="dxa"/>
            <w:shd w:val="clear" w:color="auto" w:fill="auto"/>
          </w:tcPr>
          <w:p w:rsidR="004E7FE9" w:rsidRDefault="005F36F9">
            <w:pPr>
              <w:spacing w:before="60" w:after="60"/>
              <w:ind w:left="142"/>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EEE</w:t>
            </w:r>
          </w:p>
        </w:tc>
        <w:tc>
          <w:tcPr>
            <w:tcW w:w="7905" w:type="dxa"/>
            <w:shd w:val="clear" w:color="auto" w:fill="auto"/>
          </w:tcPr>
          <w:p w:rsidR="004E7FE9" w:rsidRDefault="005F36F9">
            <w:pPr>
              <w:spacing w:before="60" w:after="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Espace économique européen</w:t>
            </w:r>
          </w:p>
        </w:tc>
      </w:tr>
      <w:tr w:rsidR="004E7FE9">
        <w:tc>
          <w:tcPr>
            <w:tcW w:w="1384" w:type="dxa"/>
            <w:shd w:val="clear" w:color="auto" w:fill="auto"/>
          </w:tcPr>
          <w:p w:rsidR="004E7FE9" w:rsidRDefault="005F36F9">
            <w:pPr>
              <w:spacing w:before="60" w:after="60"/>
              <w:ind w:left="142"/>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EMA</w:t>
            </w:r>
          </w:p>
        </w:tc>
        <w:tc>
          <w:tcPr>
            <w:tcW w:w="7905" w:type="dxa"/>
            <w:shd w:val="clear" w:color="auto" w:fill="auto"/>
          </w:tcPr>
          <w:p w:rsidR="004E7FE9" w:rsidRDefault="005F36F9">
            <w:pPr>
              <w:spacing w:before="60" w:after="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Agence </w:t>
            </w:r>
            <w:r>
              <w:rPr>
                <w:rFonts w:ascii="Times New Roman" w:hAnsi="Times New Roman"/>
                <w:noProof/>
                <w:sz w:val="24"/>
                <w:lang w:val="fr-FR" w:eastAsia="fr-FR" w:bidi="fr-FR"/>
              </w:rPr>
              <w:t>européenne des médicaments</w:t>
            </w:r>
          </w:p>
        </w:tc>
      </w:tr>
      <w:tr w:rsidR="004E7FE9" w:rsidRPr="005F36F9">
        <w:tc>
          <w:tcPr>
            <w:tcW w:w="1384" w:type="dxa"/>
            <w:shd w:val="clear" w:color="auto" w:fill="auto"/>
          </w:tcPr>
          <w:p w:rsidR="004E7FE9" w:rsidRDefault="005F36F9">
            <w:pPr>
              <w:spacing w:before="60" w:after="60"/>
              <w:ind w:left="142"/>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EURD</w:t>
            </w:r>
          </w:p>
        </w:tc>
        <w:tc>
          <w:tcPr>
            <w:tcW w:w="7905" w:type="dxa"/>
            <w:shd w:val="clear" w:color="auto" w:fill="auto"/>
          </w:tcPr>
          <w:p w:rsidR="004E7FE9" w:rsidRDefault="005F36F9">
            <w:pPr>
              <w:spacing w:before="60" w:after="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liste des dates de références et de la fréquence de soumission des rapports périodiques actualisés de sécurité pour l’Union européenne</w:t>
            </w:r>
          </w:p>
        </w:tc>
      </w:tr>
      <w:tr w:rsidR="004E7FE9" w:rsidRPr="005F36F9">
        <w:tc>
          <w:tcPr>
            <w:tcW w:w="1384" w:type="dxa"/>
            <w:shd w:val="clear" w:color="auto" w:fill="auto"/>
          </w:tcPr>
          <w:p w:rsidR="004E7FE9" w:rsidRDefault="005F36F9">
            <w:pPr>
              <w:spacing w:before="60" w:after="60"/>
              <w:ind w:left="142"/>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PASS</w:t>
            </w:r>
          </w:p>
        </w:tc>
        <w:tc>
          <w:tcPr>
            <w:tcW w:w="7905" w:type="dxa"/>
            <w:shd w:val="clear" w:color="auto" w:fill="auto"/>
          </w:tcPr>
          <w:p w:rsidR="004E7FE9" w:rsidRDefault="005F36F9">
            <w:pPr>
              <w:spacing w:before="60" w:after="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étude de sécurité post-autorisation</w:t>
            </w:r>
          </w:p>
        </w:tc>
      </w:tr>
      <w:tr w:rsidR="004E7FE9" w:rsidRPr="005F36F9">
        <w:tc>
          <w:tcPr>
            <w:tcW w:w="1384" w:type="dxa"/>
            <w:shd w:val="clear" w:color="auto" w:fill="auto"/>
          </w:tcPr>
          <w:p w:rsidR="004E7FE9" w:rsidRDefault="005F36F9">
            <w:pPr>
              <w:spacing w:before="60" w:after="60"/>
              <w:ind w:left="142"/>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PGR</w:t>
            </w:r>
          </w:p>
        </w:tc>
        <w:tc>
          <w:tcPr>
            <w:tcW w:w="7905" w:type="dxa"/>
            <w:shd w:val="clear" w:color="auto" w:fill="auto"/>
          </w:tcPr>
          <w:p w:rsidR="004E7FE9" w:rsidRDefault="005F36F9">
            <w:pPr>
              <w:spacing w:before="60" w:after="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plan de gestion des risques</w:t>
            </w:r>
          </w:p>
        </w:tc>
      </w:tr>
      <w:tr w:rsidR="004E7FE9" w:rsidRPr="005F36F9">
        <w:tc>
          <w:tcPr>
            <w:tcW w:w="1384" w:type="dxa"/>
            <w:shd w:val="clear" w:color="auto" w:fill="auto"/>
          </w:tcPr>
          <w:p w:rsidR="004E7FE9" w:rsidRDefault="005F36F9">
            <w:pPr>
              <w:spacing w:before="60" w:after="60"/>
              <w:ind w:left="142"/>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PRAC</w:t>
            </w:r>
          </w:p>
        </w:tc>
        <w:tc>
          <w:tcPr>
            <w:tcW w:w="7905" w:type="dxa"/>
            <w:shd w:val="clear" w:color="auto" w:fill="auto"/>
          </w:tcPr>
          <w:p w:rsidR="004E7FE9" w:rsidRDefault="005F36F9">
            <w:pPr>
              <w:spacing w:before="60" w:after="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comité </w:t>
            </w:r>
            <w:r>
              <w:rPr>
                <w:rFonts w:ascii="Times New Roman" w:hAnsi="Times New Roman"/>
                <w:noProof/>
                <w:sz w:val="24"/>
                <w:lang w:val="fr-FR" w:eastAsia="fr-FR" w:bidi="fr-FR"/>
              </w:rPr>
              <w:t>pour l’évaluation des risques en matière de pharmacovigilance</w:t>
            </w:r>
          </w:p>
        </w:tc>
      </w:tr>
      <w:tr w:rsidR="004E7FE9" w:rsidRPr="005F36F9">
        <w:tc>
          <w:tcPr>
            <w:tcW w:w="1384" w:type="dxa"/>
            <w:shd w:val="clear" w:color="auto" w:fill="auto"/>
          </w:tcPr>
          <w:p w:rsidR="004E7FE9" w:rsidRDefault="005F36F9">
            <w:pPr>
              <w:spacing w:before="60" w:after="60"/>
              <w:ind w:left="142"/>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PSUR</w:t>
            </w:r>
          </w:p>
        </w:tc>
        <w:tc>
          <w:tcPr>
            <w:tcW w:w="7905" w:type="dxa"/>
            <w:shd w:val="clear" w:color="auto" w:fill="auto"/>
          </w:tcPr>
          <w:p w:rsidR="004E7FE9" w:rsidRDefault="005F36F9">
            <w:pPr>
              <w:spacing w:before="60" w:after="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rapport périodique actualisé relatif à la sécurité</w:t>
            </w:r>
          </w:p>
        </w:tc>
      </w:tr>
      <w:tr w:rsidR="004E7FE9">
        <w:tc>
          <w:tcPr>
            <w:tcW w:w="1384" w:type="dxa"/>
            <w:shd w:val="clear" w:color="auto" w:fill="auto"/>
          </w:tcPr>
          <w:p w:rsidR="004E7FE9" w:rsidRDefault="005F36F9">
            <w:pPr>
              <w:spacing w:before="60" w:after="60"/>
              <w:ind w:left="142"/>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UE</w:t>
            </w:r>
          </w:p>
        </w:tc>
        <w:tc>
          <w:tcPr>
            <w:tcW w:w="7905" w:type="dxa"/>
            <w:shd w:val="clear" w:color="auto" w:fill="auto"/>
          </w:tcPr>
          <w:p w:rsidR="004E7FE9" w:rsidRDefault="005F36F9">
            <w:pPr>
              <w:spacing w:before="60" w:after="6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Union européenne</w:t>
            </w:r>
          </w:p>
        </w:tc>
      </w:tr>
    </w:tbl>
    <w:p w:rsidR="004E7FE9" w:rsidRDefault="004E7FE9">
      <w:pPr>
        <w:keepNext/>
        <w:tabs>
          <w:tab w:val="left" w:pos="850"/>
        </w:tabs>
        <w:spacing w:before="360" w:after="120" w:line="240" w:lineRule="auto"/>
        <w:jc w:val="both"/>
        <w:outlineLvl w:val="0"/>
        <w:rPr>
          <w:rFonts w:ascii="Times New Roman" w:eastAsia="MS Mincho" w:hAnsi="Times New Roman" w:cs="Times New Roman"/>
          <w:b/>
          <w:smallCaps/>
          <w:noProof/>
          <w:sz w:val="24"/>
          <w:szCs w:val="24"/>
          <w:lang w:val="fr-FR" w:eastAsia="fr-FR" w:bidi="fr-FR"/>
        </w:rPr>
        <w:sectPr w:rsidR="004E7FE9">
          <w:headerReference w:type="even" r:id="rId28"/>
          <w:headerReference w:type="default" r:id="rId29"/>
          <w:footerReference w:type="even" r:id="rId30"/>
          <w:footerReference w:type="default" r:id="rId31"/>
          <w:headerReference w:type="first" r:id="rId32"/>
          <w:footerReference w:type="first" r:id="rId33"/>
          <w:pgSz w:w="11907" w:h="16839"/>
          <w:pgMar w:top="1134" w:right="1417" w:bottom="1134" w:left="1417" w:header="709" w:footer="709" w:gutter="0"/>
          <w:cols w:space="708"/>
          <w:docGrid w:linePitch="360"/>
        </w:sectPr>
      </w:pPr>
    </w:p>
    <w:p w:rsidR="004E7FE9" w:rsidRDefault="005F36F9">
      <w:pPr>
        <w:spacing w:before="120" w:after="120" w:line="240" w:lineRule="auto"/>
        <w:jc w:val="center"/>
        <w:rPr>
          <w:rFonts w:ascii="Times New Roman" w:eastAsia="MS Mincho" w:hAnsi="Times New Roman" w:cs="Times New Roman"/>
          <w:b/>
          <w:noProof/>
          <w:sz w:val="24"/>
          <w:szCs w:val="24"/>
          <w:u w:val="single"/>
          <w:lang w:val="fr-FR" w:eastAsia="fr-FR" w:bidi="fr-FR"/>
        </w:rPr>
      </w:pPr>
      <w:r>
        <w:rPr>
          <w:rFonts w:ascii="Times New Roman" w:eastAsia="MS Mincho" w:hAnsi="Times New Roman" w:cs="Times New Roman"/>
          <w:b/>
          <w:noProof/>
          <w:sz w:val="24"/>
          <w:szCs w:val="24"/>
          <w:u w:val="single"/>
          <w:lang w:val="fr-FR" w:eastAsia="fr-FR" w:bidi="fr-FR"/>
        </w:rPr>
        <w:t>ANNEXE — Graphiques et tableaux</w:t>
      </w:r>
    </w:p>
    <w:p w:rsidR="004E7FE9" w:rsidRDefault="005F36F9">
      <w:pPr>
        <w:spacing w:before="720"/>
        <w:jc w:val="both"/>
        <w:rPr>
          <w:rFonts w:ascii="Times New Roman" w:hAnsi="Times New Roman" w:cs="Times New Roman"/>
          <w:noProof/>
          <w:sz w:val="24"/>
          <w:szCs w:val="24"/>
          <w:lang w:val="fr-FR" w:eastAsia="fr-FR" w:bidi="fr-FR"/>
        </w:rPr>
      </w:pPr>
      <w:r>
        <w:rPr>
          <w:rFonts w:ascii="Times New Roman" w:hAnsi="Times New Roman"/>
          <w:b/>
          <w:noProof/>
          <w:sz w:val="24"/>
          <w:u w:val="single"/>
          <w:lang w:val="fr-FR" w:eastAsia="fr-FR" w:bidi="fr-FR"/>
        </w:rPr>
        <w:t>Graphique 1:</w:t>
      </w:r>
      <w:r>
        <w:rPr>
          <w:rFonts w:ascii="Times New Roman" w:hAnsi="Times New Roman"/>
          <w:noProof/>
          <w:sz w:val="24"/>
          <w:lang w:val="fr-FR" w:eastAsia="fr-FR" w:bidi="fr-FR"/>
        </w:rPr>
        <w:t xml:space="preserve"> Nombre de points à l’ordre du jour du PRAC en juillet-décembre 2012, janvier-décembre 2013 et janvier-décembre 2014</w:t>
      </w:r>
    </w:p>
    <w:p w:rsidR="004E7FE9" w:rsidRDefault="005F36F9">
      <w:pPr>
        <w:spacing w:before="720"/>
        <w:rPr>
          <w:rFonts w:ascii="Times New Roman" w:hAnsi="Times New Roman" w:cs="Times New Roman"/>
          <w:b/>
          <w:noProof/>
          <w:sz w:val="24"/>
          <w:szCs w:val="24"/>
          <w:u w:val="single"/>
          <w:lang w:val="fr-FR" w:eastAsia="fr-FR" w:bidi="fr-FR"/>
        </w:rPr>
      </w:pPr>
      <w:r>
        <w:rPr>
          <w:noProof/>
          <w:lang w:val="fr-FR" w:eastAsia="fr-FR" w:bidi="fr-FR"/>
        </w:rPr>
        <w:t xml:space="preserve"> </w:t>
      </w:r>
    </w:p>
    <w:p w:rsidR="004E7FE9" w:rsidRDefault="005F36F9">
      <w:pPr>
        <w:spacing w:before="720"/>
        <w:jc w:val="both"/>
        <w:rPr>
          <w:rFonts w:ascii="Times New Roman" w:hAnsi="Times New Roman" w:cs="Times New Roman"/>
          <w:noProof/>
          <w:sz w:val="24"/>
          <w:szCs w:val="24"/>
          <w:lang w:val="fr-FR" w:eastAsia="fr-FR" w:bidi="fr-FR"/>
        </w:rPr>
      </w:pPr>
      <w:r>
        <w:rPr>
          <w:noProof/>
          <w:lang w:eastAsia="en-GB"/>
        </w:rPr>
        <w:drawing>
          <wp:inline distT="0" distB="0" distL="0" distR="0">
            <wp:extent cx="5688330" cy="4340860"/>
            <wp:effectExtent l="0" t="0" r="762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88330" cy="4340860"/>
                    </a:xfrm>
                    <a:prstGeom prst="rect">
                      <a:avLst/>
                    </a:prstGeom>
                    <a:noFill/>
                  </pic:spPr>
                </pic:pic>
              </a:graphicData>
            </a:graphic>
          </wp:inline>
        </w:drawing>
      </w:r>
      <w:r>
        <w:rPr>
          <w:noProof/>
          <w:lang w:val="fr-FR" w:eastAsia="fr-FR" w:bidi="fr-FR"/>
        </w:rPr>
        <w:br w:type="page"/>
      </w:r>
      <w:r>
        <w:rPr>
          <w:rFonts w:ascii="Times New Roman" w:hAnsi="Times New Roman"/>
          <w:b/>
          <w:noProof/>
          <w:sz w:val="24"/>
          <w:u w:val="single"/>
          <w:lang w:val="fr-FR" w:eastAsia="fr-FR" w:bidi="fr-FR"/>
        </w:rPr>
        <w:t>Graphique 2:</w:t>
      </w:r>
      <w:r>
        <w:rPr>
          <w:noProof/>
          <w:lang w:val="fr-FR" w:eastAsia="fr-FR" w:bidi="fr-FR"/>
        </w:rPr>
        <w:t xml:space="preserve"> Rapports de sécurité de cas individuels introduits dans la base de données EudraVigilance par les pays de l’EEE et des pay</w:t>
      </w:r>
      <w:r>
        <w:rPr>
          <w:noProof/>
          <w:lang w:val="fr-FR" w:eastAsia="fr-FR" w:bidi="fr-FR"/>
        </w:rPr>
        <w:t>s hors EEE, 2011-2014</w:t>
      </w:r>
    </w:p>
    <w:p w:rsidR="004E7FE9" w:rsidRDefault="005F36F9">
      <w:pPr>
        <w:spacing w:before="720"/>
        <w:rPr>
          <w:rFonts w:ascii="Times New Roman" w:hAnsi="Times New Roman" w:cs="Times New Roman"/>
          <w:noProof/>
          <w:sz w:val="24"/>
          <w:szCs w:val="24"/>
          <w:lang w:val="fr-FR" w:eastAsia="fr-FR" w:bidi="fr-FR"/>
        </w:rPr>
      </w:pPr>
      <w:r>
        <w:rPr>
          <w:rFonts w:ascii="Times New Roman" w:hAnsi="Times New Roman" w:cs="Times New Roman"/>
          <w:noProof/>
          <w:sz w:val="24"/>
          <w:szCs w:val="24"/>
          <w:lang w:eastAsia="en-GB"/>
        </w:rPr>
        <w:drawing>
          <wp:inline distT="0" distB="0" distL="0" distR="0">
            <wp:extent cx="3448931" cy="3591972"/>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455019" cy="3598312"/>
                    </a:xfrm>
                    <a:prstGeom prst="rect">
                      <a:avLst/>
                    </a:prstGeom>
                    <a:noFill/>
                  </pic:spPr>
                </pic:pic>
              </a:graphicData>
            </a:graphic>
          </wp:inline>
        </w:drawing>
      </w:r>
    </w:p>
    <w:p w:rsidR="004E7FE9" w:rsidRDefault="005F36F9">
      <w:pPr>
        <w:spacing w:before="720"/>
        <w:rPr>
          <w:rFonts w:ascii="Times New Roman" w:hAnsi="Times New Roman" w:cs="Times New Roman"/>
          <w:noProof/>
          <w:sz w:val="24"/>
          <w:szCs w:val="24"/>
          <w:lang w:val="fr-FR" w:eastAsia="fr-FR" w:bidi="fr-FR"/>
        </w:rPr>
      </w:pPr>
      <w:r>
        <w:rPr>
          <w:rFonts w:ascii="Times New Roman" w:hAnsi="Times New Roman" w:cs="Times New Roman"/>
          <w:noProof/>
          <w:sz w:val="24"/>
          <w:szCs w:val="24"/>
          <w:lang w:eastAsia="en-GB"/>
        </w:rPr>
        <w:drawing>
          <wp:inline distT="0" distB="0" distL="0" distR="0">
            <wp:extent cx="3426622" cy="3589506"/>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428680" cy="3591662"/>
                    </a:xfrm>
                    <a:prstGeom prst="rect">
                      <a:avLst/>
                    </a:prstGeom>
                    <a:noFill/>
                  </pic:spPr>
                </pic:pic>
              </a:graphicData>
            </a:graphic>
          </wp:inline>
        </w:drawing>
      </w:r>
    </w:p>
    <w:p w:rsidR="004E7FE9" w:rsidRDefault="005F36F9">
      <w:pPr>
        <w:rPr>
          <w:rFonts w:ascii="Times New Roman" w:hAnsi="Times New Roman" w:cs="Times New Roman"/>
          <w:b/>
          <w:noProof/>
          <w:sz w:val="24"/>
          <w:szCs w:val="24"/>
          <w:u w:val="single"/>
          <w:lang w:val="fr-FR" w:eastAsia="fr-FR" w:bidi="fr-FR"/>
        </w:rPr>
      </w:pPr>
      <w:r>
        <w:rPr>
          <w:noProof/>
          <w:lang w:val="fr-FR" w:eastAsia="fr-FR" w:bidi="fr-FR"/>
        </w:rPr>
        <w:br w:type="page"/>
      </w:r>
    </w:p>
    <w:p w:rsidR="004E7FE9" w:rsidRDefault="005F36F9">
      <w:pPr>
        <w:spacing w:before="720"/>
        <w:jc w:val="both"/>
        <w:rPr>
          <w:rFonts w:ascii="Times New Roman" w:hAnsi="Times New Roman" w:cs="Times New Roman"/>
          <w:noProof/>
          <w:sz w:val="24"/>
          <w:szCs w:val="24"/>
          <w:lang w:val="fr-FR" w:eastAsia="fr-FR" w:bidi="fr-FR"/>
        </w:rPr>
      </w:pPr>
      <w:r>
        <w:rPr>
          <w:rFonts w:ascii="Times New Roman" w:hAnsi="Times New Roman"/>
          <w:b/>
          <w:noProof/>
          <w:sz w:val="24"/>
          <w:u w:val="single"/>
          <w:lang w:val="fr-FR" w:eastAsia="fr-FR" w:bidi="fr-FR"/>
        </w:rPr>
        <w:t>Graphique 3:</w:t>
      </w:r>
      <w:r>
        <w:rPr>
          <w:rFonts w:ascii="Times New Roman" w:hAnsi="Times New Roman"/>
          <w:noProof/>
          <w:sz w:val="24"/>
          <w:lang w:val="fr-FR" w:eastAsia="fr-FR" w:bidi="fr-FR"/>
        </w:rPr>
        <w:t xml:space="preserve"> Nombre de discussions relatives à des signaux, initiales et de suivi, au sein du PRAC de septembre 2012 à décembre 2014</w:t>
      </w:r>
    </w:p>
    <w:p w:rsidR="004E7FE9" w:rsidRDefault="005F36F9">
      <w:pPr>
        <w:spacing w:before="720"/>
        <w:jc w:val="both"/>
        <w:rPr>
          <w:rFonts w:ascii="Times New Roman" w:hAnsi="Times New Roman" w:cs="Times New Roman"/>
          <w:noProof/>
          <w:sz w:val="24"/>
          <w:szCs w:val="24"/>
          <w:lang w:val="fr-FR" w:eastAsia="fr-FR" w:bidi="fr-FR"/>
        </w:rPr>
      </w:pPr>
      <w:r>
        <w:rPr>
          <w:rFonts w:ascii="Times New Roman" w:hAnsi="Times New Roman" w:cs="Times New Roman"/>
          <w:noProof/>
          <w:sz w:val="24"/>
          <w:szCs w:val="24"/>
          <w:lang w:eastAsia="en-GB"/>
        </w:rPr>
        <w:drawing>
          <wp:inline distT="0" distB="0" distL="0" distR="0">
            <wp:extent cx="5729591" cy="4352733"/>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38191" cy="4359267"/>
                    </a:xfrm>
                    <a:prstGeom prst="rect">
                      <a:avLst/>
                    </a:prstGeom>
                    <a:noFill/>
                  </pic:spPr>
                </pic:pic>
              </a:graphicData>
            </a:graphic>
          </wp:inline>
        </w:drawing>
      </w:r>
    </w:p>
    <w:p w:rsidR="004E7FE9" w:rsidRDefault="005F36F9">
      <w:pPr>
        <w:spacing w:before="720"/>
        <w:jc w:val="both"/>
        <w:rPr>
          <w:rFonts w:ascii="Times New Roman" w:hAnsi="Times New Roman" w:cs="Times New Roman"/>
          <w:noProof/>
          <w:sz w:val="24"/>
          <w:szCs w:val="24"/>
          <w:lang w:val="fr-FR" w:eastAsia="fr-FR" w:bidi="fr-FR"/>
        </w:rPr>
      </w:pPr>
      <w:r>
        <w:rPr>
          <w:noProof/>
          <w:lang w:val="fr-FR" w:eastAsia="fr-FR" w:bidi="fr-FR"/>
        </w:rPr>
        <w:br w:type="page"/>
      </w:r>
      <w:r>
        <w:rPr>
          <w:rFonts w:ascii="Times New Roman" w:hAnsi="Times New Roman"/>
          <w:b/>
          <w:noProof/>
          <w:sz w:val="24"/>
          <w:u w:val="single"/>
          <w:lang w:val="fr-FR" w:eastAsia="fr-FR" w:bidi="fr-FR"/>
        </w:rPr>
        <w:t>Graphique 4:</w:t>
      </w:r>
      <w:r>
        <w:rPr>
          <w:rFonts w:ascii="Times New Roman" w:hAnsi="Times New Roman"/>
          <w:noProof/>
          <w:sz w:val="24"/>
          <w:lang w:val="fr-FR" w:eastAsia="fr-FR" w:bidi="fr-FR"/>
        </w:rPr>
        <w:t xml:space="preserve"> Type de mesure réglementaire adoptée à la suite de l’évaluation des signaux par</w:t>
      </w:r>
      <w:r>
        <w:rPr>
          <w:rFonts w:ascii="Times New Roman" w:hAnsi="Times New Roman"/>
          <w:noProof/>
          <w:sz w:val="24"/>
          <w:lang w:val="fr-FR" w:eastAsia="fr-FR" w:bidi="fr-FR"/>
        </w:rPr>
        <w:t xml:space="preserve"> le PRAC de septembre 2012 à décembre 2014</w:t>
      </w:r>
    </w:p>
    <w:p w:rsidR="004E7FE9" w:rsidRDefault="005F36F9">
      <w:pPr>
        <w:spacing w:before="720"/>
        <w:rPr>
          <w:rFonts w:ascii="Times New Roman" w:hAnsi="Times New Roman" w:cs="Times New Roman"/>
          <w:noProof/>
          <w:sz w:val="24"/>
          <w:szCs w:val="24"/>
          <w:lang w:val="fr-FR" w:eastAsia="fr-FR" w:bidi="fr-FR"/>
        </w:rPr>
      </w:pPr>
      <w:r>
        <w:rPr>
          <w:rFonts w:ascii="Times New Roman" w:hAnsi="Times New Roman" w:cs="Times New Roman"/>
          <w:noProof/>
          <w:sz w:val="24"/>
          <w:szCs w:val="24"/>
          <w:lang w:eastAsia="en-GB"/>
        </w:rPr>
        <w:drawing>
          <wp:inline distT="0" distB="0" distL="0" distR="0">
            <wp:extent cx="4438015" cy="4603115"/>
            <wp:effectExtent l="0" t="0" r="63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438015" cy="4603115"/>
                    </a:xfrm>
                    <a:prstGeom prst="rect">
                      <a:avLst/>
                    </a:prstGeom>
                    <a:noFill/>
                  </pic:spPr>
                </pic:pic>
              </a:graphicData>
            </a:graphic>
          </wp:inline>
        </w:drawing>
      </w:r>
    </w:p>
    <w:p w:rsidR="004E7FE9" w:rsidRDefault="005F36F9">
      <w:pPr>
        <w:spacing w:before="720"/>
        <w:jc w:val="both"/>
        <w:rPr>
          <w:rFonts w:ascii="Times New Roman" w:hAnsi="Times New Roman" w:cs="Times New Roman"/>
          <w:noProof/>
          <w:sz w:val="24"/>
          <w:szCs w:val="24"/>
          <w:lang w:val="fr-FR" w:eastAsia="fr-FR" w:bidi="fr-FR"/>
        </w:rPr>
      </w:pPr>
      <w:r>
        <w:rPr>
          <w:noProof/>
          <w:lang w:val="fr-FR" w:eastAsia="fr-FR" w:bidi="fr-FR"/>
        </w:rPr>
        <w:br w:type="page"/>
      </w:r>
      <w:r>
        <w:rPr>
          <w:rFonts w:ascii="Times New Roman" w:hAnsi="Times New Roman"/>
          <w:b/>
          <w:noProof/>
          <w:sz w:val="24"/>
          <w:u w:val="single"/>
          <w:lang w:val="fr-FR" w:eastAsia="fr-FR" w:bidi="fr-FR"/>
        </w:rPr>
        <w:t>Graphique 5:</w:t>
      </w:r>
      <w:r>
        <w:rPr>
          <w:rFonts w:ascii="Times New Roman" w:hAnsi="Times New Roman"/>
          <w:noProof/>
          <w:sz w:val="24"/>
          <w:lang w:val="fr-FR" w:eastAsia="fr-FR" w:bidi="fr-FR"/>
        </w:rPr>
        <w:t xml:space="preserve"> Résultat de l’évaluation des PSUR par le PRAC de septembre 2012 à décembre 2014</w:t>
      </w:r>
    </w:p>
    <w:p w:rsidR="004E7FE9" w:rsidRDefault="005F36F9">
      <w:pPr>
        <w:spacing w:before="720"/>
        <w:rPr>
          <w:rFonts w:ascii="Times New Roman" w:hAnsi="Times New Roman" w:cs="Times New Roman"/>
          <w:noProof/>
          <w:sz w:val="24"/>
          <w:szCs w:val="24"/>
          <w:lang w:val="fr-FR" w:eastAsia="fr-FR" w:bidi="fr-FR"/>
        </w:rPr>
      </w:pPr>
      <w:r>
        <w:rPr>
          <w:noProof/>
          <w:lang w:val="fr-FR" w:eastAsia="fr-FR" w:bidi="fr-FR"/>
        </w:rPr>
        <w:t xml:space="preserve"> </w:t>
      </w:r>
      <w:r>
        <w:rPr>
          <w:noProof/>
          <w:lang w:eastAsia="en-GB"/>
        </w:rPr>
        <w:drawing>
          <wp:inline distT="0" distB="0" distL="0" distR="0">
            <wp:extent cx="4535438" cy="3793672"/>
            <wp:effectExtent l="0" t="0" r="17780" b="1651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4E7FE9" w:rsidRDefault="005F36F9">
      <w:pPr>
        <w:spacing w:before="720"/>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PSUSA = rapport périodique actualisé de sécurité — évaluation unique</w:t>
      </w:r>
    </w:p>
    <w:p w:rsidR="004E7FE9" w:rsidRDefault="005F36F9">
      <w:pPr>
        <w:spacing w:before="720"/>
        <w:jc w:val="both"/>
        <w:rPr>
          <w:rFonts w:ascii="Times New Roman" w:hAnsi="Times New Roman" w:cs="Times New Roman"/>
          <w:noProof/>
          <w:sz w:val="24"/>
          <w:szCs w:val="24"/>
          <w:lang w:val="fr-FR" w:eastAsia="fr-FR" w:bidi="fr-FR"/>
        </w:rPr>
      </w:pPr>
      <w:r>
        <w:rPr>
          <w:noProof/>
          <w:lang w:val="fr-FR" w:eastAsia="fr-FR" w:bidi="fr-FR"/>
        </w:rPr>
        <w:br w:type="page"/>
      </w:r>
      <w:r>
        <w:rPr>
          <w:rFonts w:ascii="Times New Roman" w:hAnsi="Times New Roman"/>
          <w:b/>
          <w:noProof/>
          <w:sz w:val="24"/>
          <w:u w:val="single"/>
          <w:lang w:val="fr-FR" w:eastAsia="fr-FR" w:bidi="fr-FR"/>
        </w:rPr>
        <w:t>Graphique 6:</w:t>
      </w:r>
      <w:r>
        <w:rPr>
          <w:rFonts w:ascii="Times New Roman" w:hAnsi="Times New Roman"/>
          <w:noProof/>
          <w:sz w:val="24"/>
          <w:lang w:val="fr-FR" w:eastAsia="fr-FR" w:bidi="fr-FR"/>
        </w:rPr>
        <w:t xml:space="preserve"> Saisines en matière de pharmacovigilance en 2012, 2013 et 2014</w:t>
      </w:r>
    </w:p>
    <w:tbl>
      <w:tblPr>
        <w:tblW w:w="9039"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4A0" w:firstRow="1" w:lastRow="0" w:firstColumn="1" w:lastColumn="0" w:noHBand="0" w:noVBand="1"/>
      </w:tblPr>
      <w:tblGrid>
        <w:gridCol w:w="5495"/>
        <w:gridCol w:w="992"/>
        <w:gridCol w:w="1134"/>
        <w:gridCol w:w="1418"/>
      </w:tblGrid>
      <w:tr w:rsidR="004E7FE9">
        <w:trPr>
          <w:trHeight w:val="450"/>
          <w:tblHeader/>
        </w:trPr>
        <w:tc>
          <w:tcPr>
            <w:tcW w:w="5495" w:type="dxa"/>
            <w:tcBorders>
              <w:top w:val="nil"/>
              <w:left w:val="nil"/>
              <w:bottom w:val="single" w:sz="6" w:space="0" w:color="FFFFFF"/>
              <w:right w:val="nil"/>
              <w:tl2br w:val="nil"/>
              <w:tr2bl w:val="nil"/>
            </w:tcBorders>
            <w:shd w:val="clear" w:color="auto" w:fill="002060"/>
            <w:hideMark/>
          </w:tcPr>
          <w:p w:rsidR="004E7FE9" w:rsidRDefault="005F36F9">
            <w:pPr>
              <w:spacing w:after="140" w:line="280" w:lineRule="atLeast"/>
              <w:jc w:val="center"/>
              <w:rPr>
                <w:rFonts w:ascii="Times New Roman" w:eastAsia="Verdana" w:hAnsi="Times New Roman" w:cs="Times New Roman"/>
                <w:b/>
                <w:bCs/>
                <w:noProof/>
                <w:sz w:val="24"/>
                <w:szCs w:val="24"/>
                <w:lang w:val="fr-FR" w:eastAsia="fr-FR" w:bidi="fr-FR"/>
              </w:rPr>
            </w:pPr>
            <w:r>
              <w:rPr>
                <w:rFonts w:ascii="Times New Roman" w:eastAsia="Verdana" w:hAnsi="Times New Roman" w:cs="Verdana"/>
                <w:b/>
                <w:noProof/>
                <w:sz w:val="24"/>
                <w:szCs w:val="18"/>
                <w:lang w:val="fr-FR" w:eastAsia="fr-FR" w:bidi="fr-FR"/>
              </w:rPr>
              <w:t>Procédure</w:t>
            </w:r>
          </w:p>
        </w:tc>
        <w:tc>
          <w:tcPr>
            <w:tcW w:w="992" w:type="dxa"/>
            <w:tcBorders>
              <w:top w:val="nil"/>
              <w:left w:val="nil"/>
              <w:bottom w:val="single" w:sz="6" w:space="0" w:color="FFFFFF"/>
              <w:right w:val="nil"/>
              <w:tl2br w:val="nil"/>
              <w:tr2bl w:val="nil"/>
            </w:tcBorders>
            <w:shd w:val="clear" w:color="auto" w:fill="002060"/>
            <w:hideMark/>
          </w:tcPr>
          <w:p w:rsidR="004E7FE9" w:rsidRDefault="005F36F9">
            <w:pPr>
              <w:spacing w:after="140" w:line="280" w:lineRule="atLeast"/>
              <w:jc w:val="center"/>
              <w:rPr>
                <w:rFonts w:ascii="Times New Roman" w:eastAsia="Verdana" w:hAnsi="Times New Roman" w:cs="Times New Roman"/>
                <w:b/>
                <w:bCs/>
                <w:noProof/>
                <w:sz w:val="24"/>
                <w:szCs w:val="24"/>
                <w:lang w:val="fr-FR" w:eastAsia="fr-FR" w:bidi="fr-FR"/>
              </w:rPr>
            </w:pPr>
            <w:r>
              <w:rPr>
                <w:rFonts w:ascii="Times New Roman" w:eastAsia="Verdana" w:hAnsi="Times New Roman" w:cs="Verdana"/>
                <w:b/>
                <w:noProof/>
                <w:sz w:val="24"/>
                <w:szCs w:val="18"/>
                <w:lang w:val="fr-FR" w:eastAsia="fr-FR" w:bidi="fr-FR"/>
              </w:rPr>
              <w:t>Article</w:t>
            </w:r>
          </w:p>
        </w:tc>
        <w:tc>
          <w:tcPr>
            <w:tcW w:w="1134" w:type="dxa"/>
            <w:tcBorders>
              <w:top w:val="nil"/>
              <w:left w:val="nil"/>
              <w:bottom w:val="single" w:sz="6" w:space="0" w:color="FFFFFF"/>
              <w:right w:val="nil"/>
              <w:tl2br w:val="nil"/>
              <w:tr2bl w:val="nil"/>
            </w:tcBorders>
            <w:shd w:val="clear" w:color="auto" w:fill="002060"/>
            <w:hideMark/>
          </w:tcPr>
          <w:p w:rsidR="004E7FE9" w:rsidRDefault="005F36F9">
            <w:pPr>
              <w:spacing w:after="140" w:line="280" w:lineRule="atLeast"/>
              <w:jc w:val="center"/>
              <w:rPr>
                <w:rFonts w:ascii="Times New Roman" w:eastAsia="Verdana" w:hAnsi="Times New Roman" w:cs="Times New Roman"/>
                <w:b/>
                <w:bCs/>
                <w:noProof/>
                <w:sz w:val="24"/>
                <w:szCs w:val="24"/>
                <w:lang w:val="fr-FR" w:eastAsia="fr-FR" w:bidi="fr-FR"/>
              </w:rPr>
            </w:pPr>
            <w:r>
              <w:rPr>
                <w:rFonts w:ascii="Times New Roman" w:eastAsia="Verdana" w:hAnsi="Times New Roman" w:cs="Verdana"/>
                <w:b/>
                <w:noProof/>
                <w:sz w:val="24"/>
                <w:szCs w:val="18"/>
                <w:lang w:val="fr-FR" w:eastAsia="fr-FR" w:bidi="fr-FR"/>
              </w:rPr>
              <w:t>Date de saisine</w:t>
            </w:r>
          </w:p>
        </w:tc>
        <w:tc>
          <w:tcPr>
            <w:tcW w:w="1418" w:type="dxa"/>
            <w:tcBorders>
              <w:top w:val="nil"/>
              <w:left w:val="nil"/>
              <w:bottom w:val="single" w:sz="6" w:space="0" w:color="FFFFFF"/>
              <w:right w:val="nil"/>
              <w:tl2br w:val="nil"/>
              <w:tr2bl w:val="nil"/>
            </w:tcBorders>
            <w:shd w:val="clear" w:color="auto" w:fill="002060"/>
          </w:tcPr>
          <w:p w:rsidR="004E7FE9" w:rsidRDefault="005F36F9">
            <w:pPr>
              <w:spacing w:after="140" w:line="280" w:lineRule="atLeast"/>
              <w:jc w:val="center"/>
              <w:rPr>
                <w:rFonts w:ascii="Times New Roman" w:eastAsia="Verdana" w:hAnsi="Times New Roman" w:cs="Times New Roman"/>
                <w:b/>
                <w:bCs/>
                <w:noProof/>
                <w:sz w:val="24"/>
                <w:szCs w:val="24"/>
                <w:lang w:val="fr-FR" w:eastAsia="fr-FR" w:bidi="fr-FR"/>
              </w:rPr>
            </w:pPr>
            <w:r>
              <w:rPr>
                <w:rFonts w:ascii="Times New Roman" w:eastAsia="Verdana" w:hAnsi="Times New Roman" w:cs="Verdana"/>
                <w:b/>
                <w:noProof/>
                <w:sz w:val="24"/>
                <w:szCs w:val="18"/>
                <w:lang w:val="fr-FR" w:eastAsia="fr-FR" w:bidi="fr-FR"/>
              </w:rPr>
              <w:t>Résultat</w:t>
            </w:r>
          </w:p>
        </w:tc>
      </w:tr>
      <w:tr w:rsidR="004E7FE9">
        <w:trPr>
          <w:trHeight w:val="300"/>
        </w:trPr>
        <w:tc>
          <w:tcPr>
            <w:tcW w:w="5495" w:type="dxa"/>
            <w:tcBorders>
              <w:top w:val="single" w:sz="6" w:space="0" w:color="FFFFFF"/>
              <w:bottom w:val="single" w:sz="6" w:space="0" w:color="FFFFFF"/>
            </w:tcBorders>
            <w:shd w:val="clear" w:color="auto" w:fill="95B3D7"/>
            <w:noWrap/>
          </w:tcPr>
          <w:p w:rsidR="004E7FE9" w:rsidRDefault="005F36F9">
            <w:pPr>
              <w:spacing w:after="140" w:line="280" w:lineRule="atLeast"/>
              <w:jc w:val="center"/>
              <w:rPr>
                <w:rFonts w:ascii="Times New Roman" w:eastAsia="Verdana" w:hAnsi="Times New Roman" w:cs="Times New Roman"/>
                <w:b/>
                <w:noProof/>
                <w:sz w:val="24"/>
                <w:szCs w:val="24"/>
                <w:lang w:val="fr-FR" w:eastAsia="fr-FR" w:bidi="fr-FR"/>
              </w:rPr>
            </w:pPr>
            <w:r>
              <w:rPr>
                <w:rFonts w:ascii="Times New Roman" w:eastAsia="Verdana" w:hAnsi="Times New Roman" w:cs="Verdana"/>
                <w:b/>
                <w:noProof/>
                <w:sz w:val="24"/>
                <w:szCs w:val="18"/>
                <w:lang w:val="fr-FR" w:eastAsia="fr-FR" w:bidi="fr-FR"/>
              </w:rPr>
              <w:t>2012</w:t>
            </w:r>
          </w:p>
        </w:tc>
        <w:tc>
          <w:tcPr>
            <w:tcW w:w="992" w:type="dxa"/>
            <w:tcBorders>
              <w:top w:val="single" w:sz="6" w:space="0" w:color="FFFFFF"/>
              <w:bottom w:val="single" w:sz="6" w:space="0" w:color="FFFFFF"/>
            </w:tcBorders>
            <w:shd w:val="clear" w:color="auto" w:fill="95B3D7"/>
          </w:tcPr>
          <w:p w:rsidR="004E7FE9" w:rsidRDefault="004E7FE9">
            <w:pPr>
              <w:spacing w:after="140" w:line="280" w:lineRule="atLeast"/>
              <w:jc w:val="center"/>
              <w:rPr>
                <w:rFonts w:ascii="Times New Roman" w:eastAsia="Verdana" w:hAnsi="Times New Roman" w:cs="Times New Roman"/>
                <w:noProof/>
                <w:sz w:val="24"/>
                <w:szCs w:val="24"/>
                <w:lang w:val="fr-FR" w:eastAsia="fr-FR" w:bidi="fr-FR"/>
              </w:rPr>
            </w:pPr>
          </w:p>
        </w:tc>
        <w:tc>
          <w:tcPr>
            <w:tcW w:w="1134" w:type="dxa"/>
            <w:tcBorders>
              <w:top w:val="single" w:sz="6" w:space="0" w:color="FFFFFF"/>
              <w:bottom w:val="single" w:sz="6" w:space="0" w:color="FFFFFF"/>
            </w:tcBorders>
            <w:shd w:val="clear" w:color="auto" w:fill="95B3D7"/>
          </w:tcPr>
          <w:p w:rsidR="004E7FE9" w:rsidRDefault="004E7FE9">
            <w:pPr>
              <w:spacing w:after="140" w:line="280" w:lineRule="atLeast"/>
              <w:jc w:val="center"/>
              <w:rPr>
                <w:rFonts w:ascii="Times New Roman" w:eastAsia="Verdana" w:hAnsi="Times New Roman" w:cs="Times New Roman"/>
                <w:noProof/>
                <w:sz w:val="24"/>
                <w:szCs w:val="24"/>
                <w:lang w:val="fr-FR" w:eastAsia="fr-FR" w:bidi="fr-FR"/>
              </w:rPr>
            </w:pPr>
          </w:p>
        </w:tc>
        <w:tc>
          <w:tcPr>
            <w:tcW w:w="1418" w:type="dxa"/>
            <w:tcBorders>
              <w:top w:val="single" w:sz="6" w:space="0" w:color="FFFFFF"/>
              <w:bottom w:val="single" w:sz="6" w:space="0" w:color="FFFFFF"/>
            </w:tcBorders>
            <w:shd w:val="clear" w:color="auto" w:fill="95B3D7"/>
          </w:tcPr>
          <w:p w:rsidR="004E7FE9" w:rsidRDefault="004E7FE9">
            <w:pPr>
              <w:spacing w:after="140" w:line="280" w:lineRule="atLeast"/>
              <w:jc w:val="center"/>
              <w:rPr>
                <w:rFonts w:ascii="Times New Roman" w:eastAsia="Verdana" w:hAnsi="Times New Roman" w:cs="Times New Roman"/>
                <w:noProof/>
                <w:sz w:val="24"/>
                <w:szCs w:val="24"/>
                <w:lang w:val="fr-FR" w:eastAsia="fr-FR" w:bidi="fr-FR"/>
              </w:rPr>
            </w:pPr>
          </w:p>
        </w:tc>
      </w:tr>
      <w:tr w:rsidR="004E7FE9">
        <w:trPr>
          <w:trHeight w:val="300"/>
        </w:trPr>
        <w:tc>
          <w:tcPr>
            <w:tcW w:w="5495" w:type="dxa"/>
            <w:tcBorders>
              <w:top w:val="single" w:sz="6" w:space="0" w:color="FFFFFF"/>
            </w:tcBorders>
            <w:shd w:val="clear" w:color="auto" w:fill="E1E3F2"/>
            <w:noWrap/>
            <w:hideMark/>
          </w:tcPr>
          <w:p w:rsidR="004E7FE9" w:rsidRDefault="005F36F9">
            <w:pPr>
              <w:spacing w:after="140" w:line="280" w:lineRule="atLeast"/>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Codéine</w:t>
            </w:r>
          </w:p>
        </w:tc>
        <w:tc>
          <w:tcPr>
            <w:tcW w:w="992" w:type="dxa"/>
            <w:tcBorders>
              <w:top w:val="single" w:sz="6" w:space="0" w:color="FFFFFF"/>
            </w:tcBorders>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31</w:t>
            </w:r>
          </w:p>
        </w:tc>
        <w:tc>
          <w:tcPr>
            <w:tcW w:w="1134" w:type="dxa"/>
            <w:tcBorders>
              <w:top w:val="single" w:sz="6" w:space="0" w:color="FFFFFF"/>
            </w:tcBorders>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Oct-12</w:t>
            </w:r>
          </w:p>
        </w:tc>
        <w:tc>
          <w:tcPr>
            <w:tcW w:w="1418" w:type="dxa"/>
            <w:tcBorders>
              <w:top w:val="single" w:sz="6" w:space="0" w:color="FFFFFF"/>
            </w:tcBorders>
            <w:shd w:val="clear" w:color="auto" w:fill="E1E3F2"/>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M</w:t>
            </w:r>
          </w:p>
        </w:tc>
      </w:tr>
      <w:tr w:rsidR="004E7FE9">
        <w:trPr>
          <w:trHeight w:val="300"/>
        </w:trPr>
        <w:tc>
          <w:tcPr>
            <w:tcW w:w="5495" w:type="dxa"/>
            <w:shd w:val="clear" w:color="auto" w:fill="E1E3F2"/>
            <w:noWrap/>
            <w:hideMark/>
          </w:tcPr>
          <w:p w:rsidR="004E7FE9" w:rsidRDefault="005F36F9">
            <w:pPr>
              <w:spacing w:after="140" w:line="280" w:lineRule="atLeast"/>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Diclofénac</w:t>
            </w:r>
          </w:p>
        </w:tc>
        <w:tc>
          <w:tcPr>
            <w:tcW w:w="992" w:type="dxa"/>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31</w:t>
            </w:r>
          </w:p>
        </w:tc>
        <w:tc>
          <w:tcPr>
            <w:tcW w:w="1134" w:type="dxa"/>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Oct-12</w:t>
            </w:r>
          </w:p>
        </w:tc>
        <w:tc>
          <w:tcPr>
            <w:tcW w:w="1418" w:type="dxa"/>
            <w:shd w:val="clear" w:color="auto" w:fill="E1E3F2"/>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M</w:t>
            </w:r>
          </w:p>
        </w:tc>
      </w:tr>
      <w:tr w:rsidR="004E7FE9">
        <w:trPr>
          <w:trHeight w:val="300"/>
        </w:trPr>
        <w:tc>
          <w:tcPr>
            <w:tcW w:w="5495" w:type="dxa"/>
            <w:shd w:val="clear" w:color="auto" w:fill="E1E3F2"/>
            <w:noWrap/>
            <w:hideMark/>
          </w:tcPr>
          <w:p w:rsidR="004E7FE9" w:rsidRDefault="005F36F9">
            <w:pPr>
              <w:spacing w:after="140" w:line="280" w:lineRule="atLeast"/>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β-Agonistes de courte durée d’action</w:t>
            </w:r>
          </w:p>
        </w:tc>
        <w:tc>
          <w:tcPr>
            <w:tcW w:w="992" w:type="dxa"/>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31</w:t>
            </w:r>
          </w:p>
        </w:tc>
        <w:tc>
          <w:tcPr>
            <w:tcW w:w="1134" w:type="dxa"/>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Nov-12</w:t>
            </w:r>
          </w:p>
        </w:tc>
        <w:tc>
          <w:tcPr>
            <w:tcW w:w="1418" w:type="dxa"/>
            <w:shd w:val="clear" w:color="auto" w:fill="E1E3F2"/>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M, R</w:t>
            </w:r>
          </w:p>
        </w:tc>
      </w:tr>
      <w:tr w:rsidR="004E7FE9">
        <w:trPr>
          <w:trHeight w:val="300"/>
        </w:trPr>
        <w:tc>
          <w:tcPr>
            <w:tcW w:w="5495" w:type="dxa"/>
            <w:shd w:val="clear" w:color="auto" w:fill="E1E3F2"/>
            <w:noWrap/>
            <w:hideMark/>
          </w:tcPr>
          <w:p w:rsidR="004E7FE9" w:rsidRDefault="005F36F9">
            <w:pPr>
              <w:spacing w:after="140" w:line="280" w:lineRule="atLeast"/>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HEA (solutions d’hydroxyéthylamidon)</w:t>
            </w:r>
          </w:p>
        </w:tc>
        <w:tc>
          <w:tcPr>
            <w:tcW w:w="992" w:type="dxa"/>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31</w:t>
            </w:r>
          </w:p>
        </w:tc>
        <w:tc>
          <w:tcPr>
            <w:tcW w:w="1134" w:type="dxa"/>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Nov-12</w:t>
            </w:r>
          </w:p>
        </w:tc>
        <w:tc>
          <w:tcPr>
            <w:tcW w:w="1418" w:type="dxa"/>
            <w:shd w:val="clear" w:color="auto" w:fill="E1E3F2"/>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M</w:t>
            </w:r>
          </w:p>
        </w:tc>
      </w:tr>
      <w:tr w:rsidR="004E7FE9">
        <w:trPr>
          <w:trHeight w:val="300"/>
        </w:trPr>
        <w:tc>
          <w:tcPr>
            <w:tcW w:w="5495" w:type="dxa"/>
            <w:shd w:val="clear" w:color="auto" w:fill="E1E3F2"/>
            <w:noWrap/>
            <w:hideMark/>
          </w:tcPr>
          <w:p w:rsidR="004E7FE9" w:rsidRDefault="005F36F9">
            <w:pPr>
              <w:spacing w:after="140" w:line="280" w:lineRule="atLeast"/>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Almitrine</w:t>
            </w:r>
          </w:p>
        </w:tc>
        <w:tc>
          <w:tcPr>
            <w:tcW w:w="992" w:type="dxa"/>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31</w:t>
            </w:r>
          </w:p>
        </w:tc>
        <w:tc>
          <w:tcPr>
            <w:tcW w:w="1134" w:type="dxa"/>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Nov-12</w:t>
            </w:r>
          </w:p>
        </w:tc>
        <w:tc>
          <w:tcPr>
            <w:tcW w:w="1418" w:type="dxa"/>
            <w:shd w:val="clear" w:color="auto" w:fill="E1E3F2"/>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R</w:t>
            </w:r>
          </w:p>
        </w:tc>
      </w:tr>
      <w:tr w:rsidR="004E7FE9">
        <w:trPr>
          <w:trHeight w:val="300"/>
        </w:trPr>
        <w:tc>
          <w:tcPr>
            <w:tcW w:w="5495" w:type="dxa"/>
            <w:tcBorders>
              <w:bottom w:val="single" w:sz="6" w:space="0" w:color="FFFFFF"/>
            </w:tcBorders>
            <w:shd w:val="clear" w:color="auto" w:fill="E1E3F2"/>
            <w:noWrap/>
            <w:hideMark/>
          </w:tcPr>
          <w:p w:rsidR="004E7FE9" w:rsidRDefault="005F36F9">
            <w:pPr>
              <w:spacing w:after="140" w:line="280" w:lineRule="atLeast"/>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Diacéréine</w:t>
            </w:r>
          </w:p>
        </w:tc>
        <w:tc>
          <w:tcPr>
            <w:tcW w:w="992" w:type="dxa"/>
            <w:tcBorders>
              <w:bottom w:val="single" w:sz="6" w:space="0" w:color="FFFFFF"/>
            </w:tcBorders>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31</w:t>
            </w:r>
          </w:p>
        </w:tc>
        <w:tc>
          <w:tcPr>
            <w:tcW w:w="1134" w:type="dxa"/>
            <w:tcBorders>
              <w:bottom w:val="single" w:sz="6" w:space="0" w:color="FFFFFF"/>
            </w:tcBorders>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Nov-12</w:t>
            </w:r>
          </w:p>
        </w:tc>
        <w:tc>
          <w:tcPr>
            <w:tcW w:w="1418" w:type="dxa"/>
            <w:tcBorders>
              <w:bottom w:val="single" w:sz="6" w:space="0" w:color="FFFFFF"/>
            </w:tcBorders>
            <w:shd w:val="clear" w:color="auto" w:fill="E1E3F2"/>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M</w:t>
            </w:r>
          </w:p>
        </w:tc>
      </w:tr>
      <w:tr w:rsidR="004E7FE9">
        <w:trPr>
          <w:trHeight w:val="345"/>
        </w:trPr>
        <w:tc>
          <w:tcPr>
            <w:tcW w:w="5495" w:type="dxa"/>
            <w:tcBorders>
              <w:top w:val="single" w:sz="6" w:space="0" w:color="FFFFFF"/>
              <w:bottom w:val="single" w:sz="6" w:space="0" w:color="FFFFFF"/>
            </w:tcBorders>
            <w:shd w:val="clear" w:color="auto" w:fill="8DB3E2"/>
            <w:noWrap/>
            <w:hideMark/>
          </w:tcPr>
          <w:p w:rsidR="004E7FE9" w:rsidRDefault="005F36F9">
            <w:pPr>
              <w:spacing w:after="140" w:line="280" w:lineRule="atLeast"/>
              <w:jc w:val="center"/>
              <w:rPr>
                <w:rFonts w:ascii="Times New Roman" w:eastAsia="Verdana" w:hAnsi="Times New Roman" w:cs="Times New Roman"/>
                <w:b/>
                <w:bCs/>
                <w:noProof/>
                <w:sz w:val="24"/>
                <w:szCs w:val="24"/>
                <w:lang w:val="fr-FR" w:eastAsia="fr-FR" w:bidi="fr-FR"/>
              </w:rPr>
            </w:pPr>
            <w:r>
              <w:rPr>
                <w:rFonts w:ascii="Times New Roman" w:eastAsia="Verdana" w:hAnsi="Times New Roman" w:cs="Verdana"/>
                <w:b/>
                <w:noProof/>
                <w:sz w:val="24"/>
                <w:szCs w:val="18"/>
                <w:lang w:val="fr-FR" w:eastAsia="fr-FR" w:bidi="fr-FR"/>
              </w:rPr>
              <w:t>2013</w:t>
            </w:r>
          </w:p>
        </w:tc>
        <w:tc>
          <w:tcPr>
            <w:tcW w:w="992" w:type="dxa"/>
            <w:tcBorders>
              <w:top w:val="single" w:sz="6" w:space="0" w:color="FFFFFF"/>
              <w:bottom w:val="single" w:sz="6" w:space="0" w:color="FFFFFF"/>
            </w:tcBorders>
            <w:shd w:val="clear" w:color="auto" w:fill="8DB3E2"/>
            <w:noWrap/>
            <w:hideMark/>
          </w:tcPr>
          <w:p w:rsidR="004E7FE9" w:rsidRDefault="004E7FE9">
            <w:pPr>
              <w:spacing w:after="140" w:line="280" w:lineRule="atLeast"/>
              <w:jc w:val="center"/>
              <w:rPr>
                <w:rFonts w:ascii="Times New Roman" w:eastAsia="Verdana" w:hAnsi="Times New Roman" w:cs="Times New Roman"/>
                <w:noProof/>
                <w:sz w:val="24"/>
                <w:szCs w:val="24"/>
                <w:lang w:val="fr-FR" w:eastAsia="fr-FR" w:bidi="fr-FR"/>
              </w:rPr>
            </w:pPr>
          </w:p>
        </w:tc>
        <w:tc>
          <w:tcPr>
            <w:tcW w:w="1134" w:type="dxa"/>
            <w:tcBorders>
              <w:top w:val="single" w:sz="6" w:space="0" w:color="FFFFFF"/>
              <w:bottom w:val="single" w:sz="6" w:space="0" w:color="FFFFFF"/>
            </w:tcBorders>
            <w:shd w:val="clear" w:color="auto" w:fill="8DB3E2"/>
            <w:noWrap/>
            <w:hideMark/>
          </w:tcPr>
          <w:p w:rsidR="004E7FE9" w:rsidRDefault="004E7FE9">
            <w:pPr>
              <w:spacing w:after="140" w:line="280" w:lineRule="atLeast"/>
              <w:jc w:val="center"/>
              <w:rPr>
                <w:rFonts w:ascii="Times New Roman" w:eastAsia="Verdana" w:hAnsi="Times New Roman" w:cs="Times New Roman"/>
                <w:noProof/>
                <w:sz w:val="24"/>
                <w:szCs w:val="24"/>
                <w:lang w:val="fr-FR" w:eastAsia="fr-FR" w:bidi="fr-FR"/>
              </w:rPr>
            </w:pPr>
          </w:p>
        </w:tc>
        <w:tc>
          <w:tcPr>
            <w:tcW w:w="1418" w:type="dxa"/>
            <w:tcBorders>
              <w:top w:val="single" w:sz="6" w:space="0" w:color="FFFFFF"/>
              <w:bottom w:val="single" w:sz="6" w:space="0" w:color="FFFFFF"/>
            </w:tcBorders>
            <w:shd w:val="clear" w:color="auto" w:fill="8DB3E2"/>
          </w:tcPr>
          <w:p w:rsidR="004E7FE9" w:rsidRDefault="004E7FE9">
            <w:pPr>
              <w:spacing w:after="140" w:line="280" w:lineRule="atLeast"/>
              <w:jc w:val="center"/>
              <w:rPr>
                <w:rFonts w:ascii="Times New Roman" w:eastAsia="Verdana" w:hAnsi="Times New Roman" w:cs="Times New Roman"/>
                <w:noProof/>
                <w:sz w:val="24"/>
                <w:szCs w:val="24"/>
                <w:lang w:val="fr-FR" w:eastAsia="fr-FR" w:bidi="fr-FR"/>
              </w:rPr>
            </w:pPr>
          </w:p>
        </w:tc>
      </w:tr>
      <w:tr w:rsidR="004E7FE9">
        <w:trPr>
          <w:trHeight w:val="300"/>
        </w:trPr>
        <w:tc>
          <w:tcPr>
            <w:tcW w:w="5495" w:type="dxa"/>
            <w:tcBorders>
              <w:top w:val="single" w:sz="6" w:space="0" w:color="FFFFFF"/>
            </w:tcBorders>
            <w:shd w:val="clear" w:color="auto" w:fill="E1E3F2"/>
            <w:noWrap/>
            <w:hideMark/>
          </w:tcPr>
          <w:p w:rsidR="004E7FE9" w:rsidRPr="005F36F9" w:rsidRDefault="005F36F9">
            <w:pPr>
              <w:spacing w:after="140" w:line="280" w:lineRule="atLeast"/>
              <w:rPr>
                <w:rFonts w:ascii="Times New Roman" w:eastAsia="Verdana" w:hAnsi="Times New Roman" w:cs="Times New Roman"/>
                <w:noProof/>
                <w:sz w:val="24"/>
                <w:szCs w:val="24"/>
                <w:lang w:eastAsia="fr-FR" w:bidi="fr-FR"/>
              </w:rPr>
            </w:pPr>
            <w:r w:rsidRPr="005F36F9">
              <w:rPr>
                <w:rFonts w:ascii="Times New Roman" w:eastAsia="Verdana" w:hAnsi="Times New Roman" w:cs="Verdana"/>
                <w:noProof/>
                <w:sz w:val="24"/>
                <w:szCs w:val="18"/>
                <w:lang w:eastAsia="fr-FR" w:bidi="fr-FR"/>
              </w:rPr>
              <w:t>Tredaptive, Trevaclyn, Pelzont (acide nicotinique/laropiprant)</w:t>
            </w:r>
          </w:p>
        </w:tc>
        <w:tc>
          <w:tcPr>
            <w:tcW w:w="992" w:type="dxa"/>
            <w:tcBorders>
              <w:top w:val="single" w:sz="6" w:space="0" w:color="FFFFFF"/>
            </w:tcBorders>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20</w:t>
            </w:r>
          </w:p>
        </w:tc>
        <w:tc>
          <w:tcPr>
            <w:tcW w:w="1134" w:type="dxa"/>
            <w:tcBorders>
              <w:top w:val="single" w:sz="6" w:space="0" w:color="FFFFFF"/>
            </w:tcBorders>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Jan-13</w:t>
            </w:r>
          </w:p>
        </w:tc>
        <w:tc>
          <w:tcPr>
            <w:tcW w:w="1418" w:type="dxa"/>
            <w:tcBorders>
              <w:top w:val="single" w:sz="6" w:space="0" w:color="FFFFFF"/>
            </w:tcBorders>
            <w:shd w:val="clear" w:color="auto" w:fill="E1E3F2"/>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S</w:t>
            </w:r>
          </w:p>
        </w:tc>
      </w:tr>
      <w:tr w:rsidR="004E7FE9">
        <w:trPr>
          <w:trHeight w:val="300"/>
        </w:trPr>
        <w:tc>
          <w:tcPr>
            <w:tcW w:w="5495" w:type="dxa"/>
            <w:shd w:val="clear" w:color="auto" w:fill="E1E3F2"/>
            <w:hideMark/>
          </w:tcPr>
          <w:p w:rsidR="004E7FE9" w:rsidRDefault="005F36F9">
            <w:pPr>
              <w:spacing w:after="140" w:line="280" w:lineRule="atLeast"/>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Tétrazépam</w:t>
            </w:r>
          </w:p>
        </w:tc>
        <w:tc>
          <w:tcPr>
            <w:tcW w:w="992" w:type="dxa"/>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 xml:space="preserve">107 </w:t>
            </w:r>
            <w:r>
              <w:rPr>
                <w:rFonts w:ascii="Times New Roman" w:eastAsia="Verdana" w:hAnsi="Times New Roman" w:cs="Verdana"/>
                <w:i/>
                <w:noProof/>
                <w:sz w:val="24"/>
                <w:szCs w:val="18"/>
                <w:lang w:val="fr-FR" w:eastAsia="fr-FR" w:bidi="fr-FR"/>
              </w:rPr>
              <w:t>decies</w:t>
            </w:r>
          </w:p>
        </w:tc>
        <w:tc>
          <w:tcPr>
            <w:tcW w:w="1134" w:type="dxa"/>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Jan-13</w:t>
            </w:r>
          </w:p>
        </w:tc>
        <w:tc>
          <w:tcPr>
            <w:tcW w:w="1418" w:type="dxa"/>
            <w:shd w:val="clear" w:color="auto" w:fill="E1E3F2"/>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S</w:t>
            </w:r>
          </w:p>
        </w:tc>
      </w:tr>
      <w:tr w:rsidR="004E7FE9">
        <w:tc>
          <w:tcPr>
            <w:tcW w:w="5495" w:type="dxa"/>
            <w:shd w:val="clear" w:color="auto" w:fill="E1E3F2"/>
            <w:hideMark/>
          </w:tcPr>
          <w:p w:rsidR="004E7FE9" w:rsidRPr="005F36F9" w:rsidRDefault="005F36F9">
            <w:pPr>
              <w:spacing w:after="140" w:line="280" w:lineRule="atLeast"/>
              <w:rPr>
                <w:rFonts w:ascii="Times New Roman" w:eastAsia="Verdana" w:hAnsi="Times New Roman" w:cs="Times New Roman"/>
                <w:noProof/>
                <w:sz w:val="24"/>
                <w:szCs w:val="24"/>
                <w:lang w:eastAsia="fr-FR" w:bidi="fr-FR"/>
              </w:rPr>
            </w:pPr>
            <w:r w:rsidRPr="005F36F9">
              <w:rPr>
                <w:rFonts w:ascii="Times New Roman" w:eastAsia="Verdana" w:hAnsi="Times New Roman" w:cs="Verdana"/>
                <w:noProof/>
                <w:sz w:val="24"/>
                <w:szCs w:val="18"/>
                <w:lang w:eastAsia="fr-FR" w:bidi="fr-FR"/>
              </w:rPr>
              <w:t xml:space="preserve">Cyprotérone, éthinylestradiol — DIANE 35 et autres médicaments contenant 2 mg </w:t>
            </w:r>
            <w:r w:rsidRPr="005F36F9">
              <w:rPr>
                <w:rFonts w:ascii="Times New Roman" w:eastAsia="Verdana" w:hAnsi="Times New Roman" w:cs="Verdana"/>
                <w:noProof/>
                <w:sz w:val="24"/>
                <w:szCs w:val="18"/>
                <w:lang w:eastAsia="fr-FR" w:bidi="fr-FR"/>
              </w:rPr>
              <w:t>d’acétate de cyprotérone et 35 mg d’éthinylestradiol</w:t>
            </w:r>
          </w:p>
        </w:tc>
        <w:tc>
          <w:tcPr>
            <w:tcW w:w="992" w:type="dxa"/>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 xml:space="preserve">107 </w:t>
            </w:r>
            <w:r>
              <w:rPr>
                <w:rFonts w:ascii="Times New Roman" w:eastAsia="Verdana" w:hAnsi="Times New Roman" w:cs="Verdana"/>
                <w:i/>
                <w:noProof/>
                <w:sz w:val="24"/>
                <w:szCs w:val="18"/>
                <w:lang w:val="fr-FR" w:eastAsia="fr-FR" w:bidi="fr-FR"/>
              </w:rPr>
              <w:t>decies</w:t>
            </w:r>
          </w:p>
        </w:tc>
        <w:tc>
          <w:tcPr>
            <w:tcW w:w="1134" w:type="dxa"/>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Fév-13</w:t>
            </w:r>
          </w:p>
        </w:tc>
        <w:tc>
          <w:tcPr>
            <w:tcW w:w="1418" w:type="dxa"/>
            <w:shd w:val="clear" w:color="auto" w:fill="E1E3F2"/>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M</w:t>
            </w:r>
          </w:p>
        </w:tc>
      </w:tr>
      <w:tr w:rsidR="004E7FE9">
        <w:tc>
          <w:tcPr>
            <w:tcW w:w="5495" w:type="dxa"/>
            <w:shd w:val="clear" w:color="auto" w:fill="E1E3F2"/>
            <w:hideMark/>
          </w:tcPr>
          <w:p w:rsidR="004E7FE9" w:rsidRDefault="005F36F9">
            <w:pPr>
              <w:spacing w:after="140" w:line="280" w:lineRule="atLeast"/>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Contraceptifs hormonaux combinés</w:t>
            </w:r>
          </w:p>
        </w:tc>
        <w:tc>
          <w:tcPr>
            <w:tcW w:w="992" w:type="dxa"/>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31</w:t>
            </w:r>
          </w:p>
        </w:tc>
        <w:tc>
          <w:tcPr>
            <w:tcW w:w="1134" w:type="dxa"/>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Fév-13</w:t>
            </w:r>
          </w:p>
        </w:tc>
        <w:tc>
          <w:tcPr>
            <w:tcW w:w="1418" w:type="dxa"/>
            <w:shd w:val="clear" w:color="auto" w:fill="E1E3F2"/>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M</w:t>
            </w:r>
          </w:p>
        </w:tc>
      </w:tr>
      <w:tr w:rsidR="004E7FE9">
        <w:trPr>
          <w:trHeight w:val="300"/>
        </w:trPr>
        <w:tc>
          <w:tcPr>
            <w:tcW w:w="5495" w:type="dxa"/>
            <w:shd w:val="clear" w:color="auto" w:fill="E1E3F2"/>
            <w:hideMark/>
          </w:tcPr>
          <w:p w:rsidR="004E7FE9" w:rsidRDefault="005F36F9">
            <w:pPr>
              <w:spacing w:after="140" w:line="280" w:lineRule="atLeast"/>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Flupirtine</w:t>
            </w:r>
          </w:p>
        </w:tc>
        <w:tc>
          <w:tcPr>
            <w:tcW w:w="992" w:type="dxa"/>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 xml:space="preserve">107 </w:t>
            </w:r>
            <w:r>
              <w:rPr>
                <w:rFonts w:ascii="Times New Roman" w:eastAsia="Verdana" w:hAnsi="Times New Roman" w:cs="Verdana"/>
                <w:i/>
                <w:noProof/>
                <w:sz w:val="24"/>
                <w:szCs w:val="18"/>
                <w:lang w:val="fr-FR" w:eastAsia="fr-FR" w:bidi="fr-FR"/>
              </w:rPr>
              <w:t>decies</w:t>
            </w:r>
          </w:p>
        </w:tc>
        <w:tc>
          <w:tcPr>
            <w:tcW w:w="1134" w:type="dxa"/>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Mar-13</w:t>
            </w:r>
          </w:p>
        </w:tc>
        <w:tc>
          <w:tcPr>
            <w:tcW w:w="1418" w:type="dxa"/>
            <w:shd w:val="clear" w:color="auto" w:fill="E1E3F2"/>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M</w:t>
            </w:r>
          </w:p>
        </w:tc>
      </w:tr>
      <w:tr w:rsidR="004E7FE9">
        <w:trPr>
          <w:trHeight w:val="300"/>
        </w:trPr>
        <w:tc>
          <w:tcPr>
            <w:tcW w:w="5495" w:type="dxa"/>
            <w:shd w:val="clear" w:color="auto" w:fill="E1E3F2"/>
            <w:hideMark/>
          </w:tcPr>
          <w:p w:rsidR="004E7FE9" w:rsidRDefault="005F36F9">
            <w:pPr>
              <w:spacing w:after="140" w:line="280" w:lineRule="atLeast"/>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Dompéridone</w:t>
            </w:r>
          </w:p>
        </w:tc>
        <w:tc>
          <w:tcPr>
            <w:tcW w:w="992" w:type="dxa"/>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31</w:t>
            </w:r>
          </w:p>
        </w:tc>
        <w:tc>
          <w:tcPr>
            <w:tcW w:w="1134" w:type="dxa"/>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Mar-13</w:t>
            </w:r>
          </w:p>
        </w:tc>
        <w:tc>
          <w:tcPr>
            <w:tcW w:w="1418" w:type="dxa"/>
            <w:shd w:val="clear" w:color="auto" w:fill="E1E3F2"/>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M, R</w:t>
            </w:r>
          </w:p>
        </w:tc>
      </w:tr>
      <w:tr w:rsidR="004E7FE9">
        <w:trPr>
          <w:trHeight w:val="600"/>
        </w:trPr>
        <w:tc>
          <w:tcPr>
            <w:tcW w:w="5495" w:type="dxa"/>
            <w:shd w:val="clear" w:color="auto" w:fill="E1E3F2"/>
            <w:hideMark/>
          </w:tcPr>
          <w:p w:rsidR="004E7FE9" w:rsidRDefault="005F36F9">
            <w:pPr>
              <w:spacing w:after="140" w:line="280" w:lineRule="atLeast"/>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 xml:space="preserve">Acide nicotinique et substances apparentées — acipimox, nicotinate de </w:t>
            </w:r>
            <w:r>
              <w:rPr>
                <w:rFonts w:ascii="Times New Roman" w:eastAsia="Verdana" w:hAnsi="Times New Roman" w:cs="Verdana"/>
                <w:noProof/>
                <w:sz w:val="24"/>
                <w:szCs w:val="18"/>
                <w:lang w:val="fr-FR" w:eastAsia="fr-FR" w:bidi="fr-FR"/>
              </w:rPr>
              <w:t>xantinol</w:t>
            </w:r>
          </w:p>
        </w:tc>
        <w:tc>
          <w:tcPr>
            <w:tcW w:w="992" w:type="dxa"/>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31</w:t>
            </w:r>
          </w:p>
        </w:tc>
        <w:tc>
          <w:tcPr>
            <w:tcW w:w="1134" w:type="dxa"/>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Mar-13</w:t>
            </w:r>
          </w:p>
        </w:tc>
        <w:tc>
          <w:tcPr>
            <w:tcW w:w="1418" w:type="dxa"/>
            <w:shd w:val="clear" w:color="auto" w:fill="E1E3F2"/>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M</w:t>
            </w:r>
          </w:p>
        </w:tc>
      </w:tr>
      <w:tr w:rsidR="004E7FE9">
        <w:trPr>
          <w:trHeight w:val="300"/>
        </w:trPr>
        <w:tc>
          <w:tcPr>
            <w:tcW w:w="5495" w:type="dxa"/>
            <w:shd w:val="clear" w:color="auto" w:fill="E1E3F2"/>
            <w:hideMark/>
          </w:tcPr>
          <w:p w:rsidR="004E7FE9" w:rsidRPr="005F36F9" w:rsidRDefault="005F36F9">
            <w:pPr>
              <w:spacing w:after="140" w:line="280" w:lineRule="atLeast"/>
              <w:rPr>
                <w:rFonts w:ascii="Times New Roman" w:eastAsia="Verdana" w:hAnsi="Times New Roman" w:cs="Times New Roman"/>
                <w:noProof/>
                <w:sz w:val="24"/>
                <w:szCs w:val="24"/>
                <w:lang w:eastAsia="fr-FR" w:bidi="fr-FR"/>
              </w:rPr>
            </w:pPr>
            <w:r w:rsidRPr="005F36F9">
              <w:rPr>
                <w:rFonts w:ascii="Times New Roman" w:eastAsia="Verdana" w:hAnsi="Times New Roman" w:cs="Verdana"/>
                <w:noProof/>
                <w:sz w:val="24"/>
                <w:szCs w:val="18"/>
                <w:lang w:eastAsia="fr-FR" w:bidi="fr-FR"/>
              </w:rPr>
              <w:t>Kogenate Bayer/Helixate NexGen (octocog alfa)</w:t>
            </w:r>
          </w:p>
        </w:tc>
        <w:tc>
          <w:tcPr>
            <w:tcW w:w="992" w:type="dxa"/>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20</w:t>
            </w:r>
          </w:p>
        </w:tc>
        <w:tc>
          <w:tcPr>
            <w:tcW w:w="1134" w:type="dxa"/>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Mar-13</w:t>
            </w:r>
          </w:p>
        </w:tc>
        <w:tc>
          <w:tcPr>
            <w:tcW w:w="1418" w:type="dxa"/>
            <w:shd w:val="clear" w:color="auto" w:fill="E1E3F2"/>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M</w:t>
            </w:r>
          </w:p>
        </w:tc>
      </w:tr>
      <w:tr w:rsidR="004E7FE9">
        <w:tc>
          <w:tcPr>
            <w:tcW w:w="5495" w:type="dxa"/>
            <w:shd w:val="clear" w:color="auto" w:fill="E1E3F2"/>
            <w:noWrap/>
            <w:hideMark/>
          </w:tcPr>
          <w:p w:rsidR="004E7FE9" w:rsidRDefault="005F36F9">
            <w:pPr>
              <w:spacing w:after="140" w:line="280" w:lineRule="atLeast"/>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Médicaments agissant sur le système rénine-angiotensine</w:t>
            </w:r>
          </w:p>
        </w:tc>
        <w:tc>
          <w:tcPr>
            <w:tcW w:w="992" w:type="dxa"/>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31</w:t>
            </w:r>
          </w:p>
        </w:tc>
        <w:tc>
          <w:tcPr>
            <w:tcW w:w="1134" w:type="dxa"/>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Mai-13</w:t>
            </w:r>
          </w:p>
        </w:tc>
        <w:tc>
          <w:tcPr>
            <w:tcW w:w="1418" w:type="dxa"/>
            <w:shd w:val="clear" w:color="auto" w:fill="E1E3F2"/>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M</w:t>
            </w:r>
          </w:p>
        </w:tc>
      </w:tr>
      <w:tr w:rsidR="004E7FE9">
        <w:trPr>
          <w:trHeight w:val="300"/>
        </w:trPr>
        <w:tc>
          <w:tcPr>
            <w:tcW w:w="5495" w:type="dxa"/>
            <w:shd w:val="clear" w:color="auto" w:fill="E1E3F2"/>
            <w:hideMark/>
          </w:tcPr>
          <w:p w:rsidR="004E7FE9" w:rsidRDefault="005F36F9">
            <w:pPr>
              <w:spacing w:after="140" w:line="280" w:lineRule="atLeast"/>
              <w:rPr>
                <w:rFonts w:ascii="Times New Roman" w:eastAsia="Verdana" w:hAnsi="Times New Roman" w:cs="Times New Roman"/>
                <w:noProof/>
                <w:sz w:val="24"/>
                <w:szCs w:val="24"/>
                <w:lang w:val="pt-PT" w:eastAsia="fr-FR" w:bidi="fr-FR"/>
              </w:rPr>
            </w:pPr>
            <w:r>
              <w:rPr>
                <w:rFonts w:ascii="Times New Roman" w:eastAsia="Verdana" w:hAnsi="Times New Roman" w:cs="Verdana"/>
                <w:noProof/>
                <w:sz w:val="24"/>
                <w:szCs w:val="18"/>
                <w:lang w:val="pt-PT" w:eastAsia="fr-FR" w:bidi="fr-FR"/>
              </w:rPr>
              <w:t>Protelos/Osseor (ranélate de strontium)</w:t>
            </w:r>
          </w:p>
        </w:tc>
        <w:tc>
          <w:tcPr>
            <w:tcW w:w="992" w:type="dxa"/>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20</w:t>
            </w:r>
          </w:p>
        </w:tc>
        <w:tc>
          <w:tcPr>
            <w:tcW w:w="1134" w:type="dxa"/>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Mai-13</w:t>
            </w:r>
          </w:p>
        </w:tc>
        <w:tc>
          <w:tcPr>
            <w:tcW w:w="1418" w:type="dxa"/>
            <w:shd w:val="clear" w:color="auto" w:fill="E1E3F2"/>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M</w:t>
            </w:r>
          </w:p>
        </w:tc>
      </w:tr>
      <w:tr w:rsidR="004E7FE9">
        <w:trPr>
          <w:trHeight w:val="600"/>
        </w:trPr>
        <w:tc>
          <w:tcPr>
            <w:tcW w:w="5495" w:type="dxa"/>
            <w:shd w:val="clear" w:color="auto" w:fill="E1E3F2"/>
            <w:hideMark/>
          </w:tcPr>
          <w:p w:rsidR="004E7FE9" w:rsidRDefault="005F36F9">
            <w:pPr>
              <w:spacing w:after="140" w:line="280" w:lineRule="atLeast"/>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NUMETA G13%E, NUMETA G16%E (émulsions pour perfusion)</w:t>
            </w:r>
            <w:r>
              <w:rPr>
                <w:rFonts w:ascii="Times New Roman" w:eastAsia="Verdana" w:hAnsi="Times New Roman" w:cs="Verdana"/>
                <w:noProof/>
                <w:sz w:val="24"/>
                <w:szCs w:val="18"/>
                <w:lang w:val="fr-FR" w:eastAsia="fr-FR" w:bidi="fr-FR"/>
              </w:rPr>
              <w:t xml:space="preserve"> et dénominations apparentées (glucose, lipides, acides aminés et électrolytes)</w:t>
            </w:r>
          </w:p>
        </w:tc>
        <w:tc>
          <w:tcPr>
            <w:tcW w:w="992" w:type="dxa"/>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 xml:space="preserve">107 </w:t>
            </w:r>
            <w:r>
              <w:rPr>
                <w:rFonts w:ascii="Times New Roman" w:eastAsia="Verdana" w:hAnsi="Times New Roman" w:cs="Verdana"/>
                <w:i/>
                <w:noProof/>
                <w:sz w:val="24"/>
                <w:szCs w:val="18"/>
                <w:lang w:val="fr-FR" w:eastAsia="fr-FR" w:bidi="fr-FR"/>
              </w:rPr>
              <w:t>decies</w:t>
            </w:r>
          </w:p>
        </w:tc>
        <w:tc>
          <w:tcPr>
            <w:tcW w:w="1134" w:type="dxa"/>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Juin-13</w:t>
            </w:r>
          </w:p>
        </w:tc>
        <w:tc>
          <w:tcPr>
            <w:tcW w:w="1418" w:type="dxa"/>
            <w:shd w:val="clear" w:color="auto" w:fill="E1E3F2"/>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M, S</w:t>
            </w:r>
          </w:p>
        </w:tc>
      </w:tr>
      <w:tr w:rsidR="004E7FE9">
        <w:trPr>
          <w:trHeight w:val="300"/>
        </w:trPr>
        <w:tc>
          <w:tcPr>
            <w:tcW w:w="5495" w:type="dxa"/>
            <w:shd w:val="clear" w:color="auto" w:fill="E1E3F2"/>
            <w:hideMark/>
          </w:tcPr>
          <w:p w:rsidR="004E7FE9" w:rsidRDefault="005F36F9">
            <w:pPr>
              <w:spacing w:after="140" w:line="280" w:lineRule="atLeast"/>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Médicaments contenant du zolpidem</w:t>
            </w:r>
          </w:p>
        </w:tc>
        <w:tc>
          <w:tcPr>
            <w:tcW w:w="992" w:type="dxa"/>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31</w:t>
            </w:r>
          </w:p>
        </w:tc>
        <w:tc>
          <w:tcPr>
            <w:tcW w:w="1134" w:type="dxa"/>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Juil-13</w:t>
            </w:r>
          </w:p>
        </w:tc>
        <w:tc>
          <w:tcPr>
            <w:tcW w:w="1418" w:type="dxa"/>
            <w:shd w:val="clear" w:color="auto" w:fill="E1E3F2"/>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M</w:t>
            </w:r>
          </w:p>
        </w:tc>
      </w:tr>
      <w:tr w:rsidR="004E7FE9">
        <w:trPr>
          <w:trHeight w:val="600"/>
        </w:trPr>
        <w:tc>
          <w:tcPr>
            <w:tcW w:w="5495" w:type="dxa"/>
            <w:shd w:val="clear" w:color="auto" w:fill="E1E3F2"/>
            <w:hideMark/>
          </w:tcPr>
          <w:p w:rsidR="004E7FE9" w:rsidRDefault="005F36F9">
            <w:pPr>
              <w:spacing w:after="140" w:line="280" w:lineRule="atLeast"/>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Médicaments contenant de l’hydroxyéthylamidon</w:t>
            </w:r>
          </w:p>
        </w:tc>
        <w:tc>
          <w:tcPr>
            <w:tcW w:w="992" w:type="dxa"/>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 xml:space="preserve">107 </w:t>
            </w:r>
            <w:r>
              <w:rPr>
                <w:rFonts w:ascii="Times New Roman" w:eastAsia="Verdana" w:hAnsi="Times New Roman" w:cs="Verdana"/>
                <w:i/>
                <w:noProof/>
                <w:sz w:val="24"/>
                <w:szCs w:val="18"/>
                <w:lang w:val="fr-FR" w:eastAsia="fr-FR" w:bidi="fr-FR"/>
              </w:rPr>
              <w:t>decies</w:t>
            </w:r>
          </w:p>
        </w:tc>
        <w:tc>
          <w:tcPr>
            <w:tcW w:w="1134" w:type="dxa"/>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Juil-13</w:t>
            </w:r>
          </w:p>
        </w:tc>
        <w:tc>
          <w:tcPr>
            <w:tcW w:w="1418" w:type="dxa"/>
            <w:shd w:val="clear" w:color="auto" w:fill="E1E3F2"/>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M</w:t>
            </w:r>
          </w:p>
        </w:tc>
      </w:tr>
      <w:tr w:rsidR="004E7FE9">
        <w:trPr>
          <w:trHeight w:val="300"/>
        </w:trPr>
        <w:tc>
          <w:tcPr>
            <w:tcW w:w="5495" w:type="dxa"/>
            <w:shd w:val="clear" w:color="auto" w:fill="E1E3F2"/>
            <w:hideMark/>
          </w:tcPr>
          <w:p w:rsidR="004E7FE9" w:rsidRDefault="005F36F9">
            <w:pPr>
              <w:spacing w:after="140" w:line="280" w:lineRule="atLeast"/>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 xml:space="preserve">Médicament contenant de la bromocriptine </w:t>
            </w:r>
          </w:p>
        </w:tc>
        <w:tc>
          <w:tcPr>
            <w:tcW w:w="992" w:type="dxa"/>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31</w:t>
            </w:r>
          </w:p>
        </w:tc>
        <w:tc>
          <w:tcPr>
            <w:tcW w:w="1134" w:type="dxa"/>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Sep-13</w:t>
            </w:r>
          </w:p>
        </w:tc>
        <w:tc>
          <w:tcPr>
            <w:tcW w:w="1418" w:type="dxa"/>
            <w:shd w:val="clear" w:color="auto" w:fill="E1E3F2"/>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M</w:t>
            </w:r>
          </w:p>
        </w:tc>
      </w:tr>
      <w:tr w:rsidR="004E7FE9">
        <w:trPr>
          <w:trHeight w:val="300"/>
        </w:trPr>
        <w:tc>
          <w:tcPr>
            <w:tcW w:w="5495" w:type="dxa"/>
            <w:shd w:val="clear" w:color="auto" w:fill="E1E3F2"/>
            <w:hideMark/>
          </w:tcPr>
          <w:p w:rsidR="004E7FE9" w:rsidRDefault="005F36F9">
            <w:pPr>
              <w:spacing w:after="140" w:line="280" w:lineRule="atLeast"/>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 xml:space="preserve">Substances apparentées au valproate </w:t>
            </w:r>
          </w:p>
        </w:tc>
        <w:tc>
          <w:tcPr>
            <w:tcW w:w="992" w:type="dxa"/>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31</w:t>
            </w:r>
          </w:p>
        </w:tc>
        <w:tc>
          <w:tcPr>
            <w:tcW w:w="1134" w:type="dxa"/>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Oct-13</w:t>
            </w:r>
          </w:p>
        </w:tc>
        <w:tc>
          <w:tcPr>
            <w:tcW w:w="1418" w:type="dxa"/>
            <w:shd w:val="clear" w:color="auto" w:fill="E1E3F2"/>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M</w:t>
            </w:r>
          </w:p>
        </w:tc>
      </w:tr>
      <w:tr w:rsidR="004E7FE9">
        <w:trPr>
          <w:trHeight w:val="300"/>
        </w:trPr>
        <w:tc>
          <w:tcPr>
            <w:tcW w:w="5495" w:type="dxa"/>
            <w:tcBorders>
              <w:bottom w:val="single" w:sz="6" w:space="0" w:color="FFFFFF"/>
            </w:tcBorders>
            <w:shd w:val="clear" w:color="auto" w:fill="E1E3F2"/>
            <w:hideMark/>
          </w:tcPr>
          <w:p w:rsidR="004E7FE9" w:rsidRDefault="005F36F9">
            <w:pPr>
              <w:spacing w:after="140" w:line="280" w:lineRule="atLeast"/>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Iclusig (ponatinib)</w:t>
            </w:r>
          </w:p>
        </w:tc>
        <w:tc>
          <w:tcPr>
            <w:tcW w:w="992" w:type="dxa"/>
            <w:tcBorders>
              <w:bottom w:val="single" w:sz="6" w:space="0" w:color="FFFFFF"/>
            </w:tcBorders>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20</w:t>
            </w:r>
          </w:p>
        </w:tc>
        <w:tc>
          <w:tcPr>
            <w:tcW w:w="1134" w:type="dxa"/>
            <w:tcBorders>
              <w:bottom w:val="single" w:sz="6" w:space="0" w:color="FFFFFF"/>
            </w:tcBorders>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Déc-13</w:t>
            </w:r>
          </w:p>
        </w:tc>
        <w:tc>
          <w:tcPr>
            <w:tcW w:w="1418" w:type="dxa"/>
            <w:tcBorders>
              <w:bottom w:val="single" w:sz="6" w:space="0" w:color="FFFFFF"/>
            </w:tcBorders>
            <w:shd w:val="clear" w:color="auto" w:fill="E1E3F2"/>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M</w:t>
            </w:r>
          </w:p>
        </w:tc>
      </w:tr>
      <w:tr w:rsidR="004E7FE9">
        <w:trPr>
          <w:trHeight w:val="345"/>
        </w:trPr>
        <w:tc>
          <w:tcPr>
            <w:tcW w:w="5495" w:type="dxa"/>
            <w:tcBorders>
              <w:top w:val="single" w:sz="6" w:space="0" w:color="FFFFFF"/>
              <w:bottom w:val="single" w:sz="6" w:space="0" w:color="FFFFFF"/>
            </w:tcBorders>
            <w:shd w:val="clear" w:color="auto" w:fill="8DB3E2"/>
            <w:noWrap/>
            <w:hideMark/>
          </w:tcPr>
          <w:p w:rsidR="004E7FE9" w:rsidRDefault="005F36F9">
            <w:pPr>
              <w:spacing w:after="140" w:line="280" w:lineRule="atLeast"/>
              <w:jc w:val="center"/>
              <w:rPr>
                <w:rFonts w:ascii="Times New Roman" w:eastAsia="Verdana" w:hAnsi="Times New Roman" w:cs="Times New Roman"/>
                <w:b/>
                <w:bCs/>
                <w:noProof/>
                <w:sz w:val="24"/>
                <w:szCs w:val="24"/>
                <w:lang w:val="fr-FR" w:eastAsia="fr-FR" w:bidi="fr-FR"/>
              </w:rPr>
            </w:pPr>
            <w:r>
              <w:rPr>
                <w:rFonts w:ascii="Times New Roman" w:eastAsia="Verdana" w:hAnsi="Times New Roman" w:cs="Verdana"/>
                <w:b/>
                <w:noProof/>
                <w:sz w:val="24"/>
                <w:szCs w:val="18"/>
                <w:lang w:val="fr-FR" w:eastAsia="fr-FR" w:bidi="fr-FR"/>
              </w:rPr>
              <w:t>2014</w:t>
            </w:r>
          </w:p>
        </w:tc>
        <w:tc>
          <w:tcPr>
            <w:tcW w:w="992" w:type="dxa"/>
            <w:tcBorders>
              <w:top w:val="single" w:sz="6" w:space="0" w:color="FFFFFF"/>
              <w:bottom w:val="single" w:sz="6" w:space="0" w:color="FFFFFF"/>
            </w:tcBorders>
            <w:shd w:val="clear" w:color="auto" w:fill="8DB3E2"/>
            <w:noWrap/>
            <w:hideMark/>
          </w:tcPr>
          <w:p w:rsidR="004E7FE9" w:rsidRDefault="004E7FE9">
            <w:pPr>
              <w:spacing w:after="140" w:line="280" w:lineRule="atLeast"/>
              <w:jc w:val="center"/>
              <w:rPr>
                <w:rFonts w:ascii="Times New Roman" w:eastAsia="Verdana" w:hAnsi="Times New Roman" w:cs="Times New Roman"/>
                <w:noProof/>
                <w:sz w:val="24"/>
                <w:szCs w:val="24"/>
                <w:lang w:val="fr-FR" w:eastAsia="fr-FR" w:bidi="fr-FR"/>
              </w:rPr>
            </w:pPr>
          </w:p>
        </w:tc>
        <w:tc>
          <w:tcPr>
            <w:tcW w:w="1134" w:type="dxa"/>
            <w:tcBorders>
              <w:top w:val="single" w:sz="6" w:space="0" w:color="FFFFFF"/>
              <w:bottom w:val="single" w:sz="6" w:space="0" w:color="FFFFFF"/>
            </w:tcBorders>
            <w:shd w:val="clear" w:color="auto" w:fill="8DB3E2"/>
            <w:noWrap/>
            <w:hideMark/>
          </w:tcPr>
          <w:p w:rsidR="004E7FE9" w:rsidRDefault="004E7FE9">
            <w:pPr>
              <w:spacing w:after="140" w:line="280" w:lineRule="atLeast"/>
              <w:jc w:val="center"/>
              <w:rPr>
                <w:rFonts w:ascii="Times New Roman" w:eastAsia="Verdana" w:hAnsi="Times New Roman" w:cs="Times New Roman"/>
                <w:noProof/>
                <w:sz w:val="24"/>
                <w:szCs w:val="24"/>
                <w:lang w:val="fr-FR" w:eastAsia="fr-FR" w:bidi="fr-FR"/>
              </w:rPr>
            </w:pPr>
          </w:p>
        </w:tc>
        <w:tc>
          <w:tcPr>
            <w:tcW w:w="1418" w:type="dxa"/>
            <w:tcBorders>
              <w:top w:val="single" w:sz="6" w:space="0" w:color="FFFFFF"/>
              <w:bottom w:val="single" w:sz="6" w:space="0" w:color="FFFFFF"/>
            </w:tcBorders>
            <w:shd w:val="clear" w:color="auto" w:fill="8DB3E2"/>
          </w:tcPr>
          <w:p w:rsidR="004E7FE9" w:rsidRDefault="004E7FE9">
            <w:pPr>
              <w:spacing w:after="140" w:line="280" w:lineRule="atLeast"/>
              <w:jc w:val="center"/>
              <w:rPr>
                <w:rFonts w:ascii="Times New Roman" w:eastAsia="Verdana" w:hAnsi="Times New Roman" w:cs="Times New Roman"/>
                <w:noProof/>
                <w:sz w:val="24"/>
                <w:szCs w:val="24"/>
                <w:lang w:val="fr-FR" w:eastAsia="fr-FR" w:bidi="fr-FR"/>
              </w:rPr>
            </w:pPr>
          </w:p>
        </w:tc>
      </w:tr>
      <w:tr w:rsidR="004E7FE9">
        <w:trPr>
          <w:trHeight w:val="300"/>
        </w:trPr>
        <w:tc>
          <w:tcPr>
            <w:tcW w:w="5495" w:type="dxa"/>
            <w:tcBorders>
              <w:top w:val="single" w:sz="6" w:space="0" w:color="FFFFFF"/>
            </w:tcBorders>
            <w:shd w:val="clear" w:color="auto" w:fill="E1E3F2"/>
            <w:hideMark/>
          </w:tcPr>
          <w:p w:rsidR="004E7FE9" w:rsidRDefault="005F36F9">
            <w:pPr>
              <w:spacing w:after="140" w:line="280" w:lineRule="atLeast"/>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Testostérone</w:t>
            </w:r>
          </w:p>
        </w:tc>
        <w:tc>
          <w:tcPr>
            <w:tcW w:w="992" w:type="dxa"/>
            <w:tcBorders>
              <w:top w:val="single" w:sz="6" w:space="0" w:color="FFFFFF"/>
            </w:tcBorders>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31</w:t>
            </w:r>
          </w:p>
        </w:tc>
        <w:tc>
          <w:tcPr>
            <w:tcW w:w="1134" w:type="dxa"/>
            <w:tcBorders>
              <w:top w:val="single" w:sz="6" w:space="0" w:color="FFFFFF"/>
            </w:tcBorders>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Avr-14</w:t>
            </w:r>
          </w:p>
        </w:tc>
        <w:tc>
          <w:tcPr>
            <w:tcW w:w="1418" w:type="dxa"/>
            <w:tcBorders>
              <w:top w:val="single" w:sz="6" w:space="0" w:color="FFFFFF"/>
            </w:tcBorders>
            <w:shd w:val="clear" w:color="auto" w:fill="E1E3F2"/>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M</w:t>
            </w:r>
          </w:p>
        </w:tc>
      </w:tr>
      <w:tr w:rsidR="004E7FE9">
        <w:trPr>
          <w:trHeight w:val="300"/>
        </w:trPr>
        <w:tc>
          <w:tcPr>
            <w:tcW w:w="5495" w:type="dxa"/>
            <w:shd w:val="clear" w:color="auto" w:fill="E1E3F2"/>
            <w:hideMark/>
          </w:tcPr>
          <w:p w:rsidR="004E7FE9" w:rsidRDefault="005F36F9">
            <w:pPr>
              <w:spacing w:after="140" w:line="280" w:lineRule="atLeast"/>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Codéine utilisée chez l’enfant dans le traitement de la toux</w:t>
            </w:r>
          </w:p>
        </w:tc>
        <w:tc>
          <w:tcPr>
            <w:tcW w:w="992" w:type="dxa"/>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31</w:t>
            </w:r>
          </w:p>
        </w:tc>
        <w:tc>
          <w:tcPr>
            <w:tcW w:w="1134" w:type="dxa"/>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Avr-14</w:t>
            </w:r>
          </w:p>
        </w:tc>
        <w:tc>
          <w:tcPr>
            <w:tcW w:w="1418" w:type="dxa"/>
            <w:shd w:val="clear" w:color="auto" w:fill="E1E3F2"/>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M, R</w:t>
            </w:r>
          </w:p>
        </w:tc>
      </w:tr>
      <w:tr w:rsidR="004E7FE9">
        <w:trPr>
          <w:trHeight w:val="300"/>
        </w:trPr>
        <w:tc>
          <w:tcPr>
            <w:tcW w:w="5495" w:type="dxa"/>
            <w:shd w:val="clear" w:color="auto" w:fill="E1E3F2"/>
            <w:noWrap/>
            <w:hideMark/>
          </w:tcPr>
          <w:p w:rsidR="004E7FE9" w:rsidRDefault="005F36F9">
            <w:pPr>
              <w:spacing w:after="140" w:line="280" w:lineRule="atLeast"/>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Ambroxol/Bromhexine</w:t>
            </w:r>
          </w:p>
        </w:tc>
        <w:tc>
          <w:tcPr>
            <w:tcW w:w="992" w:type="dxa"/>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31</w:t>
            </w:r>
          </w:p>
        </w:tc>
        <w:tc>
          <w:tcPr>
            <w:tcW w:w="1134" w:type="dxa"/>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Avr-14</w:t>
            </w:r>
          </w:p>
        </w:tc>
        <w:tc>
          <w:tcPr>
            <w:tcW w:w="1418" w:type="dxa"/>
            <w:shd w:val="clear" w:color="auto" w:fill="E1E3F2"/>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M</w:t>
            </w:r>
          </w:p>
        </w:tc>
      </w:tr>
      <w:tr w:rsidR="004E7FE9">
        <w:trPr>
          <w:trHeight w:val="300"/>
        </w:trPr>
        <w:tc>
          <w:tcPr>
            <w:tcW w:w="5495" w:type="dxa"/>
            <w:shd w:val="clear" w:color="auto" w:fill="E1E3F2"/>
            <w:hideMark/>
          </w:tcPr>
          <w:p w:rsidR="004E7FE9" w:rsidRDefault="005F36F9">
            <w:pPr>
              <w:spacing w:after="140" w:line="280" w:lineRule="atLeast"/>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Méthadone</w:t>
            </w:r>
          </w:p>
        </w:tc>
        <w:tc>
          <w:tcPr>
            <w:tcW w:w="992" w:type="dxa"/>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 xml:space="preserve">107 </w:t>
            </w:r>
            <w:r>
              <w:rPr>
                <w:rFonts w:ascii="Times New Roman" w:eastAsia="Verdana" w:hAnsi="Times New Roman" w:cs="Verdana"/>
                <w:i/>
                <w:noProof/>
                <w:sz w:val="24"/>
                <w:szCs w:val="18"/>
                <w:lang w:val="fr-FR" w:eastAsia="fr-FR" w:bidi="fr-FR"/>
              </w:rPr>
              <w:t>decies</w:t>
            </w:r>
          </w:p>
        </w:tc>
        <w:tc>
          <w:tcPr>
            <w:tcW w:w="1134" w:type="dxa"/>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Avr-14</w:t>
            </w:r>
          </w:p>
        </w:tc>
        <w:tc>
          <w:tcPr>
            <w:tcW w:w="1418" w:type="dxa"/>
            <w:shd w:val="clear" w:color="auto" w:fill="E1E3F2"/>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M, S</w:t>
            </w:r>
          </w:p>
        </w:tc>
      </w:tr>
      <w:tr w:rsidR="004E7FE9">
        <w:trPr>
          <w:trHeight w:val="300"/>
        </w:trPr>
        <w:tc>
          <w:tcPr>
            <w:tcW w:w="5495" w:type="dxa"/>
            <w:shd w:val="clear" w:color="auto" w:fill="E1E3F2"/>
            <w:hideMark/>
          </w:tcPr>
          <w:p w:rsidR="004E7FE9" w:rsidRDefault="005F36F9">
            <w:pPr>
              <w:spacing w:after="140" w:line="280" w:lineRule="atLeast"/>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Hydroxyzine</w:t>
            </w:r>
          </w:p>
        </w:tc>
        <w:tc>
          <w:tcPr>
            <w:tcW w:w="992" w:type="dxa"/>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31</w:t>
            </w:r>
          </w:p>
        </w:tc>
        <w:tc>
          <w:tcPr>
            <w:tcW w:w="1134" w:type="dxa"/>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Mai-14</w:t>
            </w:r>
          </w:p>
        </w:tc>
        <w:tc>
          <w:tcPr>
            <w:tcW w:w="1418" w:type="dxa"/>
            <w:shd w:val="clear" w:color="auto" w:fill="E1E3F2"/>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M</w:t>
            </w:r>
          </w:p>
        </w:tc>
      </w:tr>
      <w:tr w:rsidR="004E7FE9">
        <w:trPr>
          <w:trHeight w:val="300"/>
        </w:trPr>
        <w:tc>
          <w:tcPr>
            <w:tcW w:w="5495" w:type="dxa"/>
            <w:shd w:val="clear" w:color="auto" w:fill="E1E3F2"/>
            <w:hideMark/>
          </w:tcPr>
          <w:p w:rsidR="004E7FE9" w:rsidRDefault="005F36F9">
            <w:pPr>
              <w:spacing w:after="140" w:line="280" w:lineRule="atLeast"/>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Corlentor et Procoralan (ivabradine)</w:t>
            </w:r>
          </w:p>
        </w:tc>
        <w:tc>
          <w:tcPr>
            <w:tcW w:w="992" w:type="dxa"/>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20</w:t>
            </w:r>
          </w:p>
        </w:tc>
        <w:tc>
          <w:tcPr>
            <w:tcW w:w="1134" w:type="dxa"/>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Mai-14</w:t>
            </w:r>
          </w:p>
        </w:tc>
        <w:tc>
          <w:tcPr>
            <w:tcW w:w="1418" w:type="dxa"/>
            <w:shd w:val="clear" w:color="auto" w:fill="E1E3F2"/>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M</w:t>
            </w:r>
          </w:p>
        </w:tc>
      </w:tr>
      <w:tr w:rsidR="004E7FE9">
        <w:trPr>
          <w:trHeight w:val="300"/>
        </w:trPr>
        <w:tc>
          <w:tcPr>
            <w:tcW w:w="5495" w:type="dxa"/>
            <w:shd w:val="clear" w:color="auto" w:fill="E1E3F2"/>
            <w:noWrap/>
            <w:hideMark/>
          </w:tcPr>
          <w:p w:rsidR="004E7FE9" w:rsidRDefault="005F36F9">
            <w:pPr>
              <w:spacing w:after="140" w:line="280" w:lineRule="atLeast"/>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Ibuprofène et dexibuprofène</w:t>
            </w:r>
          </w:p>
        </w:tc>
        <w:tc>
          <w:tcPr>
            <w:tcW w:w="992" w:type="dxa"/>
            <w:shd w:val="clear" w:color="auto" w:fill="E1E3F2"/>
            <w:noWrap/>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31</w:t>
            </w:r>
          </w:p>
        </w:tc>
        <w:tc>
          <w:tcPr>
            <w:tcW w:w="1134" w:type="dxa"/>
            <w:shd w:val="clear" w:color="auto" w:fill="E1E3F2"/>
            <w:hideMark/>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Juin-14</w:t>
            </w:r>
          </w:p>
        </w:tc>
        <w:tc>
          <w:tcPr>
            <w:tcW w:w="1418" w:type="dxa"/>
            <w:shd w:val="clear" w:color="auto" w:fill="E1E3F2"/>
          </w:tcPr>
          <w:p w:rsidR="004E7FE9" w:rsidRDefault="005F36F9">
            <w:pPr>
              <w:spacing w:after="140" w:line="280" w:lineRule="atLeast"/>
              <w:jc w:val="center"/>
              <w:rPr>
                <w:rFonts w:ascii="Times New Roman" w:eastAsia="Verdana" w:hAnsi="Times New Roman" w:cs="Times New Roman"/>
                <w:noProof/>
                <w:sz w:val="24"/>
                <w:szCs w:val="24"/>
                <w:lang w:val="fr-FR" w:eastAsia="fr-FR" w:bidi="fr-FR"/>
              </w:rPr>
            </w:pPr>
            <w:r>
              <w:rPr>
                <w:rFonts w:ascii="Times New Roman" w:eastAsia="Verdana" w:hAnsi="Times New Roman" w:cs="Verdana"/>
                <w:noProof/>
                <w:sz w:val="24"/>
                <w:szCs w:val="18"/>
                <w:lang w:val="fr-FR" w:eastAsia="fr-FR" w:bidi="fr-FR"/>
              </w:rPr>
              <w:t>M</w:t>
            </w:r>
          </w:p>
        </w:tc>
      </w:tr>
    </w:tbl>
    <w:p w:rsidR="004E7FE9" w:rsidRDefault="004E7FE9">
      <w:pPr>
        <w:jc w:val="both"/>
        <w:rPr>
          <w:rFonts w:ascii="Times New Roman" w:hAnsi="Times New Roman"/>
          <w:noProof/>
          <w:sz w:val="24"/>
          <w:u w:val="single"/>
          <w:lang w:val="fr-FR" w:eastAsia="fr-FR" w:bidi="fr-FR"/>
        </w:rPr>
      </w:pPr>
    </w:p>
    <w:p w:rsidR="004E7FE9" w:rsidRDefault="005F36F9">
      <w:pPr>
        <w:jc w:val="both"/>
        <w:rPr>
          <w:rFonts w:ascii="Times New Roman" w:hAnsi="Times New Roman" w:cs="Times New Roman"/>
          <w:noProof/>
          <w:sz w:val="24"/>
          <w:szCs w:val="24"/>
          <w:u w:val="single"/>
          <w:lang w:val="fr-FR" w:eastAsia="fr-FR" w:bidi="fr-FR"/>
        </w:rPr>
      </w:pPr>
      <w:r>
        <w:rPr>
          <w:rFonts w:ascii="Times New Roman" w:hAnsi="Times New Roman"/>
          <w:noProof/>
          <w:sz w:val="24"/>
          <w:u w:val="single"/>
          <w:lang w:val="fr-FR" w:eastAsia="fr-FR" w:bidi="fr-FR"/>
        </w:rPr>
        <w:t>Légende:</w:t>
      </w:r>
    </w:p>
    <w:p w:rsidR="004E7FE9" w:rsidRDefault="005F36F9">
      <w:pPr>
        <w:spacing w:after="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 xml:space="preserve">Saisines au titre de l’article 20 — ne sont concernés que les </w:t>
      </w:r>
      <w:r>
        <w:rPr>
          <w:rFonts w:ascii="Times New Roman" w:hAnsi="Times New Roman"/>
          <w:noProof/>
          <w:sz w:val="24"/>
          <w:lang w:val="fr-FR" w:eastAsia="fr-FR" w:bidi="fr-FR"/>
        </w:rPr>
        <w:t>médicaments ayant fait l’objet d’une procédure d’autorisation centralisée</w:t>
      </w:r>
    </w:p>
    <w:p w:rsidR="004E7FE9" w:rsidRDefault="005F36F9">
      <w:pPr>
        <w:spacing w:after="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Saisines au titre de l’article 107 — saisines urgentes dans l’intérêt de l’Union</w:t>
      </w:r>
    </w:p>
    <w:p w:rsidR="004E7FE9" w:rsidRDefault="005F36F9">
      <w:pPr>
        <w:spacing w:after="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Saisines au titre de l’article 31 — saisines dans l’intérêt de l’Union</w:t>
      </w:r>
    </w:p>
    <w:p w:rsidR="004E7FE9" w:rsidRDefault="004E7FE9">
      <w:pPr>
        <w:spacing w:after="0"/>
        <w:jc w:val="both"/>
        <w:rPr>
          <w:rFonts w:ascii="Times New Roman" w:hAnsi="Times New Roman" w:cs="Times New Roman"/>
          <w:noProof/>
          <w:sz w:val="24"/>
          <w:szCs w:val="24"/>
          <w:lang w:val="fr-FR" w:eastAsia="fr-FR" w:bidi="fr-FR"/>
        </w:rPr>
      </w:pPr>
    </w:p>
    <w:p w:rsidR="004E7FE9" w:rsidRDefault="005F36F9">
      <w:pPr>
        <w:spacing w:after="0"/>
        <w:jc w:val="both"/>
        <w:rPr>
          <w:rFonts w:ascii="Times New Roman" w:hAnsi="Times New Roman" w:cs="Times New Roman"/>
          <w:noProof/>
          <w:sz w:val="24"/>
          <w:szCs w:val="24"/>
          <w:lang w:val="fr-FR" w:eastAsia="fr-FR" w:bidi="fr-FR"/>
        </w:rPr>
      </w:pPr>
      <w:r>
        <w:rPr>
          <w:rFonts w:ascii="Times New Roman" w:hAnsi="Times New Roman"/>
          <w:noProof/>
          <w:sz w:val="24"/>
          <w:lang w:val="fr-FR" w:eastAsia="fr-FR" w:bidi="fr-FR"/>
        </w:rPr>
        <w:t>M — modification de l’autoris</w:t>
      </w:r>
      <w:r>
        <w:rPr>
          <w:rFonts w:ascii="Times New Roman" w:hAnsi="Times New Roman"/>
          <w:noProof/>
          <w:sz w:val="24"/>
          <w:lang w:val="fr-FR" w:eastAsia="fr-FR" w:bidi="fr-FR"/>
        </w:rPr>
        <w:t>ation de mise sur le marché</w:t>
      </w:r>
    </w:p>
    <w:p w:rsidR="004E7FE9" w:rsidRDefault="005F36F9">
      <w:pPr>
        <w:spacing w:after="0"/>
        <w:jc w:val="both"/>
        <w:rPr>
          <w:rFonts w:ascii="Times New Roman" w:hAnsi="Times New Roman"/>
          <w:noProof/>
          <w:sz w:val="24"/>
          <w:lang w:val="fr-FR" w:eastAsia="fr-FR" w:bidi="fr-FR"/>
        </w:rPr>
      </w:pPr>
      <w:r>
        <w:rPr>
          <w:rFonts w:ascii="Times New Roman" w:hAnsi="Times New Roman"/>
          <w:noProof/>
          <w:sz w:val="24"/>
          <w:lang w:val="fr-FR" w:eastAsia="fr-FR" w:bidi="fr-FR"/>
        </w:rPr>
        <w:t>R — retrait de l’autorisation de mise sur le marché</w:t>
      </w:r>
    </w:p>
    <w:p w:rsidR="004E7FE9" w:rsidRDefault="005F36F9">
      <w:pPr>
        <w:spacing w:after="0"/>
        <w:jc w:val="both"/>
        <w:rPr>
          <w:rFonts w:ascii="Times New Roman" w:hAnsi="Times New Roman" w:cs="Times New Roman"/>
          <w:noProof/>
          <w:sz w:val="24"/>
          <w:szCs w:val="24"/>
          <w:lang w:val="fr-FR"/>
        </w:rPr>
      </w:pPr>
      <w:r>
        <w:rPr>
          <w:rFonts w:ascii="Times New Roman" w:hAnsi="Times New Roman"/>
          <w:noProof/>
          <w:sz w:val="24"/>
          <w:lang w:val="fr-FR"/>
        </w:rPr>
        <w:t>S — suspension de l’autorisation de mise sur le marché</w:t>
      </w:r>
    </w:p>
    <w:p w:rsidR="004E7FE9" w:rsidRDefault="004E7FE9">
      <w:pPr>
        <w:rPr>
          <w:rFonts w:ascii="Times New Roman" w:hAnsi="Times New Roman" w:cs="Times New Roman"/>
          <w:noProof/>
          <w:sz w:val="24"/>
          <w:szCs w:val="24"/>
          <w:lang w:val="fr-FR"/>
        </w:rPr>
      </w:pPr>
    </w:p>
    <w:sectPr w:rsidR="004E7FE9">
      <w:headerReference w:type="even" r:id="rId40"/>
      <w:headerReference w:type="default" r:id="rId41"/>
      <w:footerReference w:type="even" r:id="rId42"/>
      <w:footerReference w:type="default" r:id="rId43"/>
      <w:headerReference w:type="first" r:id="rId44"/>
      <w:footerReference w:type="first" r:id="rId45"/>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FE9" w:rsidRDefault="005F36F9">
      <w:pPr>
        <w:spacing w:after="0" w:line="240" w:lineRule="auto"/>
      </w:pPr>
      <w:r>
        <w:separator/>
      </w:r>
    </w:p>
  </w:endnote>
  <w:endnote w:type="continuationSeparator" w:id="0">
    <w:p w:rsidR="004E7FE9" w:rsidRDefault="005F3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FE9" w:rsidRDefault="004E7FE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FE9" w:rsidRDefault="004E7FE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525180"/>
      <w:docPartObj>
        <w:docPartGallery w:val="Page Numbers (Bottom of Page)"/>
        <w:docPartUnique/>
      </w:docPartObj>
    </w:sdtPr>
    <w:sdtEndPr>
      <w:rPr>
        <w:noProof/>
      </w:rPr>
    </w:sdtEndPr>
    <w:sdtContent>
      <w:p w:rsidR="004E7FE9" w:rsidRDefault="005F36F9">
        <w:pPr>
          <w:pStyle w:val="Footer"/>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10</w:t>
        </w:r>
        <w:r>
          <w:rPr>
            <w:rFonts w:ascii="Times New Roman" w:hAnsi="Times New Roman" w:cs="Times New Roman"/>
            <w:noProof/>
            <w:sz w:val="24"/>
            <w:szCs w:val="24"/>
          </w:rPr>
          <w:fldChar w:fldCharType="end"/>
        </w:r>
      </w:p>
    </w:sdtContent>
  </w:sdt>
  <w:p w:rsidR="004E7FE9" w:rsidRDefault="004E7FE9">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FE9" w:rsidRDefault="004E7FE9">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FE9" w:rsidRDefault="004E7FE9">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28105"/>
      <w:docPartObj>
        <w:docPartGallery w:val="Page Numbers (Bottom of Page)"/>
        <w:docPartUnique/>
      </w:docPartObj>
    </w:sdtPr>
    <w:sdtEndPr>
      <w:rPr>
        <w:noProof/>
      </w:rPr>
    </w:sdtEndPr>
    <w:sdtContent>
      <w:p w:rsidR="004E7FE9" w:rsidRDefault="005F36F9">
        <w:pPr>
          <w:pStyle w:val="Footer"/>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17</w:t>
        </w:r>
        <w:r>
          <w:rPr>
            <w:rFonts w:ascii="Times New Roman" w:hAnsi="Times New Roman" w:cs="Times New Roman"/>
            <w:noProof/>
            <w:sz w:val="24"/>
            <w:szCs w:val="24"/>
          </w:rPr>
          <w:fldChar w:fldCharType="end"/>
        </w:r>
      </w:p>
    </w:sdtContent>
  </w:sdt>
  <w:p w:rsidR="004E7FE9" w:rsidRDefault="004E7FE9">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FE9" w:rsidRDefault="004E7F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FE9" w:rsidRDefault="005F36F9">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FE9" w:rsidRDefault="004E7FE9">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FE9" w:rsidRDefault="004E7FE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763165"/>
      <w:docPartObj>
        <w:docPartGallery w:val="Page Numbers (Bottom of Page)"/>
        <w:docPartUnique/>
      </w:docPartObj>
    </w:sdtPr>
    <w:sdtEndPr>
      <w:rPr>
        <w:rFonts w:ascii="Times New Roman" w:hAnsi="Times New Roman" w:cs="Times New Roman"/>
        <w:noProof/>
        <w:sz w:val="24"/>
        <w:szCs w:val="24"/>
      </w:rPr>
    </w:sdtEndPr>
    <w:sdtContent>
      <w:p w:rsidR="004E7FE9" w:rsidRDefault="005F36F9">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noProof/>
            <w:sz w:val="24"/>
            <w:szCs w:val="24"/>
          </w:rPr>
          <w:fldChar w:fldCharType="end"/>
        </w:r>
      </w:p>
    </w:sdtContent>
  </w:sdt>
  <w:p w:rsidR="004E7FE9" w:rsidRDefault="004E7FE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FE9" w:rsidRDefault="004E7FE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FE9" w:rsidRDefault="004E7FE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714559"/>
      <w:docPartObj>
        <w:docPartGallery w:val="Page Numbers (Bottom of Page)"/>
        <w:docPartUnique/>
      </w:docPartObj>
    </w:sdtPr>
    <w:sdtEndPr>
      <w:rPr>
        <w:rFonts w:ascii="Times New Roman" w:hAnsi="Times New Roman" w:cs="Times New Roman"/>
        <w:noProof/>
        <w:sz w:val="24"/>
        <w:szCs w:val="24"/>
      </w:rPr>
    </w:sdtEndPr>
    <w:sdtContent>
      <w:p w:rsidR="004E7FE9" w:rsidRDefault="005F36F9">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6</w:t>
        </w:r>
        <w:r>
          <w:rPr>
            <w:rFonts w:ascii="Times New Roman" w:hAnsi="Times New Roman" w:cs="Times New Roman"/>
            <w:noProof/>
            <w:sz w:val="24"/>
            <w:szCs w:val="24"/>
          </w:rPr>
          <w:fldChar w:fldCharType="end"/>
        </w:r>
      </w:p>
    </w:sdtContent>
  </w:sdt>
  <w:p w:rsidR="004E7FE9" w:rsidRDefault="004E7FE9">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FE9" w:rsidRDefault="004E7F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FE9" w:rsidRDefault="005F36F9">
      <w:pPr>
        <w:spacing w:after="0" w:line="240" w:lineRule="auto"/>
      </w:pPr>
      <w:r>
        <w:separator/>
      </w:r>
    </w:p>
  </w:footnote>
  <w:footnote w:type="continuationSeparator" w:id="0">
    <w:p w:rsidR="004E7FE9" w:rsidRDefault="005F36F9">
      <w:pPr>
        <w:spacing w:after="0" w:line="240" w:lineRule="auto"/>
      </w:pPr>
      <w:r>
        <w:continuationSeparator/>
      </w:r>
    </w:p>
  </w:footnote>
  <w:footnote w:id="1">
    <w:p w:rsidR="004E7FE9" w:rsidRDefault="005F36F9">
      <w:pPr>
        <w:pStyle w:val="FootnoteText"/>
      </w:pPr>
      <w:r>
        <w:rPr>
          <w:rStyle w:val="FootnoteReference"/>
        </w:rPr>
        <w:footnoteRef/>
      </w:r>
      <w:r>
        <w:t xml:space="preserve"> </w:t>
      </w:r>
      <w:r>
        <w:tab/>
        <w:t xml:space="preserve">Règlement (CE) nº 726/2004 du Parlement européen et du Conseil du 31 mars </w:t>
      </w:r>
      <w:r>
        <w:t>2004 établissant des procédures communautaires pour l’autorisation et la surveillance en ce qui concerne les médicaments à usage humain et à usage vétérinaire, et instituant une Agence européenne des médicaments, JO L 136 du 30.4.2004, p. 1.</w:t>
      </w:r>
    </w:p>
  </w:footnote>
  <w:footnote w:id="2">
    <w:p w:rsidR="004E7FE9" w:rsidRDefault="005F36F9">
      <w:pPr>
        <w:pStyle w:val="FootnoteText"/>
      </w:pPr>
      <w:r>
        <w:rPr>
          <w:rStyle w:val="FootnoteReference"/>
        </w:rPr>
        <w:footnoteRef/>
      </w:r>
      <w:r>
        <w:rPr>
          <w:rStyle w:val="FootnoteReference"/>
        </w:rPr>
        <w:t xml:space="preserve"> </w:t>
      </w:r>
      <w:r>
        <w:rPr>
          <w:rStyle w:val="FootnoteReference"/>
        </w:rPr>
        <w:tab/>
      </w:r>
      <w:r>
        <w:t>Directive 2</w:t>
      </w:r>
      <w:r>
        <w:t>001/83/CE du Parlement européen et du Conseil du 6 novembre 2001 instituant un code communautaire relatif aux médicaments à usage humain, JO L 311 du 28.11.2001, p. 67.</w:t>
      </w:r>
    </w:p>
  </w:footnote>
  <w:footnote w:id="3">
    <w:p w:rsidR="004E7FE9" w:rsidRDefault="005F36F9">
      <w:pPr>
        <w:pStyle w:val="FootnoteText"/>
      </w:pPr>
      <w:r>
        <w:rPr>
          <w:rStyle w:val="FootnoteReference"/>
        </w:rPr>
        <w:footnoteRef/>
      </w:r>
      <w:r>
        <w:t xml:space="preserve"> </w:t>
      </w:r>
      <w:r>
        <w:tab/>
        <w:t xml:space="preserve">Règlement (UE) nº 1235/2010 du Parlement européen et du Conseil du 15 décembre 2010 </w:t>
      </w:r>
      <w:r>
        <w:t>modifiant, en ce qui concerne la pharmacovigilance des médicaments à usage humain, le règlement (CE) nº 726/2004 établissant des procédures communautaires pour l’autorisation et la surveillance en ce qui concerne les médicaments à usage humain et à usage v</w:t>
      </w:r>
      <w:r>
        <w:t xml:space="preserve">étérinaire, et instituant une Agence européenne des médicaments, et le règlement (CE) nº 1394/2007 concernant les médicaments de thérapie innovante, JO L 348 du 31.12.2010, p. 1; directive 2010/84/UE du Parlement européen et du Conseil du 15 décembre 2010 </w:t>
      </w:r>
      <w:r>
        <w:t>modifiant, en ce qui concerne la pharmacovigilance, la directive 2001/83/CE instituant un code communautaire relatif aux médicaments à usage humain, JO L 348 du 31.12.2010, p. 74.</w:t>
      </w:r>
    </w:p>
  </w:footnote>
  <w:footnote w:id="4">
    <w:p w:rsidR="004E7FE9" w:rsidRDefault="005F36F9">
      <w:pPr>
        <w:pStyle w:val="FootnoteText"/>
      </w:pPr>
      <w:r>
        <w:rPr>
          <w:rStyle w:val="FootnoteReference"/>
        </w:rPr>
        <w:footnoteRef/>
      </w:r>
      <w:r>
        <w:t xml:space="preserve"> </w:t>
      </w:r>
      <w:r>
        <w:tab/>
        <w:t xml:space="preserve">Règlement (UE) nº 1027/2012 du Parlement européen et du Conseil du 25 </w:t>
      </w:r>
      <w:r>
        <w:t>octobre 2012 modifiant le règlement (CE) nº 726/2004 en ce qui concerne la pharmacovigilance, JO L 316 du 14.11.2012, p. 38; directive 2012/26/UE du Parlement européen et du Conseil du 25 octobre 2012 modifiant la directive 2001/83/CE en ce qui concerne la</w:t>
      </w:r>
      <w:r>
        <w:t xml:space="preserve"> pharmacovigilance, JO L 299 du 27.10.2012, p. 1.</w:t>
      </w:r>
    </w:p>
  </w:footnote>
  <w:footnote w:id="5">
    <w:p w:rsidR="004E7FE9" w:rsidRDefault="005F36F9">
      <w:pPr>
        <w:pStyle w:val="FootnoteText"/>
        <w:rPr>
          <w:lang w:val="en-GB"/>
        </w:rPr>
      </w:pPr>
      <w:r>
        <w:rPr>
          <w:rStyle w:val="FootnoteReference"/>
        </w:rPr>
        <w:footnoteRef/>
      </w:r>
      <w:r>
        <w:rPr>
          <w:lang w:val="en-GB"/>
        </w:rPr>
        <w:t xml:space="preserve"> </w:t>
      </w:r>
      <w:r>
        <w:rPr>
          <w:lang w:val="en-GB"/>
        </w:rPr>
        <w:tab/>
        <w:t xml:space="preserve">SWD (2016) </w:t>
      </w:r>
      <w:bookmarkStart w:id="1" w:name="_GoBack"/>
      <w:r>
        <w:rPr>
          <w:lang w:val="en-GB"/>
        </w:rPr>
        <w:t>284 final</w:t>
      </w:r>
      <w:bookmarkEnd w:id="1"/>
    </w:p>
  </w:footnote>
  <w:footnote w:id="6">
    <w:p w:rsidR="004E7FE9" w:rsidRDefault="005F36F9">
      <w:pPr>
        <w:pStyle w:val="FootnoteText"/>
        <w:rPr>
          <w:lang w:val="en-GB"/>
        </w:rPr>
      </w:pPr>
      <w:r>
        <w:rPr>
          <w:rStyle w:val="FootnoteReference"/>
        </w:rPr>
        <w:footnoteRef/>
      </w:r>
      <w:r>
        <w:rPr>
          <w:lang w:val="en-GB"/>
        </w:rPr>
        <w:t xml:space="preserve"> </w:t>
      </w:r>
      <w:r>
        <w:rPr>
          <w:lang w:val="en-GB"/>
        </w:rPr>
        <w:tab/>
        <w:t>Agence européenne des médicaments, «The European regulatory system for medicines and the European Medicines Agency», EMA/437313/2014.</w:t>
      </w:r>
    </w:p>
  </w:footnote>
  <w:footnote w:id="7">
    <w:p w:rsidR="004E7FE9" w:rsidRDefault="005F36F9">
      <w:pPr>
        <w:pStyle w:val="FootnoteText"/>
      </w:pPr>
      <w:r>
        <w:rPr>
          <w:rStyle w:val="FootnoteReference"/>
        </w:rPr>
        <w:footnoteRef/>
      </w:r>
      <w:r>
        <w:t xml:space="preserve"> </w:t>
      </w:r>
      <w:r>
        <w:tab/>
        <w:t>Pour en savoir plus sur le rôle et les act</w:t>
      </w:r>
      <w:r>
        <w:t xml:space="preserve">ivités du CMDh, voir le site internet: </w:t>
      </w:r>
      <w:hyperlink r:id="rId1">
        <w:r>
          <w:rPr>
            <w:rStyle w:val="Hyperlink"/>
          </w:rPr>
          <w:t>http://www.hma.eu/cmdh.html</w:t>
        </w:r>
      </w:hyperlink>
      <w:r>
        <w:t xml:space="preserve">. </w:t>
      </w:r>
    </w:p>
  </w:footnote>
  <w:footnote w:id="8">
    <w:p w:rsidR="004E7FE9" w:rsidRDefault="005F36F9">
      <w:pPr>
        <w:pStyle w:val="FootnoteText"/>
      </w:pPr>
      <w:r>
        <w:rPr>
          <w:rStyle w:val="FootnoteReference"/>
        </w:rPr>
        <w:footnoteRef/>
      </w:r>
      <w:r>
        <w:t xml:space="preserve"> </w:t>
      </w:r>
      <w:r>
        <w:tab/>
        <w:t>Article 57, paragraphe 1, point l), du règlement (CE) nº 726/2004.</w:t>
      </w:r>
    </w:p>
  </w:footnote>
  <w:footnote w:id="9">
    <w:p w:rsidR="004E7FE9" w:rsidRDefault="005F36F9">
      <w:pPr>
        <w:pStyle w:val="FootnoteText"/>
      </w:pPr>
      <w:r>
        <w:rPr>
          <w:rStyle w:val="FootnoteReference"/>
        </w:rPr>
        <w:footnoteRef/>
      </w:r>
      <w:r>
        <w:t xml:space="preserve"> </w:t>
      </w:r>
      <w:r>
        <w:tab/>
        <w:t xml:space="preserve">Pour en savoir plus sur la base de données EudraVigilance, voir le </w:t>
      </w:r>
      <w:r>
        <w:t>rapport annuel prévu à l’article 24, paragraphe 2, du règlement (CE) nº 726/2004 (en anglais:</w:t>
      </w:r>
    </w:p>
    <w:p w:rsidR="004E7FE9" w:rsidRDefault="005F36F9">
      <w:pPr>
        <w:pStyle w:val="FootnoteText"/>
        <w:ind w:firstLine="0"/>
      </w:pPr>
      <w:r>
        <w:t>http://www.ema.europa.eu/docs/en_GB/document_library/Report/2016/03/WC500203705.pdf).</w:t>
      </w:r>
    </w:p>
  </w:footnote>
  <w:footnote w:id="10">
    <w:p w:rsidR="004E7FE9" w:rsidRDefault="005F36F9">
      <w:pPr>
        <w:pStyle w:val="FootnoteText"/>
      </w:pPr>
      <w:r>
        <w:rPr>
          <w:rStyle w:val="FootnoteReference"/>
        </w:rPr>
        <w:footnoteRef/>
      </w:r>
      <w:r>
        <w:t xml:space="preserve"> </w:t>
      </w:r>
      <w:r>
        <w:tab/>
        <w:t xml:space="preserve">PROTECT pour </w:t>
      </w:r>
      <w:r>
        <w:rPr>
          <w:i/>
        </w:rPr>
        <w:t>Pharmacoepidemiological Research on Outcomes of Therapeutics</w:t>
      </w:r>
      <w:r>
        <w:rPr>
          <w:i/>
        </w:rPr>
        <w:t xml:space="preserve"> by a European Consortium</w:t>
      </w:r>
      <w:r>
        <w:t xml:space="preserve"> (recherche pharmacoépidémiologique sur les résultats de la thérapeutique par un consortium européen), projet financé par un partenariat public-privé dans le cadre de l’initiative en matière de médicaments innovants.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FE9" w:rsidRDefault="004E7FE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FE9" w:rsidRDefault="004E7FE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FE9" w:rsidRDefault="004E7FE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FE9" w:rsidRDefault="004E7FE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FE9" w:rsidRDefault="004E7FE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FE9" w:rsidRDefault="004E7FE9">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FE9" w:rsidRDefault="004E7F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FE9" w:rsidRDefault="004E7FE9">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FE9" w:rsidRDefault="004E7FE9">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FE9" w:rsidRDefault="004E7FE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FE9" w:rsidRDefault="004E7FE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FE9" w:rsidRDefault="004E7FE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FE9" w:rsidRDefault="004E7FE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FE9" w:rsidRDefault="004E7FE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FE9" w:rsidRDefault="004E7F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C5AA5"/>
    <w:multiLevelType w:val="hybridMultilevel"/>
    <w:tmpl w:val="621A1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B65261C"/>
    <w:multiLevelType w:val="hybridMultilevel"/>
    <w:tmpl w:val="781A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724079EFBEDF44ECB906DD0C4D6310A1"/>
    <w:docVar w:name="LW_CROSSREFERENCE" w:val="{SWD(2016) 284 final}"/>
    <w:docVar w:name="LW_DocType" w:val="NORMAL"/>
    <w:docVar w:name="LW_EMISSION" w:val="8.8.2016"/>
    <w:docVar w:name="LW_EMISSION_ISODATE" w:val="2016-08-08"/>
    <w:docVar w:name="LW_EMISSION_LOCATION" w:val="BRX"/>
    <w:docVar w:name="LW_EMISSION_PREFIX" w:val="Bruxelles, le "/>
    <w:docVar w:name="LW_EMISSION_SUFFIX" w:val=" "/>
    <w:docVar w:name="LW_ID_DOCTYPE_NONLW" w:val="CP-003"/>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498"/>
    <w:docVar w:name="LW_REF.INTERNE" w:val="&lt;UNUSED&gt;"/>
    <w:docVar w:name="LW_SOUS.TITRE.OBJ.CP" w:val="&lt;UNUSED&gt;"/>
    <w:docVar w:name="LW_SUPERTITRE" w:val="&lt;UNUSED&gt;"/>
    <w:docVar w:name="LW_TITRE.OBJ.CP" w:val="Activités des États membres et de l\u8217?Agence européenne des médicaments liées à la pharmacovigilance concernant les médicaments à usage humain_x000b_ (2012 \u8211? 2014)"/>
    <w:docVar w:name="LW_TYPE.DOC.CP" w:val="RAPPORT DE LA COMMISSION"/>
  </w:docVars>
  <w:rsids>
    <w:rsidRoot w:val="004E7FE9"/>
    <w:rsid w:val="004E7FE9"/>
    <w:rsid w:val="005F3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pPr>
      <w:spacing w:after="0" w:line="240" w:lineRule="auto"/>
      <w:ind w:left="720" w:hanging="720"/>
      <w:jc w:val="both"/>
    </w:pPr>
    <w:rPr>
      <w:rFonts w:ascii="Times New Roman" w:eastAsia="MS Mincho" w:hAnsi="Times New Roman" w:cs="Times New Roman"/>
      <w:sz w:val="20"/>
      <w:szCs w:val="20"/>
      <w:lang w:val="x-none"/>
    </w:rPr>
  </w:style>
  <w:style w:type="character" w:customStyle="1" w:styleId="FootnoteTextChar">
    <w:name w:val="Footnote Text Char"/>
    <w:basedOn w:val="DefaultParagraphFont"/>
    <w:link w:val="FootnoteText"/>
    <w:rPr>
      <w:rFonts w:ascii="Times New Roman" w:eastAsia="MS Mincho" w:hAnsi="Times New Roman" w:cs="Times New Roman"/>
      <w:sz w:val="20"/>
      <w:szCs w:val="20"/>
      <w:lang w:val="x-none"/>
    </w:rPr>
  </w:style>
  <w:style w:type="character" w:styleId="FootnoteReference">
    <w:name w:val="footnote reference"/>
    <w:rPr>
      <w:shd w:val="clear" w:color="auto" w:fill="auto"/>
      <w:vertAlign w:val="superscript"/>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MS Mincho" w:hAnsi="Times New Roman" w:cs="Times New Roman"/>
      <w:b/>
      <w:smallCaps/>
      <w:sz w:val="24"/>
      <w:szCs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MS Mincho" w:hAnsi="Times New Roman" w:cs="Times New Roman"/>
      <w:b/>
      <w:sz w:val="24"/>
      <w:szCs w:val="24"/>
    </w:rPr>
  </w:style>
  <w:style w:type="paragraph" w:customStyle="1" w:styleId="Annexetitre">
    <w:name w:val="Annexe titre"/>
    <w:basedOn w:val="Normal"/>
    <w:next w:val="Normal"/>
    <w:pPr>
      <w:spacing w:before="120" w:after="120" w:line="240" w:lineRule="auto"/>
      <w:jc w:val="center"/>
    </w:pPr>
    <w:rPr>
      <w:rFonts w:ascii="Times New Roman" w:eastAsia="MS Mincho" w:hAnsi="Times New Roman" w:cs="Times New Roman"/>
      <w:b/>
      <w:sz w:val="24"/>
      <w:szCs w:val="24"/>
      <w:u w:val="single"/>
    </w:rPr>
  </w:style>
  <w:style w:type="paragraph" w:customStyle="1" w:styleId="Titreobjet">
    <w:name w:val="Titre objet"/>
    <w:basedOn w:val="Normal"/>
    <w:next w:val="Normal"/>
    <w:pPr>
      <w:spacing w:before="360" w:after="360" w:line="240" w:lineRule="auto"/>
      <w:jc w:val="center"/>
    </w:pPr>
    <w:rPr>
      <w:rFonts w:ascii="Times New Roman" w:eastAsia="MS Mincho"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MS Mincho" w:hAnsi="Times New Roman" w:cs="Times New Roman"/>
      <w:b/>
      <w:sz w:val="24"/>
      <w:szCs w:val="24"/>
    </w:rPr>
  </w:style>
  <w:style w:type="paragraph" w:customStyle="1" w:styleId="IntrtEEE">
    <w:name w:val="Intérêt EEE"/>
    <w:basedOn w:val="Normal"/>
    <w:next w:val="Normal"/>
    <w:pPr>
      <w:spacing w:before="360" w:after="240" w:line="240" w:lineRule="auto"/>
      <w:jc w:val="center"/>
    </w:pPr>
    <w:rPr>
      <w:rFonts w:ascii="Times New Roman" w:eastAsia="MS Mincho" w:hAnsi="Times New Roman" w:cs="Times New Roman"/>
      <w:sz w:val="24"/>
      <w:szCs w:val="24"/>
    </w:rPr>
  </w:style>
  <w:style w:type="paragraph" w:customStyle="1" w:styleId="Default">
    <w:name w:val="Default"/>
    <w:pPr>
      <w:autoSpaceDE w:val="0"/>
      <w:autoSpaceDN w:val="0"/>
      <w:adjustRightInd w:val="0"/>
      <w:spacing w:after="0" w:line="240" w:lineRule="auto"/>
    </w:pPr>
    <w:rPr>
      <w:rFonts w:ascii="Verdana" w:eastAsia="MS Mincho" w:hAnsi="Verdana" w:cs="Verdana"/>
      <w:color w:val="000000"/>
      <w:sz w:val="24"/>
      <w:szCs w:val="24"/>
      <w:lang w:eastAsia="en-GB"/>
    </w:rPr>
  </w:style>
  <w:style w:type="character" w:styleId="Hyperlink">
    <w:name w:val="Hyperlink"/>
    <w:rPr>
      <w:color w:val="0000FF"/>
      <w:u w:val="single"/>
    </w:rPr>
  </w:style>
  <w:style w:type="character" w:customStyle="1" w:styleId="BodytextAgencyChar">
    <w:name w:val="Body text (Agency) Char"/>
    <w:link w:val="BodytextAgency"/>
    <w:locked/>
    <w:rPr>
      <w:rFonts w:ascii="Verdana" w:eastAsia="Verdana" w:hAnsi="Verdana" w:cs="Verdana"/>
      <w:sz w:val="18"/>
      <w:szCs w:val="18"/>
    </w:rPr>
  </w:style>
  <w:style w:type="paragraph" w:customStyle="1" w:styleId="BodytextAgency">
    <w:name w:val="Body text (Agency)"/>
    <w:basedOn w:val="Normal"/>
    <w:link w:val="BodytextAgencyChar"/>
    <w:qFormat/>
    <w:pPr>
      <w:spacing w:after="140" w:line="280" w:lineRule="atLeast"/>
    </w:pPr>
    <w:rPr>
      <w:rFonts w:ascii="Verdana" w:eastAsia="Verdana" w:hAnsi="Verdana" w:cs="Verdana"/>
      <w:sz w:val="18"/>
      <w:szCs w:val="18"/>
    </w:rPr>
  </w:style>
  <w:style w:type="character" w:styleId="LineNumber">
    <w:name w:val="line number"/>
    <w:basedOn w:val="DefaultParagraphFon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pPr>
      <w:spacing w:after="0" w:line="240" w:lineRule="auto"/>
      <w:ind w:left="720" w:hanging="720"/>
      <w:jc w:val="both"/>
    </w:pPr>
    <w:rPr>
      <w:rFonts w:ascii="Times New Roman" w:eastAsia="MS Mincho" w:hAnsi="Times New Roman" w:cs="Times New Roman"/>
      <w:sz w:val="20"/>
      <w:szCs w:val="20"/>
      <w:lang w:val="x-none"/>
    </w:rPr>
  </w:style>
  <w:style w:type="character" w:customStyle="1" w:styleId="FootnoteTextChar">
    <w:name w:val="Footnote Text Char"/>
    <w:basedOn w:val="DefaultParagraphFont"/>
    <w:link w:val="FootnoteText"/>
    <w:rPr>
      <w:rFonts w:ascii="Times New Roman" w:eastAsia="MS Mincho" w:hAnsi="Times New Roman" w:cs="Times New Roman"/>
      <w:sz w:val="20"/>
      <w:szCs w:val="20"/>
      <w:lang w:val="x-none"/>
    </w:rPr>
  </w:style>
  <w:style w:type="character" w:styleId="FootnoteReference">
    <w:name w:val="footnote reference"/>
    <w:rPr>
      <w:shd w:val="clear" w:color="auto" w:fill="auto"/>
      <w:vertAlign w:val="superscript"/>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MS Mincho" w:hAnsi="Times New Roman" w:cs="Times New Roman"/>
      <w:b/>
      <w:smallCaps/>
      <w:sz w:val="24"/>
      <w:szCs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MS Mincho" w:hAnsi="Times New Roman" w:cs="Times New Roman"/>
      <w:b/>
      <w:sz w:val="24"/>
      <w:szCs w:val="24"/>
    </w:rPr>
  </w:style>
  <w:style w:type="paragraph" w:customStyle="1" w:styleId="Annexetitre">
    <w:name w:val="Annexe titre"/>
    <w:basedOn w:val="Normal"/>
    <w:next w:val="Normal"/>
    <w:pPr>
      <w:spacing w:before="120" w:after="120" w:line="240" w:lineRule="auto"/>
      <w:jc w:val="center"/>
    </w:pPr>
    <w:rPr>
      <w:rFonts w:ascii="Times New Roman" w:eastAsia="MS Mincho" w:hAnsi="Times New Roman" w:cs="Times New Roman"/>
      <w:b/>
      <w:sz w:val="24"/>
      <w:szCs w:val="24"/>
      <w:u w:val="single"/>
    </w:rPr>
  </w:style>
  <w:style w:type="paragraph" w:customStyle="1" w:styleId="Titreobjet">
    <w:name w:val="Titre objet"/>
    <w:basedOn w:val="Normal"/>
    <w:next w:val="Normal"/>
    <w:pPr>
      <w:spacing w:before="360" w:after="360" w:line="240" w:lineRule="auto"/>
      <w:jc w:val="center"/>
    </w:pPr>
    <w:rPr>
      <w:rFonts w:ascii="Times New Roman" w:eastAsia="MS Mincho"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MS Mincho" w:hAnsi="Times New Roman" w:cs="Times New Roman"/>
      <w:b/>
      <w:sz w:val="24"/>
      <w:szCs w:val="24"/>
    </w:rPr>
  </w:style>
  <w:style w:type="paragraph" w:customStyle="1" w:styleId="IntrtEEE">
    <w:name w:val="Intérêt EEE"/>
    <w:basedOn w:val="Normal"/>
    <w:next w:val="Normal"/>
    <w:pPr>
      <w:spacing w:before="360" w:after="240" w:line="240" w:lineRule="auto"/>
      <w:jc w:val="center"/>
    </w:pPr>
    <w:rPr>
      <w:rFonts w:ascii="Times New Roman" w:eastAsia="MS Mincho" w:hAnsi="Times New Roman" w:cs="Times New Roman"/>
      <w:sz w:val="24"/>
      <w:szCs w:val="24"/>
    </w:rPr>
  </w:style>
  <w:style w:type="paragraph" w:customStyle="1" w:styleId="Default">
    <w:name w:val="Default"/>
    <w:pPr>
      <w:autoSpaceDE w:val="0"/>
      <w:autoSpaceDN w:val="0"/>
      <w:adjustRightInd w:val="0"/>
      <w:spacing w:after="0" w:line="240" w:lineRule="auto"/>
    </w:pPr>
    <w:rPr>
      <w:rFonts w:ascii="Verdana" w:eastAsia="MS Mincho" w:hAnsi="Verdana" w:cs="Verdana"/>
      <w:color w:val="000000"/>
      <w:sz w:val="24"/>
      <w:szCs w:val="24"/>
      <w:lang w:eastAsia="en-GB"/>
    </w:rPr>
  </w:style>
  <w:style w:type="character" w:styleId="Hyperlink">
    <w:name w:val="Hyperlink"/>
    <w:rPr>
      <w:color w:val="0000FF"/>
      <w:u w:val="single"/>
    </w:rPr>
  </w:style>
  <w:style w:type="character" w:customStyle="1" w:styleId="BodytextAgencyChar">
    <w:name w:val="Body text (Agency) Char"/>
    <w:link w:val="BodytextAgency"/>
    <w:locked/>
    <w:rPr>
      <w:rFonts w:ascii="Verdana" w:eastAsia="Verdana" w:hAnsi="Verdana" w:cs="Verdana"/>
      <w:sz w:val="18"/>
      <w:szCs w:val="18"/>
    </w:rPr>
  </w:style>
  <w:style w:type="paragraph" w:customStyle="1" w:styleId="BodytextAgency">
    <w:name w:val="Body text (Agency)"/>
    <w:basedOn w:val="Normal"/>
    <w:link w:val="BodytextAgencyChar"/>
    <w:qFormat/>
    <w:pPr>
      <w:spacing w:after="140" w:line="280" w:lineRule="atLeast"/>
    </w:pPr>
    <w:rPr>
      <w:rFonts w:ascii="Verdana" w:eastAsia="Verdana" w:hAnsi="Verdana" w:cs="Verdana"/>
      <w:sz w:val="18"/>
      <w:szCs w:val="18"/>
    </w:rPr>
  </w:style>
  <w:style w:type="character" w:styleId="LineNumber">
    <w:name w:val="line number"/>
    <w:basedOn w:val="DefaultParagraphFon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image" Target="media/image2.png"/><Relationship Id="rId42" Type="http://schemas.openxmlformats.org/officeDocument/2006/relationships/footer" Target="footer13.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image" Target="media/image6.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image" Target="media/image5.png"/><Relationship Id="rId40" Type="http://schemas.openxmlformats.org/officeDocument/2006/relationships/header" Target="header13.xml"/><Relationship Id="rId45"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image" Target="media/image3.png"/><Relationship Id="rId43" Type="http://schemas.openxmlformats.org/officeDocument/2006/relationships/footer" Target="footer14.xml"/></Relationships>
</file>

<file path=word/_rels/footnotes.xml.rels><?xml version="1.0" encoding="UTF-8" standalone="yes"?>
<Relationships xmlns="http://schemas.openxmlformats.org/package/2006/relationships"><Relationship Id="rId1" Type="http://schemas.openxmlformats.org/officeDocument/2006/relationships/hyperlink" Target="http://www.hma.eu/cmdh.html"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beguefr\AppData\Local\Temp\1\SANTE-2016-80245-00-00-FR-FLA-00.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60" b="1" i="0" u="none" strike="noStrike" baseline="0">
                <a:solidFill>
                  <a:srgbClr val="000000"/>
                </a:solidFill>
                <a:latin typeface="Verdana"/>
                <a:ea typeface="Verdana"/>
                <a:cs typeface="Verdana"/>
              </a:defRPr>
            </a:pPr>
            <a:r>
              <a:rPr lang="en-US"/>
              <a:t>Résultats des évaluations</a:t>
            </a:r>
            <a:r>
              <a:rPr lang="en-US" baseline="0"/>
              <a:t> des PSUR et des PSUSA</a:t>
            </a:r>
          </a:p>
        </c:rich>
      </c:tx>
      <c:overlay val="0"/>
    </c:title>
    <c:autoTitleDeleted val="0"/>
    <c:plotArea>
      <c:layout/>
      <c:barChart>
        <c:barDir val="bar"/>
        <c:grouping val="percentStacked"/>
        <c:varyColors val="0"/>
        <c:ser>
          <c:idx val="1"/>
          <c:order val="0"/>
          <c:tx>
            <c:v>Maintien</c:v>
          </c:tx>
          <c:spPr>
            <a:solidFill>
              <a:schemeClr val="accent5">
                <a:lumMod val="75000"/>
              </a:schemeClr>
            </a:solidFill>
          </c:spPr>
          <c:invertIfNegative val="0"/>
          <c:dLbls>
            <c:txPr>
              <a:bodyPr/>
              <a:lstStyle/>
              <a:p>
                <a:pPr>
                  <a:defRPr sz="800" b="0" i="0" u="none" strike="noStrike" baseline="0">
                    <a:solidFill>
                      <a:srgbClr val="000000"/>
                    </a:solidFill>
                    <a:latin typeface="Verdana"/>
                    <a:ea typeface="Verdana"/>
                    <a:cs typeface="Verdana"/>
                  </a:defRPr>
                </a:pPr>
                <a:endParaRPr lang="en-US"/>
              </a:p>
            </c:txPr>
            <c:showLegendKey val="0"/>
            <c:showVal val="1"/>
            <c:showCatName val="0"/>
            <c:showSerName val="0"/>
            <c:showPercent val="0"/>
            <c:showBubbleSize val="0"/>
            <c:showLeaderLines val="0"/>
          </c:dLbls>
          <c:cat>
            <c:strLit>
              <c:ptCount val="3"/>
              <c:pt idx="0">
                <c:v>Juin-Déc 2012</c:v>
              </c:pt>
              <c:pt idx="1">
                <c:v>2013</c:v>
              </c:pt>
              <c:pt idx="2">
                <c:v>2014</c:v>
              </c:pt>
            </c:strLit>
          </c:cat>
          <c:val>
            <c:numLit>
              <c:formatCode>General</c:formatCode>
              <c:ptCount val="3"/>
              <c:pt idx="0">
                <c:v>17</c:v>
              </c:pt>
              <c:pt idx="1">
                <c:v>360</c:v>
              </c:pt>
              <c:pt idx="2">
                <c:v>383</c:v>
              </c:pt>
            </c:numLit>
          </c:val>
        </c:ser>
        <c:ser>
          <c:idx val="0"/>
          <c:order val="1"/>
          <c:tx>
            <c:v>Modif. CHMP</c:v>
          </c:tx>
          <c:spPr>
            <a:solidFill>
              <a:srgbClr val="FFC000"/>
            </a:solidFill>
          </c:spPr>
          <c:invertIfNegative val="0"/>
          <c:dLbls>
            <c:txPr>
              <a:bodyPr/>
              <a:lstStyle/>
              <a:p>
                <a:pPr>
                  <a:defRPr sz="800" b="0" i="0" u="none" strike="noStrike" baseline="0">
                    <a:solidFill>
                      <a:srgbClr val="000000"/>
                    </a:solidFill>
                    <a:latin typeface="Verdana"/>
                    <a:ea typeface="Verdana"/>
                    <a:cs typeface="Verdana"/>
                  </a:defRPr>
                </a:pPr>
                <a:endParaRPr lang="en-US"/>
              </a:p>
            </c:txPr>
            <c:showLegendKey val="0"/>
            <c:showVal val="1"/>
            <c:showCatName val="0"/>
            <c:showSerName val="0"/>
            <c:showPercent val="0"/>
            <c:showBubbleSize val="0"/>
            <c:showLeaderLines val="0"/>
          </c:dLbls>
          <c:cat>
            <c:strLit>
              <c:ptCount val="3"/>
              <c:pt idx="0">
                <c:v>Juin-Déc 2012</c:v>
              </c:pt>
              <c:pt idx="1">
                <c:v>2013</c:v>
              </c:pt>
              <c:pt idx="2">
                <c:v>2014</c:v>
              </c:pt>
            </c:strLit>
          </c:cat>
          <c:val>
            <c:numLit>
              <c:formatCode>General</c:formatCode>
              <c:ptCount val="3"/>
              <c:pt idx="0">
                <c:v>3</c:v>
              </c:pt>
              <c:pt idx="1">
                <c:v>76</c:v>
              </c:pt>
              <c:pt idx="2">
                <c:v>88</c:v>
              </c:pt>
            </c:numLit>
          </c:val>
        </c:ser>
        <c:ser>
          <c:idx val="2"/>
          <c:order val="2"/>
          <c:tx>
            <c:v>Suspension</c:v>
          </c:tx>
          <c:spPr>
            <a:solidFill>
              <a:schemeClr val="accent5"/>
            </a:solidFill>
          </c:spPr>
          <c:invertIfNegative val="0"/>
          <c:cat>
            <c:strLit>
              <c:ptCount val="3"/>
              <c:pt idx="0">
                <c:v>Juin-Déc 2012</c:v>
              </c:pt>
              <c:pt idx="1">
                <c:v>2013</c:v>
              </c:pt>
              <c:pt idx="2">
                <c:v>2014</c:v>
              </c:pt>
            </c:strLit>
          </c:cat>
          <c:val>
            <c:numLit>
              <c:formatCode>General</c:formatCode>
              <c:ptCount val="3"/>
              <c:pt idx="0">
                <c:v>0</c:v>
              </c:pt>
              <c:pt idx="1">
                <c:v>0</c:v>
              </c:pt>
              <c:pt idx="2">
                <c:v>0</c:v>
              </c:pt>
            </c:numLit>
          </c:val>
        </c:ser>
        <c:ser>
          <c:idx val="3"/>
          <c:order val="3"/>
          <c:tx>
            <c:v>Retrait</c:v>
          </c:tx>
          <c:spPr>
            <a:solidFill>
              <a:schemeClr val="accent6"/>
            </a:solidFill>
          </c:spPr>
          <c:invertIfNegative val="0"/>
          <c:cat>
            <c:strLit>
              <c:ptCount val="3"/>
              <c:pt idx="0">
                <c:v>Juin-Déc 2012</c:v>
              </c:pt>
              <c:pt idx="1">
                <c:v>2013</c:v>
              </c:pt>
              <c:pt idx="2">
                <c:v>2014</c:v>
              </c:pt>
            </c:strLit>
          </c:cat>
          <c:val>
            <c:numLit>
              <c:formatCode>General</c:formatCode>
              <c:ptCount val="3"/>
              <c:pt idx="0">
                <c:v>0</c:v>
              </c:pt>
              <c:pt idx="1">
                <c:v>0</c:v>
              </c:pt>
              <c:pt idx="2">
                <c:v>0</c:v>
              </c:pt>
            </c:numLit>
          </c:val>
        </c:ser>
        <c:dLbls>
          <c:showLegendKey val="0"/>
          <c:showVal val="0"/>
          <c:showCatName val="0"/>
          <c:showSerName val="0"/>
          <c:showPercent val="0"/>
          <c:showBubbleSize val="0"/>
        </c:dLbls>
        <c:gapWidth val="55"/>
        <c:overlap val="100"/>
        <c:axId val="153847680"/>
        <c:axId val="162523392"/>
      </c:barChart>
      <c:catAx>
        <c:axId val="153847680"/>
        <c:scaling>
          <c:orientation val="maxMin"/>
        </c:scaling>
        <c:delete val="0"/>
        <c:axPos val="l"/>
        <c:numFmt formatCode="General" sourceLinked="1"/>
        <c:majorTickMark val="none"/>
        <c:minorTickMark val="none"/>
        <c:tickLblPos val="nextTo"/>
        <c:txPr>
          <a:bodyPr rot="0" vert="horz"/>
          <a:lstStyle/>
          <a:p>
            <a:pPr>
              <a:defRPr sz="800" b="0" i="0" u="none" strike="noStrike" baseline="0">
                <a:solidFill>
                  <a:srgbClr val="000000"/>
                </a:solidFill>
                <a:latin typeface="Verdana"/>
                <a:ea typeface="Verdana"/>
                <a:cs typeface="Verdana"/>
              </a:defRPr>
            </a:pPr>
            <a:endParaRPr lang="en-US"/>
          </a:p>
        </c:txPr>
        <c:crossAx val="162523392"/>
        <c:crosses val="autoZero"/>
        <c:auto val="1"/>
        <c:lblAlgn val="ctr"/>
        <c:lblOffset val="100"/>
        <c:noMultiLvlLbl val="0"/>
      </c:catAx>
      <c:valAx>
        <c:axId val="162523392"/>
        <c:scaling>
          <c:orientation val="minMax"/>
          <c:max val="1"/>
          <c:min val="0"/>
        </c:scaling>
        <c:delete val="0"/>
        <c:axPos val="t"/>
        <c:majorGridlines/>
        <c:numFmt formatCode="0%" sourceLinked="1"/>
        <c:majorTickMark val="none"/>
        <c:minorTickMark val="none"/>
        <c:tickLblPos val="nextTo"/>
        <c:txPr>
          <a:bodyPr rot="0" vert="horz"/>
          <a:lstStyle/>
          <a:p>
            <a:pPr>
              <a:defRPr sz="800" b="0" i="0" u="none" strike="noStrike" baseline="0">
                <a:solidFill>
                  <a:srgbClr val="000000"/>
                </a:solidFill>
                <a:latin typeface="Verdana"/>
                <a:ea typeface="Verdana"/>
                <a:cs typeface="Verdana"/>
              </a:defRPr>
            </a:pPr>
            <a:endParaRPr lang="en-US"/>
          </a:p>
        </c:txPr>
        <c:crossAx val="153847680"/>
        <c:crosses val="autoZero"/>
        <c:crossBetween val="between"/>
      </c:valAx>
    </c:plotArea>
    <c:legend>
      <c:legendPos val="r"/>
      <c:layout>
        <c:manualLayout>
          <c:xMode val="edge"/>
          <c:yMode val="edge"/>
          <c:x val="0.10570824524312908"/>
          <c:y val="0.92211055276381915"/>
          <c:w val="0.80126849894291718"/>
          <c:h val="5.2763819095477414E-2"/>
        </c:manualLayout>
      </c:layout>
      <c:overlay val="0"/>
      <c:txPr>
        <a:bodyPr/>
        <a:lstStyle/>
        <a:p>
          <a:pPr>
            <a:defRPr sz="735" b="0" i="0" u="none" strike="noStrike" baseline="0">
              <a:solidFill>
                <a:srgbClr val="000000"/>
              </a:solidFill>
              <a:latin typeface="Verdana"/>
              <a:ea typeface="Verdana"/>
              <a:cs typeface="Verdana"/>
            </a:defRPr>
          </a:pPr>
          <a:endParaRPr lang="en-US"/>
        </a:p>
      </c:txPr>
    </c:legend>
    <c:plotVisOnly val="1"/>
    <c:dispBlanksAs val="gap"/>
    <c:showDLblsOverMax val="0"/>
  </c:chart>
  <c:txPr>
    <a:bodyPr/>
    <a:lstStyle/>
    <a:p>
      <a:pPr>
        <a:defRPr sz="800" b="0" i="0" u="none" strike="noStrike" baseline="0">
          <a:solidFill>
            <a:srgbClr val="000000"/>
          </a:solidFill>
          <a:latin typeface="Verdana"/>
          <a:ea typeface="Verdana"/>
          <a:cs typeface="Verdana"/>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0B19-8FF7-476A-9C08-7FF2AACCF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3084</Words>
  <Characters>17271</Characters>
  <Application>Microsoft Office Word</Application>
  <DocSecurity>0</DocSecurity>
  <Lines>442</Lines>
  <Paragraphs>257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2016-07-28T09:26:00Z</dcterms:created>
  <dcterms:modified xsi:type="dcterms:W3CDTF">2016-08-08T10:38:00Z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