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58D464FD8EB4B308078B54CCAE36927" style="width:450.5pt;height:334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lang w:val="bg-BG"/>
        </w:rPr>
      </w:pPr>
      <w:bookmarkStart w:id="1" w:name="_GoBack"/>
      <w:bookmarkEnd w:id="1"/>
      <w:r>
        <w:rPr>
          <w:noProof/>
          <w:lang w:val="bg-BG"/>
        </w:rPr>
        <w:lastRenderedPageBreak/>
        <w:t>ДОКЛАД НА КОМИСИЯТА</w:t>
      </w:r>
    </w:p>
    <w:p>
      <w:pPr>
        <w:pStyle w:val="Titreobjet"/>
        <w:rPr>
          <w:noProof/>
          <w:lang w:val="bg-BG"/>
        </w:rPr>
      </w:pPr>
      <w:r>
        <w:rPr>
          <w:noProof/>
          <w:lang w:val="bg-BG"/>
        </w:rPr>
        <w:t>Дейности на държавите членки и на Европейската агенция по лекарствата, свързани с фармакологична бдителност, по отношение на лекарствени продукти за хуманна употреба (2012—2014</w:t>
      </w:r>
      <w:r>
        <w:rPr>
          <w:noProof/>
        </w:rPr>
        <w:t> </w:t>
      </w:r>
      <w:r>
        <w:rPr>
          <w:noProof/>
          <w:lang w:val="bg-BG"/>
        </w:rPr>
        <w:t>г.)</w:t>
      </w:r>
    </w:p>
    <w:p>
      <w:pPr>
        <w:rPr>
          <w:noProof/>
          <w:lang w:val="bg-BG"/>
        </w:rPr>
      </w:pPr>
      <w:r>
        <w:rPr>
          <w:noProof/>
          <w:lang w:val="bg-BG"/>
        </w:rPr>
        <w:t xml:space="preserve"> </w:t>
      </w:r>
    </w:p>
    <w:p>
      <w:pPr>
        <w:pStyle w:val="ManualHeading1"/>
        <w:rPr>
          <w:noProof/>
          <w:lang w:val="bg-BG"/>
        </w:rPr>
      </w:pPr>
    </w:p>
    <w:p>
      <w:pPr>
        <w:pStyle w:val="ManualHeading1"/>
        <w:rPr>
          <w:noProof/>
          <w:lang w:val="bg-BG"/>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3"/>
          <w:cols w:space="708"/>
          <w:docGrid w:linePitch="360"/>
        </w:sectPr>
      </w:pPr>
    </w:p>
    <w:p>
      <w:pPr>
        <w:pStyle w:val="ManualHeading1"/>
        <w:rPr>
          <w:noProof/>
          <w:lang w:val="bg-BG"/>
        </w:rPr>
      </w:pPr>
      <w:r>
        <w:rPr>
          <w:noProof/>
          <w:lang w:val="bg-BG"/>
        </w:rPr>
        <w:t>1.</w:t>
      </w:r>
      <w:r>
        <w:rPr>
          <w:noProof/>
          <w:lang w:val="bg-BG"/>
        </w:rPr>
        <w:tab/>
        <w:t>Въведение</w:t>
      </w:r>
    </w:p>
    <w:p>
      <w:pPr>
        <w:widowControl w:val="0"/>
        <w:autoSpaceDE w:val="0"/>
        <w:autoSpaceDN w:val="0"/>
        <w:adjustRightInd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Европейския съюз (ЕС) лекарствените продукти за хуманна употреба подлежат на стриктно изпитване и оценка на качеството, ефикасността и безопасността преди разрешаването им както в държавата членка, така и на равнище ЕС. След като бъдат пуснати на пазара, те продължават да бъдат наблюдавани чрез дейности в рамките на фармакологичната бдителност.</w:t>
      </w:r>
    </w:p>
    <w:p>
      <w:pPr>
        <w:widowControl w:val="0"/>
        <w:autoSpaceDE w:val="0"/>
        <w:autoSpaceDN w:val="0"/>
        <w:adjustRightInd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Фармакологичната бдителност, както е определена от Световната здравна организация (СЗО), e „науката и дейностите, свързани с откриването, оценката, разбирането и предпазването от нежелани ефекти или други проблеми, произтичащи от употребата на лекарства“.</w:t>
      </w:r>
    </w:p>
    <w:p>
      <w:pPr>
        <w:widowControl w:val="0"/>
        <w:autoSpaceDE w:val="0"/>
        <w:autoSpaceDN w:val="0"/>
        <w:adjustRightInd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Някои странични ефекти или „нежелани реакции“ може и да не се наблюдават, преди голям брой хора реално да са употребили лекарството. Следователно е от изключително значение безопасността на всички лекарства да бъде наблюдавана през периода на цялата им употреба в здравната практика.</w:t>
      </w:r>
    </w:p>
    <w:p>
      <w:pPr>
        <w:widowControl w:val="0"/>
        <w:autoSpaceDE w:val="0"/>
        <w:autoSpaceDN w:val="0"/>
        <w:adjustRightInd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Нормативната уредба на ЕС относно фармакологичната бдителност за лекарствени продукти за хуманна употреба за хуманна употреба е предвидена в Регламент (ЕО) № 726/2004</w:t>
      </w:r>
      <w:r>
        <w:rPr>
          <w:rFonts w:ascii="Times New Roman" w:hAnsi="Times New Roman" w:cs="Times New Roman"/>
          <w:noProof/>
          <w:sz w:val="24"/>
          <w:szCs w:val="24"/>
          <w:vertAlign w:val="superscript"/>
          <w:lang w:val="bg-BG"/>
        </w:rPr>
        <w:footnoteReference w:id="1"/>
      </w:r>
      <w:r>
        <w:rPr>
          <w:rFonts w:ascii="Times New Roman" w:hAnsi="Times New Roman" w:cs="Times New Roman"/>
          <w:noProof/>
          <w:sz w:val="24"/>
          <w:szCs w:val="24"/>
          <w:lang w:val="bg-BG"/>
        </w:rPr>
        <w:t xml:space="preserve"> и в Директива 2001/83/ЕО</w:t>
      </w:r>
      <w:r>
        <w:rPr>
          <w:rFonts w:ascii="Times New Roman" w:hAnsi="Times New Roman" w:cs="Times New Roman"/>
          <w:noProof/>
          <w:sz w:val="24"/>
          <w:szCs w:val="24"/>
          <w:vertAlign w:val="superscript"/>
          <w:lang w:val="bg-BG"/>
        </w:rPr>
        <w:footnoteReference w:id="2"/>
      </w:r>
      <w:r>
        <w:rPr>
          <w:rFonts w:ascii="Times New Roman" w:hAnsi="Times New Roman" w:cs="Times New Roman"/>
          <w:noProof/>
          <w:sz w:val="24"/>
          <w:szCs w:val="24"/>
          <w:lang w:val="bg-BG"/>
        </w:rPr>
        <w:t>. Законодателството беше изменено през 2010 г.</w:t>
      </w:r>
      <w:r>
        <w:rPr>
          <w:rFonts w:ascii="Times New Roman" w:hAnsi="Times New Roman" w:cs="Times New Roman"/>
          <w:noProof/>
          <w:sz w:val="24"/>
          <w:szCs w:val="24"/>
          <w:vertAlign w:val="superscript"/>
          <w:lang w:val="bg-BG"/>
        </w:rPr>
        <w:footnoteReference w:id="3"/>
      </w:r>
      <w:r>
        <w:rPr>
          <w:rFonts w:ascii="Times New Roman" w:hAnsi="Times New Roman" w:cs="Times New Roman"/>
          <w:noProof/>
          <w:sz w:val="24"/>
          <w:szCs w:val="24"/>
          <w:lang w:val="bg-BG"/>
        </w:rPr>
        <w:t xml:space="preserve"> и 2012 г.</w:t>
      </w:r>
      <w:r>
        <w:rPr>
          <w:rFonts w:ascii="Times New Roman" w:hAnsi="Times New Roman" w:cs="Times New Roman"/>
          <w:noProof/>
          <w:sz w:val="24"/>
          <w:szCs w:val="24"/>
          <w:vertAlign w:val="superscript"/>
          <w:lang w:val="bg-BG"/>
        </w:rPr>
        <w:footnoteReference w:id="4"/>
      </w:r>
      <w:r>
        <w:rPr>
          <w:rFonts w:ascii="Times New Roman" w:hAnsi="Times New Roman" w:cs="Times New Roman"/>
          <w:noProof/>
          <w:sz w:val="24"/>
          <w:szCs w:val="24"/>
          <w:lang w:val="bg-BG"/>
        </w:rPr>
        <w:t>.</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 член 29 от Регламент (ЕО) № 726/2004 и член 108б от Директива 2001/83/ЕО се изисква редовно докладване относно изпълнението на задачите, свързани с фармакологичната бдителност, съответно от Европейската агенция по лекарствата (EMA) и държавите членки.</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настоящия доклад и в придружаващия работен документ</w:t>
      </w:r>
      <w:r>
        <w:rPr>
          <w:rStyle w:val="FootnoteReference"/>
          <w:rFonts w:ascii="Times New Roman" w:hAnsi="Times New Roman" w:cs="Times New Roman"/>
          <w:noProof/>
          <w:sz w:val="24"/>
          <w:szCs w:val="24"/>
          <w:lang w:val="bg-BG"/>
        </w:rPr>
        <w:footnoteReference w:id="5"/>
      </w:r>
      <w:r>
        <w:rPr>
          <w:rFonts w:ascii="Times New Roman" w:hAnsi="Times New Roman" w:cs="Times New Roman"/>
          <w:noProof/>
          <w:sz w:val="24"/>
          <w:szCs w:val="24"/>
          <w:lang w:val="bg-BG"/>
        </w:rPr>
        <w:t xml:space="preserve"> се описват дейностите на мрежовата и съвместна система на ЕС за наблюдение и контрол на безопасността на лекарствата за хуманна употреба и акцентът в него е върху дейностите от началото на функционирането на новото законодателство през 2012 г. до края на 2014 г., но включва също така информация относно някои задачи и процеси, започнати към юли 2015 г.</w:t>
      </w:r>
    </w:p>
    <w:p>
      <w:pPr>
        <w:pStyle w:val="ManualHeading1"/>
        <w:rPr>
          <w:noProof/>
          <w:lang w:val="bg-BG"/>
        </w:rPr>
      </w:pPr>
      <w:r>
        <w:rPr>
          <w:noProof/>
          <w:lang w:val="bg-BG"/>
        </w:rPr>
        <w:t>2.</w:t>
      </w:r>
      <w:r>
        <w:rPr>
          <w:noProof/>
          <w:lang w:val="bg-BG"/>
        </w:rPr>
        <w:tab/>
        <w:t>Тясно сътрудничество между европейските регулаторни органи</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Гарантирането, че регулаторите могат да реагират на нововъзникващи или неотложни здравни въпроси по бърз и ефективен начин, е резултат с ключово значение, постигнат благодарение на новото законодателство в областта на фармакологичната бдителност. За тази цел регулаторните органи по лекарствата в 31 държави от Европейското икономическо пространство (ЕИП), EMA и Европейската комисия си сътрудничат тясно и работят в партньорство като мрежа, за да обсъждат и да се справят бързо с всеки нововъзникващ проблем, в интерес на достъпа на пациентите до безопасни и ефикасни лекарства</w:t>
      </w:r>
      <w:r>
        <w:rPr>
          <w:rStyle w:val="FootnoteReference"/>
          <w:rFonts w:ascii="Times New Roman" w:hAnsi="Times New Roman" w:cs="Times New Roman"/>
          <w:noProof/>
          <w:sz w:val="24"/>
          <w:szCs w:val="24"/>
          <w:lang w:val="bg-BG"/>
        </w:rPr>
        <w:footnoteReference w:id="6"/>
      </w:r>
      <w:r>
        <w:rPr>
          <w:rFonts w:ascii="Times New Roman" w:hAnsi="Times New Roman" w:cs="Times New Roman"/>
          <w:noProof/>
          <w:sz w:val="24"/>
          <w:szCs w:val="24"/>
          <w:lang w:val="bg-BG"/>
        </w:rPr>
        <w:t>. Способността за предприемане на бързи и решителни мерки беше подсилена от законодателството чрез: създаването на Комитет за оценка на риска в областта на фармакологичната бдителност; укрепването на Координационна група за процедурата по взаимно признаване и за децентрализираната процедура — лекарствени продукти за хуманна употреба, и въвеждането на нови процедури за ускорено вземане на решения, когато съществува опасност за общественото здраве.</w:t>
      </w:r>
    </w:p>
    <w:p>
      <w:pPr>
        <w:pStyle w:val="ManualHeading2"/>
        <w:rPr>
          <w:noProof/>
          <w:lang w:val="bg-BG"/>
        </w:rPr>
      </w:pPr>
      <w:r>
        <w:rPr>
          <w:noProof/>
          <w:lang w:val="bg-BG"/>
        </w:rPr>
        <w:t>2.1.</w:t>
      </w:r>
      <w:r>
        <w:rPr>
          <w:noProof/>
          <w:lang w:val="bg-BG"/>
        </w:rPr>
        <w:tab/>
        <w:t>Ролята на държавите членки</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Отделните държави — членки на ЕИП, привеждат в действие цялата система за фармакологична бдителност. Те осигуряват голяма част от ресурса и знанието за оценяване на сигналите за възможни новопоявили се странични ефекти и имат водеща роля в оценяването и анализирането на данни, когато проблем с безопасността се оценява на европейско равнище. Те поддържат инспекторатите, които гарантират, че лекарствата, които се предлагат на пазара в ЕС, са произведени по подходящия начин и са с подходящо качество и че системите за фармакологична бдителност на промишлеността функционират по правилния начин.</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Законодателството предоставя на Координационна група за процедурата по взаимно признаване и за децентрализираната процедура — лекарствени продукти за хуманна употреба (CMDh)</w:t>
      </w:r>
      <w:r>
        <w:rPr>
          <w:rStyle w:val="FootnoteReference"/>
          <w:rFonts w:ascii="Times New Roman" w:hAnsi="Times New Roman" w:cs="Times New Roman"/>
          <w:noProof/>
          <w:sz w:val="24"/>
          <w:szCs w:val="24"/>
          <w:lang w:val="bg-BG"/>
        </w:rPr>
        <w:footnoteReference w:id="7"/>
      </w:r>
      <w:r>
        <w:rPr>
          <w:rFonts w:ascii="Times New Roman" w:hAnsi="Times New Roman" w:cs="Times New Roman"/>
          <w:noProof/>
          <w:sz w:val="24"/>
          <w:szCs w:val="24"/>
          <w:lang w:val="bg-BG"/>
        </w:rPr>
        <w:t xml:space="preserve"> (представителен орган на националните регулатори от ЕИП) мандата да взема решения, когато не става въпрос за лекарства, разрешени на централно равнище.</w:t>
      </w:r>
    </w:p>
    <w:p>
      <w:pPr>
        <w:pStyle w:val="ManualHeading2"/>
        <w:rPr>
          <w:noProof/>
          <w:lang w:val="bg-BG"/>
        </w:rPr>
      </w:pPr>
      <w:r>
        <w:rPr>
          <w:noProof/>
          <w:lang w:val="bg-BG"/>
        </w:rPr>
        <w:t>2.2.</w:t>
      </w:r>
      <w:r>
        <w:rPr>
          <w:noProof/>
          <w:lang w:val="bg-BG"/>
        </w:rPr>
        <w:tab/>
        <w:t>Ролята на Европейската агенция по лекарствата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EMA има централна роля в системата на ЕС, като координира нейната дейност и осигурява техническа, регулаторна и научна подкрепа на държавите членки и промишлеността.</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Новият научен комитет — Комитетът за оценка на риска в областта на фармакологичната бдителност (PRAC), беше създаден през юли 2012 г. Мандатът на PRAC обхваща всички аспекти на управлението на риска на лекарствените продукти за хуманна употреба. Сред членовете на PRAC са експерти в областта на фармакологичната бдителност и регулирането от държавите — членки на ЕС, както и научни експерти и здравни специалисти и пациентски организации, определени от Европейската комисия. Фигура 1 в приложението представя относителната честота на основните дейности, свързани с фармакологичната бдителност, в дневния ред на PRAC в периода юли 2012—декември 2014 г.</w:t>
      </w:r>
    </w:p>
    <w:p>
      <w:pPr>
        <w:pStyle w:val="ManualHeading2"/>
        <w:rPr>
          <w:noProof/>
          <w:lang w:val="bg-BG"/>
        </w:rPr>
      </w:pPr>
      <w:r>
        <w:rPr>
          <w:noProof/>
          <w:lang w:val="bg-BG"/>
        </w:rPr>
        <w:t>2.3.</w:t>
      </w:r>
      <w:r>
        <w:rPr>
          <w:noProof/>
          <w:lang w:val="bg-BG"/>
        </w:rPr>
        <w:tab/>
        <w:t>Ролята на Комисията</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Европейската комисия е компетентният орган за лекарствата, разрешени на централно равнище, и осигурява законовите правомощия, които са в основата на системата на ЕС за фармакологична бдителност.</w:t>
      </w:r>
    </w:p>
    <w:p>
      <w:pPr>
        <w:pStyle w:val="ManualHeading1"/>
        <w:rPr>
          <w:noProof/>
          <w:lang w:val="bg-BG"/>
        </w:rPr>
      </w:pPr>
      <w:r>
        <w:rPr>
          <w:noProof/>
          <w:lang w:val="bg-BG"/>
        </w:rPr>
        <w:t>3.</w:t>
      </w:r>
      <w:r>
        <w:rPr>
          <w:noProof/>
          <w:lang w:val="bg-BG"/>
        </w:rPr>
        <w:tab/>
        <w:t>Основни задачи и дейности, свързани с фармакологичната бдителност</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Целият процес на фармакологична бдителност — от системите, с които се следят и откриват възможни нежелани ефекти, през регулаторните действия до намаляването на рисковете — е изключително добре координиран в регулаторната мрежа, във фармацевтичната промишленост и в системите за здравеопазване. Системата получава широк набор от информация, включително и от регулатори извън ЕС, академични институции, здравни специалисти и пациенти.</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Процесът на фармакологична бдителност може да бъде разделен на следните основни задачи:</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Планиране на управлението на риска —</w:t>
      </w:r>
      <w:r>
        <w:rPr>
          <w:rFonts w:ascii="Times New Roman" w:hAnsi="Times New Roman" w:cs="Times New Roman"/>
          <w:noProof/>
          <w:sz w:val="24"/>
          <w:szCs w:val="24"/>
          <w:lang w:val="bg-BG"/>
        </w:rPr>
        <w:t xml:space="preserve"> оценяване на рисковете за всяко ново лекарство и разработване на планове за събиране на данни и за свеждане до минимум на тези рискове. PRAC е прегледал 48 плана за управление на риска (RMP) в периода юли—декември 2012 г., 637 през 2013 г. и 597 през 2014 г. Държавите членки общо получиха около 3500 (2012 г.), 7500 (2013 г.), и 9000 (2014 г.)  RMP за лекарства, разрешени на национално равнище.</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Събиране и обработване на доклади за възможни странични ефекти (</w:t>
      </w:r>
      <w:r>
        <w:rPr>
          <w:rFonts w:ascii="Times New Roman" w:hAnsi="Times New Roman" w:cs="Times New Roman"/>
          <w:b/>
          <w:noProof/>
          <w:sz w:val="24"/>
          <w:szCs w:val="24"/>
          <w:lang w:val="bg-BG"/>
        </w:rPr>
        <w:t xml:space="preserve">нежелани лекарствени реакции </w:t>
      </w:r>
      <w:r>
        <w:rPr>
          <w:rFonts w:ascii="Times New Roman" w:hAnsi="Times New Roman" w:cs="Times New Roman"/>
          <w:noProof/>
          <w:sz w:val="24"/>
          <w:szCs w:val="24"/>
          <w:lang w:val="bg-BG"/>
        </w:rPr>
        <w:t>(ADR)). Фигура 2 в приложението представя докладите за сериозни неблагоприятни събития за периода 2011—2014 г.</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 xml:space="preserve">Приемане и управление на сигнали — </w:t>
      </w:r>
      <w:r>
        <w:rPr>
          <w:rFonts w:ascii="Times New Roman" w:hAnsi="Times New Roman" w:cs="Times New Roman"/>
          <w:noProof/>
          <w:sz w:val="24"/>
          <w:szCs w:val="24"/>
          <w:lang w:val="bg-BG"/>
        </w:rPr>
        <w:t>анализиране на доклади за предполагаеми странични ефекти с цел идентифициране на сигнали. Около 193 уникални сигнала са били оценени от PRAC в периода септември 2012—декември 2014 г. Фигура 3 в приложението представя броя на обсъжданията в PRAC както във връзка с нови сигнали, така и във връзка с последващи обсъждания, а фигура 4 представя преглед на регулаторните действия след оценка на сигнала.</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Рутинно наблюдение на рисковете и ползите от лекарства чрез </w:t>
      </w:r>
      <w:r>
        <w:rPr>
          <w:rFonts w:ascii="Times New Roman" w:hAnsi="Times New Roman" w:cs="Times New Roman"/>
          <w:b/>
          <w:noProof/>
          <w:sz w:val="24"/>
          <w:szCs w:val="24"/>
          <w:lang w:val="bg-BG"/>
        </w:rPr>
        <w:t xml:space="preserve">периодични актуализирани доклади за безопасност </w:t>
      </w:r>
      <w:r>
        <w:rPr>
          <w:rFonts w:ascii="Times New Roman" w:hAnsi="Times New Roman" w:cs="Times New Roman"/>
          <w:noProof/>
          <w:sz w:val="24"/>
          <w:szCs w:val="24"/>
          <w:lang w:val="bg-BG"/>
        </w:rPr>
        <w:t>(ПАДБ) и поддържане на списък (списък с референтни дати на ЕС) с графици за предаване на ПАДБ. Броят на ПАДБ, разгледани от PRAC, е бил 20 (юли—декември 2012 г.), 436 (2013 г.) и 471 (2014 г.). Фигура 5 в приложението представя преглед на регулаторните действия след оценка на ПАДБ. Освен това броят на ПАДБ, подадени до компетентните национални органи в държавите членки за изцяло национални оценки, е бил около 5000 през 2012 г., 3500 през 2013 г.и 3000 през 2014 г. и е имало допълнително 62, 151 и 116 процедури за поделяне на работата по ПАДБ за лекарства, разрешени изцяло на национално равнище, през същите периоди.</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 xml:space="preserve">Сезирания </w:t>
      </w:r>
      <w:r>
        <w:rPr>
          <w:rFonts w:ascii="Times New Roman" w:hAnsi="Times New Roman" w:cs="Times New Roman"/>
          <w:noProof/>
          <w:sz w:val="24"/>
          <w:szCs w:val="24"/>
          <w:lang w:val="bg-BG"/>
        </w:rPr>
        <w:t>— общоевропейски преглед на важните въпроси, свързани с безопасността и с рисковете и ползите. В периода юли 2012—декември 2014 г. към PRAC са отправени 31 сезирания във връзка с безопасността. Девет от тези сезирания се отнасят до лекарства, разрешени на централно равнище, останалата част е свързана единствено с продукти, разрешени на национално равнище. (Вж. фигура 6 в приложението). Някои допълнителни опасения на национално равнище също бяха обсъдени от CMDh, за да се реши дали е необходима оценка на равнище ЕС, но в крайна сметка не е предприето сезиране. Такива обсъждания в рамките на CMD</w:t>
      </w:r>
      <w:r>
        <w:rPr>
          <w:rFonts w:ascii="Times New Roman" w:hAnsi="Times New Roman" w:cs="Times New Roman"/>
          <w:noProof/>
          <w:sz w:val="24"/>
          <w:szCs w:val="24"/>
          <w:lang w:val="en-US"/>
        </w:rPr>
        <w:t>h</w:t>
      </w:r>
      <w:r>
        <w:rPr>
          <w:rFonts w:ascii="Times New Roman" w:hAnsi="Times New Roman" w:cs="Times New Roman"/>
          <w:noProof/>
          <w:sz w:val="24"/>
          <w:szCs w:val="24"/>
          <w:lang w:val="bg-BG"/>
        </w:rPr>
        <w:t xml:space="preserve"> се състояха на два пъти през 2013 г. и 6 пъти през 2014 г.</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Управление на информацията за продукти, обект на </w:t>
      </w:r>
      <w:r>
        <w:rPr>
          <w:rFonts w:ascii="Times New Roman" w:hAnsi="Times New Roman" w:cs="Times New Roman"/>
          <w:b/>
          <w:noProof/>
          <w:sz w:val="24"/>
          <w:szCs w:val="24"/>
          <w:lang w:val="bg-BG"/>
        </w:rPr>
        <w:t>допълнително наблюдение</w:t>
      </w:r>
      <w:r>
        <w:rPr>
          <w:rFonts w:ascii="Times New Roman" w:hAnsi="Times New Roman" w:cs="Times New Roman"/>
          <w:noProof/>
          <w:sz w:val="24"/>
          <w:szCs w:val="24"/>
          <w:lang w:val="bg-BG"/>
        </w:rPr>
        <w:t xml:space="preserve">, и за продукти, които са били </w:t>
      </w:r>
      <w:r>
        <w:rPr>
          <w:rFonts w:ascii="Times New Roman" w:hAnsi="Times New Roman" w:cs="Times New Roman"/>
          <w:b/>
          <w:noProof/>
          <w:sz w:val="24"/>
          <w:szCs w:val="24"/>
          <w:lang w:val="bg-BG"/>
        </w:rPr>
        <w:t>изтеглени</w:t>
      </w:r>
      <w:r>
        <w:rPr>
          <w:rFonts w:ascii="Times New Roman" w:hAnsi="Times New Roman" w:cs="Times New Roman"/>
          <w:noProof/>
          <w:sz w:val="24"/>
          <w:szCs w:val="24"/>
          <w:lang w:val="bg-BG"/>
        </w:rPr>
        <w:t>. В края на 2014 г. списъкът с лекарства, обект на допълнително наблюдение, включваше 193 лекарства, разрешени на централно равнище, и 8 вещества в 1269 продукта, разрешени на национално равнище. През 2014 г. EMA получи 132 уведомления за изтегляне на продукти.</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Оценяване и координиране на проучвания след предлагане на пазара посредством </w:t>
      </w:r>
      <w:r>
        <w:rPr>
          <w:rFonts w:ascii="Times New Roman" w:hAnsi="Times New Roman" w:cs="Times New Roman"/>
          <w:b/>
          <w:noProof/>
          <w:sz w:val="24"/>
          <w:szCs w:val="24"/>
          <w:lang w:val="bg-BG"/>
        </w:rPr>
        <w:t>проучвания за безопасност след получаване на разрешение за търговия и проучвания за ефикасност след получаване на разрешение за търговия</w:t>
      </w:r>
      <w:r>
        <w:rPr>
          <w:rFonts w:ascii="Times New Roman" w:hAnsi="Times New Roman" w:cs="Times New Roman"/>
          <w:noProof/>
          <w:sz w:val="24"/>
          <w:szCs w:val="24"/>
          <w:lang w:val="bg-BG"/>
        </w:rPr>
        <w:t>. В периода юли 2012—декември 2014 г. PRAC прегледа протоколи за 38 изискани неинтервенционални проучвания за безопасност след получаване на разрешение за търговия (PASS). Държавите членки оцениха допълнително 17 протокола за PASS за лекарства, разрешени на национално равнище.</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Извършване на </w:t>
      </w:r>
      <w:r>
        <w:rPr>
          <w:rFonts w:ascii="Times New Roman" w:hAnsi="Times New Roman" w:cs="Times New Roman"/>
          <w:b/>
          <w:noProof/>
          <w:sz w:val="24"/>
          <w:szCs w:val="24"/>
          <w:lang w:val="bg-BG"/>
        </w:rPr>
        <w:t>проверки</w:t>
      </w:r>
      <w:r>
        <w:rPr>
          <w:rFonts w:ascii="Times New Roman" w:hAnsi="Times New Roman" w:cs="Times New Roman"/>
          <w:noProof/>
          <w:sz w:val="24"/>
          <w:szCs w:val="24"/>
          <w:lang w:val="bg-BG"/>
        </w:rPr>
        <w:t>, за да се гарантира, че системите за фармакологична бдителност на дружествата отговарят на добрата практика в областта на фармакологичната бдителност. Броят на извършените проверки беше 207 (2012 г.), 195 (2013 г.) и 167 (2014 г.), съответно 26, 37 и 48 за лекарства, разрешени на централно равнище.</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Съобщаване на свързани с безопасността въпроси</w:t>
      </w:r>
      <w:r>
        <w:rPr>
          <w:rFonts w:ascii="Times New Roman" w:hAnsi="Times New Roman" w:cs="Times New Roman"/>
          <w:noProof/>
          <w:sz w:val="24"/>
          <w:szCs w:val="24"/>
          <w:lang w:val="bg-BG"/>
        </w:rPr>
        <w:t xml:space="preserve"> и взаимодействие със и ангажиране на съответните заинтересовани страни. Дневният ред, основните моменти и протоколите от заседанията на PRAC се публикуват, както и съобщенията за обществена безопасност по съответните въпроси. Издадени са 14 съобщения за обществена безопасност през втората половина на 2012 г., 78 — през 2013 г. и 57 — през 2014 г.</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Разработване на системи и насоки</w:t>
      </w:r>
      <w:r>
        <w:rPr>
          <w:rFonts w:ascii="Times New Roman" w:hAnsi="Times New Roman" w:cs="Times New Roman"/>
          <w:noProof/>
          <w:sz w:val="24"/>
          <w:szCs w:val="24"/>
          <w:lang w:val="bg-BG"/>
        </w:rPr>
        <w:t xml:space="preserve"> и насърчаване на изследванията с цел преодоляване на пропуските в знанията.</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Наблюдение на работата на системата</w:t>
      </w:r>
      <w:r>
        <w:rPr>
          <w:rFonts w:ascii="Times New Roman" w:hAnsi="Times New Roman" w:cs="Times New Roman"/>
          <w:noProof/>
          <w:sz w:val="24"/>
          <w:szCs w:val="24"/>
          <w:lang w:val="bg-BG"/>
        </w:rPr>
        <w:t>, включително спазването на правните задължения и стандарти.</w:t>
      </w:r>
    </w:p>
    <w:p>
      <w:pPr>
        <w:numPr>
          <w:ilvl w:val="0"/>
          <w:numId w:val="1"/>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Обучение и изграждане на капацитет</w:t>
      </w:r>
      <w:r>
        <w:rPr>
          <w:rFonts w:ascii="Times New Roman" w:hAnsi="Times New Roman" w:cs="Times New Roman"/>
          <w:noProof/>
          <w:sz w:val="24"/>
          <w:szCs w:val="24"/>
          <w:lang w:val="bg-BG"/>
        </w:rPr>
        <w:t>.</w:t>
      </w:r>
    </w:p>
    <w:p>
      <w:pPr>
        <w:pStyle w:val="ManualHeading1"/>
        <w:rPr>
          <w:noProof/>
          <w:lang w:val="bg-BG"/>
        </w:rPr>
      </w:pPr>
      <w:r>
        <w:rPr>
          <w:noProof/>
          <w:lang w:val="bg-BG"/>
        </w:rPr>
        <w:t>4.</w:t>
      </w:r>
      <w:r>
        <w:rPr>
          <w:noProof/>
          <w:lang w:val="bg-BG"/>
        </w:rPr>
        <w:tab/>
        <w:t>Подобряване на системите и услугите</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Ролята на EMA включва предоставянето на някои от системите и услугите, необходими за функционирането на мрежата за фармакологична бдителност. Новото законодателство изисква разработването на някои нови системи и услуги и усъвършенстването или опростяването на други. Държавите членки и ключовите заинтересовани страни, включително фармацевтичната промишленост, имат важен принос за проектирането и разработването на тези системи. Разработването включва: </w:t>
      </w:r>
    </w:p>
    <w:p>
      <w:pPr>
        <w:numPr>
          <w:ilvl w:val="0"/>
          <w:numId w:val="2"/>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Базата данни, предвидена в член 57</w:t>
      </w:r>
      <w:r>
        <w:rPr>
          <w:rStyle w:val="FootnoteReference"/>
          <w:rFonts w:ascii="Times New Roman" w:hAnsi="Times New Roman" w:cs="Times New Roman"/>
          <w:noProof/>
          <w:sz w:val="24"/>
          <w:szCs w:val="24"/>
          <w:lang w:val="bg-BG"/>
        </w:rPr>
        <w:footnoteReference w:id="8"/>
      </w:r>
      <w:r>
        <w:rPr>
          <w:rFonts w:ascii="Times New Roman" w:hAnsi="Times New Roman" w:cs="Times New Roman"/>
          <w:noProof/>
          <w:sz w:val="24"/>
          <w:szCs w:val="24"/>
          <w:lang w:val="bg-BG"/>
        </w:rPr>
        <w:t>, на всички лекарства, разрешени за употреба в ЕС (лекарствата, разрешени на централно равнище, и лекарствата, разрешени на национално равнище), съдържаща информация за над 580 000 лекарства от близо 4 300 титуляря на разрешения за търговия.</w:t>
      </w:r>
    </w:p>
    <w:p>
      <w:pPr>
        <w:numPr>
          <w:ilvl w:val="0"/>
          <w:numId w:val="2"/>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 xml:space="preserve">Услуга за наблюдение на литература </w:t>
      </w:r>
      <w:r>
        <w:rPr>
          <w:rFonts w:ascii="Times New Roman" w:hAnsi="Times New Roman" w:cs="Times New Roman"/>
          <w:noProof/>
          <w:sz w:val="24"/>
          <w:szCs w:val="24"/>
          <w:lang w:val="bg-BG"/>
        </w:rPr>
        <w:t>— от EMA се изисква да наблюдава подбрана медицинска литература за доклади за предполагаеми странични ефекти от някои активни вещества и да ги въвежда в базата данни Eudra</w:t>
      </w:r>
      <w:r>
        <w:rPr>
          <w:rFonts w:ascii="Times New Roman" w:hAnsi="Times New Roman" w:cs="Times New Roman"/>
          <w:noProof/>
          <w:sz w:val="24"/>
          <w:szCs w:val="24"/>
          <w:lang w:val="en-US"/>
        </w:rPr>
        <w:t>V</w:t>
      </w:r>
      <w:r>
        <w:rPr>
          <w:rFonts w:ascii="Times New Roman" w:hAnsi="Times New Roman" w:cs="Times New Roman"/>
          <w:noProof/>
          <w:sz w:val="24"/>
          <w:szCs w:val="24"/>
          <w:lang w:val="bg-BG"/>
        </w:rPr>
        <w:t>igilance като доклади за безопасност относно отделни случаи. Услугата беше стартирана през юни 2015 г.</w:t>
      </w:r>
    </w:p>
    <w:p>
      <w:pPr>
        <w:numPr>
          <w:ilvl w:val="0"/>
          <w:numId w:val="2"/>
        </w:numPr>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 xml:space="preserve">Регистърът на периодичните актуализирани доклади за безопасност (ПАДБ) </w:t>
      </w:r>
      <w:r>
        <w:rPr>
          <w:rFonts w:ascii="Times New Roman" w:hAnsi="Times New Roman" w:cs="Times New Roman"/>
          <w:noProof/>
          <w:sz w:val="24"/>
          <w:szCs w:val="24"/>
          <w:lang w:val="bg-BG"/>
        </w:rPr>
        <w:t xml:space="preserve">беше разработен и предоставен по време периода на докладване, като неговата функционалност премина през успешен одит през 2015 г. </w:t>
      </w:r>
    </w:p>
    <w:p>
      <w:pPr>
        <w:numPr>
          <w:ilvl w:val="0"/>
          <w:numId w:val="2"/>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Законодателството изисква усъвършенстване на </w:t>
      </w:r>
      <w:r>
        <w:rPr>
          <w:rFonts w:ascii="Times New Roman" w:hAnsi="Times New Roman" w:cs="Times New Roman"/>
          <w:b/>
          <w:noProof/>
          <w:sz w:val="24"/>
          <w:szCs w:val="24"/>
          <w:lang w:val="bg-BG"/>
        </w:rPr>
        <w:t>базата данни Eudra</w:t>
      </w:r>
      <w:r>
        <w:rPr>
          <w:rFonts w:ascii="Times New Roman" w:hAnsi="Times New Roman" w:cs="Times New Roman"/>
          <w:b/>
          <w:noProof/>
          <w:sz w:val="24"/>
          <w:szCs w:val="24"/>
          <w:lang w:val="en-US"/>
        </w:rPr>
        <w:t>V</w:t>
      </w:r>
      <w:r>
        <w:rPr>
          <w:rFonts w:ascii="Times New Roman" w:hAnsi="Times New Roman" w:cs="Times New Roman"/>
          <w:b/>
          <w:noProof/>
          <w:sz w:val="24"/>
          <w:szCs w:val="24"/>
          <w:lang w:val="bg-BG"/>
        </w:rPr>
        <w:t>igilance</w:t>
      </w:r>
      <w:r>
        <w:rPr>
          <w:rFonts w:ascii="Times New Roman" w:hAnsi="Times New Roman" w:cs="Times New Roman"/>
          <w:noProof/>
          <w:sz w:val="24"/>
          <w:szCs w:val="24"/>
          <w:lang w:val="bg-BG"/>
        </w:rPr>
        <w:t xml:space="preserve"> с цел да се подкрепи опростеното докладване, по-доброто търсене, функциите за анализ и проследяване и подобреното качество на данните. Постигнат е напредък по отношение на усъвършенстванията в периода на докладване, включително създаването на уебсайта на ADR и подпомагането на дейности по приемане на сигнали. Окончателният одит на актуализираната система се очаква да завърши в началото на 2018 г.</w:t>
      </w:r>
      <w:r>
        <w:rPr>
          <w:rStyle w:val="FootnoteReference"/>
          <w:rFonts w:ascii="Times New Roman" w:hAnsi="Times New Roman" w:cs="Times New Roman"/>
          <w:noProof/>
          <w:sz w:val="24"/>
          <w:szCs w:val="24"/>
          <w:lang w:val="bg-BG"/>
        </w:rPr>
        <w:footnoteReference w:id="9"/>
      </w:r>
      <w:r>
        <w:rPr>
          <w:rFonts w:ascii="Times New Roman" w:hAnsi="Times New Roman" w:cs="Times New Roman"/>
          <w:noProof/>
          <w:sz w:val="24"/>
          <w:szCs w:val="24"/>
          <w:lang w:val="bg-BG"/>
        </w:rPr>
        <w:t>.</w:t>
      </w:r>
    </w:p>
    <w:p>
      <w:pPr>
        <w:pStyle w:val="ManualHeading1"/>
        <w:rPr>
          <w:noProof/>
          <w:lang w:val="bg-BG"/>
        </w:rPr>
      </w:pPr>
      <w:r>
        <w:rPr>
          <w:noProof/>
          <w:lang w:val="bg-BG"/>
        </w:rPr>
        <w:t>5.</w:t>
      </w:r>
      <w:r>
        <w:rPr>
          <w:noProof/>
          <w:lang w:val="bg-BG"/>
        </w:rPr>
        <w:tab/>
        <w:t>Сътрудничество и координиране</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Подобно на координирането в рамките на мрежата от над 30 компетентни национални органа, Комисията и EMA работят в тясно сътрудничество с други международни регулатори чрез двустранни споразумения и чрез многостранни форуми, като Асоциацията на Международния съвет за хармонизация на техническите изисквания при регистриране на лекарствени продукти за хуманна употреба (ICH), с цел насърчаване на общи подходи и стандартизирани изисквания за разрешаването на лекарства.</w:t>
      </w:r>
    </w:p>
    <w:p>
      <w:pPr>
        <w:jc w:val="both"/>
        <w:rPr>
          <w:rFonts w:ascii="Times New Roman" w:hAnsi="Times New Roman" w:cs="Times New Roman"/>
          <w:noProof/>
          <w:sz w:val="24"/>
          <w:szCs w:val="24"/>
          <w:lang w:val="bg-BG" w:eastAsia="ja-JP"/>
        </w:rPr>
      </w:pPr>
      <w:r>
        <w:rPr>
          <w:rFonts w:ascii="Times New Roman" w:hAnsi="Times New Roman" w:cs="Times New Roman"/>
          <w:noProof/>
          <w:sz w:val="24"/>
          <w:szCs w:val="24"/>
          <w:lang w:val="bg-BG"/>
        </w:rPr>
        <w:t>Добрата фармакологична бдителност се основава на сътрудничество между заинтересованите страни и това се насърчава от законодателството. Приносът на пациентите и на здравните специалисти в рамките на разрешаването на лекарства и фармакологичната бдителност е от съществено значение. Това се осигурява чрез представители на гражданското общество, които са членове на PRAC и на които конкретно беше потърсено мнението за някои видове сезиране.</w:t>
      </w:r>
    </w:p>
    <w:p>
      <w:pPr>
        <w:pStyle w:val="ManualHeading1"/>
        <w:rPr>
          <w:noProof/>
          <w:lang w:val="bg-BG"/>
        </w:rPr>
      </w:pPr>
      <w:r>
        <w:rPr>
          <w:noProof/>
          <w:lang w:val="bg-BG"/>
        </w:rPr>
        <w:t>6.</w:t>
      </w:r>
      <w:r>
        <w:rPr>
          <w:noProof/>
          <w:lang w:val="bg-BG"/>
        </w:rPr>
        <w:tab/>
        <w:t>Поддържане и бъдещо развитие на мрежата</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периода на доклада и след това мрежата за фармакологична бдителност насочи своето внимание към обучение за поясняване на понятието за фармакологична бдителност и регулаторна наука, за да се даде възможност за споделяне на най-добри практики, подобряване на ефикасността и ефективността на процесите и изграждане на капацитет.</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Държавите членки и EMA предлагат пространно обучение за регулаторния персонал и за съответните външни заинтересовани страни. Ефикасността и ефективността на фармакологичните процеси са се подобрили. Започнати са проекти за подобряване на науката и практиката, свързани с фармакологичната бдителност, включително: съвместни действия за укрепване на сътрудничеството по оперативна фармакологичната бдителност в Европа (SCOPE); Европейска мрежа от центрове за фармакоепидемиология и фармакологична бдителност (ENCePP); и проекта PROTECT</w:t>
      </w:r>
      <w:r>
        <w:rPr>
          <w:rStyle w:val="FootnoteReference"/>
          <w:rFonts w:ascii="Times New Roman" w:hAnsi="Times New Roman" w:cs="Times New Roman"/>
          <w:noProof/>
          <w:sz w:val="24"/>
          <w:szCs w:val="24"/>
          <w:lang w:val="bg-BG"/>
        </w:rPr>
        <w:footnoteReference w:id="10"/>
      </w:r>
      <w:r>
        <w:rPr>
          <w:rFonts w:ascii="Times New Roman" w:hAnsi="Times New Roman" w:cs="Times New Roman"/>
          <w:noProof/>
          <w:sz w:val="24"/>
          <w:szCs w:val="24"/>
          <w:lang w:val="bg-BG"/>
        </w:rPr>
        <w:t>. С резултатите от работата по тези инициативи вече започва да се осигурява информация за по-нататъшното развитие на процесите и актуализациите на насоките.</w:t>
      </w:r>
    </w:p>
    <w:p>
      <w:pPr>
        <w:pStyle w:val="ManualHeading1"/>
        <w:rPr>
          <w:noProof/>
          <w:lang w:val="bg-BG"/>
        </w:rPr>
      </w:pPr>
      <w:r>
        <w:rPr>
          <w:noProof/>
          <w:lang w:val="bg-BG"/>
        </w:rPr>
        <w:t>7.</w:t>
      </w:r>
      <w:r>
        <w:rPr>
          <w:noProof/>
          <w:lang w:val="bg-BG"/>
        </w:rPr>
        <w:tab/>
        <w:t>Заключение</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Европейската мрежа за фармакологичната бдителност представлява пример за успешно сътрудничество на европейско равнище в полза на гражданите на ЕС. Мрежовата система позволява на участниците да споделят най-добрите налични експертни познания и доказателства и да координират регулаторните действия, като се постигат по-ефективни и съгласувани помежду си резултати за всички. Регулаторните инструменти, които се осигуряват съгласно преразгледаното законодателство, включително плановете за управление на риска, проучванията след получаване на разрешение за търговия, приемането и управлението на сигнали на равнище ЕС, оценката на периодичните актуализирани доклади за безопасност и прегледа на лекарства чрез сезирания, представляват все по-проактивен подход към безопасността на лекарствата, като това е допълнено от подобрения в регулаторните действия и комуникацията, когато са налице опасения, свързани с безопасността.</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Системата функционира с голяма степен на прозрачност, необходима за изграждането на доверие в обществото, на което тя служи. Въведени са механизми, които да гарантират, че точната информация във връзка с безопасността достига своевременно до гражданите на ЕС. Участието на ключови заинтересовани лица, като например пациенти и здравни специалисти, е интегрирано в системата, включително чрез докладване на предполагаеми странични ефекти от страна на пациентите. В бъдеще се предвижда активизиране на участието, включително провеждането на публични изслушвания по въпроси от критично значение по отношение на безопасността.</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Продължава работата по необходимата инфраструктура, която да подпомогне бъдещото развитие на системата и която да опрости и оптимизира съществуващите процеси, когато това е възможно, така че регулаторната тежест за всички заинтересовани страни да бъде сведена до минимум. С предоставянето на услугата за преглед на медицинска литература, на новата система EudraVigilance, на регистъра на ПАДБ и пълното използване на продуктовата база данни на ЕС по член 57 ще се повиши ефективността и ще се осигури опростяване за заинтересованите страни. Продължава работата по завършване на разработването и въвеждането на други системи, като например централизираното докладване на </w:t>
      </w:r>
      <w:r>
        <w:rPr>
          <w:rFonts w:ascii="Times New Roman" w:hAnsi="Times New Roman" w:cs="Times New Roman"/>
          <w:noProof/>
          <w:sz w:val="24"/>
          <w:szCs w:val="24"/>
        </w:rPr>
        <w:t>ADR</w:t>
      </w:r>
      <w:r>
        <w:rPr>
          <w:rFonts w:ascii="Times New Roman" w:hAnsi="Times New Roman" w:cs="Times New Roman"/>
          <w:noProof/>
          <w:sz w:val="24"/>
          <w:szCs w:val="24"/>
          <w:lang w:val="bg-BG"/>
        </w:rPr>
        <w:t xml:space="preserve"> чрез базата данни EudraVigilance. Текущите изследвания в областта на регулаторната наука, като например изследването, подкрепяно от рамковите програми за научни изследвания на ЕС, също ще подпомогнат бъдещите подобрения.</w:t>
      </w:r>
    </w:p>
    <w:p>
      <w:pPr>
        <w:pStyle w:val="ManualHeading1"/>
        <w:ind w:left="0" w:firstLine="0"/>
        <w:rPr>
          <w:noProof/>
          <w:lang w:val="bg-BG"/>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pgNumType w:start="3"/>
          <w:cols w:space="708"/>
          <w:docGrid w:linePitch="360"/>
        </w:sectPr>
      </w:pPr>
    </w:p>
    <w:p>
      <w:pPr>
        <w:pStyle w:val="Annexetitre"/>
        <w:rPr>
          <w:noProof/>
          <w:lang w:val="bg-BG"/>
        </w:rPr>
      </w:pPr>
      <w:r>
        <w:rPr>
          <w:noProof/>
          <w:lang w:val="bg-BG"/>
        </w:rPr>
        <w:t>Съкращения</w:t>
      </w:r>
    </w:p>
    <w:tbl>
      <w:tblPr>
        <w:tblW w:w="0" w:type="auto"/>
        <w:tblLook w:val="04A0" w:firstRow="1" w:lastRow="0" w:firstColumn="1" w:lastColumn="0" w:noHBand="0" w:noVBand="1"/>
      </w:tblPr>
      <w:tblGrid>
        <w:gridCol w:w="1384"/>
        <w:gridCol w:w="7905"/>
      </w:tblGrid>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ADR</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нежелана лекарствена реакция</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CHMP</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Комитет по лекарствените продукти за хуманна употреба</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CMDh</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Координационна група за процедурата по взаимно признаване и за децентрализираната процедура — лекарствени продукти за хуманна употреба</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ЕИП</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Европейско икономическо пространство</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EMA</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Европейска агенция по лекарствата</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ЕС</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Европейски съюз</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EURD</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списък с референтни дати на Европейския съюз и честота на предаване на периодични актуализирани доклади за безопасност</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ICSR</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доклад за безопасност относно отделни случаи</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PASS</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проучване за безопасност след получаване на разрешение за търговия</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PRAC</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Комитет за оценка на риска в областта на фармакологичната бдителност</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ПАДБ</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периодичен актуализиран доклад за безопасност</w:t>
            </w:r>
          </w:p>
        </w:tc>
      </w:tr>
      <w:tr>
        <w:tc>
          <w:tcPr>
            <w:tcW w:w="1384" w:type="dxa"/>
            <w:shd w:val="clear" w:color="auto" w:fill="auto"/>
          </w:tcPr>
          <w:p>
            <w:pPr>
              <w:spacing w:before="60" w:after="60"/>
              <w:ind w:left="142"/>
              <w:rPr>
                <w:rFonts w:ascii="Times New Roman" w:hAnsi="Times New Roman" w:cs="Times New Roman"/>
                <w:noProof/>
                <w:sz w:val="24"/>
                <w:szCs w:val="24"/>
                <w:lang w:val="bg-BG"/>
              </w:rPr>
            </w:pPr>
            <w:r>
              <w:rPr>
                <w:rFonts w:ascii="Times New Roman" w:hAnsi="Times New Roman" w:cs="Times New Roman"/>
                <w:noProof/>
                <w:sz w:val="24"/>
                <w:szCs w:val="24"/>
                <w:lang w:val="bg-BG"/>
              </w:rPr>
              <w:t>RMP</w:t>
            </w:r>
          </w:p>
        </w:tc>
        <w:tc>
          <w:tcPr>
            <w:tcW w:w="7905" w:type="dxa"/>
            <w:shd w:val="clear" w:color="auto" w:fill="auto"/>
          </w:tcPr>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план за управление на риска</w:t>
            </w:r>
          </w:p>
        </w:tc>
      </w:tr>
    </w:tbl>
    <w:p>
      <w:pPr>
        <w:pStyle w:val="ManualHeading1"/>
        <w:ind w:left="0" w:firstLine="0"/>
        <w:rPr>
          <w:noProof/>
          <w:lang w:val="bg-BG"/>
        </w:rPr>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pPr>
        <w:pStyle w:val="Annexetitre"/>
        <w:rPr>
          <w:noProof/>
          <w:lang w:val="bg-BG"/>
        </w:rPr>
      </w:pPr>
      <w:r>
        <w:rPr>
          <w:noProof/>
          <w:lang w:val="bg-BG"/>
        </w:rPr>
        <w:t>ПРИЛОЖЕНИЕ — Данни и таблици</w:t>
      </w:r>
    </w:p>
    <w:p>
      <w:pPr>
        <w:spacing w:before="7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t>Фигура 1</w:t>
      </w:r>
      <w:r>
        <w:rPr>
          <w:rFonts w:ascii="Times New Roman" w:hAnsi="Times New Roman" w:cs="Times New Roman"/>
          <w:noProof/>
          <w:sz w:val="24"/>
          <w:szCs w:val="24"/>
          <w:lang w:val="bg-BG"/>
        </w:rPr>
        <w:t>: Брой точки в дневния ред на PRAC в периода юли—декември 2012 г., януари—декември 2013 г. и януари—декември 2014 г.</w:t>
      </w:r>
    </w:p>
    <w:p>
      <w:pPr>
        <w:spacing w:before="720"/>
        <w:rPr>
          <w:rFonts w:ascii="Times New Roman" w:hAnsi="Times New Roman" w:cs="Times New Roman"/>
          <w:b/>
          <w:noProof/>
          <w:sz w:val="24"/>
          <w:szCs w:val="24"/>
          <w:u w:val="single"/>
          <w:lang w:val="bg-BG"/>
        </w:rPr>
      </w:pPr>
      <w:r>
        <w:rPr>
          <w:noProof/>
          <w:szCs w:val="24"/>
          <w:lang w:val="en-US"/>
        </w:rPr>
        <w:drawing>
          <wp:inline distT="0" distB="0" distL="0" distR="0">
            <wp:extent cx="5702300" cy="584898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702300" cy="5848985"/>
                    </a:xfrm>
                    <a:prstGeom prst="rect">
                      <a:avLst/>
                    </a:prstGeom>
                    <a:noFill/>
                    <a:ln w="9525">
                      <a:noFill/>
                      <a:miter lim="800000"/>
                      <a:headEnd/>
                      <a:tailEnd/>
                    </a:ln>
                  </pic:spPr>
                </pic:pic>
              </a:graphicData>
            </a:graphic>
          </wp:inline>
        </w:drawing>
      </w:r>
      <w:r>
        <w:rPr>
          <w:noProof/>
          <w:lang w:val="bg-BG"/>
        </w:rPr>
        <w:t xml:space="preserve"> </w:t>
      </w:r>
    </w:p>
    <w:p>
      <w:pPr>
        <w:spacing w:before="7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br w:type="page"/>
        <w:t>Фигура 2</w:t>
      </w:r>
      <w:r>
        <w:rPr>
          <w:rFonts w:ascii="Times New Roman" w:hAnsi="Times New Roman" w:cs="Times New Roman"/>
          <w:noProof/>
          <w:sz w:val="24"/>
          <w:szCs w:val="24"/>
          <w:u w:val="single"/>
          <w:lang w:val="bg-BG"/>
        </w:rPr>
        <w:t>:</w:t>
      </w:r>
      <w:r>
        <w:rPr>
          <w:rFonts w:ascii="Times New Roman" w:hAnsi="Times New Roman" w:cs="Times New Roman"/>
          <w:b/>
          <w:noProof/>
          <w:sz w:val="24"/>
          <w:szCs w:val="24"/>
          <w:u w:val="single"/>
          <w:lang w:val="bg-BG"/>
        </w:rPr>
        <w:t xml:space="preserve"> </w:t>
      </w:r>
      <w:r>
        <w:rPr>
          <w:rFonts w:ascii="Times New Roman" w:hAnsi="Times New Roman" w:cs="Times New Roman"/>
          <w:noProof/>
          <w:sz w:val="24"/>
          <w:szCs w:val="24"/>
          <w:lang w:val="bg-BG"/>
        </w:rPr>
        <w:t>Отчитане на доклади за безопасност относно отделни случаи в базата данни EudraVigilance от държавите — членки на Европейското икономическо пространство, или от държави извън Европейското икономическо пространство в периода 2001—2014 г.</w:t>
      </w:r>
    </w:p>
    <w:p>
      <w:pPr>
        <w:spacing w:before="720"/>
        <w:rPr>
          <w:rFonts w:ascii="Times New Roman" w:hAnsi="Times New Roman" w:cs="Times New Roman"/>
          <w:noProof/>
          <w:sz w:val="24"/>
          <w:szCs w:val="24"/>
          <w:lang w:val="bg-BG"/>
        </w:rPr>
      </w:pPr>
      <w:r>
        <w:rPr>
          <w:noProof/>
          <w:lang w:val="en-US"/>
        </w:rPr>
        <w:drawing>
          <wp:inline distT="0" distB="0" distL="0" distR="0">
            <wp:extent cx="3959225" cy="4149090"/>
            <wp:effectExtent l="19050" t="0" r="3175"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3959225" cy="4149090"/>
                    </a:xfrm>
                    <a:prstGeom prst="rect">
                      <a:avLst/>
                    </a:prstGeom>
                    <a:noFill/>
                    <a:ln w="9525">
                      <a:noFill/>
                      <a:miter lim="800000"/>
                      <a:headEnd/>
                      <a:tailEnd/>
                    </a:ln>
                  </pic:spPr>
                </pic:pic>
              </a:graphicData>
            </a:graphic>
          </wp:inline>
        </w:drawing>
      </w:r>
      <w:r>
        <w:rPr>
          <w:noProof/>
          <w:szCs w:val="24"/>
          <w:lang w:val="bg-BG"/>
        </w:rPr>
        <w:t xml:space="preserve"> </w:t>
      </w:r>
      <w:r>
        <w:rPr>
          <w:noProof/>
          <w:lang w:val="bg-BG"/>
        </w:rPr>
        <w:t xml:space="preserve"> </w:t>
      </w:r>
    </w:p>
    <w:p>
      <w:pPr>
        <w:spacing w:before="720"/>
        <w:rPr>
          <w:rFonts w:ascii="Times New Roman" w:hAnsi="Times New Roman" w:cs="Times New Roman"/>
          <w:noProof/>
          <w:sz w:val="24"/>
          <w:szCs w:val="24"/>
          <w:lang w:val="bg-BG"/>
        </w:rPr>
      </w:pPr>
      <w:r>
        <w:rPr>
          <w:noProof/>
          <w:lang w:val="en-US"/>
        </w:rPr>
        <w:drawing>
          <wp:inline distT="0" distB="0" distL="0" distR="0">
            <wp:extent cx="3959225" cy="4184015"/>
            <wp:effectExtent l="19050" t="0" r="317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3959225" cy="4184015"/>
                    </a:xfrm>
                    <a:prstGeom prst="rect">
                      <a:avLst/>
                    </a:prstGeom>
                    <a:noFill/>
                    <a:ln w="9525">
                      <a:noFill/>
                      <a:miter lim="800000"/>
                      <a:headEnd/>
                      <a:tailEnd/>
                    </a:ln>
                  </pic:spPr>
                </pic:pic>
              </a:graphicData>
            </a:graphic>
          </wp:inline>
        </w:drawing>
      </w:r>
      <w:r>
        <w:rPr>
          <w:noProof/>
          <w:szCs w:val="24"/>
          <w:lang w:val="bg-BG"/>
        </w:rPr>
        <w:t xml:space="preserve"> </w:t>
      </w:r>
      <w:r>
        <w:rPr>
          <w:noProof/>
          <w:lang w:val="bg-BG"/>
        </w:rPr>
        <w:t xml:space="preserve"> </w:t>
      </w:r>
    </w:p>
    <w:p>
      <w:pPr>
        <w:spacing w:before="72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ЗС — здравни специалисти</w:t>
      </w:r>
    </w:p>
    <w:p>
      <w:pPr>
        <w:rPr>
          <w:rFonts w:ascii="Times New Roman" w:hAnsi="Times New Roman" w:cs="Times New Roman"/>
          <w:b/>
          <w:noProof/>
          <w:sz w:val="24"/>
          <w:szCs w:val="24"/>
          <w:u w:val="single"/>
          <w:lang w:val="bg-BG"/>
        </w:rPr>
      </w:pPr>
      <w:r>
        <w:rPr>
          <w:rFonts w:ascii="Times New Roman" w:hAnsi="Times New Roman" w:cs="Times New Roman"/>
          <w:b/>
          <w:noProof/>
          <w:sz w:val="24"/>
          <w:szCs w:val="24"/>
          <w:u w:val="single"/>
          <w:lang w:val="bg-BG"/>
        </w:rPr>
        <w:br w:type="page"/>
      </w:r>
    </w:p>
    <w:p>
      <w:pPr>
        <w:spacing w:before="7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t>Фигура 3</w:t>
      </w:r>
      <w:r>
        <w:rPr>
          <w:rFonts w:ascii="Times New Roman" w:hAnsi="Times New Roman" w:cs="Times New Roman"/>
          <w:noProof/>
          <w:sz w:val="24"/>
          <w:szCs w:val="24"/>
          <w:lang w:val="bg-BG"/>
        </w:rPr>
        <w:t>: Брой на обсъжданията, свързани със сигнали, първоначални и последващи, в рамките на PRAC в периода септември 2012—декември 2014 г.</w:t>
      </w:r>
    </w:p>
    <w:p>
      <w:pPr>
        <w:spacing w:before="720"/>
        <w:jc w:val="both"/>
        <w:rPr>
          <w:rFonts w:ascii="Times New Roman" w:hAnsi="Times New Roman" w:cs="Times New Roman"/>
          <w:noProof/>
          <w:sz w:val="24"/>
          <w:szCs w:val="24"/>
          <w:lang w:val="bg-BG"/>
        </w:rPr>
      </w:pPr>
      <w:r>
        <w:rPr>
          <w:noProof/>
          <w:lang w:val="en-US"/>
        </w:rPr>
        <w:drawing>
          <wp:inline distT="0" distB="0" distL="0" distR="0">
            <wp:extent cx="5761355" cy="4477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1355" cy="4477515"/>
                    </a:xfrm>
                    <a:prstGeom prst="rect">
                      <a:avLst/>
                    </a:prstGeom>
                  </pic:spPr>
                </pic:pic>
              </a:graphicData>
            </a:graphic>
          </wp:inline>
        </w:drawing>
      </w:r>
      <w:r>
        <w:rPr>
          <w:noProof/>
          <w:lang w:val="bg-BG"/>
        </w:rPr>
        <w:t xml:space="preserve"> </w:t>
      </w:r>
    </w:p>
    <w:p>
      <w:pPr>
        <w:spacing w:before="7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br w:type="page"/>
        <w:t>Фигура 4</w:t>
      </w:r>
      <w:r>
        <w:rPr>
          <w:rFonts w:ascii="Times New Roman" w:hAnsi="Times New Roman" w:cs="Times New Roman"/>
          <w:noProof/>
          <w:sz w:val="24"/>
          <w:szCs w:val="24"/>
          <w:lang w:val="bg-BG"/>
        </w:rPr>
        <w:t>: Вид на регулаторните действия, последващи оценката на сигнала от PRAC, за периода септември 2012—2014 г.</w:t>
      </w:r>
    </w:p>
    <w:p>
      <w:pPr>
        <w:spacing w:before="720"/>
        <w:rPr>
          <w:rFonts w:ascii="Times New Roman" w:hAnsi="Times New Roman" w:cs="Times New Roman"/>
          <w:noProof/>
          <w:sz w:val="24"/>
          <w:szCs w:val="24"/>
          <w:lang w:val="bg-BG"/>
        </w:rPr>
      </w:pPr>
      <w:r>
        <w:rPr>
          <w:noProof/>
          <w:szCs w:val="24"/>
          <w:lang w:val="en-US"/>
        </w:rPr>
        <w:drawing>
          <wp:inline distT="0" distB="0" distL="0" distR="0">
            <wp:extent cx="4641215" cy="4701540"/>
            <wp:effectExtent l="19050" t="0" r="698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4641215" cy="4701540"/>
                    </a:xfrm>
                    <a:prstGeom prst="rect">
                      <a:avLst/>
                    </a:prstGeom>
                    <a:noFill/>
                    <a:ln w="9525">
                      <a:noFill/>
                      <a:miter lim="800000"/>
                      <a:headEnd/>
                      <a:tailEnd/>
                    </a:ln>
                  </pic:spPr>
                </pic:pic>
              </a:graphicData>
            </a:graphic>
          </wp:inline>
        </w:drawing>
      </w:r>
      <w:r>
        <w:rPr>
          <w:noProof/>
          <w:lang w:val="bg-BG"/>
        </w:rPr>
        <w:t xml:space="preserve"> </w:t>
      </w:r>
    </w:p>
    <w:p>
      <w:pPr>
        <w:spacing w:before="7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br w:type="page"/>
        <w:t>Фигура 5</w:t>
      </w:r>
      <w:r>
        <w:rPr>
          <w:rFonts w:ascii="Times New Roman" w:hAnsi="Times New Roman" w:cs="Times New Roman"/>
          <w:noProof/>
          <w:sz w:val="24"/>
          <w:szCs w:val="24"/>
          <w:lang w:val="bg-BG"/>
        </w:rPr>
        <w:t>: Резултат от оценяването на периодичните актуализирани доклади за безопасност (ПАДБ) от PRAC в периода септември 2012—декември 2014 г.</w:t>
      </w:r>
    </w:p>
    <w:p>
      <w:pPr>
        <w:spacing w:before="720"/>
        <w:rPr>
          <w:rFonts w:ascii="Times New Roman" w:hAnsi="Times New Roman" w:cs="Times New Roman"/>
          <w:noProof/>
          <w:sz w:val="24"/>
          <w:szCs w:val="24"/>
          <w:lang w:val="bg-BG"/>
        </w:rPr>
      </w:pPr>
      <w:r>
        <w:rPr>
          <w:noProof/>
          <w:szCs w:val="24"/>
          <w:lang w:val="en-US"/>
        </w:rPr>
        <w:drawing>
          <wp:inline distT="0" distB="0" distL="0" distR="0">
            <wp:extent cx="4537710" cy="3813175"/>
            <wp:effectExtent l="1905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4537710" cy="3813175"/>
                    </a:xfrm>
                    <a:prstGeom prst="rect">
                      <a:avLst/>
                    </a:prstGeom>
                    <a:noFill/>
                    <a:ln w="9525">
                      <a:noFill/>
                      <a:miter lim="800000"/>
                      <a:headEnd/>
                      <a:tailEnd/>
                    </a:ln>
                  </pic:spPr>
                </pic:pic>
              </a:graphicData>
            </a:graphic>
          </wp:inline>
        </w:drawing>
      </w:r>
      <w:r>
        <w:rPr>
          <w:noProof/>
          <w:szCs w:val="24"/>
          <w:lang w:val="bg-BG"/>
        </w:rPr>
        <w:t xml:space="preserve"> </w:t>
      </w:r>
      <w:r>
        <w:rPr>
          <w:rFonts w:ascii="Times New Roman" w:hAnsi="Times New Roman" w:cs="Times New Roman"/>
          <w:noProof/>
          <w:sz w:val="24"/>
          <w:szCs w:val="24"/>
          <w:lang w:val="bg-BG"/>
        </w:rPr>
        <w:t xml:space="preserve"> </w:t>
      </w:r>
    </w:p>
    <w:p>
      <w:pPr>
        <w:spacing w:before="720"/>
        <w:rPr>
          <w:rFonts w:ascii="Times New Roman" w:hAnsi="Times New Roman" w:cs="Times New Roman"/>
          <w:noProof/>
          <w:sz w:val="24"/>
          <w:szCs w:val="24"/>
          <w:lang w:val="bg-BG"/>
        </w:rPr>
      </w:pPr>
      <w:r>
        <w:rPr>
          <w:rFonts w:ascii="Times New Roman" w:hAnsi="Times New Roman" w:cs="Times New Roman"/>
          <w:noProof/>
          <w:sz w:val="24"/>
          <w:szCs w:val="24"/>
          <w:lang w:val="bg-BG"/>
        </w:rPr>
        <w:t>PSUSA — периодичен актуализиран доклад за безопасност — единична оценка</w:t>
      </w:r>
    </w:p>
    <w:p>
      <w:pPr>
        <w:spacing w:before="720"/>
        <w:jc w:val="both"/>
        <w:rPr>
          <w:rFonts w:ascii="Times New Roman" w:hAnsi="Times New Roman" w:cs="Times New Roman"/>
          <w:noProof/>
          <w:sz w:val="24"/>
          <w:szCs w:val="24"/>
          <w:lang w:val="bg-BG"/>
        </w:rPr>
      </w:pPr>
      <w:r>
        <w:rPr>
          <w:rFonts w:ascii="Times New Roman" w:hAnsi="Times New Roman" w:cs="Times New Roman"/>
          <w:b/>
          <w:noProof/>
          <w:sz w:val="24"/>
          <w:szCs w:val="24"/>
          <w:u w:val="single"/>
          <w:lang w:val="bg-BG"/>
        </w:rPr>
        <w:br w:type="page"/>
        <w:t>Фигура 6</w:t>
      </w:r>
      <w:r>
        <w:rPr>
          <w:rFonts w:ascii="Times New Roman" w:hAnsi="Times New Roman" w:cs="Times New Roman"/>
          <w:noProof/>
          <w:sz w:val="24"/>
          <w:szCs w:val="24"/>
          <w:lang w:val="bg-BG"/>
        </w:rPr>
        <w:t>: Сезиране, свързано с фармакологичната бдителност, направено през 2012 г., 2013 г. и 2014 г.</w:t>
      </w:r>
    </w:p>
    <w:tbl>
      <w:tblPr>
        <w:tblW w:w="918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418"/>
        <w:gridCol w:w="1275"/>
      </w:tblGrid>
      <w:tr>
        <w:trPr>
          <w:trHeight w:val="450"/>
          <w:tblHeader/>
        </w:trPr>
        <w:tc>
          <w:tcPr>
            <w:tcW w:w="5495"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Процедура</w:t>
            </w:r>
          </w:p>
        </w:tc>
        <w:tc>
          <w:tcPr>
            <w:tcW w:w="992"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Член</w:t>
            </w:r>
          </w:p>
        </w:tc>
        <w:tc>
          <w:tcPr>
            <w:tcW w:w="1418"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Започната</w:t>
            </w:r>
          </w:p>
        </w:tc>
        <w:tc>
          <w:tcPr>
            <w:tcW w:w="1275" w:type="dxa"/>
            <w:tcBorders>
              <w:top w:val="nil"/>
              <w:left w:val="nil"/>
              <w:bottom w:val="single" w:sz="6" w:space="0" w:color="FFFFFF"/>
              <w:right w:val="nil"/>
              <w:tl2br w:val="nil"/>
              <w:tr2bl w:val="nil"/>
            </w:tcBorders>
            <w:shd w:val="clear" w:color="auto" w:fill="002060"/>
          </w:tcPr>
          <w:p>
            <w:pPr>
              <w:pStyle w:val="BodytextAgency"/>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Резултат</w:t>
            </w:r>
          </w:p>
        </w:tc>
      </w:tr>
      <w:tr>
        <w:trPr>
          <w:trHeight w:val="300"/>
        </w:trPr>
        <w:tc>
          <w:tcPr>
            <w:tcW w:w="5495" w:type="dxa"/>
            <w:tcBorders>
              <w:top w:val="single" w:sz="6" w:space="0" w:color="FFFFFF"/>
              <w:bottom w:val="single" w:sz="6" w:space="0" w:color="FFFFFF"/>
            </w:tcBorders>
            <w:shd w:val="clear" w:color="auto" w:fill="95B3D7"/>
            <w:noWrap/>
          </w:tcPr>
          <w:p>
            <w:pPr>
              <w:pStyle w:val="BodytextAgency"/>
              <w:jc w:val="center"/>
              <w:rPr>
                <w:rFonts w:ascii="Times New Roman" w:hAnsi="Times New Roman" w:cs="Times New Roman"/>
                <w:b/>
                <w:noProof/>
                <w:sz w:val="24"/>
                <w:szCs w:val="24"/>
                <w:lang w:val="bg-BG"/>
              </w:rPr>
            </w:pPr>
            <w:r>
              <w:rPr>
                <w:rFonts w:ascii="Times New Roman" w:hAnsi="Times New Roman" w:cs="Times New Roman"/>
                <w:b/>
                <w:noProof/>
                <w:sz w:val="24"/>
                <w:szCs w:val="24"/>
                <w:lang w:val="bg-BG"/>
              </w:rPr>
              <w:t>2012 г.</w:t>
            </w:r>
          </w:p>
        </w:tc>
        <w:tc>
          <w:tcPr>
            <w:tcW w:w="992"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lang w:val="bg-BG"/>
              </w:rPr>
            </w:pPr>
          </w:p>
        </w:tc>
        <w:tc>
          <w:tcPr>
            <w:tcW w:w="1418"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lang w:val="bg-BG"/>
              </w:rPr>
            </w:pPr>
          </w:p>
        </w:tc>
        <w:tc>
          <w:tcPr>
            <w:tcW w:w="1275"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lang w:val="bg-BG"/>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Кодеин</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октомври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12 г.</w:t>
            </w:r>
          </w:p>
        </w:tc>
        <w:tc>
          <w:tcPr>
            <w:tcW w:w="1275" w:type="dxa"/>
            <w:tcBorders>
              <w:top w:val="single" w:sz="6" w:space="0" w:color="FFFFFF"/>
            </w:tcBorders>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Диклофенак</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октомври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12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SABA (бета агонисти с краткотрайно действие)</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ноември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12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V,R</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HES (хидроксиетилови разтвори на скорбяла)</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ноември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12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Алмитрин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ноември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12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R</w:t>
            </w:r>
          </w:p>
        </w:tc>
      </w:tr>
      <w:tr>
        <w:trPr>
          <w:trHeight w:val="300"/>
        </w:trPr>
        <w:tc>
          <w:tcPr>
            <w:tcW w:w="5495" w:type="dxa"/>
            <w:tcBorders>
              <w:bottom w:val="single" w:sz="6" w:space="0" w:color="FFFFFF"/>
            </w:tcBorders>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Диацереин</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ноември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12 г.</w:t>
            </w:r>
          </w:p>
        </w:tc>
        <w:tc>
          <w:tcPr>
            <w:tcW w:w="1275"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2013 г.</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lang w:val="bg-BG"/>
              </w:rPr>
            </w:pPr>
          </w:p>
        </w:tc>
        <w:tc>
          <w:tcPr>
            <w:tcW w:w="1418"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lang w:val="bg-BG"/>
              </w:rPr>
            </w:pPr>
          </w:p>
        </w:tc>
        <w:tc>
          <w:tcPr>
            <w:tcW w:w="1275"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lang w:val="bg-BG"/>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Tredaptive, Trevaclyn, Pelzont (никотинова киселина/ларопипрант)</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20</w:t>
            </w:r>
          </w:p>
        </w:tc>
        <w:tc>
          <w:tcPr>
            <w:tcW w:w="1418"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януари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tcBorders>
              <w:top w:val="single" w:sz="6" w:space="0" w:color="FFFFFF"/>
            </w:tcBorders>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S</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Тетразепам</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107и</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януари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S</w:t>
            </w:r>
          </w:p>
        </w:tc>
      </w:tr>
      <w:t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Ципротерон, етинилестрадиол- DIANE 35 и други лекарства, съдържащи ципротерон ацетат 2 мг и етинилестрадиол</w:t>
            </w:r>
            <w:r>
              <w:rPr>
                <w:rFonts w:ascii="Times New Roman" w:hAnsi="Times New Roman" w:cs="Times New Roman"/>
                <w:noProof/>
                <w:sz w:val="24"/>
                <w:szCs w:val="24"/>
                <w:lang w:val="ru-RU"/>
              </w:rPr>
              <w:t xml:space="preserve"> </w:t>
            </w:r>
            <w:r>
              <w:rPr>
                <w:rFonts w:ascii="Times New Roman" w:hAnsi="Times New Roman" w:cs="Times New Roman"/>
                <w:noProof/>
                <w:sz w:val="24"/>
                <w:szCs w:val="24"/>
                <w:lang w:val="bg-BG"/>
              </w:rPr>
              <w:t>35 микрограма</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107и</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февруари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Комбинирани хормонални контрацептиви</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февруари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Флупиртин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107и</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март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Домперидон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март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 R</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Никотинова киселина и подобни вещества — аципимокс, ксантинол никотинат</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март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Kogenate Bayer/HelixateNexGen (октокогалфа)</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20</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март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Медикаменти, въздействащи върху ренин-ангиотензиновата система (RAS)</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май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Protelos/Osseor (стронциев ранелат)</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20</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май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NUMETA G13% E, NUMETA G16%E инфузионна емулсия и свързани наименования (глюкоза, липиди, аминокиселини и електролити)</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107и</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юни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V,S</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Медицински продукти,</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bg-BG"/>
              </w:rPr>
              <w:t>съдържащи золпидем</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юли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Медицински продукти, съдържащи хидроксиетилова скорбяла (HES)</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107и</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юли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Лекарства, съдържащи бромокриптин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септември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Вещества, свързани с валпроат</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418"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октомври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tcBorders>
              <w:bottom w:val="single" w:sz="6" w:space="0" w:color="FFFFFF"/>
            </w:tcBorders>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Iclusig (понатиниб)</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20</w:t>
            </w:r>
          </w:p>
        </w:tc>
        <w:tc>
          <w:tcPr>
            <w:tcW w:w="1418"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декември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13 г.</w:t>
            </w:r>
          </w:p>
        </w:tc>
        <w:tc>
          <w:tcPr>
            <w:tcW w:w="1275"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bl>
    <w:p>
      <w:pPr>
        <w:rPr>
          <w:noProof/>
          <w:lang w:val="bg-BG"/>
        </w:rPr>
      </w:pPr>
      <w:r>
        <w:rPr>
          <w:noProof/>
          <w:lang w:val="bg-BG"/>
        </w:rPr>
        <w:br w:type="page"/>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134"/>
        <w:gridCol w:w="1418"/>
      </w:tblGrid>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2014 г.</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lang w:val="bg-BG"/>
              </w:rPr>
            </w:pPr>
          </w:p>
        </w:tc>
        <w:tc>
          <w:tcPr>
            <w:tcW w:w="1134"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lang w:val="bg-BG"/>
              </w:rPr>
            </w:pPr>
          </w:p>
        </w:tc>
        <w:tc>
          <w:tcPr>
            <w:tcW w:w="1418"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lang w:val="bg-BG"/>
              </w:rPr>
            </w:pPr>
          </w:p>
        </w:tc>
      </w:tr>
      <w:tr>
        <w:trPr>
          <w:trHeight w:val="300"/>
        </w:trPr>
        <w:tc>
          <w:tcPr>
            <w:tcW w:w="5495" w:type="dxa"/>
            <w:tcBorders>
              <w:top w:val="single" w:sz="6" w:space="0" w:color="FFFFFF"/>
            </w:tcBorders>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Тестостерон</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април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Кодеин за кашлица за употреба от детското население </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134"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април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V,R</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Амброксол/Бромхексин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134"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април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Метадон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107и</w:t>
            </w:r>
          </w:p>
        </w:tc>
        <w:tc>
          <w:tcPr>
            <w:tcW w:w="1134"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април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V,S</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Хидроксицин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134"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май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Corlentor и Procoralan (ивабрадин)</w:t>
            </w:r>
          </w:p>
        </w:tc>
        <w:tc>
          <w:tcPr>
            <w:tcW w:w="992"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20</w:t>
            </w:r>
          </w:p>
        </w:tc>
        <w:tc>
          <w:tcPr>
            <w:tcW w:w="1134"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май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lang w:val="bg-BG"/>
              </w:rPr>
            </w:pPr>
            <w:r>
              <w:rPr>
                <w:rFonts w:ascii="Times New Roman" w:hAnsi="Times New Roman" w:cs="Times New Roman"/>
                <w:noProof/>
                <w:sz w:val="24"/>
                <w:szCs w:val="24"/>
                <w:lang w:val="bg-BG"/>
              </w:rPr>
              <w:t>Ибупрофен и дексибупрофен</w:t>
            </w:r>
          </w:p>
        </w:tc>
        <w:tc>
          <w:tcPr>
            <w:tcW w:w="992" w:type="dxa"/>
            <w:shd w:val="clear" w:color="auto" w:fill="E1E3F2"/>
            <w:noWrap/>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31</w:t>
            </w:r>
          </w:p>
        </w:tc>
        <w:tc>
          <w:tcPr>
            <w:tcW w:w="1134" w:type="dxa"/>
            <w:shd w:val="clear" w:color="auto" w:fill="E1E3F2"/>
            <w:hideMark/>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юни </w:t>
            </w:r>
            <w:r>
              <w:rPr>
                <w:rFonts w:ascii="Times New Roman" w:hAnsi="Times New Roman" w:cs="Times New Roman"/>
                <w:noProof/>
                <w:sz w:val="24"/>
                <w:szCs w:val="24"/>
                <w:lang w:val="en-US"/>
              </w:rPr>
              <w:t>20</w:t>
            </w:r>
            <w:r>
              <w:rPr>
                <w:rFonts w:ascii="Times New Roman" w:hAnsi="Times New Roman" w:cs="Times New Roman"/>
                <w:noProof/>
                <w:sz w:val="24"/>
                <w:szCs w:val="24"/>
                <w:lang w:val="bg-BG"/>
              </w:rPr>
              <w:t>14 г.</w:t>
            </w:r>
          </w:p>
        </w:tc>
        <w:tc>
          <w:tcPr>
            <w:tcW w:w="1418" w:type="dxa"/>
            <w:shd w:val="clear" w:color="auto" w:fill="E1E3F2"/>
          </w:tcPr>
          <w:p>
            <w:pPr>
              <w:pStyle w:val="BodytextAgency"/>
              <w:jc w:val="center"/>
              <w:rPr>
                <w:rFonts w:ascii="Times New Roman" w:hAnsi="Times New Roman" w:cs="Times New Roman"/>
                <w:noProof/>
                <w:sz w:val="24"/>
                <w:szCs w:val="24"/>
                <w:lang w:val="bg-BG"/>
              </w:rPr>
            </w:pPr>
            <w:r>
              <w:rPr>
                <w:rFonts w:ascii="Times New Roman" w:hAnsi="Times New Roman" w:cs="Times New Roman"/>
                <w:noProof/>
                <w:sz w:val="24"/>
                <w:szCs w:val="24"/>
                <w:lang w:val="bg-BG"/>
              </w:rPr>
              <w:t>V</w:t>
            </w:r>
          </w:p>
        </w:tc>
      </w:tr>
    </w:tbl>
    <w:p>
      <w:pPr>
        <w:jc w:val="both"/>
        <w:rPr>
          <w:rFonts w:ascii="Times New Roman" w:hAnsi="Times New Roman" w:cs="Times New Roman"/>
          <w:noProof/>
          <w:sz w:val="24"/>
          <w:szCs w:val="24"/>
          <w:u w:val="single"/>
          <w:lang w:val="bg-BG"/>
        </w:rPr>
      </w:pPr>
      <w:r>
        <w:rPr>
          <w:rFonts w:ascii="Times New Roman" w:hAnsi="Times New Roman" w:cs="Times New Roman"/>
          <w:noProof/>
          <w:sz w:val="24"/>
          <w:szCs w:val="24"/>
          <w:u w:val="single"/>
          <w:lang w:val="bg-BG"/>
        </w:rPr>
        <w:t>Означения:</w:t>
      </w:r>
    </w:p>
    <w:p>
      <w:pPr>
        <w:spacing w:after="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Сезирания по член 20 — отнасят се единствено до лекарства, разрешени на централно равнище</w:t>
      </w:r>
    </w:p>
    <w:p>
      <w:pPr>
        <w:spacing w:after="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Сезирания по член 107 — спешни сезирания във връзка с безопасността от интерес за Съюза</w:t>
      </w:r>
    </w:p>
    <w:p>
      <w:pPr>
        <w:spacing w:after="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Сезирания по член 31 — сезирания от интерес за Съюза</w:t>
      </w:r>
    </w:p>
    <w:p>
      <w:pPr>
        <w:spacing w:after="0"/>
        <w:jc w:val="both"/>
        <w:rPr>
          <w:rFonts w:ascii="Times New Roman" w:hAnsi="Times New Roman" w:cs="Times New Roman"/>
          <w:noProof/>
          <w:sz w:val="24"/>
          <w:szCs w:val="24"/>
          <w:lang w:val="bg-BG"/>
        </w:rPr>
      </w:pPr>
    </w:p>
    <w:p>
      <w:pPr>
        <w:spacing w:after="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V — изменение на разрешението за търговия</w:t>
      </w:r>
    </w:p>
    <w:p>
      <w:pPr>
        <w:spacing w:after="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R — промяна на разрешението за търговия</w:t>
      </w:r>
    </w:p>
    <w:p>
      <w:pPr>
        <w:spacing w:after="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S — спиране на действието на разрешението за търговия</w:t>
      </w:r>
    </w:p>
    <w:p>
      <w:pPr>
        <w:rPr>
          <w:rFonts w:ascii="Times New Roman" w:hAnsi="Times New Roman" w:cs="Times New Roman"/>
          <w:noProof/>
          <w:sz w:val="24"/>
          <w:szCs w:val="24"/>
          <w:lang w:val="bg-BG"/>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651961"/>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w:t>
        </w:r>
        <w:r>
          <w:rPr>
            <w:rFonts w:ascii="Times New Roman" w:hAnsi="Times New Roman" w:cs="Times New Roman"/>
            <w:noProof/>
            <w:sz w:val="24"/>
            <w:szCs w:val="24"/>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19</w:t>
    </w:r>
    <w:r>
      <w:rPr>
        <w:rFonts w:ascii="Times New Roman" w:hAnsi="Times New Roman" w:cs="Times New Roman"/>
        <w:noProof/>
        <w:sz w:val="24"/>
        <w:szCs w:val="24"/>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25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720" w:hanging="720"/>
        <w:jc w:val="both"/>
        <w:rPr>
          <w:rFonts w:ascii="Times New Roman" w:hAnsi="Times New Roman" w:cs="Times New Roman"/>
          <w:color w:val="auto"/>
          <w:sz w:val="20"/>
          <w:szCs w:val="20"/>
          <w:lang w:val="bg-BG" w:eastAsia="en-US"/>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ab/>
        <w:t>Регламент (ЕО) № </w:t>
      </w:r>
      <w:r>
        <w:rPr>
          <w:rFonts w:ascii="Times New Roman" w:hAnsi="Times New Roman" w:cs="Times New Roman"/>
          <w:color w:val="auto"/>
          <w:sz w:val="20"/>
          <w:szCs w:val="20"/>
          <w:lang w:val="bg-BG" w:eastAsia="en-US"/>
        </w:rPr>
        <w:t>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2">
    <w:p>
      <w:pPr>
        <w:pStyle w:val="Default"/>
        <w:ind w:left="720" w:hanging="720"/>
        <w:jc w:val="both"/>
        <w:rPr>
          <w:rFonts w:ascii="Times New Roman" w:hAnsi="Times New Roman" w:cs="Times New Roman"/>
          <w:sz w:val="20"/>
          <w:szCs w:val="20"/>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ab/>
        <w:t xml:space="preserve">Директива </w:t>
      </w:r>
      <w:r>
        <w:rPr>
          <w:rFonts w:ascii="Times New Roman" w:hAnsi="Times New Roman" w:cs="Times New Roman"/>
          <w:color w:val="auto"/>
          <w:sz w:val="20"/>
          <w:szCs w:val="20"/>
          <w:lang w:val="bg-BG" w:eastAsia="en-US"/>
        </w:rPr>
        <w:t>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3">
    <w:p>
      <w:pPr>
        <w:pStyle w:val="FootnoteText"/>
        <w:rPr>
          <w:lang w:val="bg-BG"/>
        </w:rPr>
      </w:pPr>
      <w:r>
        <w:rPr>
          <w:rStyle w:val="FootnoteReference"/>
          <w:lang w:val="bg-BG"/>
        </w:rPr>
        <w:footnoteRef/>
      </w:r>
      <w:r>
        <w:rPr>
          <w:lang w:val="bg-BG"/>
        </w:rPr>
        <w:tab/>
        <w:t>Регламент (ЕС) №1235/2010 на Европейския парламент и на Съвета от 15 декември 2010 г. за изменение по отношение на фармакологичната бдителност за лекарствените продукти за хуманна употреба на Регламент (ЕО) № 726/2004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и на Регламент (ЕО) № 1394/2007 относно лекарствените продукти за модерна терапия, ОВ L 348, 31.12.2010 г.,стр. 1 и Директива 2010/84/ЕС на Европейския парламент и на Съвета от 15 декември 2010 г. за изменение по отношение на фармакологичната бдителност на Директива 2001/83/ЕО за утвърждаване на кодекс на Общността относно лекарствени продукти за хуманна употреба, ОВ L 348, 31.12.2010 г., стр. 74.</w:t>
      </w:r>
    </w:p>
  </w:footnote>
  <w:footnote w:id="4">
    <w:p>
      <w:pPr>
        <w:pStyle w:val="FootnoteText"/>
        <w:rPr>
          <w:lang w:val="bg-BG"/>
        </w:rPr>
      </w:pPr>
      <w:r>
        <w:rPr>
          <w:rStyle w:val="FootnoteReference"/>
          <w:lang w:val="bg-BG"/>
        </w:rPr>
        <w:footnoteRef/>
      </w:r>
      <w:r>
        <w:rPr>
          <w:lang w:val="bg-BG"/>
        </w:rPr>
        <w:tab/>
        <w:t>Регламент (ЕС) № 1027/2012 на Европейския парламент и на Съвета от 25 октомври 2012 г. за изменение на Регламент (ЕО) № 726/2004 по отношение на фармакологичната бдителност, ОВ L 316, 14.11.2012 г., стр. 38 и Директива 2012/26/ЕС на Европейския парламент и на Съвета от 25 октомври 2012 г. за изменение на Директива 2001/83/ЕО по отношение на фармакологичната бдителност, ОВ L 299, 27.10.2012 г., стр. 1.</w:t>
      </w:r>
    </w:p>
  </w:footnote>
  <w:footnote w:id="5">
    <w:p>
      <w:pPr>
        <w:pStyle w:val="FootnoteText"/>
        <w:rPr>
          <w:lang w:val="ru-RU"/>
        </w:rPr>
      </w:pPr>
      <w:r>
        <w:rPr>
          <w:rStyle w:val="FootnoteReference"/>
          <w:lang w:val="bg-BG"/>
        </w:rPr>
        <w:footnoteRef/>
      </w:r>
      <w:r>
        <w:rPr>
          <w:lang w:val="bg-BG"/>
        </w:rPr>
        <w:tab/>
      </w:r>
      <w:r>
        <w:t>SWD</w:t>
      </w:r>
      <w:r>
        <w:rPr>
          <w:lang w:val="ru-RU"/>
        </w:rPr>
        <w:t xml:space="preserve"> (2016) </w:t>
      </w:r>
      <w:r>
        <w:rPr>
          <w:lang w:val="bg-BG"/>
        </w:rPr>
        <w:t>284</w:t>
      </w:r>
      <w:r>
        <w:rPr>
          <w:lang w:val="ru-RU"/>
        </w:rPr>
        <w:t xml:space="preserve"> </w:t>
      </w:r>
      <w:r>
        <w:t>final</w:t>
      </w:r>
    </w:p>
  </w:footnote>
  <w:footnote w:id="6">
    <w:p>
      <w:pPr>
        <w:pStyle w:val="FootnoteText"/>
        <w:rPr>
          <w:lang w:val="bg-BG"/>
        </w:rPr>
      </w:pPr>
      <w:r>
        <w:rPr>
          <w:rStyle w:val="FootnoteReference"/>
          <w:lang w:val="bg-BG"/>
        </w:rPr>
        <w:footnoteRef/>
      </w:r>
      <w:r>
        <w:rPr>
          <w:lang w:val="bg-BG"/>
        </w:rPr>
        <w:tab/>
        <w:t>Европейска агенция по лекарствата, Европейска регулаторна система за лекарства и Европейската агенция по лекарствата, EMA/437313/2014 г.</w:t>
      </w:r>
    </w:p>
  </w:footnote>
  <w:footnote w:id="7">
    <w:p>
      <w:pPr>
        <w:pStyle w:val="FootnoteText"/>
        <w:rPr>
          <w:lang w:val="bg-BG"/>
        </w:rPr>
      </w:pPr>
      <w:r>
        <w:rPr>
          <w:rStyle w:val="FootnoteReference"/>
          <w:lang w:val="bg-BG"/>
        </w:rPr>
        <w:footnoteRef/>
      </w:r>
      <w:r>
        <w:rPr>
          <w:lang w:val="bg-BG"/>
        </w:rPr>
        <w:tab/>
        <w:t xml:space="preserve">Повече информация за ролята и дейността на CMDh има на следната уебстраница: </w:t>
      </w:r>
      <w:hyperlink r:id="rId1" w:history="1">
        <w:r>
          <w:rPr>
            <w:rStyle w:val="Hyperlink"/>
            <w:lang w:val="bg-BG"/>
          </w:rPr>
          <w:t>http://www.hma.eu/cmdh.html</w:t>
        </w:r>
      </w:hyperlink>
      <w:r>
        <w:rPr>
          <w:rStyle w:val="Hyperlink"/>
          <w:lang w:val="bg-BG"/>
        </w:rPr>
        <w:t>.</w:t>
      </w:r>
    </w:p>
  </w:footnote>
  <w:footnote w:id="8">
    <w:p>
      <w:pPr>
        <w:pStyle w:val="FootnoteText"/>
        <w:rPr>
          <w:lang w:val="bg-BG"/>
        </w:rPr>
      </w:pPr>
      <w:r>
        <w:rPr>
          <w:rStyle w:val="FootnoteReference"/>
          <w:lang w:val="bg-BG"/>
        </w:rPr>
        <w:footnoteRef/>
      </w:r>
      <w:r>
        <w:rPr>
          <w:lang w:val="bg-BG"/>
        </w:rPr>
        <w:tab/>
        <w:t>Член 57, параграф 1, буква л) от Регламент (ЕО) № 726/2004.</w:t>
      </w:r>
    </w:p>
  </w:footnote>
  <w:footnote w:id="9">
    <w:p>
      <w:pPr>
        <w:pStyle w:val="FootnoteText"/>
        <w:rPr>
          <w:lang w:val="bg-BG"/>
        </w:rPr>
      </w:pPr>
      <w:r>
        <w:rPr>
          <w:rStyle w:val="FootnoteReference"/>
          <w:lang w:val="bg-BG"/>
        </w:rPr>
        <w:footnoteRef/>
      </w:r>
      <w:r>
        <w:rPr>
          <w:lang w:val="bg-BG"/>
        </w:rPr>
        <w:tab/>
        <w:t>Повече информация за базата данни на EudraVigilance има в годишния доклад, предвиден в член 24, параграф 2 от Регламент (ЕО) № 726/2004</w:t>
      </w:r>
    </w:p>
    <w:p>
      <w:pPr>
        <w:pStyle w:val="FootnoteText"/>
        <w:ind w:firstLine="0"/>
        <w:rPr>
          <w:lang w:val="bg-BG"/>
        </w:rPr>
      </w:pPr>
      <w:r>
        <w:rPr>
          <w:lang w:val="bg-BG"/>
        </w:rPr>
        <w:t>(http://www.ema.europa.eu/docs/en_GB/document_library/Report/2016/03/WC500203705.pdf).</w:t>
      </w:r>
    </w:p>
  </w:footnote>
  <w:footnote w:id="10">
    <w:p>
      <w:pPr>
        <w:pStyle w:val="FootnoteText"/>
        <w:rPr>
          <w:lang w:val="bg-BG"/>
        </w:rPr>
      </w:pPr>
      <w:r>
        <w:rPr>
          <w:rStyle w:val="FootnoteReference"/>
          <w:lang w:val="bg-BG"/>
        </w:rPr>
        <w:footnoteRef/>
      </w:r>
      <w:r>
        <w:rPr>
          <w:lang w:val="bg-BG"/>
        </w:rPr>
        <w:tab/>
        <w:t>Фармакоепидемиологично изследване относно резултати от методи на лечение от европейски консорциум, проект с публично-частно финансиране за инициатива за иновативни лекарства.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ocStatus" w:val="Green"/>
    <w:docVar w:name="FigNum" w:val="1"/>
    <w:docVar w:name="LW_CONFIDENCE" w:val=" "/>
    <w:docVar w:name="LW_CONST_RESTREINT_UE" w:val="RESTREINT UE"/>
    <w:docVar w:name="LW_CORRIGENDUM" w:val="&lt;UNUSED&gt;"/>
    <w:docVar w:name="LW_COVERPAGE_GUID" w:val="E58D464FD8EB4B308078B54CCAE36927"/>
    <w:docVar w:name="LW_CROSSREFERENCE" w:val="{SWD(2016) 284 final}"/>
    <w:docVar w:name="LW_DocType" w:val="NORMAL"/>
    <w:docVar w:name="LW_EMISSION" w:val="8.8.2016"/>
    <w:docVar w:name="LW_EMISSION_ISODATE" w:val="2016-08-08"/>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98"/>
    <w:docVar w:name="LW_REF.INTERNE" w:val="&lt;UNUSED&gt;"/>
    <w:docVar w:name="LW_SOUS.TITRE.OBJ.CP" w:val="&lt;UNUSED&gt;"/>
    <w:docVar w:name="LW_SUPERTITRE" w:val="&lt;UNUSED&gt;"/>
    <w:docVar w:name="LW_TITRE.OBJ.CP" w:val="\u1044?\u1077?\u1081?\u1085?\u1086?\u1089?\u1090?\u1080? \u1085?\u1072? \u1076?\u1098?\u1088?\u1078?\u1072?\u1074?\u1080?\u1090?\u1077? \u1095?\u1083?\u1077?\u1085?\u1082?\u1080? \u1080? \u1085?\u1072? \u1045?\u1074?\u1088?\u1086?\u1087?\u1077?\u1081?\u1089?\u1082?\u1072?\u1090?\u1072? \u1072?\u1075?\u1077?\u1085?\u1094?\u1080?\u1103? \u1087?\u1086? \u1083?\u1077?\u1082?\u1072?\u1088?\u1089?\u1090?\u1074?\u1072?\u1090?\u1072?, \u1089?\u1074?\u1098?\u1088?\u1079?\u1072?\u1085?\u1080? \u1089? \u1092?\u1072?\u1088?\u1084?\u1072?\u1082?\u1086?\u1083?\u1086?\u1075?\u1080?\u1095?\u1085?\u1072? \u1073?\u1076?\u1080?\u1090?\u1077?\u1083?\u1085?\u1086?\u1089?\u1090?, \u1087?\u1086? \u1086?\u1090?\u1085?\u1086?\u1096?\u1077?\u1085?\u1080?\u1077? \u1085?\u1072? \u1083?\u1077?\u1082?\u1072?\u1088?\u1089?\u1090?\u1074?\u1077?\u1085?\u1080? \u1087?\u1088?\u1086?\u1076?\u1091?\u1082?\u1090?\u1080? \u1079?\u1072? \u1093?\u1091?\u1084?\u1072?\u1085?\u1085?\u1072? \u1091?\u1087?\u1086?\u1090?\u1088?\u1077?\u1073?\u1072? (2012\u8212?2014 \u1075?.)"/>
    <w:docVar w:name="LW_TYPE.DOC.CP" w:val="\u1044?\u1054?\u1050?\u1051?\u1040?\u1044? \u1053?\u1040? \u1050?\u1054?\u1052?\u1048?\u1057?\u1048?\u1071?\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5.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emf"/><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hma.eu/cmd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084C-0015-4F38-8249-59117018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2901</Words>
  <Characters>17296</Characters>
  <Application>Microsoft Office Word</Application>
  <DocSecurity>0</DocSecurity>
  <Lines>494</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2016-07-18T15:32:00Z</dcterms:created>
  <dcterms:modified xsi:type="dcterms:W3CDTF">2016-08-05T08:37:00Z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