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06CA" w:rsidRDefault="00576025">
      <w:pPr>
        <w:pStyle w:val="Pagedecouverture"/>
        <w:rPr>
          <w:noProof/>
        </w:rPr>
      </w:pPr>
      <w:bookmarkStart w:id="0" w:name="LW_BM_COVERPAGE"/>
      <w:bookmarkStart w:id="1" w:name="_Toc426279831"/>
      <w:bookmarkStart w:id="2" w:name="_GoBack"/>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9DE820782D584C4482B43B977BC415D3" style="width:450.4pt;height:421.95pt">
            <v:imagedata r:id="rId32" o:title=""/>
          </v:shape>
        </w:pict>
      </w:r>
      <w:bookmarkEnd w:id="2"/>
    </w:p>
    <w:bookmarkEnd w:id="0"/>
    <w:p w:rsidR="007306CA" w:rsidRDefault="007306CA">
      <w:pPr>
        <w:pStyle w:val="Pagedecouverture"/>
        <w:sectPr w:rsidR="007306CA">
          <w:headerReference w:type="even" r:id="rId33"/>
          <w:headerReference w:type="default" r:id="rId34"/>
          <w:footerReference w:type="even" r:id="rId35"/>
          <w:footerReference w:type="default" r:id="rId36"/>
          <w:headerReference w:type="first" r:id="rId37"/>
          <w:footerReference w:type="first" r:id="rId38"/>
          <w:pgSz w:w="11906" w:h="16838"/>
          <w:pgMar w:top="1134" w:right="1417" w:bottom="1134" w:left="1417" w:header="709" w:footer="709" w:gutter="0"/>
          <w:pgNumType w:fmt="lowerRoman" w:start="1"/>
          <w:cols w:space="720"/>
          <w:docGrid w:linePitch="326"/>
        </w:sectPr>
      </w:pPr>
    </w:p>
    <w:p w:rsidR="007306CA" w:rsidRDefault="007306CA">
      <w:pPr>
        <w:pStyle w:val="TOCHeading"/>
        <w:spacing w:before="0" w:after="120"/>
        <w:rPr>
          <w:b w:val="0"/>
          <w:noProof/>
          <w:u w:val="single"/>
        </w:rPr>
      </w:pPr>
    </w:p>
    <w:sdt>
      <w:sdtPr>
        <w:rPr>
          <w:b w:val="0"/>
          <w:noProof/>
          <w:u w:val="single"/>
        </w:rPr>
        <w:id w:val="439499774"/>
        <w:docPartObj>
          <w:docPartGallery w:val="Table of Contents"/>
          <w:docPartUnique/>
        </w:docPartObj>
      </w:sdtPr>
      <w:sdtEndPr>
        <w:rPr>
          <w:bCs/>
          <w:u w:val="none"/>
        </w:rPr>
      </w:sdtEndPr>
      <w:sdtContent>
        <w:p w:rsidR="007306CA" w:rsidRDefault="00576025">
          <w:pPr>
            <w:pStyle w:val="TOCHeading"/>
            <w:spacing w:before="0" w:after="120"/>
            <w:rPr>
              <w:noProof/>
              <w:u w:val="single"/>
            </w:rPr>
          </w:pPr>
          <w:r>
            <w:rPr>
              <w:noProof/>
              <w:u w:val="single"/>
            </w:rPr>
            <w:t>Table of Contents</w:t>
          </w:r>
        </w:p>
        <w:p w:rsidR="007306CA" w:rsidRDefault="00576025">
          <w:pPr>
            <w:pStyle w:val="TOC1"/>
            <w:rPr>
              <w:rFonts w:asciiTheme="minorHAnsi" w:eastAsiaTheme="minorEastAsia" w:hAnsiTheme="minorHAnsi" w:cstheme="minorBidi"/>
              <w:caps w:val="0"/>
              <w:noProof/>
              <w:sz w:val="22"/>
              <w:szCs w:val="22"/>
              <w:u w:val="single"/>
              <w:lang w:eastAsia="en-GB"/>
            </w:rPr>
          </w:pPr>
          <w:r>
            <w:rPr>
              <w:caps w:val="0"/>
              <w:noProof/>
              <w:u w:val="single"/>
            </w:rPr>
            <w:fldChar w:fldCharType="begin"/>
          </w:r>
          <w:r>
            <w:rPr>
              <w:caps w:val="0"/>
              <w:noProof/>
              <w:u w:val="single"/>
            </w:rPr>
            <w:instrText xml:space="preserve"> TOC \o "1-2" \h \z \u </w:instrText>
          </w:r>
          <w:r>
            <w:rPr>
              <w:caps w:val="0"/>
              <w:noProof/>
              <w:u w:val="single"/>
            </w:rPr>
            <w:fldChar w:fldCharType="separate"/>
          </w:r>
          <w:hyperlink w:anchor="_Toc452679043" w:history="1">
            <w:r>
              <w:rPr>
                <w:rStyle w:val="Hyperlink"/>
                <w:noProof/>
              </w:rPr>
              <w:t>1.</w:t>
            </w:r>
            <w:r>
              <w:rPr>
                <w:rFonts w:asciiTheme="minorHAnsi" w:eastAsiaTheme="minorEastAsia" w:hAnsiTheme="minorHAnsi" w:cstheme="minorBidi"/>
                <w:caps w:val="0"/>
                <w:noProof/>
                <w:sz w:val="22"/>
                <w:szCs w:val="22"/>
                <w:u w:val="single"/>
                <w:lang w:eastAsia="en-GB"/>
              </w:rPr>
              <w:tab/>
            </w:r>
            <w:r>
              <w:rPr>
                <w:rStyle w:val="Hyperlink"/>
                <w:noProof/>
              </w:rPr>
              <w:t xml:space="preserve">Background and </w:t>
            </w:r>
            <w:r>
              <w:rPr>
                <w:rStyle w:val="Hyperlink"/>
                <w:noProof/>
              </w:rPr>
              <w:t>Policy Context</w:t>
            </w:r>
            <w:r>
              <w:rPr>
                <w:noProof/>
                <w:webHidden/>
                <w:u w:val="single"/>
              </w:rPr>
              <w:tab/>
            </w:r>
            <w:r>
              <w:rPr>
                <w:noProof/>
                <w:webHidden/>
                <w:u w:val="single"/>
              </w:rPr>
              <w:fldChar w:fldCharType="begin"/>
            </w:r>
            <w:r>
              <w:rPr>
                <w:noProof/>
                <w:webHidden/>
                <w:u w:val="single"/>
              </w:rPr>
              <w:instrText xml:space="preserve"> PAGEREF _Toc452679043 \h </w:instrText>
            </w:r>
            <w:r>
              <w:rPr>
                <w:noProof/>
                <w:webHidden/>
                <w:u w:val="single"/>
              </w:rPr>
            </w:r>
            <w:r>
              <w:rPr>
                <w:noProof/>
                <w:webHidden/>
                <w:u w:val="single"/>
              </w:rPr>
              <w:fldChar w:fldCharType="separate"/>
            </w:r>
            <w:r>
              <w:rPr>
                <w:noProof/>
                <w:webHidden/>
                <w:u w:val="single"/>
              </w:rPr>
              <w:t>1</w:t>
            </w:r>
            <w:r>
              <w:rPr>
                <w:noProof/>
                <w:webHidden/>
                <w:u w:val="single"/>
              </w:rPr>
              <w:fldChar w:fldCharType="end"/>
            </w:r>
          </w:hyperlink>
        </w:p>
        <w:p w:rsidR="007306CA" w:rsidRDefault="00576025">
          <w:pPr>
            <w:pStyle w:val="TOC2"/>
            <w:tabs>
              <w:tab w:val="left" w:pos="1077"/>
            </w:tabs>
            <w:rPr>
              <w:rFonts w:asciiTheme="minorHAnsi" w:eastAsiaTheme="minorEastAsia" w:hAnsiTheme="minorHAnsi" w:cstheme="minorBidi"/>
              <w:noProof/>
              <w:sz w:val="22"/>
              <w:szCs w:val="22"/>
              <w:u w:val="single"/>
              <w:lang w:eastAsia="en-GB"/>
            </w:rPr>
          </w:pPr>
          <w:hyperlink w:anchor="_Toc452679044" w:history="1">
            <w:r>
              <w:rPr>
                <w:rStyle w:val="Hyperlink"/>
                <w:noProof/>
              </w:rPr>
              <w:t>1.1.</w:t>
            </w:r>
            <w:r>
              <w:rPr>
                <w:rFonts w:asciiTheme="minorHAnsi" w:eastAsiaTheme="minorEastAsia" w:hAnsiTheme="minorHAnsi" w:cstheme="minorBidi"/>
                <w:noProof/>
                <w:sz w:val="22"/>
                <w:szCs w:val="22"/>
                <w:u w:val="single"/>
                <w:lang w:eastAsia="en-GB"/>
              </w:rPr>
              <w:tab/>
            </w:r>
            <w:r>
              <w:rPr>
                <w:rStyle w:val="Hyperlink"/>
                <w:noProof/>
              </w:rPr>
              <w:t>Policy and legal context</w:t>
            </w:r>
            <w:r>
              <w:rPr>
                <w:noProof/>
                <w:webHidden/>
                <w:u w:val="single"/>
              </w:rPr>
              <w:tab/>
            </w:r>
            <w:r>
              <w:rPr>
                <w:noProof/>
                <w:webHidden/>
                <w:u w:val="single"/>
              </w:rPr>
              <w:fldChar w:fldCharType="begin"/>
            </w:r>
            <w:r>
              <w:rPr>
                <w:noProof/>
                <w:webHidden/>
                <w:u w:val="single"/>
              </w:rPr>
              <w:instrText xml:space="preserve"> PAGEREF _Toc452679044 \h </w:instrText>
            </w:r>
            <w:r>
              <w:rPr>
                <w:noProof/>
                <w:webHidden/>
                <w:u w:val="single"/>
              </w:rPr>
            </w:r>
            <w:r>
              <w:rPr>
                <w:noProof/>
                <w:webHidden/>
                <w:u w:val="single"/>
              </w:rPr>
              <w:fldChar w:fldCharType="separate"/>
            </w:r>
            <w:r>
              <w:rPr>
                <w:noProof/>
                <w:webHidden/>
                <w:u w:val="single"/>
              </w:rPr>
              <w:t>1</w:t>
            </w:r>
            <w:r>
              <w:rPr>
                <w:noProof/>
                <w:webHidden/>
                <w:u w:val="single"/>
              </w:rPr>
              <w:fldChar w:fldCharType="end"/>
            </w:r>
          </w:hyperlink>
        </w:p>
        <w:p w:rsidR="007306CA" w:rsidRDefault="00576025">
          <w:pPr>
            <w:pStyle w:val="TOC2"/>
            <w:tabs>
              <w:tab w:val="left" w:pos="1077"/>
            </w:tabs>
            <w:rPr>
              <w:rFonts w:asciiTheme="minorHAnsi" w:eastAsiaTheme="minorEastAsia" w:hAnsiTheme="minorHAnsi" w:cstheme="minorBidi"/>
              <w:noProof/>
              <w:sz w:val="22"/>
              <w:szCs w:val="22"/>
              <w:u w:val="single"/>
              <w:lang w:eastAsia="en-GB"/>
            </w:rPr>
          </w:pPr>
          <w:hyperlink w:anchor="_Toc452679045" w:history="1">
            <w:r>
              <w:rPr>
                <w:rStyle w:val="Hyperlink"/>
                <w:noProof/>
              </w:rPr>
              <w:t>1.2.</w:t>
            </w:r>
            <w:r>
              <w:rPr>
                <w:rFonts w:asciiTheme="minorHAnsi" w:eastAsiaTheme="minorEastAsia" w:hAnsiTheme="minorHAnsi" w:cstheme="minorBidi"/>
                <w:noProof/>
                <w:sz w:val="22"/>
                <w:szCs w:val="22"/>
                <w:u w:val="single"/>
                <w:lang w:eastAsia="en-GB"/>
              </w:rPr>
              <w:tab/>
            </w:r>
            <w:r>
              <w:rPr>
                <w:rStyle w:val="Hyperlink"/>
                <w:noProof/>
              </w:rPr>
              <w:t>Current challenges</w:t>
            </w:r>
            <w:r>
              <w:rPr>
                <w:noProof/>
                <w:webHidden/>
                <w:u w:val="single"/>
              </w:rPr>
              <w:tab/>
            </w:r>
            <w:r>
              <w:rPr>
                <w:noProof/>
                <w:webHidden/>
                <w:u w:val="single"/>
              </w:rPr>
              <w:fldChar w:fldCharType="begin"/>
            </w:r>
            <w:r>
              <w:rPr>
                <w:noProof/>
                <w:webHidden/>
                <w:u w:val="single"/>
              </w:rPr>
              <w:instrText xml:space="preserve"> PAGEREF _Toc452679045 \h </w:instrText>
            </w:r>
            <w:r>
              <w:rPr>
                <w:noProof/>
                <w:webHidden/>
                <w:u w:val="single"/>
              </w:rPr>
            </w:r>
            <w:r>
              <w:rPr>
                <w:noProof/>
                <w:webHidden/>
                <w:u w:val="single"/>
              </w:rPr>
              <w:fldChar w:fldCharType="separate"/>
            </w:r>
            <w:r>
              <w:rPr>
                <w:noProof/>
                <w:webHidden/>
                <w:u w:val="single"/>
              </w:rPr>
              <w:t>2</w:t>
            </w:r>
            <w:r>
              <w:rPr>
                <w:noProof/>
                <w:webHidden/>
                <w:u w:val="single"/>
              </w:rPr>
              <w:fldChar w:fldCharType="end"/>
            </w:r>
          </w:hyperlink>
        </w:p>
        <w:p w:rsidR="007306CA" w:rsidRDefault="00576025">
          <w:pPr>
            <w:pStyle w:val="TOC2"/>
            <w:tabs>
              <w:tab w:val="left" w:pos="1077"/>
            </w:tabs>
            <w:rPr>
              <w:rFonts w:asciiTheme="minorHAnsi" w:eastAsiaTheme="minorEastAsia" w:hAnsiTheme="minorHAnsi" w:cstheme="minorBidi"/>
              <w:noProof/>
              <w:sz w:val="22"/>
              <w:szCs w:val="22"/>
              <w:u w:val="single"/>
              <w:lang w:eastAsia="en-GB"/>
            </w:rPr>
          </w:pPr>
          <w:hyperlink w:anchor="_Toc452679046" w:history="1">
            <w:r>
              <w:rPr>
                <w:rStyle w:val="Hyperlink"/>
                <w:noProof/>
              </w:rPr>
              <w:t>1.3.</w:t>
            </w:r>
            <w:r>
              <w:rPr>
                <w:rFonts w:asciiTheme="minorHAnsi" w:eastAsiaTheme="minorEastAsia" w:hAnsiTheme="minorHAnsi" w:cstheme="minorBidi"/>
                <w:noProof/>
                <w:sz w:val="22"/>
                <w:szCs w:val="22"/>
                <w:u w:val="single"/>
                <w:lang w:eastAsia="en-GB"/>
              </w:rPr>
              <w:tab/>
            </w:r>
            <w:r>
              <w:rPr>
                <w:rStyle w:val="Hyperlink"/>
                <w:noProof/>
              </w:rPr>
              <w:t>P</w:t>
            </w:r>
            <w:r>
              <w:rPr>
                <w:rStyle w:val="Hyperlink"/>
                <w:noProof/>
              </w:rPr>
              <w:t>rocedural issues and consultation of interested parties</w:t>
            </w:r>
            <w:r>
              <w:rPr>
                <w:noProof/>
                <w:webHidden/>
                <w:u w:val="single"/>
              </w:rPr>
              <w:tab/>
            </w:r>
            <w:r>
              <w:rPr>
                <w:noProof/>
                <w:webHidden/>
                <w:u w:val="single"/>
              </w:rPr>
              <w:fldChar w:fldCharType="begin"/>
            </w:r>
            <w:r>
              <w:rPr>
                <w:noProof/>
                <w:webHidden/>
                <w:u w:val="single"/>
              </w:rPr>
              <w:instrText xml:space="preserve"> PAGEREF _Toc452679046 \h </w:instrText>
            </w:r>
            <w:r>
              <w:rPr>
                <w:noProof/>
                <w:webHidden/>
                <w:u w:val="single"/>
              </w:rPr>
            </w:r>
            <w:r>
              <w:rPr>
                <w:noProof/>
                <w:webHidden/>
                <w:u w:val="single"/>
              </w:rPr>
              <w:fldChar w:fldCharType="separate"/>
            </w:r>
            <w:r>
              <w:rPr>
                <w:noProof/>
                <w:webHidden/>
                <w:u w:val="single"/>
              </w:rPr>
              <w:t>5</w:t>
            </w:r>
            <w:r>
              <w:rPr>
                <w:noProof/>
                <w:webHidden/>
                <w:u w:val="single"/>
              </w:rPr>
              <w:fldChar w:fldCharType="end"/>
            </w:r>
          </w:hyperlink>
        </w:p>
        <w:p w:rsidR="007306CA" w:rsidRDefault="00576025">
          <w:pPr>
            <w:pStyle w:val="TOC1"/>
            <w:rPr>
              <w:rFonts w:asciiTheme="minorHAnsi" w:eastAsiaTheme="minorEastAsia" w:hAnsiTheme="minorHAnsi" w:cstheme="minorBidi"/>
              <w:caps w:val="0"/>
              <w:noProof/>
              <w:sz w:val="22"/>
              <w:szCs w:val="22"/>
              <w:u w:val="single"/>
              <w:lang w:eastAsia="en-GB"/>
            </w:rPr>
          </w:pPr>
          <w:hyperlink w:anchor="_Toc452679047" w:history="1">
            <w:r>
              <w:rPr>
                <w:rStyle w:val="Hyperlink"/>
                <w:noProof/>
              </w:rPr>
              <w:t>2.</w:t>
            </w:r>
            <w:r>
              <w:rPr>
                <w:rFonts w:asciiTheme="minorHAnsi" w:eastAsiaTheme="minorEastAsia" w:hAnsiTheme="minorHAnsi" w:cstheme="minorBidi"/>
                <w:caps w:val="0"/>
                <w:noProof/>
                <w:sz w:val="22"/>
                <w:szCs w:val="22"/>
                <w:u w:val="single"/>
                <w:lang w:eastAsia="en-GB"/>
              </w:rPr>
              <w:tab/>
            </w:r>
            <w:r>
              <w:rPr>
                <w:rStyle w:val="Hyperlink"/>
                <w:noProof/>
              </w:rPr>
              <w:t>Problem definition</w:t>
            </w:r>
            <w:r>
              <w:rPr>
                <w:noProof/>
                <w:webHidden/>
                <w:u w:val="single"/>
              </w:rPr>
              <w:tab/>
            </w:r>
            <w:r>
              <w:rPr>
                <w:noProof/>
                <w:webHidden/>
                <w:u w:val="single"/>
              </w:rPr>
              <w:fldChar w:fldCharType="begin"/>
            </w:r>
            <w:r>
              <w:rPr>
                <w:noProof/>
                <w:webHidden/>
                <w:u w:val="single"/>
              </w:rPr>
              <w:instrText xml:space="preserve"> PAGEREF _Toc452679047 \h </w:instrText>
            </w:r>
            <w:r>
              <w:rPr>
                <w:noProof/>
                <w:webHidden/>
                <w:u w:val="single"/>
              </w:rPr>
            </w:r>
            <w:r>
              <w:rPr>
                <w:noProof/>
                <w:webHidden/>
                <w:u w:val="single"/>
              </w:rPr>
              <w:fldChar w:fldCharType="separate"/>
            </w:r>
            <w:r>
              <w:rPr>
                <w:noProof/>
                <w:webHidden/>
                <w:u w:val="single"/>
              </w:rPr>
              <w:t>6</w:t>
            </w:r>
            <w:r>
              <w:rPr>
                <w:noProof/>
                <w:webHidden/>
                <w:u w:val="single"/>
              </w:rPr>
              <w:fldChar w:fldCharType="end"/>
            </w:r>
          </w:hyperlink>
        </w:p>
        <w:p w:rsidR="007306CA" w:rsidRDefault="00576025">
          <w:pPr>
            <w:pStyle w:val="TOC2"/>
            <w:tabs>
              <w:tab w:val="left" w:pos="1077"/>
            </w:tabs>
            <w:rPr>
              <w:rFonts w:asciiTheme="minorHAnsi" w:eastAsiaTheme="minorEastAsia" w:hAnsiTheme="minorHAnsi" w:cstheme="minorBidi"/>
              <w:noProof/>
              <w:sz w:val="22"/>
              <w:szCs w:val="22"/>
              <w:u w:val="single"/>
              <w:lang w:eastAsia="en-GB"/>
            </w:rPr>
          </w:pPr>
          <w:hyperlink w:anchor="_Toc452679048" w:history="1">
            <w:r>
              <w:rPr>
                <w:rStyle w:val="Hyperlink"/>
                <w:noProof/>
              </w:rPr>
              <w:t>2.1.</w:t>
            </w:r>
            <w:r>
              <w:rPr>
                <w:rFonts w:asciiTheme="minorHAnsi" w:eastAsiaTheme="minorEastAsia" w:hAnsiTheme="minorHAnsi" w:cstheme="minorBidi"/>
                <w:noProof/>
                <w:sz w:val="22"/>
                <w:szCs w:val="22"/>
                <w:u w:val="single"/>
                <w:lang w:eastAsia="en-GB"/>
              </w:rPr>
              <w:tab/>
            </w:r>
            <w:r>
              <w:rPr>
                <w:rStyle w:val="Hyperlink"/>
                <w:noProof/>
              </w:rPr>
              <w:t>The problems that require action</w:t>
            </w:r>
            <w:r>
              <w:rPr>
                <w:noProof/>
                <w:webHidden/>
                <w:u w:val="single"/>
              </w:rPr>
              <w:tab/>
            </w:r>
            <w:r>
              <w:rPr>
                <w:noProof/>
                <w:webHidden/>
                <w:u w:val="single"/>
              </w:rPr>
              <w:fldChar w:fldCharType="begin"/>
            </w:r>
            <w:r>
              <w:rPr>
                <w:noProof/>
                <w:webHidden/>
                <w:u w:val="single"/>
              </w:rPr>
              <w:instrText xml:space="preserve"> PAGEREF _Toc452679048 \h </w:instrText>
            </w:r>
            <w:r>
              <w:rPr>
                <w:noProof/>
                <w:webHidden/>
                <w:u w:val="single"/>
              </w:rPr>
            </w:r>
            <w:r>
              <w:rPr>
                <w:noProof/>
                <w:webHidden/>
                <w:u w:val="single"/>
              </w:rPr>
              <w:fldChar w:fldCharType="separate"/>
            </w:r>
            <w:r>
              <w:rPr>
                <w:noProof/>
                <w:webHidden/>
                <w:u w:val="single"/>
              </w:rPr>
              <w:t>6</w:t>
            </w:r>
            <w:r>
              <w:rPr>
                <w:noProof/>
                <w:webHidden/>
                <w:u w:val="single"/>
              </w:rPr>
              <w:fldChar w:fldCharType="end"/>
            </w:r>
          </w:hyperlink>
        </w:p>
        <w:p w:rsidR="007306CA" w:rsidRDefault="00576025">
          <w:pPr>
            <w:pStyle w:val="TOC2"/>
            <w:tabs>
              <w:tab w:val="left" w:pos="1077"/>
            </w:tabs>
            <w:rPr>
              <w:rFonts w:asciiTheme="minorHAnsi" w:eastAsiaTheme="minorEastAsia" w:hAnsiTheme="minorHAnsi" w:cstheme="minorBidi"/>
              <w:noProof/>
              <w:sz w:val="22"/>
              <w:szCs w:val="22"/>
              <w:u w:val="single"/>
              <w:lang w:eastAsia="en-GB"/>
            </w:rPr>
          </w:pPr>
          <w:hyperlink w:anchor="_Toc452679049" w:history="1">
            <w:r>
              <w:rPr>
                <w:rStyle w:val="Hyperlink"/>
                <w:noProof/>
              </w:rPr>
              <w:t>2.2.</w:t>
            </w:r>
            <w:r>
              <w:rPr>
                <w:rFonts w:asciiTheme="minorHAnsi" w:eastAsiaTheme="minorEastAsia" w:hAnsiTheme="minorHAnsi" w:cstheme="minorBidi"/>
                <w:noProof/>
                <w:sz w:val="22"/>
                <w:szCs w:val="22"/>
                <w:u w:val="single"/>
                <w:lang w:eastAsia="en-GB"/>
              </w:rPr>
              <w:tab/>
            </w:r>
            <w:r>
              <w:rPr>
                <w:rStyle w:val="Hyperlink"/>
                <w:noProof/>
              </w:rPr>
              <w:t>Problem drivers</w:t>
            </w:r>
            <w:r>
              <w:rPr>
                <w:noProof/>
                <w:webHidden/>
                <w:u w:val="single"/>
              </w:rPr>
              <w:tab/>
            </w:r>
            <w:r>
              <w:rPr>
                <w:noProof/>
                <w:webHidden/>
                <w:u w:val="single"/>
              </w:rPr>
              <w:fldChar w:fldCharType="begin"/>
            </w:r>
            <w:r>
              <w:rPr>
                <w:noProof/>
                <w:webHidden/>
                <w:u w:val="single"/>
              </w:rPr>
              <w:instrText xml:space="preserve"> PAGEREF _Toc452679049 \h </w:instrText>
            </w:r>
            <w:r>
              <w:rPr>
                <w:noProof/>
                <w:webHidden/>
                <w:u w:val="single"/>
              </w:rPr>
            </w:r>
            <w:r>
              <w:rPr>
                <w:noProof/>
                <w:webHidden/>
                <w:u w:val="single"/>
              </w:rPr>
              <w:fldChar w:fldCharType="separate"/>
            </w:r>
            <w:r>
              <w:rPr>
                <w:noProof/>
                <w:webHidden/>
                <w:u w:val="single"/>
              </w:rPr>
              <w:t>12</w:t>
            </w:r>
            <w:r>
              <w:rPr>
                <w:noProof/>
                <w:webHidden/>
                <w:u w:val="single"/>
              </w:rPr>
              <w:fldChar w:fldCharType="end"/>
            </w:r>
          </w:hyperlink>
        </w:p>
        <w:p w:rsidR="007306CA" w:rsidRDefault="00576025">
          <w:pPr>
            <w:pStyle w:val="TOC2"/>
            <w:tabs>
              <w:tab w:val="left" w:pos="1077"/>
            </w:tabs>
            <w:rPr>
              <w:rFonts w:asciiTheme="minorHAnsi" w:eastAsiaTheme="minorEastAsia" w:hAnsiTheme="minorHAnsi" w:cstheme="minorBidi"/>
              <w:noProof/>
              <w:sz w:val="22"/>
              <w:szCs w:val="22"/>
              <w:u w:val="single"/>
              <w:lang w:eastAsia="en-GB"/>
            </w:rPr>
          </w:pPr>
          <w:hyperlink w:anchor="_Toc452679050" w:history="1">
            <w:r>
              <w:rPr>
                <w:rStyle w:val="Hyperlink"/>
                <w:noProof/>
              </w:rPr>
              <w:t>2.3.</w:t>
            </w:r>
            <w:r>
              <w:rPr>
                <w:rFonts w:asciiTheme="minorHAnsi" w:eastAsiaTheme="minorEastAsia" w:hAnsiTheme="minorHAnsi" w:cstheme="minorBidi"/>
                <w:noProof/>
                <w:sz w:val="22"/>
                <w:szCs w:val="22"/>
                <w:u w:val="single"/>
                <w:lang w:eastAsia="en-GB"/>
              </w:rPr>
              <w:tab/>
            </w:r>
            <w:r>
              <w:rPr>
                <w:rStyle w:val="Hyperlink"/>
                <w:noProof/>
              </w:rPr>
              <w:t>Who is affected by the identified problems and in what ways?</w:t>
            </w:r>
            <w:r>
              <w:rPr>
                <w:noProof/>
                <w:webHidden/>
                <w:u w:val="single"/>
              </w:rPr>
              <w:tab/>
            </w:r>
            <w:r>
              <w:rPr>
                <w:noProof/>
                <w:webHidden/>
                <w:u w:val="single"/>
              </w:rPr>
              <w:fldChar w:fldCharType="begin"/>
            </w:r>
            <w:r>
              <w:rPr>
                <w:noProof/>
                <w:webHidden/>
                <w:u w:val="single"/>
              </w:rPr>
              <w:instrText xml:space="preserve"> PAGEREF _Toc452679050 \h </w:instrText>
            </w:r>
            <w:r>
              <w:rPr>
                <w:noProof/>
                <w:webHidden/>
                <w:u w:val="single"/>
              </w:rPr>
            </w:r>
            <w:r>
              <w:rPr>
                <w:noProof/>
                <w:webHidden/>
                <w:u w:val="single"/>
              </w:rPr>
              <w:fldChar w:fldCharType="separate"/>
            </w:r>
            <w:r>
              <w:rPr>
                <w:noProof/>
                <w:webHidden/>
                <w:u w:val="single"/>
              </w:rPr>
              <w:t>14</w:t>
            </w:r>
            <w:r>
              <w:rPr>
                <w:noProof/>
                <w:webHidden/>
                <w:u w:val="single"/>
              </w:rPr>
              <w:fldChar w:fldCharType="end"/>
            </w:r>
          </w:hyperlink>
        </w:p>
        <w:p w:rsidR="007306CA" w:rsidRDefault="00576025">
          <w:pPr>
            <w:pStyle w:val="TOC2"/>
            <w:tabs>
              <w:tab w:val="left" w:pos="1077"/>
            </w:tabs>
            <w:rPr>
              <w:rFonts w:asciiTheme="minorHAnsi" w:eastAsiaTheme="minorEastAsia" w:hAnsiTheme="minorHAnsi" w:cstheme="minorBidi"/>
              <w:noProof/>
              <w:sz w:val="22"/>
              <w:szCs w:val="22"/>
              <w:u w:val="single"/>
              <w:lang w:eastAsia="en-GB"/>
            </w:rPr>
          </w:pPr>
          <w:hyperlink w:anchor="_Toc452679051" w:history="1">
            <w:r>
              <w:rPr>
                <w:rStyle w:val="Hyperlink"/>
                <w:noProof/>
              </w:rPr>
              <w:t>2.4.</w:t>
            </w:r>
            <w:r>
              <w:rPr>
                <w:rFonts w:asciiTheme="minorHAnsi" w:eastAsiaTheme="minorEastAsia" w:hAnsiTheme="minorHAnsi" w:cstheme="minorBidi"/>
                <w:noProof/>
                <w:sz w:val="22"/>
                <w:szCs w:val="22"/>
                <w:u w:val="single"/>
                <w:lang w:eastAsia="en-GB"/>
              </w:rPr>
              <w:tab/>
            </w:r>
            <w:r>
              <w:rPr>
                <w:rStyle w:val="Hyperlink"/>
                <w:noProof/>
              </w:rPr>
              <w:t>How would the problem evolve, all things being equal? (Baseline scenario)</w:t>
            </w:r>
            <w:r>
              <w:rPr>
                <w:noProof/>
                <w:webHidden/>
                <w:u w:val="single"/>
              </w:rPr>
              <w:tab/>
            </w:r>
            <w:r>
              <w:rPr>
                <w:noProof/>
                <w:webHidden/>
                <w:u w:val="single"/>
              </w:rPr>
              <w:fldChar w:fldCharType="begin"/>
            </w:r>
            <w:r>
              <w:rPr>
                <w:noProof/>
                <w:webHidden/>
                <w:u w:val="single"/>
              </w:rPr>
              <w:instrText xml:space="preserve"> PAGEREF _Toc452679051 \h </w:instrText>
            </w:r>
            <w:r>
              <w:rPr>
                <w:noProof/>
                <w:webHidden/>
                <w:u w:val="single"/>
              </w:rPr>
            </w:r>
            <w:r>
              <w:rPr>
                <w:noProof/>
                <w:webHidden/>
                <w:u w:val="single"/>
              </w:rPr>
              <w:fldChar w:fldCharType="separate"/>
            </w:r>
            <w:r>
              <w:rPr>
                <w:noProof/>
                <w:webHidden/>
                <w:u w:val="single"/>
              </w:rPr>
              <w:t>14</w:t>
            </w:r>
            <w:r>
              <w:rPr>
                <w:noProof/>
                <w:webHidden/>
                <w:u w:val="single"/>
              </w:rPr>
              <w:fldChar w:fldCharType="end"/>
            </w:r>
          </w:hyperlink>
        </w:p>
        <w:p w:rsidR="007306CA" w:rsidRDefault="00576025">
          <w:pPr>
            <w:pStyle w:val="TOC1"/>
            <w:rPr>
              <w:rFonts w:asciiTheme="minorHAnsi" w:eastAsiaTheme="minorEastAsia" w:hAnsiTheme="minorHAnsi" w:cstheme="minorBidi"/>
              <w:caps w:val="0"/>
              <w:noProof/>
              <w:sz w:val="22"/>
              <w:szCs w:val="22"/>
              <w:u w:val="single"/>
              <w:lang w:eastAsia="en-GB"/>
            </w:rPr>
          </w:pPr>
          <w:hyperlink w:anchor="_Toc452679052" w:history="1">
            <w:r>
              <w:rPr>
                <w:rStyle w:val="Hyperlink"/>
                <w:noProof/>
              </w:rPr>
              <w:t>3.</w:t>
            </w:r>
            <w:r>
              <w:rPr>
                <w:rFonts w:asciiTheme="minorHAnsi" w:eastAsiaTheme="minorEastAsia" w:hAnsiTheme="minorHAnsi" w:cstheme="minorBidi"/>
                <w:caps w:val="0"/>
                <w:noProof/>
                <w:sz w:val="22"/>
                <w:szCs w:val="22"/>
                <w:u w:val="single"/>
                <w:lang w:eastAsia="en-GB"/>
              </w:rPr>
              <w:tab/>
            </w:r>
            <w:r>
              <w:rPr>
                <w:rStyle w:val="Hyperlink"/>
                <w:noProof/>
              </w:rPr>
              <w:t>Why should the EU act?</w:t>
            </w:r>
            <w:r>
              <w:rPr>
                <w:noProof/>
                <w:webHidden/>
                <w:u w:val="single"/>
              </w:rPr>
              <w:tab/>
            </w:r>
            <w:r>
              <w:rPr>
                <w:noProof/>
                <w:webHidden/>
                <w:u w:val="single"/>
              </w:rPr>
              <w:fldChar w:fldCharType="begin"/>
            </w:r>
            <w:r>
              <w:rPr>
                <w:noProof/>
                <w:webHidden/>
                <w:u w:val="single"/>
              </w:rPr>
              <w:instrText xml:space="preserve"> PAGEREF _Toc452679052 \h </w:instrText>
            </w:r>
            <w:r>
              <w:rPr>
                <w:noProof/>
                <w:webHidden/>
                <w:u w:val="single"/>
              </w:rPr>
            </w:r>
            <w:r>
              <w:rPr>
                <w:noProof/>
                <w:webHidden/>
                <w:u w:val="single"/>
              </w:rPr>
              <w:fldChar w:fldCharType="separate"/>
            </w:r>
            <w:r>
              <w:rPr>
                <w:noProof/>
                <w:webHidden/>
                <w:u w:val="single"/>
              </w:rPr>
              <w:t>18</w:t>
            </w:r>
            <w:r>
              <w:rPr>
                <w:noProof/>
                <w:webHidden/>
                <w:u w:val="single"/>
              </w:rPr>
              <w:fldChar w:fldCharType="end"/>
            </w:r>
          </w:hyperlink>
        </w:p>
        <w:p w:rsidR="007306CA" w:rsidRDefault="00576025">
          <w:pPr>
            <w:pStyle w:val="TOC1"/>
            <w:rPr>
              <w:rFonts w:asciiTheme="minorHAnsi" w:eastAsiaTheme="minorEastAsia" w:hAnsiTheme="minorHAnsi" w:cstheme="minorBidi"/>
              <w:caps w:val="0"/>
              <w:noProof/>
              <w:sz w:val="22"/>
              <w:szCs w:val="22"/>
              <w:u w:val="single"/>
              <w:lang w:eastAsia="en-GB"/>
            </w:rPr>
          </w:pPr>
          <w:hyperlink w:anchor="_Toc452679053" w:history="1">
            <w:r>
              <w:rPr>
                <w:rStyle w:val="Hyperlink"/>
                <w:noProof/>
              </w:rPr>
              <w:t>4.</w:t>
            </w:r>
            <w:r>
              <w:rPr>
                <w:rFonts w:asciiTheme="minorHAnsi" w:eastAsiaTheme="minorEastAsia" w:hAnsiTheme="minorHAnsi" w:cstheme="minorBidi"/>
                <w:caps w:val="0"/>
                <w:noProof/>
                <w:sz w:val="22"/>
                <w:szCs w:val="22"/>
                <w:u w:val="single"/>
                <w:lang w:eastAsia="en-GB"/>
              </w:rPr>
              <w:tab/>
            </w:r>
            <w:r>
              <w:rPr>
                <w:rStyle w:val="Hyperlink"/>
                <w:noProof/>
              </w:rPr>
              <w:t>Objectives</w:t>
            </w:r>
            <w:r>
              <w:rPr>
                <w:noProof/>
                <w:webHidden/>
                <w:u w:val="single"/>
              </w:rPr>
              <w:tab/>
            </w:r>
            <w:r>
              <w:rPr>
                <w:noProof/>
                <w:webHidden/>
                <w:u w:val="single"/>
              </w:rPr>
              <w:fldChar w:fldCharType="begin"/>
            </w:r>
            <w:r>
              <w:rPr>
                <w:noProof/>
                <w:webHidden/>
                <w:u w:val="single"/>
              </w:rPr>
              <w:instrText xml:space="preserve"> PAGEREF _Toc452679053 \h </w:instrText>
            </w:r>
            <w:r>
              <w:rPr>
                <w:noProof/>
                <w:webHidden/>
                <w:u w:val="single"/>
              </w:rPr>
            </w:r>
            <w:r>
              <w:rPr>
                <w:noProof/>
                <w:webHidden/>
                <w:u w:val="single"/>
              </w:rPr>
              <w:fldChar w:fldCharType="separate"/>
            </w:r>
            <w:r>
              <w:rPr>
                <w:noProof/>
                <w:webHidden/>
                <w:u w:val="single"/>
              </w:rPr>
              <w:t>19</w:t>
            </w:r>
            <w:r>
              <w:rPr>
                <w:noProof/>
                <w:webHidden/>
                <w:u w:val="single"/>
              </w:rPr>
              <w:fldChar w:fldCharType="end"/>
            </w:r>
          </w:hyperlink>
        </w:p>
        <w:p w:rsidR="007306CA" w:rsidRDefault="00576025">
          <w:pPr>
            <w:pStyle w:val="TOC2"/>
            <w:tabs>
              <w:tab w:val="left" w:pos="1077"/>
            </w:tabs>
            <w:rPr>
              <w:rFonts w:asciiTheme="minorHAnsi" w:eastAsiaTheme="minorEastAsia" w:hAnsiTheme="minorHAnsi" w:cstheme="minorBidi"/>
              <w:noProof/>
              <w:sz w:val="22"/>
              <w:szCs w:val="22"/>
              <w:u w:val="single"/>
              <w:lang w:eastAsia="en-GB"/>
            </w:rPr>
          </w:pPr>
          <w:hyperlink w:anchor="_Toc452679054" w:history="1">
            <w:r>
              <w:rPr>
                <w:rStyle w:val="Hyperlink"/>
                <w:noProof/>
              </w:rPr>
              <w:t>4.1.</w:t>
            </w:r>
            <w:r>
              <w:rPr>
                <w:rFonts w:asciiTheme="minorHAnsi" w:eastAsiaTheme="minorEastAsia" w:hAnsiTheme="minorHAnsi" w:cstheme="minorBidi"/>
                <w:noProof/>
                <w:sz w:val="22"/>
                <w:szCs w:val="22"/>
                <w:u w:val="single"/>
                <w:lang w:eastAsia="en-GB"/>
              </w:rPr>
              <w:tab/>
            </w:r>
            <w:r>
              <w:rPr>
                <w:rStyle w:val="Hyperlink"/>
                <w:noProof/>
              </w:rPr>
              <w:t>General policy objectives</w:t>
            </w:r>
            <w:r>
              <w:rPr>
                <w:noProof/>
                <w:webHidden/>
                <w:u w:val="single"/>
              </w:rPr>
              <w:tab/>
            </w:r>
            <w:r>
              <w:rPr>
                <w:noProof/>
                <w:webHidden/>
                <w:u w:val="single"/>
              </w:rPr>
              <w:fldChar w:fldCharType="begin"/>
            </w:r>
            <w:r>
              <w:rPr>
                <w:noProof/>
                <w:webHidden/>
                <w:u w:val="single"/>
              </w:rPr>
              <w:instrText xml:space="preserve"> PAGEREF _Toc452679054 \h </w:instrText>
            </w:r>
            <w:r>
              <w:rPr>
                <w:noProof/>
                <w:webHidden/>
                <w:u w:val="single"/>
              </w:rPr>
            </w:r>
            <w:r>
              <w:rPr>
                <w:noProof/>
                <w:webHidden/>
                <w:u w:val="single"/>
              </w:rPr>
              <w:fldChar w:fldCharType="separate"/>
            </w:r>
            <w:r>
              <w:rPr>
                <w:noProof/>
                <w:webHidden/>
                <w:u w:val="single"/>
              </w:rPr>
              <w:t>19</w:t>
            </w:r>
            <w:r>
              <w:rPr>
                <w:noProof/>
                <w:webHidden/>
                <w:u w:val="single"/>
              </w:rPr>
              <w:fldChar w:fldCharType="end"/>
            </w:r>
          </w:hyperlink>
        </w:p>
        <w:p w:rsidR="007306CA" w:rsidRDefault="00576025">
          <w:pPr>
            <w:pStyle w:val="TOC2"/>
            <w:tabs>
              <w:tab w:val="left" w:pos="1077"/>
            </w:tabs>
            <w:rPr>
              <w:rFonts w:asciiTheme="minorHAnsi" w:eastAsiaTheme="minorEastAsia" w:hAnsiTheme="minorHAnsi" w:cstheme="minorBidi"/>
              <w:noProof/>
              <w:sz w:val="22"/>
              <w:szCs w:val="22"/>
              <w:u w:val="single"/>
              <w:lang w:eastAsia="en-GB"/>
            </w:rPr>
          </w:pPr>
          <w:hyperlink w:anchor="_Toc452679055" w:history="1">
            <w:r>
              <w:rPr>
                <w:rStyle w:val="Hyperlink"/>
                <w:noProof/>
              </w:rPr>
              <w:t>4.2.</w:t>
            </w:r>
            <w:r>
              <w:rPr>
                <w:rFonts w:asciiTheme="minorHAnsi" w:eastAsiaTheme="minorEastAsia" w:hAnsiTheme="minorHAnsi" w:cstheme="minorBidi"/>
                <w:noProof/>
                <w:sz w:val="22"/>
                <w:szCs w:val="22"/>
                <w:u w:val="single"/>
                <w:lang w:eastAsia="en-GB"/>
              </w:rPr>
              <w:tab/>
            </w:r>
            <w:r>
              <w:rPr>
                <w:rStyle w:val="Hyperlink"/>
                <w:noProof/>
              </w:rPr>
              <w:t>Specific policy objectives</w:t>
            </w:r>
            <w:r>
              <w:rPr>
                <w:noProof/>
                <w:webHidden/>
                <w:u w:val="single"/>
              </w:rPr>
              <w:tab/>
            </w:r>
            <w:r>
              <w:rPr>
                <w:noProof/>
                <w:webHidden/>
                <w:u w:val="single"/>
              </w:rPr>
              <w:fldChar w:fldCharType="begin"/>
            </w:r>
            <w:r>
              <w:rPr>
                <w:noProof/>
                <w:webHidden/>
                <w:u w:val="single"/>
              </w:rPr>
              <w:instrText xml:space="preserve"> PAGEREF _Toc452679055 \h </w:instrText>
            </w:r>
            <w:r>
              <w:rPr>
                <w:noProof/>
                <w:webHidden/>
                <w:u w:val="single"/>
              </w:rPr>
            </w:r>
            <w:r>
              <w:rPr>
                <w:noProof/>
                <w:webHidden/>
                <w:u w:val="single"/>
              </w:rPr>
              <w:fldChar w:fldCharType="separate"/>
            </w:r>
            <w:r>
              <w:rPr>
                <w:noProof/>
                <w:webHidden/>
                <w:u w:val="single"/>
              </w:rPr>
              <w:t>19</w:t>
            </w:r>
            <w:r>
              <w:rPr>
                <w:noProof/>
                <w:webHidden/>
                <w:u w:val="single"/>
              </w:rPr>
              <w:fldChar w:fldCharType="end"/>
            </w:r>
          </w:hyperlink>
        </w:p>
        <w:p w:rsidR="007306CA" w:rsidRDefault="00576025">
          <w:pPr>
            <w:pStyle w:val="TOC2"/>
            <w:tabs>
              <w:tab w:val="left" w:pos="1077"/>
            </w:tabs>
            <w:rPr>
              <w:rFonts w:asciiTheme="minorHAnsi" w:eastAsiaTheme="minorEastAsia" w:hAnsiTheme="minorHAnsi" w:cstheme="minorBidi"/>
              <w:noProof/>
              <w:sz w:val="22"/>
              <w:szCs w:val="22"/>
              <w:u w:val="single"/>
              <w:lang w:eastAsia="en-GB"/>
            </w:rPr>
          </w:pPr>
          <w:hyperlink w:anchor="_Toc452679056" w:history="1">
            <w:r>
              <w:rPr>
                <w:rStyle w:val="Hyperlink"/>
                <w:noProof/>
              </w:rPr>
              <w:t>4.3.</w:t>
            </w:r>
            <w:r>
              <w:rPr>
                <w:rFonts w:asciiTheme="minorHAnsi" w:eastAsiaTheme="minorEastAsia" w:hAnsiTheme="minorHAnsi" w:cstheme="minorBidi"/>
                <w:noProof/>
                <w:sz w:val="22"/>
                <w:szCs w:val="22"/>
                <w:u w:val="single"/>
                <w:lang w:eastAsia="en-GB"/>
              </w:rPr>
              <w:tab/>
            </w:r>
            <w:r>
              <w:rPr>
                <w:rStyle w:val="Hyperlink"/>
                <w:noProof/>
              </w:rPr>
              <w:t>Consistency with other EU policies and with the Charter for fundamental rights</w:t>
            </w:r>
            <w:r>
              <w:rPr>
                <w:noProof/>
                <w:webHidden/>
                <w:u w:val="single"/>
              </w:rPr>
              <w:tab/>
            </w:r>
            <w:r>
              <w:rPr>
                <w:noProof/>
                <w:webHidden/>
                <w:u w:val="single"/>
              </w:rPr>
              <w:fldChar w:fldCharType="begin"/>
            </w:r>
            <w:r>
              <w:rPr>
                <w:noProof/>
                <w:webHidden/>
                <w:u w:val="single"/>
              </w:rPr>
              <w:instrText xml:space="preserve"> PAGEREF _Toc452679056 \h </w:instrText>
            </w:r>
            <w:r>
              <w:rPr>
                <w:noProof/>
                <w:webHidden/>
                <w:u w:val="single"/>
              </w:rPr>
            </w:r>
            <w:r>
              <w:rPr>
                <w:noProof/>
                <w:webHidden/>
                <w:u w:val="single"/>
              </w:rPr>
              <w:fldChar w:fldCharType="separate"/>
            </w:r>
            <w:r>
              <w:rPr>
                <w:noProof/>
                <w:webHidden/>
                <w:u w:val="single"/>
              </w:rPr>
              <w:t>20</w:t>
            </w:r>
            <w:r>
              <w:rPr>
                <w:noProof/>
                <w:webHidden/>
                <w:u w:val="single"/>
              </w:rPr>
              <w:fldChar w:fldCharType="end"/>
            </w:r>
          </w:hyperlink>
        </w:p>
        <w:p w:rsidR="007306CA" w:rsidRDefault="00576025">
          <w:pPr>
            <w:pStyle w:val="TOC1"/>
            <w:rPr>
              <w:rFonts w:asciiTheme="minorHAnsi" w:eastAsiaTheme="minorEastAsia" w:hAnsiTheme="minorHAnsi" w:cstheme="minorBidi"/>
              <w:caps w:val="0"/>
              <w:noProof/>
              <w:sz w:val="22"/>
              <w:szCs w:val="22"/>
              <w:u w:val="single"/>
              <w:lang w:eastAsia="en-GB"/>
            </w:rPr>
          </w:pPr>
          <w:hyperlink w:anchor="_Toc452679057" w:history="1">
            <w:r>
              <w:rPr>
                <w:rStyle w:val="Hyperlink"/>
                <w:noProof/>
              </w:rPr>
              <w:t>5.</w:t>
            </w:r>
            <w:r>
              <w:rPr>
                <w:rFonts w:asciiTheme="minorHAnsi" w:eastAsiaTheme="minorEastAsia" w:hAnsiTheme="minorHAnsi" w:cstheme="minorBidi"/>
                <w:caps w:val="0"/>
                <w:noProof/>
                <w:sz w:val="22"/>
                <w:szCs w:val="22"/>
                <w:u w:val="single"/>
                <w:lang w:eastAsia="en-GB"/>
              </w:rPr>
              <w:tab/>
            </w:r>
            <w:r>
              <w:rPr>
                <w:rStyle w:val="Hyperlink"/>
                <w:noProof/>
              </w:rPr>
              <w:t>Policy options</w:t>
            </w:r>
            <w:r>
              <w:rPr>
                <w:noProof/>
                <w:webHidden/>
                <w:u w:val="single"/>
              </w:rPr>
              <w:tab/>
            </w:r>
            <w:r>
              <w:rPr>
                <w:noProof/>
                <w:webHidden/>
                <w:u w:val="single"/>
              </w:rPr>
              <w:fldChar w:fldCharType="begin"/>
            </w:r>
            <w:r>
              <w:rPr>
                <w:noProof/>
                <w:webHidden/>
                <w:u w:val="single"/>
              </w:rPr>
              <w:instrText xml:space="preserve"> PAGEREF _Toc4526790</w:instrText>
            </w:r>
            <w:r>
              <w:rPr>
                <w:noProof/>
                <w:webHidden/>
                <w:u w:val="single"/>
              </w:rPr>
              <w:instrText xml:space="preserve">57 \h </w:instrText>
            </w:r>
            <w:r>
              <w:rPr>
                <w:noProof/>
                <w:webHidden/>
                <w:u w:val="single"/>
              </w:rPr>
            </w:r>
            <w:r>
              <w:rPr>
                <w:noProof/>
                <w:webHidden/>
                <w:u w:val="single"/>
              </w:rPr>
              <w:fldChar w:fldCharType="separate"/>
            </w:r>
            <w:r>
              <w:rPr>
                <w:noProof/>
                <w:webHidden/>
                <w:u w:val="single"/>
              </w:rPr>
              <w:t>21</w:t>
            </w:r>
            <w:r>
              <w:rPr>
                <w:noProof/>
                <w:webHidden/>
                <w:u w:val="single"/>
              </w:rPr>
              <w:fldChar w:fldCharType="end"/>
            </w:r>
          </w:hyperlink>
        </w:p>
        <w:p w:rsidR="007306CA" w:rsidRDefault="00576025">
          <w:pPr>
            <w:pStyle w:val="TOC2"/>
            <w:tabs>
              <w:tab w:val="left" w:pos="1077"/>
            </w:tabs>
            <w:rPr>
              <w:rFonts w:asciiTheme="minorHAnsi" w:eastAsiaTheme="minorEastAsia" w:hAnsiTheme="minorHAnsi" w:cstheme="minorBidi"/>
              <w:noProof/>
              <w:sz w:val="22"/>
              <w:szCs w:val="22"/>
              <w:u w:val="single"/>
              <w:lang w:eastAsia="en-GB"/>
            </w:rPr>
          </w:pPr>
          <w:hyperlink w:anchor="_Toc452679058" w:history="1">
            <w:r>
              <w:rPr>
                <w:rStyle w:val="Hyperlink"/>
                <w:noProof/>
              </w:rPr>
              <w:t>5.1.</w:t>
            </w:r>
            <w:r>
              <w:rPr>
                <w:rFonts w:asciiTheme="minorHAnsi" w:eastAsiaTheme="minorEastAsia" w:hAnsiTheme="minorHAnsi" w:cstheme="minorBidi"/>
                <w:noProof/>
                <w:sz w:val="22"/>
                <w:szCs w:val="22"/>
                <w:u w:val="single"/>
                <w:lang w:eastAsia="en-GB"/>
              </w:rPr>
              <w:tab/>
            </w:r>
            <w:r>
              <w:rPr>
                <w:rStyle w:val="Hyperlink"/>
                <w:rFonts w:eastAsiaTheme="majorEastAsia"/>
                <w:bCs/>
                <w:noProof/>
              </w:rPr>
              <w:t>Options</w:t>
            </w:r>
            <w:r>
              <w:rPr>
                <w:rStyle w:val="Hyperlink"/>
                <w:noProof/>
              </w:rPr>
              <w:t xml:space="preserve"> discarded</w:t>
            </w:r>
            <w:r>
              <w:rPr>
                <w:noProof/>
                <w:webHidden/>
                <w:u w:val="single"/>
              </w:rPr>
              <w:tab/>
            </w:r>
            <w:r>
              <w:rPr>
                <w:noProof/>
                <w:webHidden/>
                <w:u w:val="single"/>
              </w:rPr>
              <w:fldChar w:fldCharType="begin"/>
            </w:r>
            <w:r>
              <w:rPr>
                <w:noProof/>
                <w:webHidden/>
                <w:u w:val="single"/>
              </w:rPr>
              <w:instrText xml:space="preserve"> PAGEREF _Toc452679058 \h </w:instrText>
            </w:r>
            <w:r>
              <w:rPr>
                <w:noProof/>
                <w:webHidden/>
                <w:u w:val="single"/>
              </w:rPr>
            </w:r>
            <w:r>
              <w:rPr>
                <w:noProof/>
                <w:webHidden/>
                <w:u w:val="single"/>
              </w:rPr>
              <w:fldChar w:fldCharType="separate"/>
            </w:r>
            <w:r>
              <w:rPr>
                <w:noProof/>
                <w:webHidden/>
                <w:u w:val="single"/>
              </w:rPr>
              <w:t>21</w:t>
            </w:r>
            <w:r>
              <w:rPr>
                <w:noProof/>
                <w:webHidden/>
                <w:u w:val="single"/>
              </w:rPr>
              <w:fldChar w:fldCharType="end"/>
            </w:r>
          </w:hyperlink>
        </w:p>
        <w:p w:rsidR="007306CA" w:rsidRDefault="00576025">
          <w:pPr>
            <w:pStyle w:val="TOC2"/>
            <w:tabs>
              <w:tab w:val="left" w:pos="1077"/>
            </w:tabs>
            <w:rPr>
              <w:rFonts w:asciiTheme="minorHAnsi" w:eastAsiaTheme="minorEastAsia" w:hAnsiTheme="minorHAnsi" w:cstheme="minorBidi"/>
              <w:noProof/>
              <w:sz w:val="22"/>
              <w:szCs w:val="22"/>
              <w:u w:val="single"/>
              <w:lang w:eastAsia="en-GB"/>
            </w:rPr>
          </w:pPr>
          <w:hyperlink w:anchor="_Toc452679059" w:history="1">
            <w:r>
              <w:rPr>
                <w:rStyle w:val="Hyperlink"/>
                <w:rFonts w:eastAsiaTheme="majorEastAsia"/>
                <w:noProof/>
              </w:rPr>
              <w:t>5.2.</w:t>
            </w:r>
            <w:r>
              <w:rPr>
                <w:rFonts w:asciiTheme="minorHAnsi" w:eastAsiaTheme="minorEastAsia" w:hAnsiTheme="minorHAnsi" w:cstheme="minorBidi"/>
                <w:noProof/>
                <w:sz w:val="22"/>
                <w:szCs w:val="22"/>
                <w:u w:val="single"/>
                <w:lang w:eastAsia="en-GB"/>
              </w:rPr>
              <w:tab/>
            </w:r>
            <w:r>
              <w:rPr>
                <w:rStyle w:val="Hyperlink"/>
                <w:noProof/>
              </w:rPr>
              <w:t>Options retained for further in-depth assessment</w:t>
            </w:r>
            <w:r>
              <w:rPr>
                <w:noProof/>
                <w:webHidden/>
                <w:u w:val="single"/>
              </w:rPr>
              <w:tab/>
            </w:r>
            <w:r>
              <w:rPr>
                <w:noProof/>
                <w:webHidden/>
                <w:u w:val="single"/>
              </w:rPr>
              <w:fldChar w:fldCharType="begin"/>
            </w:r>
            <w:r>
              <w:rPr>
                <w:noProof/>
                <w:webHidden/>
                <w:u w:val="single"/>
              </w:rPr>
              <w:instrText xml:space="preserve"> PAGEREF _Toc452679059 \h </w:instrText>
            </w:r>
            <w:r>
              <w:rPr>
                <w:noProof/>
                <w:webHidden/>
                <w:u w:val="single"/>
              </w:rPr>
            </w:r>
            <w:r>
              <w:rPr>
                <w:noProof/>
                <w:webHidden/>
                <w:u w:val="single"/>
              </w:rPr>
              <w:fldChar w:fldCharType="separate"/>
            </w:r>
            <w:r>
              <w:rPr>
                <w:noProof/>
                <w:webHidden/>
                <w:u w:val="single"/>
              </w:rPr>
              <w:t>23</w:t>
            </w:r>
            <w:r>
              <w:rPr>
                <w:noProof/>
                <w:webHidden/>
                <w:u w:val="single"/>
              </w:rPr>
              <w:fldChar w:fldCharType="end"/>
            </w:r>
          </w:hyperlink>
        </w:p>
        <w:p w:rsidR="007306CA" w:rsidRDefault="00576025">
          <w:pPr>
            <w:pStyle w:val="TOC1"/>
            <w:rPr>
              <w:rFonts w:asciiTheme="minorHAnsi" w:eastAsiaTheme="minorEastAsia" w:hAnsiTheme="minorHAnsi" w:cstheme="minorBidi"/>
              <w:caps w:val="0"/>
              <w:noProof/>
              <w:sz w:val="22"/>
              <w:szCs w:val="22"/>
              <w:u w:val="single"/>
              <w:lang w:eastAsia="en-GB"/>
            </w:rPr>
          </w:pPr>
          <w:hyperlink w:anchor="_Toc452679060" w:history="1">
            <w:r>
              <w:rPr>
                <w:rStyle w:val="Hyperlink"/>
                <w:noProof/>
              </w:rPr>
              <w:t>6.</w:t>
            </w:r>
            <w:r>
              <w:rPr>
                <w:rFonts w:asciiTheme="minorHAnsi" w:eastAsiaTheme="minorEastAsia" w:hAnsiTheme="minorHAnsi" w:cstheme="minorBidi"/>
                <w:caps w:val="0"/>
                <w:noProof/>
                <w:sz w:val="22"/>
                <w:szCs w:val="22"/>
                <w:u w:val="single"/>
                <w:lang w:eastAsia="en-GB"/>
              </w:rPr>
              <w:tab/>
            </w:r>
            <w:r>
              <w:rPr>
                <w:rStyle w:val="Hyperlink"/>
                <w:noProof/>
              </w:rPr>
              <w:t>Analysis of feasibility and impacts of the policy options</w:t>
            </w:r>
            <w:r>
              <w:rPr>
                <w:noProof/>
                <w:webHidden/>
                <w:u w:val="single"/>
              </w:rPr>
              <w:tab/>
            </w:r>
            <w:r>
              <w:rPr>
                <w:noProof/>
                <w:webHidden/>
                <w:u w:val="single"/>
              </w:rPr>
              <w:fldChar w:fldCharType="begin"/>
            </w:r>
            <w:r>
              <w:rPr>
                <w:noProof/>
                <w:webHidden/>
                <w:u w:val="single"/>
              </w:rPr>
              <w:instrText xml:space="preserve"> PAGEREF _Toc452679060 \h </w:instrText>
            </w:r>
            <w:r>
              <w:rPr>
                <w:noProof/>
                <w:webHidden/>
                <w:u w:val="single"/>
              </w:rPr>
            </w:r>
            <w:r>
              <w:rPr>
                <w:noProof/>
                <w:webHidden/>
                <w:u w:val="single"/>
              </w:rPr>
              <w:fldChar w:fldCharType="separate"/>
            </w:r>
            <w:r>
              <w:rPr>
                <w:noProof/>
                <w:webHidden/>
                <w:u w:val="single"/>
              </w:rPr>
              <w:t>29</w:t>
            </w:r>
            <w:r>
              <w:rPr>
                <w:noProof/>
                <w:webHidden/>
                <w:u w:val="single"/>
              </w:rPr>
              <w:fldChar w:fldCharType="end"/>
            </w:r>
          </w:hyperlink>
        </w:p>
        <w:p w:rsidR="007306CA" w:rsidRDefault="00576025">
          <w:pPr>
            <w:pStyle w:val="TOC2"/>
            <w:tabs>
              <w:tab w:val="left" w:pos="1077"/>
            </w:tabs>
            <w:rPr>
              <w:rFonts w:asciiTheme="minorHAnsi" w:eastAsiaTheme="minorEastAsia" w:hAnsiTheme="minorHAnsi" w:cstheme="minorBidi"/>
              <w:noProof/>
              <w:sz w:val="22"/>
              <w:szCs w:val="22"/>
              <w:u w:val="single"/>
              <w:lang w:eastAsia="en-GB"/>
            </w:rPr>
          </w:pPr>
          <w:hyperlink w:anchor="_Toc452679061" w:history="1">
            <w:r>
              <w:rPr>
                <w:rStyle w:val="Hyperlink"/>
                <w:rFonts w:eastAsiaTheme="majorEastAsia"/>
                <w:bCs/>
                <w:noProof/>
              </w:rPr>
              <w:t>6.1.</w:t>
            </w:r>
            <w:r>
              <w:rPr>
                <w:rFonts w:asciiTheme="minorHAnsi" w:eastAsiaTheme="minorEastAsia" w:hAnsiTheme="minorHAnsi" w:cstheme="minorBidi"/>
                <w:noProof/>
                <w:sz w:val="22"/>
                <w:szCs w:val="22"/>
                <w:u w:val="single"/>
                <w:lang w:eastAsia="en-GB"/>
              </w:rPr>
              <w:tab/>
            </w:r>
            <w:r>
              <w:rPr>
                <w:rStyle w:val="Hyperlink"/>
                <w:rFonts w:eastAsiaTheme="majorEastAsia"/>
                <w:bCs/>
                <w:noProof/>
              </w:rPr>
              <w:t>Assessment of the legal feasibility</w:t>
            </w:r>
            <w:r>
              <w:rPr>
                <w:noProof/>
                <w:webHidden/>
                <w:u w:val="single"/>
              </w:rPr>
              <w:tab/>
            </w:r>
            <w:r>
              <w:rPr>
                <w:noProof/>
                <w:webHidden/>
                <w:u w:val="single"/>
              </w:rPr>
              <w:fldChar w:fldCharType="begin"/>
            </w:r>
            <w:r>
              <w:rPr>
                <w:noProof/>
                <w:webHidden/>
                <w:u w:val="single"/>
              </w:rPr>
              <w:instrText xml:space="preserve"> PAGEREF _Toc452679061 \h </w:instrText>
            </w:r>
            <w:r>
              <w:rPr>
                <w:noProof/>
                <w:webHidden/>
                <w:u w:val="single"/>
              </w:rPr>
            </w:r>
            <w:r>
              <w:rPr>
                <w:noProof/>
                <w:webHidden/>
                <w:u w:val="single"/>
              </w:rPr>
              <w:fldChar w:fldCharType="separate"/>
            </w:r>
            <w:r>
              <w:rPr>
                <w:noProof/>
                <w:webHidden/>
                <w:u w:val="single"/>
              </w:rPr>
              <w:t>29</w:t>
            </w:r>
            <w:r>
              <w:rPr>
                <w:noProof/>
                <w:webHidden/>
                <w:u w:val="single"/>
              </w:rPr>
              <w:fldChar w:fldCharType="end"/>
            </w:r>
          </w:hyperlink>
        </w:p>
        <w:p w:rsidR="007306CA" w:rsidRDefault="00576025">
          <w:pPr>
            <w:pStyle w:val="TOC2"/>
            <w:tabs>
              <w:tab w:val="left" w:pos="1077"/>
            </w:tabs>
            <w:rPr>
              <w:rFonts w:asciiTheme="minorHAnsi" w:eastAsiaTheme="minorEastAsia" w:hAnsiTheme="minorHAnsi" w:cstheme="minorBidi"/>
              <w:noProof/>
              <w:sz w:val="22"/>
              <w:szCs w:val="22"/>
              <w:u w:val="single"/>
              <w:lang w:eastAsia="en-GB"/>
            </w:rPr>
          </w:pPr>
          <w:hyperlink w:anchor="_Toc452679062" w:history="1">
            <w:r>
              <w:rPr>
                <w:rStyle w:val="Hyperlink"/>
                <w:rFonts w:eastAsiaTheme="majorEastAsia"/>
                <w:bCs/>
                <w:noProof/>
              </w:rPr>
              <w:t>6.2.</w:t>
            </w:r>
            <w:r>
              <w:rPr>
                <w:rFonts w:asciiTheme="minorHAnsi" w:eastAsiaTheme="minorEastAsia" w:hAnsiTheme="minorHAnsi" w:cstheme="minorBidi"/>
                <w:noProof/>
                <w:sz w:val="22"/>
                <w:szCs w:val="22"/>
                <w:u w:val="single"/>
                <w:lang w:eastAsia="en-GB"/>
              </w:rPr>
              <w:tab/>
            </w:r>
            <w:r>
              <w:rPr>
                <w:rStyle w:val="Hyperlink"/>
                <w:rFonts w:eastAsiaTheme="majorEastAsia"/>
                <w:bCs/>
                <w:noProof/>
              </w:rPr>
              <w:t>Assessment of the impact</w:t>
            </w:r>
            <w:r>
              <w:rPr>
                <w:noProof/>
                <w:webHidden/>
                <w:u w:val="single"/>
              </w:rPr>
              <w:tab/>
            </w:r>
            <w:r>
              <w:rPr>
                <w:noProof/>
                <w:webHidden/>
                <w:u w:val="single"/>
              </w:rPr>
              <w:fldChar w:fldCharType="begin"/>
            </w:r>
            <w:r>
              <w:rPr>
                <w:noProof/>
                <w:webHidden/>
                <w:u w:val="single"/>
              </w:rPr>
              <w:instrText xml:space="preserve"> PAGEREF _Toc452679062 \h </w:instrText>
            </w:r>
            <w:r>
              <w:rPr>
                <w:noProof/>
                <w:webHidden/>
                <w:u w:val="single"/>
              </w:rPr>
            </w:r>
            <w:r>
              <w:rPr>
                <w:noProof/>
                <w:webHidden/>
                <w:u w:val="single"/>
              </w:rPr>
              <w:fldChar w:fldCharType="separate"/>
            </w:r>
            <w:r>
              <w:rPr>
                <w:noProof/>
                <w:webHidden/>
                <w:u w:val="single"/>
              </w:rPr>
              <w:t>30</w:t>
            </w:r>
            <w:r>
              <w:rPr>
                <w:noProof/>
                <w:webHidden/>
                <w:u w:val="single"/>
              </w:rPr>
              <w:fldChar w:fldCharType="end"/>
            </w:r>
          </w:hyperlink>
        </w:p>
        <w:p w:rsidR="007306CA" w:rsidRDefault="00576025">
          <w:pPr>
            <w:pStyle w:val="TOC1"/>
            <w:rPr>
              <w:rFonts w:asciiTheme="minorHAnsi" w:eastAsiaTheme="minorEastAsia" w:hAnsiTheme="minorHAnsi" w:cstheme="minorBidi"/>
              <w:caps w:val="0"/>
              <w:noProof/>
              <w:sz w:val="22"/>
              <w:szCs w:val="22"/>
              <w:u w:val="single"/>
              <w:lang w:eastAsia="en-GB"/>
            </w:rPr>
          </w:pPr>
          <w:hyperlink w:anchor="_Toc452679063" w:history="1">
            <w:r>
              <w:rPr>
                <w:rStyle w:val="Hyperlink"/>
                <w:noProof/>
              </w:rPr>
              <w:t>7.</w:t>
            </w:r>
            <w:r>
              <w:rPr>
                <w:rFonts w:asciiTheme="minorHAnsi" w:eastAsiaTheme="minorEastAsia" w:hAnsiTheme="minorHAnsi" w:cstheme="minorBidi"/>
                <w:caps w:val="0"/>
                <w:noProof/>
                <w:sz w:val="22"/>
                <w:szCs w:val="22"/>
                <w:u w:val="single"/>
                <w:lang w:eastAsia="en-GB"/>
              </w:rPr>
              <w:tab/>
            </w:r>
            <w:r>
              <w:rPr>
                <w:rStyle w:val="Hyperlink"/>
                <w:noProof/>
              </w:rPr>
              <w:t>Comparison of the policy option packages</w:t>
            </w:r>
            <w:r>
              <w:rPr>
                <w:noProof/>
                <w:webHidden/>
                <w:u w:val="single"/>
              </w:rPr>
              <w:tab/>
            </w:r>
            <w:r>
              <w:rPr>
                <w:noProof/>
                <w:webHidden/>
                <w:u w:val="single"/>
              </w:rPr>
              <w:fldChar w:fldCharType="begin"/>
            </w:r>
            <w:r>
              <w:rPr>
                <w:noProof/>
                <w:webHidden/>
                <w:u w:val="single"/>
              </w:rPr>
              <w:instrText xml:space="preserve"> PAGEREF _Toc452679063 \h </w:instrText>
            </w:r>
            <w:r>
              <w:rPr>
                <w:noProof/>
                <w:webHidden/>
                <w:u w:val="single"/>
              </w:rPr>
            </w:r>
            <w:r>
              <w:rPr>
                <w:noProof/>
                <w:webHidden/>
                <w:u w:val="single"/>
              </w:rPr>
              <w:fldChar w:fldCharType="separate"/>
            </w:r>
            <w:r>
              <w:rPr>
                <w:noProof/>
                <w:webHidden/>
                <w:u w:val="single"/>
              </w:rPr>
              <w:t>49</w:t>
            </w:r>
            <w:r>
              <w:rPr>
                <w:noProof/>
                <w:webHidden/>
                <w:u w:val="single"/>
              </w:rPr>
              <w:fldChar w:fldCharType="end"/>
            </w:r>
          </w:hyperlink>
        </w:p>
        <w:p w:rsidR="007306CA" w:rsidRDefault="00576025">
          <w:pPr>
            <w:pStyle w:val="TOC2"/>
            <w:tabs>
              <w:tab w:val="left" w:pos="1077"/>
            </w:tabs>
            <w:rPr>
              <w:rFonts w:asciiTheme="minorHAnsi" w:eastAsiaTheme="minorEastAsia" w:hAnsiTheme="minorHAnsi" w:cstheme="minorBidi"/>
              <w:noProof/>
              <w:sz w:val="22"/>
              <w:szCs w:val="22"/>
              <w:u w:val="single"/>
              <w:lang w:eastAsia="en-GB"/>
            </w:rPr>
          </w:pPr>
          <w:hyperlink w:anchor="_Toc452679064" w:history="1">
            <w:r>
              <w:rPr>
                <w:rStyle w:val="Hyperlink"/>
                <w:noProof/>
              </w:rPr>
              <w:t>7.1.</w:t>
            </w:r>
            <w:r>
              <w:rPr>
                <w:rFonts w:asciiTheme="minorHAnsi" w:eastAsiaTheme="minorEastAsia" w:hAnsiTheme="minorHAnsi" w:cstheme="minorBidi"/>
                <w:noProof/>
                <w:sz w:val="22"/>
                <w:szCs w:val="22"/>
                <w:u w:val="single"/>
                <w:lang w:eastAsia="en-GB"/>
              </w:rPr>
              <w:tab/>
            </w:r>
            <w:r>
              <w:rPr>
                <w:rStyle w:val="Hyperlink"/>
                <w:noProof/>
              </w:rPr>
              <w:t>Overview</w:t>
            </w:r>
            <w:r>
              <w:rPr>
                <w:noProof/>
                <w:webHidden/>
                <w:u w:val="single"/>
              </w:rPr>
              <w:tab/>
            </w:r>
            <w:r>
              <w:rPr>
                <w:noProof/>
                <w:webHidden/>
                <w:u w:val="single"/>
              </w:rPr>
              <w:fldChar w:fldCharType="begin"/>
            </w:r>
            <w:r>
              <w:rPr>
                <w:noProof/>
                <w:webHidden/>
                <w:u w:val="single"/>
              </w:rPr>
              <w:instrText xml:space="preserve"> PAGEREF _Toc452679064 \h </w:instrText>
            </w:r>
            <w:r>
              <w:rPr>
                <w:noProof/>
                <w:webHidden/>
                <w:u w:val="single"/>
              </w:rPr>
            </w:r>
            <w:r>
              <w:rPr>
                <w:noProof/>
                <w:webHidden/>
                <w:u w:val="single"/>
              </w:rPr>
              <w:fldChar w:fldCharType="separate"/>
            </w:r>
            <w:r>
              <w:rPr>
                <w:noProof/>
                <w:webHidden/>
                <w:u w:val="single"/>
              </w:rPr>
              <w:t>49</w:t>
            </w:r>
            <w:r>
              <w:rPr>
                <w:noProof/>
                <w:webHidden/>
                <w:u w:val="single"/>
              </w:rPr>
              <w:fldChar w:fldCharType="end"/>
            </w:r>
          </w:hyperlink>
        </w:p>
        <w:p w:rsidR="007306CA" w:rsidRDefault="00576025">
          <w:pPr>
            <w:pStyle w:val="TOC2"/>
            <w:tabs>
              <w:tab w:val="left" w:pos="1077"/>
            </w:tabs>
            <w:rPr>
              <w:rFonts w:asciiTheme="minorHAnsi" w:eastAsiaTheme="minorEastAsia" w:hAnsiTheme="minorHAnsi" w:cstheme="minorBidi"/>
              <w:noProof/>
              <w:sz w:val="22"/>
              <w:szCs w:val="22"/>
              <w:u w:val="single"/>
              <w:lang w:eastAsia="en-GB"/>
            </w:rPr>
          </w:pPr>
          <w:hyperlink w:anchor="_Toc452679065" w:history="1">
            <w:r>
              <w:rPr>
                <w:rStyle w:val="Hyperlink"/>
                <w:noProof/>
              </w:rPr>
              <w:t>7.2.</w:t>
            </w:r>
            <w:r>
              <w:rPr>
                <w:rFonts w:asciiTheme="minorHAnsi" w:eastAsiaTheme="minorEastAsia" w:hAnsiTheme="minorHAnsi" w:cstheme="minorBidi"/>
                <w:noProof/>
                <w:sz w:val="22"/>
                <w:szCs w:val="22"/>
                <w:u w:val="single"/>
                <w:lang w:eastAsia="en-GB"/>
              </w:rPr>
              <w:tab/>
            </w:r>
            <w:r>
              <w:rPr>
                <w:rStyle w:val="Hyperlink"/>
                <w:noProof/>
              </w:rPr>
              <w:t>Preferred option</w:t>
            </w:r>
            <w:r>
              <w:rPr>
                <w:noProof/>
                <w:webHidden/>
                <w:u w:val="single"/>
              </w:rPr>
              <w:tab/>
            </w:r>
            <w:r>
              <w:rPr>
                <w:noProof/>
                <w:webHidden/>
                <w:u w:val="single"/>
              </w:rPr>
              <w:fldChar w:fldCharType="begin"/>
            </w:r>
            <w:r>
              <w:rPr>
                <w:noProof/>
                <w:webHidden/>
                <w:u w:val="single"/>
              </w:rPr>
              <w:instrText xml:space="preserve"> PAGEREF _Toc452679065 \h </w:instrText>
            </w:r>
            <w:r>
              <w:rPr>
                <w:noProof/>
                <w:webHidden/>
                <w:u w:val="single"/>
              </w:rPr>
            </w:r>
            <w:r>
              <w:rPr>
                <w:noProof/>
                <w:webHidden/>
                <w:u w:val="single"/>
              </w:rPr>
              <w:fldChar w:fldCharType="separate"/>
            </w:r>
            <w:r>
              <w:rPr>
                <w:noProof/>
                <w:webHidden/>
                <w:u w:val="single"/>
              </w:rPr>
              <w:t>52</w:t>
            </w:r>
            <w:r>
              <w:rPr>
                <w:noProof/>
                <w:webHidden/>
                <w:u w:val="single"/>
              </w:rPr>
              <w:fldChar w:fldCharType="end"/>
            </w:r>
          </w:hyperlink>
        </w:p>
        <w:p w:rsidR="007306CA" w:rsidRDefault="00576025">
          <w:pPr>
            <w:pStyle w:val="TOC1"/>
            <w:rPr>
              <w:rFonts w:asciiTheme="minorHAnsi" w:eastAsiaTheme="minorEastAsia" w:hAnsiTheme="minorHAnsi" w:cstheme="minorBidi"/>
              <w:caps w:val="0"/>
              <w:noProof/>
              <w:sz w:val="22"/>
              <w:szCs w:val="22"/>
              <w:u w:val="single"/>
              <w:lang w:eastAsia="en-GB"/>
            </w:rPr>
          </w:pPr>
          <w:hyperlink w:anchor="_Toc452679066" w:history="1">
            <w:r>
              <w:rPr>
                <w:rStyle w:val="Hyperlink"/>
                <w:noProof/>
              </w:rPr>
              <w:t>8.</w:t>
            </w:r>
            <w:r>
              <w:rPr>
                <w:rFonts w:asciiTheme="minorHAnsi" w:eastAsiaTheme="minorEastAsia" w:hAnsiTheme="minorHAnsi" w:cstheme="minorBidi"/>
                <w:caps w:val="0"/>
                <w:noProof/>
                <w:sz w:val="22"/>
                <w:szCs w:val="22"/>
                <w:u w:val="single"/>
                <w:lang w:eastAsia="en-GB"/>
              </w:rPr>
              <w:tab/>
            </w:r>
            <w:r>
              <w:rPr>
                <w:rStyle w:val="Hyperlink"/>
                <w:noProof/>
              </w:rPr>
              <w:t>Mon</w:t>
            </w:r>
            <w:r>
              <w:rPr>
                <w:rStyle w:val="Hyperlink"/>
                <w:noProof/>
              </w:rPr>
              <w:t>itoring and evaluation</w:t>
            </w:r>
            <w:r>
              <w:rPr>
                <w:noProof/>
                <w:webHidden/>
                <w:u w:val="single"/>
              </w:rPr>
              <w:tab/>
            </w:r>
            <w:r>
              <w:rPr>
                <w:noProof/>
                <w:webHidden/>
                <w:u w:val="single"/>
              </w:rPr>
              <w:fldChar w:fldCharType="begin"/>
            </w:r>
            <w:r>
              <w:rPr>
                <w:noProof/>
                <w:webHidden/>
                <w:u w:val="single"/>
              </w:rPr>
              <w:instrText xml:space="preserve"> PAGEREF _Toc452679066 \h </w:instrText>
            </w:r>
            <w:r>
              <w:rPr>
                <w:noProof/>
                <w:webHidden/>
                <w:u w:val="single"/>
              </w:rPr>
            </w:r>
            <w:r>
              <w:rPr>
                <w:noProof/>
                <w:webHidden/>
                <w:u w:val="single"/>
              </w:rPr>
              <w:fldChar w:fldCharType="separate"/>
            </w:r>
            <w:r>
              <w:rPr>
                <w:noProof/>
                <w:webHidden/>
                <w:u w:val="single"/>
              </w:rPr>
              <w:t>53</w:t>
            </w:r>
            <w:r>
              <w:rPr>
                <w:noProof/>
                <w:webHidden/>
                <w:u w:val="single"/>
              </w:rPr>
              <w:fldChar w:fldCharType="end"/>
            </w:r>
          </w:hyperlink>
        </w:p>
        <w:p w:rsidR="007306CA" w:rsidRDefault="00576025">
          <w:pPr>
            <w:pStyle w:val="TOC2"/>
            <w:tabs>
              <w:tab w:val="left" w:pos="1077"/>
            </w:tabs>
            <w:rPr>
              <w:rFonts w:asciiTheme="minorHAnsi" w:eastAsiaTheme="minorEastAsia" w:hAnsiTheme="minorHAnsi" w:cstheme="minorBidi"/>
              <w:noProof/>
              <w:sz w:val="22"/>
              <w:szCs w:val="22"/>
              <w:u w:val="single"/>
              <w:lang w:eastAsia="en-GB"/>
            </w:rPr>
          </w:pPr>
          <w:hyperlink w:anchor="_Toc452679067" w:history="1">
            <w:r>
              <w:rPr>
                <w:rStyle w:val="Hyperlink"/>
                <w:noProof/>
              </w:rPr>
              <w:t>8.1.</w:t>
            </w:r>
            <w:r>
              <w:rPr>
                <w:rFonts w:asciiTheme="minorHAnsi" w:eastAsiaTheme="minorEastAsia" w:hAnsiTheme="minorHAnsi" w:cstheme="minorBidi"/>
                <w:noProof/>
                <w:sz w:val="22"/>
                <w:szCs w:val="22"/>
                <w:u w:val="single"/>
                <w:lang w:eastAsia="en-GB"/>
              </w:rPr>
              <w:tab/>
            </w:r>
            <w:r>
              <w:rPr>
                <w:rStyle w:val="Hyperlink"/>
                <w:noProof/>
              </w:rPr>
              <w:t>Operational objectives</w:t>
            </w:r>
            <w:r>
              <w:rPr>
                <w:noProof/>
                <w:webHidden/>
                <w:u w:val="single"/>
              </w:rPr>
              <w:tab/>
            </w:r>
            <w:r>
              <w:rPr>
                <w:noProof/>
                <w:webHidden/>
                <w:u w:val="single"/>
              </w:rPr>
              <w:fldChar w:fldCharType="begin"/>
            </w:r>
            <w:r>
              <w:rPr>
                <w:noProof/>
                <w:webHidden/>
                <w:u w:val="single"/>
              </w:rPr>
              <w:instrText xml:space="preserve"> PAGEREF _Toc452679067 \h </w:instrText>
            </w:r>
            <w:r>
              <w:rPr>
                <w:noProof/>
                <w:webHidden/>
                <w:u w:val="single"/>
              </w:rPr>
            </w:r>
            <w:r>
              <w:rPr>
                <w:noProof/>
                <w:webHidden/>
                <w:u w:val="single"/>
              </w:rPr>
              <w:fldChar w:fldCharType="separate"/>
            </w:r>
            <w:r>
              <w:rPr>
                <w:noProof/>
                <w:webHidden/>
                <w:u w:val="single"/>
              </w:rPr>
              <w:t>53</w:t>
            </w:r>
            <w:r>
              <w:rPr>
                <w:noProof/>
                <w:webHidden/>
                <w:u w:val="single"/>
              </w:rPr>
              <w:fldChar w:fldCharType="end"/>
            </w:r>
          </w:hyperlink>
        </w:p>
        <w:p w:rsidR="007306CA" w:rsidRDefault="00576025">
          <w:pPr>
            <w:pStyle w:val="TOC2"/>
            <w:tabs>
              <w:tab w:val="left" w:pos="1077"/>
            </w:tabs>
            <w:rPr>
              <w:rFonts w:asciiTheme="minorHAnsi" w:eastAsiaTheme="minorEastAsia" w:hAnsiTheme="minorHAnsi" w:cstheme="minorBidi"/>
              <w:noProof/>
              <w:sz w:val="22"/>
              <w:szCs w:val="22"/>
              <w:u w:val="single"/>
              <w:lang w:eastAsia="en-GB"/>
            </w:rPr>
          </w:pPr>
          <w:hyperlink w:anchor="_Toc452679068" w:history="1">
            <w:r>
              <w:rPr>
                <w:rStyle w:val="Hyperlink"/>
                <w:noProof/>
              </w:rPr>
              <w:t>8.2.</w:t>
            </w:r>
            <w:r>
              <w:rPr>
                <w:rFonts w:asciiTheme="minorHAnsi" w:eastAsiaTheme="minorEastAsia" w:hAnsiTheme="minorHAnsi" w:cstheme="minorBidi"/>
                <w:noProof/>
                <w:sz w:val="22"/>
                <w:szCs w:val="22"/>
                <w:u w:val="single"/>
                <w:lang w:eastAsia="en-GB"/>
              </w:rPr>
              <w:tab/>
            </w:r>
            <w:r>
              <w:rPr>
                <w:rStyle w:val="Hyperlink"/>
                <w:noProof/>
              </w:rPr>
              <w:t>Implementation stage</w:t>
            </w:r>
            <w:r>
              <w:rPr>
                <w:noProof/>
                <w:webHidden/>
                <w:u w:val="single"/>
              </w:rPr>
              <w:tab/>
            </w:r>
            <w:r>
              <w:rPr>
                <w:noProof/>
                <w:webHidden/>
                <w:u w:val="single"/>
              </w:rPr>
              <w:fldChar w:fldCharType="begin"/>
            </w:r>
            <w:r>
              <w:rPr>
                <w:noProof/>
                <w:webHidden/>
                <w:u w:val="single"/>
              </w:rPr>
              <w:instrText xml:space="preserve"> PAGEREF _Toc452679068 \h </w:instrText>
            </w:r>
            <w:r>
              <w:rPr>
                <w:noProof/>
                <w:webHidden/>
                <w:u w:val="single"/>
              </w:rPr>
            </w:r>
            <w:r>
              <w:rPr>
                <w:noProof/>
                <w:webHidden/>
                <w:u w:val="single"/>
              </w:rPr>
              <w:fldChar w:fldCharType="separate"/>
            </w:r>
            <w:r>
              <w:rPr>
                <w:noProof/>
                <w:webHidden/>
                <w:u w:val="single"/>
              </w:rPr>
              <w:t>53</w:t>
            </w:r>
            <w:r>
              <w:rPr>
                <w:noProof/>
                <w:webHidden/>
                <w:u w:val="single"/>
              </w:rPr>
              <w:fldChar w:fldCharType="end"/>
            </w:r>
          </w:hyperlink>
        </w:p>
        <w:p w:rsidR="007306CA" w:rsidRDefault="00576025">
          <w:pPr>
            <w:pStyle w:val="TOC2"/>
            <w:tabs>
              <w:tab w:val="left" w:pos="1077"/>
            </w:tabs>
            <w:rPr>
              <w:rFonts w:asciiTheme="minorHAnsi" w:eastAsiaTheme="minorEastAsia" w:hAnsiTheme="minorHAnsi" w:cstheme="minorBidi"/>
              <w:noProof/>
              <w:sz w:val="22"/>
              <w:szCs w:val="22"/>
              <w:u w:val="single"/>
              <w:lang w:eastAsia="en-GB"/>
            </w:rPr>
          </w:pPr>
          <w:hyperlink w:anchor="_Toc452679069" w:history="1">
            <w:r>
              <w:rPr>
                <w:rStyle w:val="Hyperlink"/>
                <w:noProof/>
              </w:rPr>
              <w:t>8.</w:t>
            </w:r>
            <w:r>
              <w:rPr>
                <w:rStyle w:val="Hyperlink"/>
                <w:noProof/>
              </w:rPr>
              <w:t>3.</w:t>
            </w:r>
            <w:r>
              <w:rPr>
                <w:rFonts w:asciiTheme="minorHAnsi" w:eastAsiaTheme="minorEastAsia" w:hAnsiTheme="minorHAnsi" w:cstheme="minorBidi"/>
                <w:noProof/>
                <w:sz w:val="22"/>
                <w:szCs w:val="22"/>
                <w:u w:val="single"/>
                <w:lang w:eastAsia="en-GB"/>
              </w:rPr>
              <w:tab/>
            </w:r>
            <w:r>
              <w:rPr>
                <w:rStyle w:val="Hyperlink"/>
                <w:noProof/>
              </w:rPr>
              <w:t>Application stage</w:t>
            </w:r>
            <w:r>
              <w:rPr>
                <w:noProof/>
                <w:webHidden/>
                <w:u w:val="single"/>
              </w:rPr>
              <w:tab/>
            </w:r>
            <w:r>
              <w:rPr>
                <w:noProof/>
                <w:webHidden/>
                <w:u w:val="single"/>
              </w:rPr>
              <w:fldChar w:fldCharType="begin"/>
            </w:r>
            <w:r>
              <w:rPr>
                <w:noProof/>
                <w:webHidden/>
                <w:u w:val="single"/>
              </w:rPr>
              <w:instrText xml:space="preserve"> PAGEREF _Toc452679069 \h </w:instrText>
            </w:r>
            <w:r>
              <w:rPr>
                <w:noProof/>
                <w:webHidden/>
                <w:u w:val="single"/>
              </w:rPr>
            </w:r>
            <w:r>
              <w:rPr>
                <w:noProof/>
                <w:webHidden/>
                <w:u w:val="single"/>
              </w:rPr>
              <w:fldChar w:fldCharType="separate"/>
            </w:r>
            <w:r>
              <w:rPr>
                <w:noProof/>
                <w:webHidden/>
                <w:u w:val="single"/>
              </w:rPr>
              <w:t>54</w:t>
            </w:r>
            <w:r>
              <w:rPr>
                <w:noProof/>
                <w:webHidden/>
                <w:u w:val="single"/>
              </w:rPr>
              <w:fldChar w:fldCharType="end"/>
            </w:r>
          </w:hyperlink>
        </w:p>
        <w:p w:rsidR="007306CA" w:rsidRDefault="00576025">
          <w:pPr>
            <w:pStyle w:val="TOC1"/>
            <w:rPr>
              <w:rFonts w:asciiTheme="minorHAnsi" w:eastAsiaTheme="minorEastAsia" w:hAnsiTheme="minorHAnsi" w:cstheme="minorBidi"/>
              <w:caps w:val="0"/>
              <w:noProof/>
              <w:sz w:val="22"/>
              <w:szCs w:val="22"/>
              <w:u w:val="single"/>
              <w:lang w:eastAsia="en-GB"/>
            </w:rPr>
          </w:pPr>
          <w:hyperlink w:anchor="_Toc452679070" w:history="1">
            <w:r>
              <w:rPr>
                <w:rStyle w:val="Hyperlink"/>
                <w:noProof/>
              </w:rPr>
              <w:t>9. List of Annexes</w:t>
            </w:r>
            <w:r>
              <w:rPr>
                <w:noProof/>
                <w:webHidden/>
                <w:u w:val="single"/>
              </w:rPr>
              <w:tab/>
            </w:r>
            <w:r>
              <w:rPr>
                <w:noProof/>
                <w:webHidden/>
                <w:u w:val="single"/>
              </w:rPr>
              <w:fldChar w:fldCharType="begin"/>
            </w:r>
            <w:r>
              <w:rPr>
                <w:noProof/>
                <w:webHidden/>
                <w:u w:val="single"/>
              </w:rPr>
              <w:instrText xml:space="preserve"> PAGEREF _Toc452679070 \h </w:instrText>
            </w:r>
            <w:r>
              <w:rPr>
                <w:noProof/>
                <w:webHidden/>
                <w:u w:val="single"/>
              </w:rPr>
            </w:r>
            <w:r>
              <w:rPr>
                <w:noProof/>
                <w:webHidden/>
                <w:u w:val="single"/>
              </w:rPr>
              <w:fldChar w:fldCharType="separate"/>
            </w:r>
            <w:r>
              <w:rPr>
                <w:noProof/>
                <w:webHidden/>
                <w:u w:val="single"/>
              </w:rPr>
              <w:t>56</w:t>
            </w:r>
            <w:r>
              <w:rPr>
                <w:noProof/>
                <w:webHidden/>
                <w:u w:val="single"/>
              </w:rPr>
              <w:fldChar w:fldCharType="end"/>
            </w:r>
          </w:hyperlink>
        </w:p>
        <w:p w:rsidR="007306CA" w:rsidRDefault="00576025">
          <w:pPr>
            <w:spacing w:after="120" w:line="360" w:lineRule="auto"/>
            <w:rPr>
              <w:b/>
              <w:noProof/>
              <w:sz w:val="20"/>
              <w:szCs w:val="20"/>
              <w:u w:val="single"/>
              <w:lang w:val="en-US"/>
            </w:rPr>
          </w:pPr>
          <w:r>
            <w:rPr>
              <w:caps/>
              <w:noProof/>
              <w:u w:val="single"/>
            </w:rPr>
            <w:fldChar w:fldCharType="end"/>
          </w:r>
        </w:p>
      </w:sdtContent>
    </w:sdt>
    <w:p w:rsidR="007306CA" w:rsidRDefault="00576025">
      <w:pPr>
        <w:pStyle w:val="NormalWeb"/>
        <w:spacing w:before="0" w:beforeAutospacing="0" w:after="180" w:afterAutospacing="0"/>
        <w:jc w:val="both"/>
        <w:rPr>
          <w:rFonts w:ascii="Times New Roman" w:hAnsi="Times New Roman"/>
          <w:b/>
          <w:noProof/>
          <w:u w:val="single"/>
        </w:rPr>
      </w:pPr>
      <w:r>
        <w:rPr>
          <w:rFonts w:ascii="Times New Roman" w:hAnsi="Times New Roman"/>
          <w:b/>
          <w:noProof/>
          <w:u w:val="single"/>
        </w:rPr>
        <w:lastRenderedPageBreak/>
        <w:t>Terminology and abbreviations used</w:t>
      </w:r>
    </w:p>
    <w:tbl>
      <w:tblPr>
        <w:tblStyle w:val="TableGrid"/>
        <w:tblW w:w="0" w:type="auto"/>
        <w:tblLook w:val="04A0" w:firstRow="1" w:lastRow="0" w:firstColumn="1" w:lastColumn="0" w:noHBand="0" w:noVBand="1"/>
      </w:tblPr>
      <w:tblGrid>
        <w:gridCol w:w="1511"/>
        <w:gridCol w:w="7322"/>
      </w:tblGrid>
      <w:tr w:rsidR="007306CA">
        <w:tc>
          <w:tcPr>
            <w:tcW w:w="1526" w:type="dxa"/>
          </w:tcPr>
          <w:p w:rsidR="007306CA" w:rsidRDefault="00576025">
            <w:pPr>
              <w:pStyle w:val="NormalWeb"/>
              <w:spacing w:before="0" w:beforeAutospacing="0" w:after="180" w:afterAutospacing="0"/>
              <w:jc w:val="both"/>
              <w:rPr>
                <w:noProof/>
              </w:rPr>
            </w:pPr>
            <w:r>
              <w:rPr>
                <w:rFonts w:ascii="Times New Roman" w:hAnsi="Times New Roman"/>
                <w:noProof/>
              </w:rPr>
              <w:t>Higher professional qualifications</w:t>
            </w:r>
          </w:p>
        </w:tc>
        <w:tc>
          <w:tcPr>
            <w:tcW w:w="7762" w:type="dxa"/>
          </w:tcPr>
          <w:p w:rsidR="007306CA" w:rsidRDefault="00576025">
            <w:pPr>
              <w:pStyle w:val="NormalWeb"/>
              <w:spacing w:before="0" w:beforeAutospacing="0" w:after="180" w:afterAutospacing="0"/>
              <w:jc w:val="both"/>
              <w:rPr>
                <w:noProof/>
              </w:rPr>
            </w:pPr>
            <w:r>
              <w:rPr>
                <w:noProof/>
              </w:rPr>
              <w:t>I</w:t>
            </w:r>
            <w:r>
              <w:rPr>
                <w:rFonts w:ascii="Times New Roman" w:hAnsi="Times New Roman"/>
                <w:noProof/>
              </w:rPr>
              <w:t>n general, means qualifications attested by evidence of higher education qualifications, yet can also mean qualifi</w:t>
            </w:r>
            <w:r>
              <w:rPr>
                <w:rFonts w:ascii="Times New Roman" w:hAnsi="Times New Roman"/>
                <w:noProof/>
              </w:rPr>
              <w:t>cations attested by at least five years of professional experience of a level comparable to higher education qualifications (optional clause in Blue Card Directive)</w:t>
            </w:r>
            <w:r>
              <w:rPr>
                <w:noProof/>
              </w:rPr>
              <w:t>.</w:t>
            </w:r>
          </w:p>
        </w:tc>
      </w:tr>
      <w:tr w:rsidR="007306CA">
        <w:tc>
          <w:tcPr>
            <w:tcW w:w="1526" w:type="dxa"/>
          </w:tcPr>
          <w:p w:rsidR="007306CA" w:rsidRDefault="00576025">
            <w:pPr>
              <w:pStyle w:val="NormalWeb"/>
              <w:spacing w:before="0" w:beforeAutospacing="0" w:after="180" w:afterAutospacing="0"/>
              <w:jc w:val="both"/>
              <w:rPr>
                <w:noProof/>
              </w:rPr>
            </w:pPr>
            <w:r>
              <w:rPr>
                <w:noProof/>
              </w:rPr>
              <w:t>H</w:t>
            </w:r>
            <w:r>
              <w:rPr>
                <w:rFonts w:ascii="Times New Roman" w:hAnsi="Times New Roman"/>
                <w:noProof/>
              </w:rPr>
              <w:t>ighly skilled</w:t>
            </w:r>
          </w:p>
        </w:tc>
        <w:tc>
          <w:tcPr>
            <w:tcW w:w="7762" w:type="dxa"/>
          </w:tcPr>
          <w:p w:rsidR="007306CA" w:rsidRDefault="00576025">
            <w:pPr>
              <w:pStyle w:val="NormalWeb"/>
              <w:spacing w:before="0" w:beforeAutospacing="0" w:after="180" w:afterAutospacing="0"/>
              <w:jc w:val="both"/>
              <w:rPr>
                <w:noProof/>
              </w:rPr>
            </w:pPr>
            <w:r>
              <w:rPr>
                <w:rFonts w:ascii="Times New Roman" w:hAnsi="Times New Roman"/>
                <w:noProof/>
              </w:rPr>
              <w:t>Someone who has the required adequate and specific competence as proven by</w:t>
            </w:r>
            <w:r>
              <w:rPr>
                <w:rFonts w:ascii="Times New Roman" w:hAnsi="Times New Roman"/>
                <w:noProof/>
              </w:rPr>
              <w:t xml:space="preserve"> higher educational qualifications and/or extensive (vocational) experience.</w:t>
            </w:r>
          </w:p>
        </w:tc>
      </w:tr>
      <w:tr w:rsidR="007306CA">
        <w:tc>
          <w:tcPr>
            <w:tcW w:w="1526" w:type="dxa"/>
          </w:tcPr>
          <w:p w:rsidR="007306CA" w:rsidRDefault="00576025">
            <w:pPr>
              <w:pStyle w:val="NormalWeb"/>
              <w:spacing w:before="0" w:beforeAutospacing="0" w:after="180" w:afterAutospacing="0"/>
              <w:jc w:val="both"/>
              <w:rPr>
                <w:noProof/>
              </w:rPr>
            </w:pPr>
            <w:r>
              <w:rPr>
                <w:rFonts w:ascii="Times New Roman" w:hAnsi="Times New Roman"/>
                <w:noProof/>
              </w:rPr>
              <w:t xml:space="preserve">HSW </w:t>
            </w:r>
          </w:p>
        </w:tc>
        <w:tc>
          <w:tcPr>
            <w:tcW w:w="7762" w:type="dxa"/>
          </w:tcPr>
          <w:p w:rsidR="007306CA" w:rsidRDefault="00576025">
            <w:pPr>
              <w:pStyle w:val="NormalWeb"/>
              <w:spacing w:before="0" w:beforeAutospacing="0" w:after="180" w:afterAutospacing="0"/>
              <w:jc w:val="both"/>
              <w:rPr>
                <w:noProof/>
              </w:rPr>
            </w:pPr>
            <w:r>
              <w:rPr>
                <w:noProof/>
                <w:u w:val="single"/>
              </w:rPr>
              <w:t>Highly skilled worker</w:t>
            </w:r>
            <w:r>
              <w:rPr>
                <w:noProof/>
              </w:rPr>
              <w:t xml:space="preserve">: </w:t>
            </w:r>
            <w:r>
              <w:rPr>
                <w:rFonts w:ascii="Times New Roman" w:hAnsi="Times New Roman"/>
                <w:noProof/>
              </w:rPr>
              <w:t xml:space="preserve">for the purpose of this impact assessment, </w:t>
            </w:r>
            <w:r>
              <w:rPr>
                <w:noProof/>
              </w:rPr>
              <w:t xml:space="preserve">an </w:t>
            </w:r>
            <w:r>
              <w:rPr>
                <w:rFonts w:ascii="Times New Roman" w:hAnsi="Times New Roman"/>
                <w:noProof/>
              </w:rPr>
              <w:t xml:space="preserve">employed </w:t>
            </w:r>
            <w:r>
              <w:rPr>
                <w:noProof/>
              </w:rPr>
              <w:t>TCN</w:t>
            </w:r>
            <w:r>
              <w:rPr>
                <w:rFonts w:ascii="Times New Roman" w:hAnsi="Times New Roman"/>
                <w:noProof/>
              </w:rPr>
              <w:t xml:space="preserve"> who in the Member State concerned, is protected as an employee under national employment la</w:t>
            </w:r>
            <w:r>
              <w:rPr>
                <w:rFonts w:ascii="Times New Roman" w:hAnsi="Times New Roman"/>
                <w:noProof/>
              </w:rPr>
              <w:t xml:space="preserve">w and/or in accordance with national practice, irrespective of the legal relationship, for the purpose of exercising genuine and effective work for, or under the direction of, someone else; and is paid. </w:t>
            </w:r>
          </w:p>
        </w:tc>
      </w:tr>
      <w:tr w:rsidR="007306CA">
        <w:tc>
          <w:tcPr>
            <w:tcW w:w="1526" w:type="dxa"/>
          </w:tcPr>
          <w:p w:rsidR="007306CA" w:rsidRDefault="00576025">
            <w:pPr>
              <w:pStyle w:val="NormalWeb"/>
              <w:spacing w:before="0" w:beforeAutospacing="0" w:after="180" w:afterAutospacing="0"/>
              <w:jc w:val="both"/>
              <w:rPr>
                <w:noProof/>
              </w:rPr>
            </w:pPr>
            <w:r>
              <w:rPr>
                <w:noProof/>
              </w:rPr>
              <w:t>Highly skilled professional</w:t>
            </w:r>
          </w:p>
        </w:tc>
        <w:tc>
          <w:tcPr>
            <w:tcW w:w="7762" w:type="dxa"/>
          </w:tcPr>
          <w:p w:rsidR="007306CA" w:rsidRDefault="00576025">
            <w:pPr>
              <w:pStyle w:val="NormalWeb"/>
              <w:spacing w:before="0" w:beforeAutospacing="0" w:after="180" w:afterAutospacing="0"/>
              <w:jc w:val="both"/>
              <w:rPr>
                <w:noProof/>
              </w:rPr>
            </w:pPr>
            <w:r>
              <w:rPr>
                <w:noProof/>
              </w:rPr>
              <w:t>F</w:t>
            </w:r>
            <w:r>
              <w:rPr>
                <w:rFonts w:ascii="Times New Roman" w:hAnsi="Times New Roman"/>
                <w:noProof/>
              </w:rPr>
              <w:t>or the purpose of this impact assessment, to refer to categories that are non-employment based (e.g. self-employed TCN Service Providers and innovative TCN entrepreneurs and start-ups) or that are employed under third-country employment laws (e.g. some TCN</w:t>
            </w:r>
            <w:r>
              <w:rPr>
                <w:rFonts w:ascii="Times New Roman" w:hAnsi="Times New Roman"/>
                <w:noProof/>
              </w:rPr>
              <w:t xml:space="preserve"> Service Providers). </w:t>
            </w:r>
          </w:p>
        </w:tc>
      </w:tr>
      <w:tr w:rsidR="007306CA">
        <w:tc>
          <w:tcPr>
            <w:tcW w:w="1526" w:type="dxa"/>
          </w:tcPr>
          <w:p w:rsidR="007306CA" w:rsidRDefault="00576025">
            <w:pPr>
              <w:pStyle w:val="NormalWeb"/>
              <w:spacing w:before="0" w:beforeAutospacing="0" w:after="180" w:afterAutospacing="0"/>
              <w:jc w:val="both"/>
              <w:rPr>
                <w:noProof/>
              </w:rPr>
            </w:pPr>
            <w:r>
              <w:rPr>
                <w:noProof/>
              </w:rPr>
              <w:t>H</w:t>
            </w:r>
            <w:r>
              <w:rPr>
                <w:rFonts w:ascii="Times New Roman" w:hAnsi="Times New Roman"/>
                <w:noProof/>
              </w:rPr>
              <w:t>ighly qualified</w:t>
            </w:r>
          </w:p>
        </w:tc>
        <w:tc>
          <w:tcPr>
            <w:tcW w:w="7762" w:type="dxa"/>
          </w:tcPr>
          <w:p w:rsidR="007306CA" w:rsidRDefault="00576025">
            <w:pPr>
              <w:pStyle w:val="NormalWeb"/>
              <w:spacing w:before="0" w:beforeAutospacing="0" w:after="180" w:afterAutospacing="0"/>
              <w:jc w:val="both"/>
              <w:rPr>
                <w:noProof/>
              </w:rPr>
            </w:pPr>
            <w:r>
              <w:rPr>
                <w:rFonts w:ascii="Times New Roman" w:hAnsi="Times New Roman"/>
                <w:noProof/>
              </w:rPr>
              <w:t>Someone who has required adequate and specific competence as proven by higher educational qualifications only.</w:t>
            </w:r>
          </w:p>
        </w:tc>
      </w:tr>
      <w:tr w:rsidR="007306CA">
        <w:tc>
          <w:tcPr>
            <w:tcW w:w="1526" w:type="dxa"/>
          </w:tcPr>
          <w:p w:rsidR="007306CA" w:rsidRDefault="00576025">
            <w:pPr>
              <w:pStyle w:val="NormalWeb"/>
              <w:spacing w:before="0" w:beforeAutospacing="0" w:after="180" w:afterAutospacing="0"/>
              <w:jc w:val="both"/>
              <w:rPr>
                <w:noProof/>
              </w:rPr>
            </w:pPr>
            <w:r>
              <w:rPr>
                <w:rFonts w:ascii="Times New Roman" w:hAnsi="Times New Roman"/>
                <w:noProof/>
              </w:rPr>
              <w:t xml:space="preserve">ISCED </w:t>
            </w:r>
          </w:p>
        </w:tc>
        <w:tc>
          <w:tcPr>
            <w:tcW w:w="7762" w:type="dxa"/>
          </w:tcPr>
          <w:p w:rsidR="007306CA" w:rsidRDefault="00576025">
            <w:pPr>
              <w:pStyle w:val="NormalWeb"/>
              <w:spacing w:before="0" w:beforeAutospacing="0" w:after="180" w:afterAutospacing="0"/>
              <w:jc w:val="both"/>
              <w:rPr>
                <w:noProof/>
              </w:rPr>
            </w:pPr>
            <w:r>
              <w:rPr>
                <w:rFonts w:ascii="Times New Roman" w:hAnsi="Times New Roman"/>
                <w:noProof/>
              </w:rPr>
              <w:t xml:space="preserve">The UNESCO’s </w:t>
            </w:r>
            <w:r>
              <w:rPr>
                <w:rFonts w:ascii="Times New Roman" w:hAnsi="Times New Roman"/>
                <w:noProof/>
                <w:u w:val="single"/>
              </w:rPr>
              <w:t>International Standard Classification of Education</w:t>
            </w:r>
            <w:r>
              <w:rPr>
                <w:rFonts w:ascii="Times New Roman" w:hAnsi="Times New Roman"/>
                <w:noProof/>
              </w:rPr>
              <w:t xml:space="preserve"> is an internationally used standa</w:t>
            </w:r>
            <w:r>
              <w:rPr>
                <w:rFonts w:ascii="Times New Roman" w:hAnsi="Times New Roman"/>
                <w:noProof/>
              </w:rPr>
              <w:t>rd framework to categorize and report cross-nationally comparable education statistics. It is occasionally updated in order to better capture new developments in education systems worldwide. In the ISCED 2011 classification, the educational level is usuall</w:t>
            </w:r>
            <w:r>
              <w:rPr>
                <w:rFonts w:ascii="Times New Roman" w:hAnsi="Times New Roman"/>
                <w:noProof/>
              </w:rPr>
              <w:t>y defined as follows: High (ISCED 5 and above: tertiary); Medium (ISCED 3-4: upper secondary and post-secondary non-tertiary); Low (ISCED 0-2: none, (pre-)primary and lower secondary).</w:t>
            </w:r>
            <w:r>
              <w:rPr>
                <w:noProof/>
              </w:rPr>
              <w:t xml:space="preserve"> </w:t>
            </w:r>
            <w:r>
              <w:rPr>
                <w:rFonts w:ascii="Times New Roman" w:hAnsi="Times New Roman"/>
                <w:noProof/>
              </w:rPr>
              <w:t>See Annex 7</w:t>
            </w:r>
            <w:r>
              <w:rPr>
                <w:noProof/>
              </w:rPr>
              <w:t xml:space="preserve"> </w:t>
            </w:r>
            <w:r>
              <w:rPr>
                <w:rFonts w:ascii="Times New Roman" w:hAnsi="Times New Roman"/>
                <w:noProof/>
              </w:rPr>
              <w:t>for more details.</w:t>
            </w:r>
          </w:p>
        </w:tc>
      </w:tr>
      <w:tr w:rsidR="007306CA">
        <w:tc>
          <w:tcPr>
            <w:tcW w:w="1526" w:type="dxa"/>
          </w:tcPr>
          <w:p w:rsidR="007306CA" w:rsidRDefault="00576025">
            <w:pPr>
              <w:pStyle w:val="NormalWeb"/>
              <w:spacing w:before="0" w:beforeAutospacing="0" w:after="180" w:afterAutospacing="0"/>
              <w:jc w:val="both"/>
              <w:rPr>
                <w:noProof/>
              </w:rPr>
            </w:pPr>
            <w:r>
              <w:rPr>
                <w:rFonts w:ascii="Times New Roman" w:hAnsi="Times New Roman"/>
                <w:noProof/>
              </w:rPr>
              <w:t xml:space="preserve">ISCO </w:t>
            </w:r>
          </w:p>
        </w:tc>
        <w:tc>
          <w:tcPr>
            <w:tcW w:w="7762" w:type="dxa"/>
          </w:tcPr>
          <w:p w:rsidR="007306CA" w:rsidRDefault="00576025">
            <w:pPr>
              <w:pStyle w:val="NormalWeb"/>
              <w:spacing w:before="0" w:beforeAutospacing="0" w:after="180" w:afterAutospacing="0"/>
              <w:jc w:val="both"/>
              <w:rPr>
                <w:noProof/>
              </w:rPr>
            </w:pPr>
            <w:r>
              <w:rPr>
                <w:rFonts w:ascii="Times New Roman" w:hAnsi="Times New Roman"/>
                <w:noProof/>
              </w:rPr>
              <w:t xml:space="preserve">The ILO’s </w:t>
            </w:r>
            <w:r>
              <w:rPr>
                <w:rFonts w:ascii="Times New Roman" w:hAnsi="Times New Roman"/>
                <w:noProof/>
                <w:u w:val="single"/>
              </w:rPr>
              <w:t>International Standard C</w:t>
            </w:r>
            <w:r>
              <w:rPr>
                <w:rFonts w:ascii="Times New Roman" w:hAnsi="Times New Roman"/>
                <w:noProof/>
                <w:u w:val="single"/>
              </w:rPr>
              <w:t>lassification of Occupations</w:t>
            </w:r>
            <w:r>
              <w:rPr>
                <w:rFonts w:ascii="Times New Roman" w:hAnsi="Times New Roman"/>
                <w:noProof/>
              </w:rPr>
              <w:t xml:space="preserve"> is one of the main international classifications of occupations into a clearly defined set of groups according to the tasks and duties undertaken in the job. The basic criteria used to define the system are the skill level and </w:t>
            </w:r>
            <w:r>
              <w:rPr>
                <w:rFonts w:ascii="Times New Roman" w:hAnsi="Times New Roman"/>
                <w:noProof/>
              </w:rPr>
              <w:t>specialization required to competently perform the tasks and duties of the occupations. Usually ISCO Major Groups 1,2 and 3 are considered as high skilled, ISCO 4, 6 and 7 as medium skilled and ISCO 5, 8 and 9 as low skilled occupations. See Annex 7</w:t>
            </w:r>
            <w:r>
              <w:rPr>
                <w:noProof/>
              </w:rPr>
              <w:t xml:space="preserve"> </w:t>
            </w:r>
            <w:r>
              <w:rPr>
                <w:rFonts w:ascii="Times New Roman" w:hAnsi="Times New Roman"/>
                <w:noProof/>
              </w:rPr>
              <w:t>for mo</w:t>
            </w:r>
            <w:r>
              <w:rPr>
                <w:rFonts w:ascii="Times New Roman" w:hAnsi="Times New Roman"/>
                <w:noProof/>
              </w:rPr>
              <w:t>re details.</w:t>
            </w:r>
          </w:p>
        </w:tc>
      </w:tr>
      <w:tr w:rsidR="007306CA">
        <w:tc>
          <w:tcPr>
            <w:tcW w:w="1526" w:type="dxa"/>
          </w:tcPr>
          <w:p w:rsidR="007306CA" w:rsidRDefault="00576025">
            <w:pPr>
              <w:pStyle w:val="NormalWeb"/>
              <w:spacing w:before="0" w:beforeAutospacing="0" w:after="180" w:afterAutospacing="0"/>
              <w:jc w:val="both"/>
              <w:rPr>
                <w:noProof/>
              </w:rPr>
            </w:pPr>
            <w:r>
              <w:rPr>
                <w:noProof/>
              </w:rPr>
              <w:t xml:space="preserve">TCN </w:t>
            </w:r>
          </w:p>
        </w:tc>
        <w:tc>
          <w:tcPr>
            <w:tcW w:w="7762" w:type="dxa"/>
          </w:tcPr>
          <w:p w:rsidR="007306CA" w:rsidRDefault="00576025">
            <w:pPr>
              <w:pStyle w:val="NormalWeb"/>
              <w:spacing w:before="0" w:beforeAutospacing="0" w:after="180" w:afterAutospacing="0"/>
              <w:jc w:val="both"/>
              <w:rPr>
                <w:noProof/>
              </w:rPr>
            </w:pPr>
            <w:r>
              <w:rPr>
                <w:rFonts w:ascii="Times New Roman" w:hAnsi="Times New Roman"/>
                <w:noProof/>
              </w:rPr>
              <w:t xml:space="preserve">A </w:t>
            </w:r>
            <w:r>
              <w:rPr>
                <w:rFonts w:ascii="Times New Roman" w:hAnsi="Times New Roman"/>
                <w:noProof/>
                <w:u w:val="single"/>
              </w:rPr>
              <w:t>third-country national</w:t>
            </w:r>
            <w:r>
              <w:rPr>
                <w:rFonts w:ascii="Times New Roman" w:hAnsi="Times New Roman"/>
                <w:noProof/>
              </w:rPr>
              <w:t xml:space="preserve"> is any person who is not a citizen of the Union within the meaning of Article 17(1) </w:t>
            </w:r>
            <w:r>
              <w:rPr>
                <w:noProof/>
              </w:rPr>
              <w:t>of the Treaty.</w:t>
            </w:r>
          </w:p>
        </w:tc>
      </w:tr>
    </w:tbl>
    <w:p w:rsidR="007306CA" w:rsidRDefault="007306CA">
      <w:pPr>
        <w:rPr>
          <w:noProof/>
        </w:rPr>
      </w:pPr>
    </w:p>
    <w:p w:rsidR="007306CA" w:rsidRDefault="007306CA">
      <w:pPr>
        <w:rPr>
          <w:noProof/>
        </w:rPr>
        <w:sectPr w:rsidR="007306CA">
          <w:headerReference w:type="even" r:id="rId39"/>
          <w:headerReference w:type="default" r:id="rId40"/>
          <w:footerReference w:type="even" r:id="rId41"/>
          <w:footerReference w:type="default" r:id="rId42"/>
          <w:headerReference w:type="first" r:id="rId43"/>
          <w:footerReference w:type="first" r:id="rId44"/>
          <w:pgSz w:w="11906" w:h="16838"/>
          <w:pgMar w:top="1021" w:right="1701" w:bottom="1021" w:left="1588" w:header="601" w:footer="1077" w:gutter="0"/>
          <w:pgNumType w:fmt="lowerRoman" w:start="1"/>
          <w:cols w:space="720"/>
          <w:docGrid w:linePitch="326"/>
        </w:sectPr>
      </w:pPr>
    </w:p>
    <w:p w:rsidR="007306CA" w:rsidRDefault="00576025">
      <w:pPr>
        <w:pStyle w:val="Heading1"/>
        <w:pageBreakBefore/>
        <w:spacing w:before="0" w:after="120"/>
        <w:ind w:left="482" w:hanging="482"/>
        <w:rPr>
          <w:noProof/>
        </w:rPr>
      </w:pPr>
      <w:bookmarkStart w:id="3" w:name="_Toc311626689"/>
      <w:bookmarkStart w:id="4" w:name="_Toc452679043"/>
      <w:r>
        <w:rPr>
          <w:noProof/>
        </w:rPr>
        <w:lastRenderedPageBreak/>
        <w:t>Background and Policy Context</w:t>
      </w:r>
      <w:bookmarkEnd w:id="3"/>
      <w:bookmarkEnd w:id="4"/>
    </w:p>
    <w:p w:rsidR="007306CA" w:rsidRDefault="00576025">
      <w:pPr>
        <w:pStyle w:val="Heading2"/>
        <w:spacing w:after="120"/>
        <w:rPr>
          <w:noProof/>
        </w:rPr>
      </w:pPr>
      <w:bookmarkStart w:id="5" w:name="_Toc311626690"/>
      <w:bookmarkStart w:id="6" w:name="_Toc452679044"/>
      <w:r>
        <w:rPr>
          <w:noProof/>
        </w:rPr>
        <w:t xml:space="preserve">Policy and legal </w:t>
      </w:r>
      <w:r>
        <w:rPr>
          <w:noProof/>
        </w:rPr>
        <w:t>context</w:t>
      </w:r>
      <w:bookmarkEnd w:id="5"/>
      <w:bookmarkEnd w:id="6"/>
    </w:p>
    <w:p w:rsidR="007306CA" w:rsidRDefault="00576025">
      <w:pPr>
        <w:spacing w:after="120"/>
        <w:rPr>
          <w:noProof/>
        </w:rPr>
      </w:pPr>
      <w:r>
        <w:rPr>
          <w:noProof/>
        </w:rPr>
        <w:t>The “EU Blue Card Directive"</w:t>
      </w:r>
      <w:r>
        <w:rPr>
          <w:noProof/>
          <w:vertAlign w:val="superscript"/>
        </w:rPr>
        <w:footnoteReference w:id="2"/>
      </w:r>
      <w:r>
        <w:rPr>
          <w:noProof/>
        </w:rPr>
        <w:t xml:space="preserve"> (hereinafter "Blue Card") was proposed by the Commission in October 2007</w:t>
      </w:r>
      <w:r>
        <w:rPr>
          <w:noProof/>
          <w:vertAlign w:val="superscript"/>
        </w:rPr>
        <w:footnoteReference w:id="3"/>
      </w:r>
      <w:r>
        <w:rPr>
          <w:noProof/>
        </w:rPr>
        <w:t xml:space="preserve"> and adopted by the Council on 25 May 2009 in order to facilitate the admission, and subsequent mobility to other Member States, of highly qualif</w:t>
      </w:r>
      <w:r>
        <w:rPr>
          <w:noProof/>
        </w:rPr>
        <w:t>ied employed third-country nationals (TCN)</w:t>
      </w:r>
      <w:r>
        <w:rPr>
          <w:rStyle w:val="FootnoteReference"/>
          <w:noProof/>
        </w:rPr>
        <w:footnoteReference w:id="4"/>
      </w:r>
      <w:r>
        <w:rPr>
          <w:noProof/>
        </w:rPr>
        <w:t xml:space="preserve"> and their family members, by harmonising entry and residence conditions throughout the EU and by providing for a set of rights. The Blue Card was intended to make the EU more competitive in attracting highly qual</w:t>
      </w:r>
      <w:r>
        <w:rPr>
          <w:noProof/>
        </w:rPr>
        <w:t>ified workers from around the world, thereby contributing to addressing labour and skills shortages within the EU labour market. It was the first Directive to be adopted in a series of Directives on economic migration</w:t>
      </w:r>
      <w:r>
        <w:rPr>
          <w:noProof/>
          <w:vertAlign w:val="superscript"/>
        </w:rPr>
        <w:footnoteReference w:id="5"/>
      </w:r>
      <w:r>
        <w:rPr>
          <w:noProof/>
        </w:rPr>
        <w:t>.</w:t>
      </w:r>
    </w:p>
    <w:p w:rsidR="007306CA" w:rsidRDefault="00576025">
      <w:pPr>
        <w:spacing w:after="120"/>
        <w:rPr>
          <w:noProof/>
        </w:rPr>
      </w:pPr>
      <w:r>
        <w:rPr>
          <w:noProof/>
        </w:rPr>
        <w:t xml:space="preserve">While the Blue Card has not been in </w:t>
      </w:r>
      <w:r>
        <w:rPr>
          <w:noProof/>
        </w:rPr>
        <w:t>force for a long time</w:t>
      </w:r>
      <w:r>
        <w:rPr>
          <w:noProof/>
          <w:vertAlign w:val="superscript"/>
        </w:rPr>
        <w:footnoteReference w:id="6"/>
      </w:r>
      <w:r>
        <w:rPr>
          <w:noProof/>
        </w:rPr>
        <w:t>, there are strong indications that this instrument has been ineffective in fulfilling its objectives</w:t>
      </w:r>
      <w:r>
        <w:rPr>
          <w:noProof/>
          <w:vertAlign w:val="superscript"/>
        </w:rPr>
        <w:footnoteReference w:id="7"/>
      </w:r>
      <w:r>
        <w:rPr>
          <w:noProof/>
        </w:rPr>
        <w:t xml:space="preserve"> and that it lacks the ambition to equip the EU sufficiently for the challenges ahead. To date, the number of Blue Cards remains rel</w:t>
      </w:r>
      <w:r>
        <w:rPr>
          <w:noProof/>
        </w:rPr>
        <w:t xml:space="preserve">atively low compared to national schemes — they are mostly issued by one Member State — and, more broadly, the EU attracts a relatively low number of highly skilled TCN compared to other OECD countries. </w:t>
      </w:r>
    </w:p>
    <w:p w:rsidR="007306CA" w:rsidRDefault="00576025">
      <w:pPr>
        <w:spacing w:after="120"/>
        <w:rPr>
          <w:noProof/>
        </w:rPr>
      </w:pPr>
      <w:r>
        <w:rPr>
          <w:noProof/>
        </w:rPr>
        <w:t>This is why the review of the Blue Card — within the</w:t>
      </w:r>
      <w:r>
        <w:rPr>
          <w:noProof/>
        </w:rPr>
        <w:t xml:space="preserve"> context of a "new policy on legal migration" — was included amongst the key priorities in Jean-Claude Juncker's Political Guidelines of July 2014</w:t>
      </w:r>
      <w:r>
        <w:rPr>
          <w:rStyle w:val="FootnoteReference"/>
          <w:noProof/>
        </w:rPr>
        <w:footnoteReference w:id="8"/>
      </w:r>
      <w:r>
        <w:rPr>
          <w:noProof/>
        </w:rPr>
        <w:t xml:space="preserve">. The </w:t>
      </w:r>
      <w:r>
        <w:rPr>
          <w:i/>
          <w:noProof/>
        </w:rPr>
        <w:t>European Agenda on Migration,</w:t>
      </w:r>
      <w:r>
        <w:rPr>
          <w:noProof/>
        </w:rPr>
        <w:t xml:space="preserve"> issued by the Commission on 13 May 2015</w:t>
      </w:r>
      <w:r>
        <w:rPr>
          <w:noProof/>
          <w:vertAlign w:val="superscript"/>
        </w:rPr>
        <w:footnoteReference w:id="9"/>
      </w:r>
      <w:r>
        <w:rPr>
          <w:noProof/>
        </w:rPr>
        <w:t xml:space="preserve">, confirmed the need for setting up an attractive EU-wide scheme for highly skilled TCN and, to that end, for reviewing the Blue Card and "look at how to make it more effective in attracting talent to Europe". </w:t>
      </w:r>
    </w:p>
    <w:p w:rsidR="007306CA" w:rsidRDefault="00576025">
      <w:pPr>
        <w:spacing w:after="120"/>
        <w:rPr>
          <w:rFonts w:eastAsiaTheme="minorHAnsi"/>
          <w:noProof/>
        </w:rPr>
      </w:pPr>
      <w:r>
        <w:rPr>
          <w:noProof/>
        </w:rPr>
        <w:t xml:space="preserve">Therefore, the policy objectives set in 2007 </w:t>
      </w:r>
      <w:r>
        <w:rPr>
          <w:noProof/>
        </w:rPr>
        <w:t xml:space="preserve">have not fundamentally changed, as the EU is still facing many of the same challenges. However, the context has changed considerably with a deep and protracted economic and financial crisis, high unemployment levels, especially of youth, in several Member </w:t>
      </w:r>
      <w:r>
        <w:rPr>
          <w:noProof/>
        </w:rPr>
        <w:t>States, and increased migratory pressures (particularly of people seeking protection). At the same time, the competition on the global stage for attracting talents and highly skilled workers (HSW) has increased. Another element that has changed is the fact</w:t>
      </w:r>
      <w:r>
        <w:rPr>
          <w:noProof/>
        </w:rPr>
        <w:t xml:space="preserve"> that, following the entry into force of the Treaty of Lisbon on 1 December 2009, the Council and the European Parliament are co-legislators in the area of legal migration (instead of the Council deciding alone unanimously) and qualified majority voting ap</w:t>
      </w:r>
      <w:r>
        <w:rPr>
          <w:noProof/>
        </w:rPr>
        <w:t>plies. This has markedly altered the negotiations' dynamics and the resulting legislation in this area</w:t>
      </w:r>
      <w:r>
        <w:rPr>
          <w:rStyle w:val="FootnoteReference"/>
          <w:noProof/>
        </w:rPr>
        <w:footnoteReference w:id="10"/>
      </w:r>
      <w:r>
        <w:rPr>
          <w:noProof/>
        </w:rPr>
        <w:t>.</w:t>
      </w:r>
      <w:r>
        <w:rPr>
          <w:noProof/>
          <w:lang w:eastAsia="en-GB"/>
        </w:rPr>
        <w:t xml:space="preserve"> </w:t>
      </w:r>
    </w:p>
    <w:p w:rsidR="007306CA" w:rsidRDefault="00576025">
      <w:pPr>
        <w:pStyle w:val="Heading2"/>
        <w:spacing w:after="120"/>
        <w:rPr>
          <w:noProof/>
        </w:rPr>
      </w:pPr>
      <w:bookmarkStart w:id="7" w:name="_Toc452679045"/>
      <w:bookmarkStart w:id="8" w:name="_Toc311626691"/>
      <w:r>
        <w:rPr>
          <w:noProof/>
        </w:rPr>
        <w:t>Current challenges</w:t>
      </w:r>
      <w:bookmarkEnd w:id="7"/>
      <w:r>
        <w:rPr>
          <w:noProof/>
        </w:rPr>
        <w:t xml:space="preserve"> </w:t>
      </w:r>
      <w:bookmarkEnd w:id="8"/>
    </w:p>
    <w:p w:rsidR="007306CA" w:rsidRDefault="00576025">
      <w:pPr>
        <w:pStyle w:val="Heading3"/>
        <w:tabs>
          <w:tab w:val="num" w:pos="709"/>
        </w:tabs>
        <w:spacing w:after="120"/>
        <w:ind w:left="709"/>
        <w:rPr>
          <w:noProof/>
          <w:lang w:val="en-GB"/>
        </w:rPr>
      </w:pPr>
      <w:r>
        <w:rPr>
          <w:noProof/>
          <w:lang w:val="en-GB"/>
        </w:rPr>
        <w:t>Demographic trends and skills shortages in key sectors of the EU economy</w:t>
      </w:r>
    </w:p>
    <w:p w:rsidR="007306CA" w:rsidRDefault="00576025">
      <w:pPr>
        <w:spacing w:after="120"/>
        <w:rPr>
          <w:iCs/>
          <w:noProof/>
        </w:rPr>
      </w:pPr>
      <w:r>
        <w:rPr>
          <w:noProof/>
        </w:rPr>
        <w:t xml:space="preserve">The EU will face important demographic challenges in the </w:t>
      </w:r>
      <w:r>
        <w:rPr>
          <w:noProof/>
        </w:rPr>
        <w:t>next decades with a rapidly ageing EU population, a progressively shrinking labour force and an increasing old-age dependency ratio</w:t>
      </w:r>
      <w:r>
        <w:rPr>
          <w:noProof/>
          <w:vertAlign w:val="superscript"/>
        </w:rPr>
        <w:footnoteReference w:id="11"/>
      </w:r>
      <w:r>
        <w:rPr>
          <w:noProof/>
        </w:rPr>
        <w:t>.</w:t>
      </w:r>
      <w:r>
        <w:rPr>
          <w:iCs/>
          <w:noProof/>
        </w:rPr>
        <w:t xml:space="preserve"> </w:t>
      </w:r>
    </w:p>
    <w:p w:rsidR="007306CA" w:rsidRDefault="00576025">
      <w:pPr>
        <w:spacing w:after="120"/>
        <w:rPr>
          <w:iCs/>
          <w:noProof/>
        </w:rPr>
      </w:pPr>
      <w:r>
        <w:rPr>
          <w:iCs/>
          <w:noProof/>
        </w:rPr>
        <w:t>While in 2015 the EU received a remarkably high number of people seeking protection</w:t>
      </w:r>
      <w:r>
        <w:rPr>
          <w:iCs/>
          <w:noProof/>
          <w:vertAlign w:val="superscript"/>
        </w:rPr>
        <w:footnoteReference w:id="12"/>
      </w:r>
      <w:r>
        <w:rPr>
          <w:iCs/>
          <w:noProof/>
        </w:rPr>
        <w:t>, this will not be sufficient to addr</w:t>
      </w:r>
      <w:r>
        <w:rPr>
          <w:iCs/>
          <w:noProof/>
        </w:rPr>
        <w:t>ess medium and long-term demographic trends</w:t>
      </w:r>
      <w:r>
        <w:rPr>
          <w:iCs/>
          <w:noProof/>
          <w:vertAlign w:val="superscript"/>
        </w:rPr>
        <w:footnoteReference w:id="13"/>
      </w:r>
      <w:r>
        <w:rPr>
          <w:iCs/>
          <w:noProof/>
        </w:rPr>
        <w:t xml:space="preserve">. Moreover, their potential right to reside is based on protection or humanitarian grounds, and not on their qualifications, competences or skills (see Section 2.1.2 and Annex 16). While their inclusion into the </w:t>
      </w:r>
      <w:r>
        <w:rPr>
          <w:iCs/>
          <w:noProof/>
        </w:rPr>
        <w:t>labour market of the host Member State - at various skills levels - remains essential to ensure their effective integration, this is a process that will require time and investments</w:t>
      </w:r>
      <w:r>
        <w:rPr>
          <w:iCs/>
          <w:noProof/>
          <w:vertAlign w:val="superscript"/>
        </w:rPr>
        <w:footnoteReference w:id="14"/>
      </w:r>
      <w:r>
        <w:rPr>
          <w:iCs/>
          <w:noProof/>
        </w:rPr>
        <w:t>.</w:t>
      </w:r>
    </w:p>
    <w:p w:rsidR="007306CA" w:rsidRDefault="00576025">
      <w:pPr>
        <w:spacing w:after="120"/>
        <w:rPr>
          <w:rFonts w:asciiTheme="minorHAnsi" w:eastAsiaTheme="minorHAnsi" w:hAnsiTheme="minorHAnsi" w:cstheme="minorBidi"/>
          <w:noProof/>
          <w:sz w:val="22"/>
          <w:szCs w:val="22"/>
        </w:rPr>
      </w:pPr>
      <w:r>
        <w:rPr>
          <w:noProof/>
        </w:rPr>
        <w:t xml:space="preserve">The EU also faces structural skills shortages and mismatches in certain </w:t>
      </w:r>
      <w:r>
        <w:rPr>
          <w:noProof/>
        </w:rPr>
        <w:t>sectors that cannot be filled by the existing EU workforce despite high unemployment in some Member States. Shortages and mismatches have the potential to limit growth, productivity and innovation and thus slow down Europe’s continued economic recovery and</w:t>
      </w:r>
      <w:r>
        <w:rPr>
          <w:noProof/>
        </w:rPr>
        <w:t xml:space="preserve"> limit competitiveness</w:t>
      </w:r>
      <w:r>
        <w:rPr>
          <w:rStyle w:val="FootnoteReference"/>
          <w:noProof/>
        </w:rPr>
        <w:footnoteReference w:id="15"/>
      </w:r>
      <w:r>
        <w:rPr>
          <w:noProof/>
        </w:rPr>
        <w:t>. The EU skills shortages are most manifest in fields such as healthcare, ICT, and engineering</w:t>
      </w:r>
      <w:r>
        <w:rPr>
          <w:noProof/>
          <w:vertAlign w:val="superscript"/>
        </w:rPr>
        <w:footnoteReference w:id="16"/>
      </w:r>
      <w:r>
        <w:rPr>
          <w:noProof/>
        </w:rPr>
        <w:t xml:space="preserve">, which rely essentially on STEM (Science, Technology, Engineering and Mathematics) skills. The highest growth in employee numbers in the </w:t>
      </w:r>
      <w:r>
        <w:rPr>
          <w:noProof/>
        </w:rPr>
        <w:t>EU takes place in occupations requiring higher-level skills (18 out of 25)</w:t>
      </w:r>
      <w:r>
        <w:rPr>
          <w:noProof/>
          <w:vertAlign w:val="superscript"/>
        </w:rPr>
        <w:footnoteReference w:id="17"/>
      </w:r>
      <w:r>
        <w:rPr>
          <w:noProof/>
        </w:rPr>
        <w:t>. Also, the EU top 20 bottleneck occupations</w:t>
      </w:r>
      <w:r>
        <w:rPr>
          <w:noProof/>
          <w:vertAlign w:val="superscript"/>
        </w:rPr>
        <w:footnoteReference w:id="18"/>
      </w:r>
      <w:r>
        <w:rPr>
          <w:noProof/>
        </w:rPr>
        <w:t xml:space="preserve"> include seven highly skilled occupations</w:t>
      </w:r>
      <w:r>
        <w:rPr>
          <w:noProof/>
          <w:vertAlign w:val="superscript"/>
        </w:rPr>
        <w:footnoteReference w:id="19"/>
      </w:r>
      <w:r>
        <w:rPr>
          <w:noProof/>
        </w:rPr>
        <w:t>, although some medium skilled occupations are also affected, in particular for skilled manual</w:t>
      </w:r>
      <w:r>
        <w:rPr>
          <w:noProof/>
        </w:rPr>
        <w:t xml:space="preserve"> occupations in sectors such as manufacturing, construction and transport.</w:t>
      </w:r>
    </w:p>
    <w:p w:rsidR="007306CA" w:rsidRDefault="00576025">
      <w:pPr>
        <w:spacing w:after="120"/>
        <w:rPr>
          <w:noProof/>
        </w:rPr>
      </w:pPr>
      <w:r>
        <w:rPr>
          <w:noProof/>
        </w:rPr>
        <w:t>In the coming years, the further development of knowledge-intensive services, high tech manufacturing, and new technologies that underpin Europe's future competitiveness, will requi</w:t>
      </w:r>
      <w:r>
        <w:rPr>
          <w:noProof/>
        </w:rPr>
        <w:t xml:space="preserve">re Europe to "up its game" in terms of skills development. While shortages may occur in jobs requiring various levels of skills, in the long run changes in the skills required by the EU are expected to show a sharp increase in the number of jobs employing </w:t>
      </w:r>
      <w:r>
        <w:rPr>
          <w:noProof/>
        </w:rPr>
        <w:t>highly educated labour (+ 15 million, or +23 %) compared to jobs requiring a medium level of education (+ 3.6 million or +3 %) and even more compared to jobs where a low level of education is sufficient (-11.5 million or -24 %)</w:t>
      </w:r>
      <w:r>
        <w:rPr>
          <w:noProof/>
          <w:vertAlign w:val="superscript"/>
        </w:rPr>
        <w:footnoteReference w:id="20"/>
      </w:r>
      <w:r>
        <w:rPr>
          <w:noProof/>
        </w:rPr>
        <w:t>.</w:t>
      </w:r>
      <w:r>
        <w:rPr>
          <w:iCs/>
          <w:noProof/>
        </w:rPr>
        <w:t xml:space="preserve"> </w:t>
      </w:r>
      <w:r>
        <w:rPr>
          <w:noProof/>
        </w:rPr>
        <w:t>These structural changes w</w:t>
      </w:r>
      <w:r>
        <w:rPr>
          <w:noProof/>
        </w:rPr>
        <w:t>ill continue to increase the demand for certain skills that are not immediately available in the labour market, creating skills shortages</w:t>
      </w:r>
      <w:r>
        <w:rPr>
          <w:noProof/>
          <w:vertAlign w:val="superscript"/>
        </w:rPr>
        <w:footnoteReference w:id="21"/>
      </w:r>
      <w:r>
        <w:rPr>
          <w:noProof/>
        </w:rPr>
        <w:t xml:space="preserve"> even when overall unemployment is high. While activation, training and up-skilling of the existing labour force can p</w:t>
      </w:r>
      <w:r>
        <w:rPr>
          <w:noProof/>
        </w:rPr>
        <w:t>lay a role in countering these shortages, it takes time for such measures to have an actual effect on the labour market and on productivity</w:t>
      </w:r>
      <w:r>
        <w:rPr>
          <w:rStyle w:val="FootnoteReference"/>
          <w:noProof/>
        </w:rPr>
        <w:footnoteReference w:id="22"/>
      </w:r>
      <w:r>
        <w:rPr>
          <w:noProof/>
        </w:rPr>
        <w:t>. Moreover, policy responses may differ depending on the type of occupations: recruiting abroad may be more relevant</w:t>
      </w:r>
      <w:r>
        <w:rPr>
          <w:noProof/>
        </w:rPr>
        <w:t xml:space="preserve"> to fill needs in highly skilled occupations than at the skilled manual level where training schemes might be more appropriate</w:t>
      </w:r>
      <w:r>
        <w:rPr>
          <w:rStyle w:val="FootnoteReference"/>
          <w:noProof/>
        </w:rPr>
        <w:footnoteReference w:id="23"/>
      </w:r>
      <w:r>
        <w:rPr>
          <w:noProof/>
        </w:rPr>
        <w:t>.</w:t>
      </w:r>
    </w:p>
    <w:p w:rsidR="007306CA" w:rsidRDefault="00576025">
      <w:pPr>
        <w:autoSpaceDE w:val="0"/>
        <w:autoSpaceDN w:val="0"/>
        <w:adjustRightInd w:val="0"/>
        <w:spacing w:after="120"/>
        <w:rPr>
          <w:noProof/>
        </w:rPr>
      </w:pPr>
      <w:r>
        <w:rPr>
          <w:noProof/>
        </w:rPr>
        <w:t xml:space="preserve">Labour mobility of the EU domestic workforce (i.e. EU citizens and other legal residents moving across Member States) is a key </w:t>
      </w:r>
      <w:r>
        <w:rPr>
          <w:noProof/>
        </w:rPr>
        <w:t>pillar of the EU's Single Market, intended to contribute to both the better functioning and the inclusiveness of labour markets, thus also contributing to filling skills shortages across the EU. However, labour mobility within the EU remains modest, partic</w:t>
      </w:r>
      <w:r>
        <w:rPr>
          <w:noProof/>
        </w:rPr>
        <w:t>ularly within the euro area. While the number of EU mobile workers has increased sharply in absolute terms over the last decade</w:t>
      </w:r>
      <w:r>
        <w:rPr>
          <w:noProof/>
          <w:vertAlign w:val="superscript"/>
        </w:rPr>
        <w:footnoteReference w:id="24"/>
      </w:r>
      <w:r>
        <w:rPr>
          <w:noProof/>
        </w:rPr>
        <w:t>, in terms of the overall active population it has only gone up by one percentage point, rising from 2.1 % in 2005 to 3.4 % in 2</w:t>
      </w:r>
      <w:r>
        <w:rPr>
          <w:noProof/>
        </w:rPr>
        <w:t>014</w:t>
      </w:r>
      <w:r>
        <w:rPr>
          <w:noProof/>
          <w:vertAlign w:val="superscript"/>
        </w:rPr>
        <w:footnoteReference w:id="25"/>
      </w:r>
      <w:r>
        <w:rPr>
          <w:noProof/>
        </w:rPr>
        <w:t>. Annual cross-border mobility in the EU is 10 times lower than in the US and a large gap remains even when taking into account the different context (inter alia, linguistic homogeneity, geographical scale)</w:t>
      </w:r>
      <w:r>
        <w:rPr>
          <w:rStyle w:val="FootnoteReference"/>
          <w:noProof/>
        </w:rPr>
        <w:footnoteReference w:id="26"/>
      </w:r>
      <w:r>
        <w:rPr>
          <w:noProof/>
        </w:rPr>
        <w:t>. In addition, there are just over 1.1 millio</w:t>
      </w:r>
      <w:r>
        <w:rPr>
          <w:noProof/>
        </w:rPr>
        <w:t>n workers in the EU who work in a different country from where they live and there are about 1.9 million posted workers</w:t>
      </w:r>
      <w:r>
        <w:rPr>
          <w:noProof/>
          <w:vertAlign w:val="superscript"/>
        </w:rPr>
        <w:footnoteReference w:id="27"/>
      </w:r>
      <w:r>
        <w:rPr>
          <w:noProof/>
        </w:rPr>
        <w:t xml:space="preserve"> in the EU. </w:t>
      </w:r>
    </w:p>
    <w:p w:rsidR="007306CA" w:rsidRDefault="00576025">
      <w:pPr>
        <w:spacing w:after="120"/>
        <w:rPr>
          <w:iCs/>
          <w:noProof/>
        </w:rPr>
      </w:pPr>
      <w:r>
        <w:rPr>
          <w:noProof/>
        </w:rPr>
        <w:t>Migration will therefore</w:t>
      </w:r>
      <w:r>
        <w:rPr>
          <w:iCs/>
          <w:noProof/>
        </w:rPr>
        <w:t xml:space="preserve"> remain an increasingly important way to contribute to maintaining the optimal level and allocation</w:t>
      </w:r>
      <w:r>
        <w:rPr>
          <w:iCs/>
          <w:noProof/>
        </w:rPr>
        <w:t xml:space="preserve"> of workforce across the EU and decreasing the dependency ratio, as well as to addressing existing and future skills shortages, particularly in highly skilled occupations</w:t>
      </w:r>
      <w:r>
        <w:rPr>
          <w:rStyle w:val="FootnoteReference"/>
          <w:iCs/>
          <w:noProof/>
        </w:rPr>
        <w:footnoteReference w:id="28"/>
      </w:r>
      <w:r>
        <w:rPr>
          <w:iCs/>
          <w:noProof/>
        </w:rPr>
        <w:t xml:space="preserve">. It </w:t>
      </w:r>
      <w:r>
        <w:rPr>
          <w:noProof/>
        </w:rPr>
        <w:t xml:space="preserve">is in fact already helping to fill the gaps in EU labour markets: in the decade </w:t>
      </w:r>
      <w:r>
        <w:rPr>
          <w:noProof/>
        </w:rPr>
        <w:t>2000-10, new migrants in the EU represented 15 % of the entries into strongly growing occupations</w:t>
      </w:r>
      <w:r>
        <w:rPr>
          <w:noProof/>
          <w:vertAlign w:val="superscript"/>
        </w:rPr>
        <w:footnoteReference w:id="29"/>
      </w:r>
      <w:r>
        <w:rPr>
          <w:noProof/>
        </w:rPr>
        <w:t>, such as science, technology and engineering as well as the health and education professions. In addition, the EU is already implementing a number of program</w:t>
      </w:r>
      <w:r>
        <w:rPr>
          <w:noProof/>
        </w:rPr>
        <w:t>mes whose aim is to attract highly qualified TCN in science</w:t>
      </w:r>
      <w:r>
        <w:rPr>
          <w:noProof/>
          <w:vertAlign w:val="superscript"/>
        </w:rPr>
        <w:footnoteReference w:id="30"/>
      </w:r>
      <w:r>
        <w:rPr>
          <w:noProof/>
        </w:rPr>
        <w:t xml:space="preserve">. </w:t>
      </w:r>
    </w:p>
    <w:p w:rsidR="007306CA" w:rsidRDefault="00576025">
      <w:pPr>
        <w:spacing w:after="120"/>
        <w:rPr>
          <w:iCs/>
          <w:noProof/>
        </w:rPr>
      </w:pPr>
      <w:r>
        <w:rPr>
          <w:iCs/>
          <w:noProof/>
        </w:rPr>
        <w:t>In terms of stakeholders' views, out of all 414 respondents to a question on labour market shortages in the public consultation launched in May 2015</w:t>
      </w:r>
      <w:r>
        <w:rPr>
          <w:rStyle w:val="FootnoteReference"/>
          <w:iCs/>
          <w:noProof/>
        </w:rPr>
        <w:footnoteReference w:id="31"/>
      </w:r>
      <w:r>
        <w:rPr>
          <w:iCs/>
          <w:noProof/>
        </w:rPr>
        <w:t xml:space="preserve">, 85 % considered that - in addition to </w:t>
      </w:r>
      <w:r>
        <w:rPr>
          <w:iCs/>
          <w:noProof/>
        </w:rPr>
        <w:t>policy measures such as recruiting from other Member States, and increasing the retirement age and labour market participation rate - the recruitment of HSW from outside the EU is a necessary measure to address labour shortages in particular sectors or occ</w:t>
      </w:r>
      <w:r>
        <w:rPr>
          <w:iCs/>
          <w:noProof/>
        </w:rPr>
        <w:t>upations in the EU. 90 % of employers and employers' associations, and managers shared this opinion, as did 87 % of the private and public employment organizations and trade unions.</w:t>
      </w:r>
    </w:p>
    <w:p w:rsidR="007306CA" w:rsidRDefault="00576025">
      <w:pPr>
        <w:pStyle w:val="Heading3"/>
        <w:spacing w:after="120"/>
        <w:rPr>
          <w:noProof/>
          <w:lang w:val="en-GB"/>
        </w:rPr>
      </w:pPr>
      <w:r>
        <w:rPr>
          <w:noProof/>
          <w:lang w:val="en-GB"/>
        </w:rPr>
        <w:t>Global supply and demand of highly skilled workers: the race for talent</w:t>
      </w:r>
      <w:r>
        <w:rPr>
          <w:noProof/>
          <w:vertAlign w:val="superscript"/>
          <w:lang w:val="en-GB"/>
        </w:rPr>
        <w:footnoteReference w:id="32"/>
      </w:r>
      <w:r>
        <w:rPr>
          <w:noProof/>
          <w:lang w:val="en-GB" w:eastAsia="en-GB"/>
        </w:rPr>
        <w:t xml:space="preserve"> </w:t>
      </w:r>
    </w:p>
    <w:p w:rsidR="007306CA" w:rsidRDefault="00576025">
      <w:pPr>
        <w:spacing w:after="120"/>
        <w:rPr>
          <w:noProof/>
        </w:rPr>
      </w:pPr>
      <w:r>
        <w:rPr>
          <w:noProof/>
        </w:rPr>
        <w:t xml:space="preserve">Since the 1990s, international migration among the highly skilled has been characterised by two main trends: increasing flows from Asia towards major OECD </w:t>
      </w:r>
      <w:r>
        <w:rPr>
          <w:noProof/>
          <w:shd w:val="clear" w:color="auto" w:fill="FFFFFF" w:themeFill="background1"/>
        </w:rPr>
        <w:t>countries and an increasing exchange of skilled workers between developed countries</w:t>
      </w:r>
      <w:r>
        <w:rPr>
          <w:noProof/>
          <w:shd w:val="clear" w:color="auto" w:fill="FFFFFF" w:themeFill="background1"/>
          <w:vertAlign w:val="superscript"/>
        </w:rPr>
        <w:footnoteReference w:id="33"/>
      </w:r>
      <w:r>
        <w:rPr>
          <w:noProof/>
          <w:shd w:val="clear" w:color="auto" w:fill="FFFFFF" w:themeFill="background1"/>
        </w:rPr>
        <w:t xml:space="preserve">. </w:t>
      </w:r>
    </w:p>
    <w:p w:rsidR="007306CA" w:rsidRDefault="00576025">
      <w:pPr>
        <w:spacing w:after="120"/>
        <w:rPr>
          <w:noProof/>
        </w:rPr>
      </w:pPr>
      <w:r>
        <w:rPr>
          <w:noProof/>
        </w:rPr>
        <w:t>The global tal</w:t>
      </w:r>
      <w:r>
        <w:rPr>
          <w:noProof/>
        </w:rPr>
        <w:t>ent pool has grown rapidly over the past decade and over the next twenty years the demand for higher education is projected to grow sharply. In 2000, there were 90 million 25-34 year-olds with higher education (tertiary) degrees and this increased to 130 m</w:t>
      </w:r>
      <w:r>
        <w:rPr>
          <w:noProof/>
        </w:rPr>
        <w:t>illion by 2010. By 2020, more than 200 million are projected to have higher education degrees across all OECD and G20 countries</w:t>
      </w:r>
      <w:r>
        <w:rPr>
          <w:noProof/>
          <w:vertAlign w:val="superscript"/>
        </w:rPr>
        <w:footnoteReference w:id="34"/>
      </w:r>
      <w:r>
        <w:rPr>
          <w:noProof/>
        </w:rPr>
        <w:t xml:space="preserve"> and by 2030, worldwide projections point at more than 414 million</w:t>
      </w:r>
      <w:r>
        <w:rPr>
          <w:noProof/>
          <w:vertAlign w:val="superscript"/>
        </w:rPr>
        <w:footnoteReference w:id="35"/>
      </w:r>
      <w:r>
        <w:rPr>
          <w:noProof/>
        </w:rPr>
        <w:t>. At the same time, the share of tertiary graduates from Euro</w:t>
      </w:r>
      <w:r>
        <w:rPr>
          <w:noProof/>
        </w:rPr>
        <w:t>pe, Japan and the United States in the global talent pool has reduced, and is likely to continue to do so in the future, due to the expansion of higher education in rapidly-developing non-OECD G20 nations such as China, Brazil and India.</w:t>
      </w:r>
    </w:p>
    <w:p w:rsidR="007306CA" w:rsidRDefault="00576025">
      <w:pPr>
        <w:spacing w:after="120"/>
        <w:rPr>
          <w:noProof/>
        </w:rPr>
      </w:pPr>
      <w:r>
        <w:rPr>
          <w:noProof/>
        </w:rPr>
        <w:t>While future trend</w:t>
      </w:r>
      <w:r>
        <w:rPr>
          <w:noProof/>
        </w:rPr>
        <w:t>s of skilled labour migration are difficult to forecast, the global labour market is likely to continue to absorb the increasing supply as the demand for HSW in “knowledge economy” fields is expected to continue to grow, not only in high-income countries b</w:t>
      </w:r>
      <w:r>
        <w:rPr>
          <w:noProof/>
        </w:rPr>
        <w:t xml:space="preserve">ut also, increasingly, in medium-income countries. As a result, HSW are ever more sought after and, due to the growing internationalisation of the highly skilled labour market, </w:t>
      </w:r>
      <w:r>
        <w:rPr>
          <w:iCs/>
          <w:noProof/>
        </w:rPr>
        <w:t>Europe is in an increasingly fierce global competition with a growing number of</w:t>
      </w:r>
      <w:r>
        <w:rPr>
          <w:iCs/>
          <w:noProof/>
        </w:rPr>
        <w:t xml:space="preserve"> other economies to attract the talent it needs</w:t>
      </w:r>
      <w:r>
        <w:rPr>
          <w:noProof/>
          <w:vertAlign w:val="superscript"/>
        </w:rPr>
        <w:footnoteReference w:id="36"/>
      </w:r>
      <w:r>
        <w:rPr>
          <w:noProof/>
        </w:rPr>
        <w:t>.</w:t>
      </w:r>
    </w:p>
    <w:p w:rsidR="007306CA" w:rsidRDefault="00576025">
      <w:pPr>
        <w:spacing w:after="120"/>
        <w:rPr>
          <w:noProof/>
        </w:rPr>
      </w:pPr>
      <w:r>
        <w:rPr>
          <w:iCs/>
          <w:noProof/>
        </w:rPr>
        <w:t>While recent surveys on immigration intentions point to a relatively strong attractiveness of the EU for highly educated potential migrants</w:t>
      </w:r>
      <w:r>
        <w:rPr>
          <w:rStyle w:val="FootnoteReference"/>
          <w:iCs/>
          <w:noProof/>
        </w:rPr>
        <w:footnoteReference w:id="37"/>
      </w:r>
      <w:r>
        <w:rPr>
          <w:iCs/>
          <w:noProof/>
        </w:rPr>
        <w:t xml:space="preserve"> - and the EU as a whole rates high on factors of attractiveness s</w:t>
      </w:r>
      <w:r>
        <w:rPr>
          <w:iCs/>
          <w:noProof/>
        </w:rPr>
        <w:t>uch as its welfare and health care system, level of wages and job opportunities - the EU appears less effective in retaining talents and in converting its attractiveness into increased actual numbers of HSW coming to work into the EU</w:t>
      </w:r>
      <w:r>
        <w:rPr>
          <w:rStyle w:val="FootnoteReference"/>
          <w:iCs/>
          <w:noProof/>
        </w:rPr>
        <w:footnoteReference w:id="38"/>
      </w:r>
      <w:r>
        <w:rPr>
          <w:iCs/>
          <w:noProof/>
        </w:rPr>
        <w:t>.</w:t>
      </w:r>
      <w:r>
        <w:rPr>
          <w:noProof/>
        </w:rPr>
        <w:t xml:space="preserve"> </w:t>
      </w:r>
      <w:r>
        <w:rPr>
          <w:iCs/>
          <w:noProof/>
        </w:rPr>
        <w:t>Of all non-EU migran</w:t>
      </w:r>
      <w:r>
        <w:rPr>
          <w:iCs/>
          <w:noProof/>
        </w:rPr>
        <w:t>ts coming to OECD countries, 48 % of low-educated migrants choose an EU destination and 68 % of the high-educated ones a non-European OECD destination</w:t>
      </w:r>
      <w:r>
        <w:rPr>
          <w:iCs/>
          <w:noProof/>
          <w:vertAlign w:val="superscript"/>
        </w:rPr>
        <w:footnoteReference w:id="39"/>
      </w:r>
      <w:r>
        <w:rPr>
          <w:iCs/>
          <w:noProof/>
        </w:rPr>
        <w:t>. While t</w:t>
      </w:r>
      <w:r>
        <w:rPr>
          <w:noProof/>
        </w:rPr>
        <w:t>he US labour force is around two-thirds of that of the EU and it has relatively low labour perma</w:t>
      </w:r>
      <w:r>
        <w:rPr>
          <w:noProof/>
        </w:rPr>
        <w:t>nent migration rates (around one fourth of the EU rate, per 1000 inhabitants</w:t>
      </w:r>
      <w:r>
        <w:rPr>
          <w:rStyle w:val="FootnoteReference"/>
          <w:noProof/>
        </w:rPr>
        <w:footnoteReference w:id="40"/>
      </w:r>
      <w:r>
        <w:rPr>
          <w:noProof/>
        </w:rPr>
        <w:t>), it admits around 200 000 skilled labour migrants every year</w:t>
      </w:r>
      <w:r>
        <w:rPr>
          <w:rStyle w:val="FootnoteReference"/>
          <w:noProof/>
        </w:rPr>
        <w:footnoteReference w:id="41"/>
      </w:r>
      <w:r>
        <w:rPr>
          <w:noProof/>
        </w:rPr>
        <w:t xml:space="preserve">. In other OECD countries, such as Canada, New Zealand and Australia — all of which have selective labour migration </w:t>
      </w:r>
      <w:r>
        <w:rPr>
          <w:noProof/>
        </w:rPr>
        <w:t>programmes with little access to permanent migration for low-educated migrants or those in low-skill occupations — permanent labour migration is more than twice the EU average relative to the size of their labour markets</w:t>
      </w:r>
      <w:r>
        <w:rPr>
          <w:rStyle w:val="FootnoteReference"/>
          <w:noProof/>
        </w:rPr>
        <w:footnoteReference w:id="42"/>
      </w:r>
      <w:r>
        <w:rPr>
          <w:noProof/>
        </w:rPr>
        <w:t xml:space="preserve">. </w:t>
      </w:r>
    </w:p>
    <w:p w:rsidR="007306CA" w:rsidRDefault="00576025">
      <w:pPr>
        <w:pStyle w:val="Heading2"/>
        <w:spacing w:after="120"/>
        <w:rPr>
          <w:noProof/>
        </w:rPr>
      </w:pPr>
      <w:bookmarkStart w:id="9" w:name="_Toc311626692"/>
      <w:bookmarkStart w:id="10" w:name="_Toc452679046"/>
      <w:r>
        <w:rPr>
          <w:noProof/>
        </w:rPr>
        <w:t>Procedural issues and consultati</w:t>
      </w:r>
      <w:r>
        <w:rPr>
          <w:noProof/>
        </w:rPr>
        <w:t>on of interested parties</w:t>
      </w:r>
      <w:bookmarkEnd w:id="9"/>
      <w:bookmarkEnd w:id="10"/>
    </w:p>
    <w:p w:rsidR="007306CA" w:rsidRDefault="00576025">
      <w:pPr>
        <w:pStyle w:val="Heading3"/>
        <w:spacing w:after="120"/>
        <w:rPr>
          <w:noProof/>
          <w:lang w:val="en-GB"/>
        </w:rPr>
      </w:pPr>
      <w:bookmarkStart w:id="11" w:name="_Toc432752717"/>
      <w:r>
        <w:rPr>
          <w:noProof/>
          <w:lang w:val="en-GB"/>
        </w:rPr>
        <w:t>Consultation and expertise</w:t>
      </w:r>
      <w:bookmarkEnd w:id="11"/>
      <w:r>
        <w:rPr>
          <w:rStyle w:val="FootnoteReference"/>
          <w:noProof/>
          <w:lang w:val="en-GB"/>
        </w:rPr>
        <w:footnoteReference w:id="43"/>
      </w:r>
      <w:r>
        <w:rPr>
          <w:noProof/>
          <w:lang w:val="en-GB"/>
        </w:rPr>
        <w:t xml:space="preserve"> </w:t>
      </w:r>
    </w:p>
    <w:p w:rsidR="007306CA" w:rsidRDefault="00576025">
      <w:pPr>
        <w:spacing w:after="120"/>
        <w:rPr>
          <w:noProof/>
        </w:rPr>
      </w:pPr>
      <w:r>
        <w:rPr>
          <w:rFonts w:ascii="Times" w:hAnsi="Times"/>
          <w:noProof/>
        </w:rPr>
        <w:t xml:space="preserve">This Impact Assessment is based on a series of studies, reports, stakeholders and experts' consultations, and workshops </w:t>
      </w:r>
      <w:r>
        <w:rPr>
          <w:noProof/>
        </w:rPr>
        <w:t>of which the most relevant ones are highlighted below.</w:t>
      </w:r>
    </w:p>
    <w:p w:rsidR="007306CA" w:rsidRDefault="00576025">
      <w:pPr>
        <w:spacing w:after="120"/>
        <w:rPr>
          <w:rFonts w:ascii="Times" w:hAnsi="Times"/>
          <w:noProof/>
        </w:rPr>
      </w:pPr>
      <w:r>
        <w:rPr>
          <w:noProof/>
        </w:rPr>
        <w:t>Between 27 May and</w:t>
      </w:r>
      <w:r>
        <w:rPr>
          <w:rFonts w:ascii="Times" w:hAnsi="Times"/>
          <w:noProof/>
        </w:rPr>
        <w:t xml:space="preserve"> 30 September 2015, an online </w:t>
      </w:r>
      <w:r>
        <w:rPr>
          <w:rFonts w:ascii="Times" w:hAnsi="Times"/>
          <w:b/>
          <w:noProof/>
        </w:rPr>
        <w:t xml:space="preserve">public consultation on the EU Blue Card and the EU’s labour migration policies </w:t>
      </w:r>
      <w:r>
        <w:rPr>
          <w:rFonts w:ascii="Times" w:hAnsi="Times"/>
          <w:noProof/>
        </w:rPr>
        <w:t>was conducted. In total, 610 responses were received to the questionnaire and 15 written contributions from a wide range of actors representing all</w:t>
      </w:r>
      <w:r>
        <w:rPr>
          <w:rFonts w:ascii="Times" w:hAnsi="Times"/>
          <w:noProof/>
        </w:rPr>
        <w:t xml:space="preserve"> relevant stakeholders</w:t>
      </w:r>
      <w:r>
        <w:rPr>
          <w:rFonts w:ascii="Times" w:hAnsi="Times"/>
          <w:noProof/>
          <w:vertAlign w:val="superscript"/>
        </w:rPr>
        <w:footnoteReference w:id="44"/>
      </w:r>
      <w:r>
        <w:rPr>
          <w:rFonts w:ascii="Times" w:hAnsi="Times"/>
          <w:noProof/>
        </w:rPr>
        <w:t xml:space="preserve">. The main results are summarised in Annex 2 and, where appropriate, referenced and taken account in this Impact Assessment report. </w:t>
      </w:r>
    </w:p>
    <w:p w:rsidR="007306CA" w:rsidRDefault="00576025">
      <w:pPr>
        <w:spacing w:after="120"/>
        <w:rPr>
          <w:rFonts w:ascii="Times" w:hAnsi="Times"/>
          <w:noProof/>
        </w:rPr>
      </w:pPr>
      <w:r>
        <w:rPr>
          <w:rFonts w:ascii="Times" w:hAnsi="Times"/>
          <w:noProof/>
        </w:rPr>
        <w:t xml:space="preserve">In early 2015, a Commission </w:t>
      </w:r>
      <w:r>
        <w:rPr>
          <w:rFonts w:ascii="Times" w:hAnsi="Times"/>
          <w:b/>
          <w:noProof/>
        </w:rPr>
        <w:t xml:space="preserve">Expert Group on Economic Migration </w:t>
      </w:r>
      <w:r>
        <w:rPr>
          <w:rFonts w:ascii="Times" w:hAnsi="Times"/>
          <w:noProof/>
        </w:rPr>
        <w:t>(EGEM)</w:t>
      </w:r>
      <w:r>
        <w:rPr>
          <w:rFonts w:ascii="Times" w:hAnsi="Times"/>
          <w:noProof/>
          <w:vertAlign w:val="superscript"/>
        </w:rPr>
        <w:footnoteReference w:id="45"/>
      </w:r>
      <w:r>
        <w:rPr>
          <w:rFonts w:ascii="Times" w:hAnsi="Times"/>
          <w:noProof/>
        </w:rPr>
        <w:t xml:space="preserve"> was established to support th</w:t>
      </w:r>
      <w:r>
        <w:rPr>
          <w:rFonts w:ascii="Times" w:hAnsi="Times"/>
          <w:noProof/>
        </w:rPr>
        <w:t xml:space="preserve">e future policy development in the field of economic migration. The EGEM has met twice for the review of the Blue Card. On 13 November, a meeting of the newly established </w:t>
      </w:r>
      <w:r>
        <w:rPr>
          <w:rFonts w:ascii="Times" w:hAnsi="Times"/>
          <w:b/>
          <w:noProof/>
        </w:rPr>
        <w:t>Skilled Migrants Expert Group</w:t>
      </w:r>
      <w:r>
        <w:rPr>
          <w:rFonts w:ascii="Times" w:hAnsi="Times"/>
          <w:noProof/>
        </w:rPr>
        <w:t xml:space="preserve"> — a sub-group of the European Migration Network</w:t>
      </w:r>
      <w:r>
        <w:rPr>
          <w:rFonts w:ascii="Times" w:hAnsi="Times"/>
          <w:noProof/>
          <w:vertAlign w:val="superscript"/>
        </w:rPr>
        <w:footnoteReference w:id="46"/>
      </w:r>
      <w:r>
        <w:rPr>
          <w:rFonts w:ascii="Times" w:hAnsi="Times"/>
          <w:noProof/>
        </w:rPr>
        <w:t xml:space="preserve"> — took</w:t>
      </w:r>
      <w:r>
        <w:rPr>
          <w:rFonts w:ascii="Times" w:hAnsi="Times"/>
          <w:noProof/>
        </w:rPr>
        <w:t xml:space="preserve"> place with Member State experts for a technical discussion on the Blue Card, the national parallel schemes for HSW and their interaction.</w:t>
      </w:r>
    </w:p>
    <w:p w:rsidR="007306CA" w:rsidRDefault="00576025">
      <w:pPr>
        <w:spacing w:after="120"/>
        <w:rPr>
          <w:rFonts w:ascii="Times" w:hAnsi="Times"/>
          <w:noProof/>
        </w:rPr>
      </w:pPr>
      <w:r>
        <w:rPr>
          <w:rFonts w:ascii="Times" w:hAnsi="Times"/>
          <w:noProof/>
        </w:rPr>
        <w:t xml:space="preserve">Various bilateral and group meetings have also been held with key </w:t>
      </w:r>
      <w:r>
        <w:rPr>
          <w:rFonts w:ascii="Times" w:hAnsi="Times"/>
          <w:b/>
          <w:noProof/>
        </w:rPr>
        <w:t>Member States</w:t>
      </w:r>
      <w:r>
        <w:rPr>
          <w:rFonts w:ascii="Times" w:hAnsi="Times"/>
          <w:noProof/>
        </w:rPr>
        <w:t>, business representatives, practition</w:t>
      </w:r>
      <w:r>
        <w:rPr>
          <w:rFonts w:ascii="Times" w:hAnsi="Times"/>
          <w:noProof/>
        </w:rPr>
        <w:t xml:space="preserve">ers, social partners and international organisations (OECD, UNHCR, IOM). In addition, in cooperation with RTD, CNECT and GROW, a number of specific expert meetings were held on entrepreneurship and Start-ups. </w:t>
      </w:r>
    </w:p>
    <w:p w:rsidR="007306CA" w:rsidRDefault="00576025">
      <w:pPr>
        <w:spacing w:after="120"/>
        <w:rPr>
          <w:rFonts w:ascii="Times" w:hAnsi="Times"/>
          <w:noProof/>
        </w:rPr>
      </w:pPr>
      <w:r>
        <w:rPr>
          <w:noProof/>
        </w:rPr>
        <w:t xml:space="preserve">To increase the involvement of </w:t>
      </w:r>
      <w:r>
        <w:rPr>
          <w:b/>
          <w:noProof/>
        </w:rPr>
        <w:t>national social</w:t>
      </w:r>
      <w:r>
        <w:rPr>
          <w:b/>
          <w:noProof/>
        </w:rPr>
        <w:t xml:space="preserve"> partners</w:t>
      </w:r>
      <w:r>
        <w:rPr>
          <w:noProof/>
        </w:rPr>
        <w:t xml:space="preserve">, a specific </w:t>
      </w:r>
      <w:hyperlink r:id="rId45" w:history="1">
        <w:r>
          <w:rPr>
            <w:rStyle w:val="Hyperlink"/>
            <w:noProof/>
          </w:rPr>
          <w:t>workshop "Towards a revised Blue Card Directive: Results of the public consultation</w:t>
        </w:r>
      </w:hyperlink>
      <w:r>
        <w:rPr>
          <w:noProof/>
        </w:rPr>
        <w:t>" was organised on 3 December 2015 in collaboration with</w:t>
      </w:r>
      <w:r>
        <w:rPr>
          <w:noProof/>
        </w:rPr>
        <w:t xml:space="preserve"> the Labour Market Observatory (LMO) and the Permanent Study Group on Immigration and Integration (IMI) of European Economic and Social Committee.</w:t>
      </w:r>
    </w:p>
    <w:p w:rsidR="007306CA" w:rsidRDefault="00576025">
      <w:pPr>
        <w:spacing w:after="120"/>
        <w:rPr>
          <w:rFonts w:ascii="Times" w:hAnsi="Times"/>
          <w:noProof/>
        </w:rPr>
      </w:pPr>
      <w:r>
        <w:rPr>
          <w:rFonts w:ascii="Times" w:hAnsi="Times"/>
          <w:noProof/>
        </w:rPr>
        <w:t xml:space="preserve">An </w:t>
      </w:r>
      <w:r>
        <w:rPr>
          <w:rFonts w:ascii="Times" w:hAnsi="Times"/>
          <w:b/>
          <w:noProof/>
        </w:rPr>
        <w:t xml:space="preserve">Inter-Service Group on the Review of the Blue Card Directive </w:t>
      </w:r>
      <w:r>
        <w:rPr>
          <w:rFonts w:ascii="Times" w:hAnsi="Times"/>
          <w:noProof/>
        </w:rPr>
        <w:t>was set up</w:t>
      </w:r>
      <w:r>
        <w:rPr>
          <w:rFonts w:ascii="Times" w:hAnsi="Times"/>
          <w:noProof/>
          <w:vertAlign w:val="superscript"/>
        </w:rPr>
        <w:footnoteReference w:id="47"/>
      </w:r>
      <w:r>
        <w:rPr>
          <w:rFonts w:ascii="Times" w:hAnsi="Times"/>
          <w:noProof/>
        </w:rPr>
        <w:t xml:space="preserve"> and met three times. An </w:t>
      </w:r>
      <w:r>
        <w:rPr>
          <w:rFonts w:ascii="Times" w:hAnsi="Times"/>
          <w:b/>
          <w:noProof/>
        </w:rPr>
        <w:t xml:space="preserve">external </w:t>
      </w:r>
      <w:r>
        <w:rPr>
          <w:rFonts w:ascii="Times" w:hAnsi="Times"/>
          <w:b/>
          <w:noProof/>
        </w:rPr>
        <w:t xml:space="preserve">study </w:t>
      </w:r>
      <w:r>
        <w:rPr>
          <w:rFonts w:ascii="Times" w:hAnsi="Times"/>
          <w:noProof/>
        </w:rPr>
        <w:t>was commissioned to support the review of the Blue Card, including evaluation, stakeholder consultation, expert workshops and impact assessment activities</w:t>
      </w:r>
      <w:r>
        <w:rPr>
          <w:rFonts w:ascii="Times" w:hAnsi="Times"/>
          <w:iCs/>
          <w:noProof/>
        </w:rPr>
        <w:t>.</w:t>
      </w:r>
    </w:p>
    <w:p w:rsidR="007306CA" w:rsidRDefault="00576025">
      <w:pPr>
        <w:pStyle w:val="Heading3"/>
        <w:spacing w:after="120"/>
        <w:rPr>
          <w:noProof/>
          <w:lang w:val="en-GB"/>
        </w:rPr>
      </w:pPr>
      <w:r>
        <w:rPr>
          <w:noProof/>
          <w:lang w:val="en-GB"/>
        </w:rPr>
        <w:t>Data collection and its limitations</w:t>
      </w:r>
    </w:p>
    <w:p w:rsidR="007306CA" w:rsidRDefault="00576025">
      <w:pPr>
        <w:spacing w:after="120"/>
        <w:rPr>
          <w:rFonts w:ascii="Times" w:hAnsi="Times"/>
          <w:noProof/>
        </w:rPr>
      </w:pPr>
      <w:r>
        <w:rPr>
          <w:rFonts w:ascii="Times" w:hAnsi="Times"/>
          <w:noProof/>
        </w:rPr>
        <w:t>The analysis presented here has been partly constrained by</w:t>
      </w:r>
      <w:r>
        <w:rPr>
          <w:rFonts w:ascii="Times" w:hAnsi="Times"/>
          <w:noProof/>
        </w:rPr>
        <w:t xml:space="preserve"> limitations in data availability. There continues to be an insufficient communication by Member States of data and measures taken in application of the Directive</w:t>
      </w:r>
      <w:r>
        <w:rPr>
          <w:rFonts w:ascii="Times" w:hAnsi="Times"/>
          <w:noProof/>
          <w:vertAlign w:val="superscript"/>
        </w:rPr>
        <w:footnoteReference w:id="48"/>
      </w:r>
      <w:r>
        <w:rPr>
          <w:rFonts w:ascii="Times" w:hAnsi="Times"/>
          <w:noProof/>
        </w:rPr>
        <w:t xml:space="preserve"> despite significantly stepped up efforts by the Commission to collect sound and reliable inf</w:t>
      </w:r>
      <w:r>
        <w:rPr>
          <w:rFonts w:ascii="Times" w:hAnsi="Times"/>
          <w:noProof/>
        </w:rPr>
        <w:t>ormation, including through bilateral contacts and meetings with several Member States</w:t>
      </w:r>
      <w:r>
        <w:rPr>
          <w:rStyle w:val="FootnoteReference"/>
          <w:rFonts w:ascii="Times" w:hAnsi="Times"/>
          <w:noProof/>
        </w:rPr>
        <w:footnoteReference w:id="49"/>
      </w:r>
      <w:r>
        <w:rPr>
          <w:rFonts w:ascii="Times" w:hAnsi="Times"/>
          <w:noProof/>
        </w:rPr>
        <w:t>. In addition, there is a significant lack of comparability of migration statistics, in particular on national and international schemes for HSW</w:t>
      </w:r>
      <w:r>
        <w:rPr>
          <w:rStyle w:val="FootnoteReference"/>
          <w:rFonts w:ascii="Times" w:hAnsi="Times"/>
          <w:noProof/>
        </w:rPr>
        <w:footnoteReference w:id="50"/>
      </w:r>
      <w:r>
        <w:rPr>
          <w:rFonts w:ascii="Times" w:hAnsi="Times"/>
          <w:noProof/>
        </w:rPr>
        <w:t>. Furthermore, it is dif</w:t>
      </w:r>
      <w:r>
        <w:rPr>
          <w:rFonts w:ascii="Times" w:hAnsi="Times"/>
          <w:noProof/>
        </w:rPr>
        <w:t xml:space="preserve">ficult to reliably estimate and quantify the potential impacts of the policy options and of various factors that influence the attractiveness and labour migration flows, e.g. entry requirements, level of rights and the (real or perceived) "burdens" of the </w:t>
      </w:r>
      <w:r>
        <w:rPr>
          <w:rFonts w:ascii="Times" w:hAnsi="Times"/>
          <w:noProof/>
        </w:rPr>
        <w:t xml:space="preserve">application process. Many other factors also influence the migration choices, such as </w:t>
      </w:r>
      <w:r>
        <w:rPr>
          <w:noProof/>
        </w:rPr>
        <w:t>living standards, the welfare and tax systems of a country, the language spoken, and the wage level.</w:t>
      </w:r>
      <w:r>
        <w:rPr>
          <w:rFonts w:ascii="Times" w:hAnsi="Times"/>
          <w:noProof/>
          <w:vertAlign w:val="superscript"/>
        </w:rPr>
        <w:footnoteReference w:id="51"/>
      </w:r>
      <w:r>
        <w:rPr>
          <w:rFonts w:ascii="Times" w:hAnsi="Times"/>
          <w:noProof/>
        </w:rPr>
        <w:t xml:space="preserve"> </w:t>
      </w:r>
    </w:p>
    <w:p w:rsidR="007306CA" w:rsidRDefault="00576025">
      <w:pPr>
        <w:pStyle w:val="Heading1"/>
        <w:spacing w:after="120"/>
        <w:ind w:left="482" w:hanging="482"/>
        <w:rPr>
          <w:noProof/>
        </w:rPr>
      </w:pPr>
      <w:bookmarkStart w:id="12" w:name="_Toc311626693"/>
      <w:bookmarkStart w:id="13" w:name="_Toc452679047"/>
      <w:r>
        <w:rPr>
          <w:noProof/>
        </w:rPr>
        <w:t>Problem definition</w:t>
      </w:r>
      <w:bookmarkEnd w:id="1"/>
      <w:bookmarkEnd w:id="12"/>
      <w:bookmarkEnd w:id="13"/>
    </w:p>
    <w:p w:rsidR="007306CA" w:rsidRDefault="00576025">
      <w:pPr>
        <w:spacing w:after="120"/>
        <w:rPr>
          <w:noProof/>
        </w:rPr>
      </w:pPr>
      <w:bookmarkStart w:id="14" w:name="_Toc426279832"/>
      <w:r>
        <w:rPr>
          <w:noProof/>
        </w:rPr>
        <w:t>The definition of the problems has taken into ac</w:t>
      </w:r>
      <w:r>
        <w:rPr>
          <w:noProof/>
        </w:rPr>
        <w:t>count both the evaluation of the implementation of the current Blue Card (see Annex 5) and the comparative analysis of the functioning of the existing national schemes (see Annex 6), as well as the interaction between the two.  The "problem tree" is presen</w:t>
      </w:r>
      <w:r>
        <w:rPr>
          <w:noProof/>
        </w:rPr>
        <w:t>ted in Annex 3.</w:t>
      </w:r>
    </w:p>
    <w:p w:rsidR="007306CA" w:rsidRDefault="00576025">
      <w:pPr>
        <w:pStyle w:val="Heading2"/>
        <w:tabs>
          <w:tab w:val="num" w:pos="1418"/>
        </w:tabs>
        <w:spacing w:after="120"/>
        <w:ind w:left="709"/>
        <w:rPr>
          <w:noProof/>
        </w:rPr>
      </w:pPr>
      <w:bookmarkStart w:id="15" w:name="_Toc311626696"/>
      <w:bookmarkStart w:id="16" w:name="_Toc452679048"/>
      <w:r>
        <w:rPr>
          <w:noProof/>
        </w:rPr>
        <w:t>The problems that require action</w:t>
      </w:r>
      <w:bookmarkEnd w:id="15"/>
      <w:bookmarkEnd w:id="16"/>
    </w:p>
    <w:bookmarkEnd w:id="14"/>
    <w:p w:rsidR="007306CA" w:rsidRDefault="00576025">
      <w:pPr>
        <w:pStyle w:val="Heading3"/>
        <w:tabs>
          <w:tab w:val="num" w:pos="851"/>
        </w:tabs>
        <w:spacing w:after="120"/>
        <w:ind w:left="709"/>
        <w:rPr>
          <w:noProof/>
          <w:lang w:val="en-GB"/>
        </w:rPr>
      </w:pPr>
      <w:r>
        <w:rPr>
          <w:noProof/>
          <w:lang w:val="en-GB"/>
        </w:rPr>
        <w:t>Problem area 1: EU failure to attract and retain third-country highly skilled workers</w:t>
      </w:r>
    </w:p>
    <w:p w:rsidR="007306CA" w:rsidRDefault="00576025">
      <w:pPr>
        <w:pStyle w:val="Heading4"/>
        <w:numPr>
          <w:ilvl w:val="0"/>
          <w:numId w:val="0"/>
        </w:numPr>
        <w:spacing w:after="120"/>
        <w:rPr>
          <w:b/>
          <w:i/>
          <w:noProof/>
        </w:rPr>
      </w:pPr>
      <w:r>
        <w:rPr>
          <w:b/>
          <w:i/>
          <w:noProof/>
        </w:rPr>
        <w:t>Sub-problem 1: EU failure to attract highly skilled workers into the EU</w:t>
      </w:r>
    </w:p>
    <w:p w:rsidR="007306CA" w:rsidRDefault="00576025">
      <w:pPr>
        <w:spacing w:after="120"/>
        <w:rPr>
          <w:rFonts w:ascii="Times" w:hAnsi="Times"/>
          <w:noProof/>
        </w:rPr>
      </w:pPr>
      <w:r>
        <w:rPr>
          <w:iCs/>
          <w:noProof/>
        </w:rPr>
        <w:t xml:space="preserve">The Blue Card's objective was to create an attractive EU-wide scheme for HSW in order to help </w:t>
      </w:r>
      <w:r>
        <w:rPr>
          <w:rFonts w:ascii="Times" w:hAnsi="Times"/>
          <w:noProof/>
        </w:rPr>
        <w:t xml:space="preserve">address labour and skills shortages and sustain the EU’s competitiveness and economic growth. There is clear evidence that HSW improve the host country's overall </w:t>
      </w:r>
      <w:r>
        <w:rPr>
          <w:rFonts w:ascii="Times" w:hAnsi="Times"/>
          <w:noProof/>
        </w:rPr>
        <w:t>productivity and its labour market performance if their qualifications and skills are used efficiently</w:t>
      </w:r>
      <w:r>
        <w:rPr>
          <w:rFonts w:ascii="Times" w:hAnsi="Times"/>
          <w:noProof/>
          <w:vertAlign w:val="superscript"/>
        </w:rPr>
        <w:footnoteReference w:id="52"/>
      </w:r>
      <w:r>
        <w:rPr>
          <w:rFonts w:ascii="Times" w:hAnsi="Times"/>
          <w:noProof/>
        </w:rPr>
        <w:t xml:space="preserve">. </w:t>
      </w:r>
    </w:p>
    <w:p w:rsidR="007306CA" w:rsidRDefault="00576025">
      <w:pPr>
        <w:spacing w:after="120"/>
        <w:rPr>
          <w:noProof/>
        </w:rPr>
      </w:pPr>
      <w:r>
        <w:rPr>
          <w:iCs/>
          <w:noProof/>
        </w:rPr>
        <w:t>However</w:t>
      </w:r>
      <w:r>
        <w:rPr>
          <w:noProof/>
        </w:rPr>
        <w:t>, as described in Section 1, the challenges and problems faced by the EU prior to the adoption of the Blue Card Directive have not been effecti</w:t>
      </w:r>
      <w:r>
        <w:rPr>
          <w:noProof/>
        </w:rPr>
        <w:t xml:space="preserve">vely addressed since then and, on the contrary, have even worsened. </w:t>
      </w:r>
    </w:p>
    <w:p w:rsidR="007306CA" w:rsidRDefault="00576025">
      <w:pPr>
        <w:spacing w:after="120"/>
        <w:rPr>
          <w:noProof/>
        </w:rPr>
      </w:pPr>
      <w:r>
        <w:rPr>
          <w:rFonts w:ascii="Times" w:hAnsi="Times"/>
          <w:noProof/>
        </w:rPr>
        <w:t>In quantitative terms, t</w:t>
      </w:r>
      <w:r>
        <w:rPr>
          <w:iCs/>
          <w:noProof/>
        </w:rPr>
        <w:t xml:space="preserve">he Eurostat statistics on highly skilled third-country nationals attracted to the EU under both national schemes for HSW – which remain allowed under the current </w:t>
      </w:r>
      <w:r>
        <w:rPr>
          <w:iCs/>
          <w:noProof/>
        </w:rPr>
        <w:t>Directive - and the EU Blue Card over the last years paint a bleak picture. W</w:t>
      </w:r>
      <w:r>
        <w:rPr>
          <w:noProof/>
        </w:rPr>
        <w:t>hile the numbers of both the Blue Card and the national highly skilled permits in EU25</w:t>
      </w:r>
      <w:r>
        <w:rPr>
          <w:rStyle w:val="FootnoteReference"/>
          <w:noProof/>
        </w:rPr>
        <w:footnoteReference w:id="53"/>
      </w:r>
      <w:r>
        <w:rPr>
          <w:noProof/>
        </w:rPr>
        <w:t xml:space="preserve"> have increased since 2012</w:t>
      </w:r>
      <w:r>
        <w:rPr>
          <w:rStyle w:val="FootnoteReference"/>
          <w:noProof/>
        </w:rPr>
        <w:footnoteReference w:id="54"/>
      </w:r>
      <w:r>
        <w:rPr>
          <w:noProof/>
        </w:rPr>
        <w:t xml:space="preserve">, </w:t>
      </w:r>
      <w:r>
        <w:rPr>
          <w:iCs/>
          <w:noProof/>
        </w:rPr>
        <w:t>the current overall inflow of highly skilled workers to EU25 (</w:t>
      </w:r>
      <w:r>
        <w:rPr>
          <w:noProof/>
        </w:rPr>
        <w:t>2</w:t>
      </w:r>
      <w:r>
        <w:rPr>
          <w:noProof/>
        </w:rPr>
        <w:t>3 419 in 2012, 34 904 in 2013 and 38 774 in 2014)</w:t>
      </w:r>
      <w:r>
        <w:rPr>
          <w:iCs/>
          <w:noProof/>
        </w:rPr>
        <w:t xml:space="preserve"> is by far not sufficient to address the existing nor, if maintained at the current level</w:t>
      </w:r>
      <w:r>
        <w:rPr>
          <w:iCs/>
          <w:noProof/>
          <w:vertAlign w:val="superscript"/>
        </w:rPr>
        <w:footnoteReference w:id="55"/>
      </w:r>
      <w:r>
        <w:rPr>
          <w:iCs/>
          <w:noProof/>
        </w:rPr>
        <w:t xml:space="preserve">, the projected future labour and skills shortages in the EU in highly skilled occupations. </w:t>
      </w:r>
      <w:r>
        <w:rPr>
          <w:noProof/>
        </w:rPr>
        <w:t xml:space="preserve">At the same time, skills </w:t>
      </w:r>
      <w:r>
        <w:rPr>
          <w:noProof/>
        </w:rPr>
        <w:t>and labour shortages for medium skilled workers also occur</w:t>
      </w:r>
      <w:r>
        <w:rPr>
          <w:rStyle w:val="FootnoteReference"/>
          <w:noProof/>
        </w:rPr>
        <w:footnoteReference w:id="56"/>
      </w:r>
      <w:r>
        <w:rPr>
          <w:noProof/>
        </w:rPr>
        <w:t xml:space="preserve"> and are projected to increase; some stakeholders representing Small and Medium-sized Enterprises advocate expanding the Blue Card Directive beyond the highly skilled</w:t>
      </w:r>
      <w:r>
        <w:rPr>
          <w:rStyle w:val="FootnoteReference"/>
          <w:noProof/>
        </w:rPr>
        <w:footnoteReference w:id="57"/>
      </w:r>
      <w:r>
        <w:rPr>
          <w:noProof/>
        </w:rPr>
        <w:t>.</w:t>
      </w:r>
    </w:p>
    <w:p w:rsidR="007306CA" w:rsidRDefault="00576025">
      <w:pPr>
        <w:spacing w:after="120"/>
        <w:rPr>
          <w:iCs/>
          <w:noProof/>
        </w:rPr>
      </w:pPr>
      <w:r>
        <w:rPr>
          <w:iCs/>
          <w:noProof/>
        </w:rPr>
        <w:t>The statistics indicate that</w:t>
      </w:r>
      <w:r>
        <w:rPr>
          <w:iCs/>
          <w:noProof/>
        </w:rPr>
        <w:t xml:space="preserve"> national residence permits are generally issued in higher numbers than Blue Cards, with significant variations, however, across Member States so that only few Member States can be considered to have in place relatively successful schemes</w:t>
      </w:r>
      <w:r>
        <w:rPr>
          <w:iCs/>
          <w:noProof/>
          <w:vertAlign w:val="superscript"/>
        </w:rPr>
        <w:footnoteReference w:id="58"/>
      </w:r>
      <w:r>
        <w:rPr>
          <w:iCs/>
          <w:noProof/>
        </w:rPr>
        <w:t>. This is due, to</w:t>
      </w:r>
      <w:r>
        <w:rPr>
          <w:iCs/>
          <w:noProof/>
        </w:rPr>
        <w:t xml:space="preserve"> a large extent, to the more selective nature of the EU Blue Card compared to most national schemes – most of them require, for example, a lower salary threshold, or a work contract of a shorter duration than one year – and to policy choices made by some M</w:t>
      </w:r>
      <w:r>
        <w:rPr>
          <w:iCs/>
          <w:noProof/>
        </w:rPr>
        <w:t>ember States when implementing the Blue Card that favour and better promote their national schemes</w:t>
      </w:r>
      <w:r>
        <w:rPr>
          <w:rStyle w:val="FootnoteReference"/>
          <w:iCs/>
          <w:noProof/>
        </w:rPr>
        <w:footnoteReference w:id="59"/>
      </w:r>
      <w:r>
        <w:rPr>
          <w:iCs/>
          <w:noProof/>
        </w:rPr>
        <w:t>. Nevertheless, the very low overall numbers of permits issued to highly skilled foreign workers clearly show that neither the national schemes nor the EU Bl</w:t>
      </w:r>
      <w:r>
        <w:rPr>
          <w:iCs/>
          <w:noProof/>
        </w:rPr>
        <w:t xml:space="preserve">ue Card – and the two combined – are sufficiently effective in attracting HSW, and in making the EU competitive in the global race for talents. </w:t>
      </w:r>
    </w:p>
    <w:p w:rsidR="007306CA" w:rsidRDefault="00576025">
      <w:pPr>
        <w:spacing w:after="120"/>
        <w:rPr>
          <w:iCs/>
          <w:noProof/>
        </w:rPr>
      </w:pPr>
      <w:r>
        <w:rPr>
          <w:iCs/>
          <w:noProof/>
        </w:rPr>
        <w:t>While individual decisions to migrate are determined by many factors, some of which are out of the control of t</w:t>
      </w:r>
      <w:r>
        <w:rPr>
          <w:iCs/>
          <w:noProof/>
        </w:rPr>
        <w:t xml:space="preserve">he immigration policy, the role of an efficient labour migration system is essentially to eliminate barriers and facilitate admission while assuring a focussed selection, as well to increase the appeal of a certain destination – for highly skilled workers </w:t>
      </w:r>
      <w:r>
        <w:rPr>
          <w:iCs/>
          <w:noProof/>
        </w:rPr>
        <w:t>– by granting an attractive package of rights and benefits.</w:t>
      </w:r>
    </w:p>
    <w:p w:rsidR="007306CA" w:rsidRDefault="00576025">
      <w:pPr>
        <w:spacing w:after="120"/>
        <w:rPr>
          <w:iCs/>
          <w:noProof/>
        </w:rPr>
      </w:pPr>
      <w:r>
        <w:rPr>
          <w:iCs/>
          <w:noProof/>
        </w:rPr>
        <w:t xml:space="preserve">The Blue Card scheme is today one of many different applicable sets of rules and procedures for admitting HSW to the EU. One could argue that the national schemes can be complementary to the Blue </w:t>
      </w:r>
      <w:r>
        <w:rPr>
          <w:iCs/>
          <w:noProof/>
        </w:rPr>
        <w:t>Card, better adapted to the specificities of the national labour markets, and even introduce an element of positive competition between the Member States. However, as shown by the numbers, the fact of having different parallel rules, procedures, conditions</w:t>
      </w:r>
      <w:r>
        <w:rPr>
          <w:iCs/>
          <w:noProof/>
        </w:rPr>
        <w:t xml:space="preserve"> and rights for the same category of third-country nationals – while the objective is the same, i.e. to attract more highly skilled people who can contribute to addressing shortages and boost economic growth</w:t>
      </w:r>
      <w:r>
        <w:rPr>
          <w:rStyle w:val="FootnoteReference"/>
          <w:iCs/>
          <w:noProof/>
        </w:rPr>
        <w:footnoteReference w:id="60"/>
      </w:r>
      <w:r>
        <w:rPr>
          <w:iCs/>
          <w:noProof/>
        </w:rPr>
        <w:t xml:space="preserve"> – is simply neither effective nor efficient. Th</w:t>
      </w:r>
      <w:r>
        <w:rPr>
          <w:iCs/>
          <w:noProof/>
        </w:rPr>
        <w:t>e complexity of the current regulatory framework for recruiting the same category of HSW creates costs and administrative burden</w:t>
      </w:r>
      <w:r>
        <w:rPr>
          <w:rStyle w:val="FootnoteReference"/>
          <w:iCs/>
          <w:noProof/>
        </w:rPr>
        <w:footnoteReference w:id="61"/>
      </w:r>
      <w:r>
        <w:rPr>
          <w:iCs/>
          <w:noProof/>
        </w:rPr>
        <w:t xml:space="preserve">, not only for the individuals but also for the employers, including for SMEs, which have fewer resources to invest in support </w:t>
      </w:r>
      <w:r>
        <w:rPr>
          <w:iCs/>
          <w:noProof/>
        </w:rPr>
        <w:t>services (e.g. immigration lawyers) compared to big companies. It is also easier for the competent authorities of Member States to have a clear, straightforward and single set of rules to apply when examining an application of a HSW to stay and work</w:t>
      </w:r>
      <w:r>
        <w:rPr>
          <w:rStyle w:val="FootnoteReference"/>
          <w:iCs/>
          <w:noProof/>
        </w:rPr>
        <w:footnoteReference w:id="62"/>
      </w:r>
      <w:r>
        <w:rPr>
          <w:iCs/>
          <w:noProof/>
        </w:rPr>
        <w:t xml:space="preserve">.  </w:t>
      </w:r>
    </w:p>
    <w:p w:rsidR="007306CA" w:rsidRDefault="00576025">
      <w:pPr>
        <w:spacing w:after="120"/>
        <w:rPr>
          <w:iCs/>
          <w:noProof/>
        </w:rPr>
      </w:pPr>
      <w:r>
        <w:rPr>
          <w:iCs/>
          <w:noProof/>
        </w:rPr>
        <w:t>Mo</w:t>
      </w:r>
      <w:r>
        <w:rPr>
          <w:iCs/>
          <w:noProof/>
        </w:rPr>
        <w:t>reover, what a national scheme cannot offer, by its own nature, is intra-EU mobility, i.e. the possibility to move easily from a Member State to another should work opportunities arise. As shown by the various analyses and studies of the potential of intra</w:t>
      </w:r>
      <w:r>
        <w:rPr>
          <w:iCs/>
          <w:noProof/>
        </w:rPr>
        <w:t>-EU mobility of EU citizens, cross-border mobility of workers is a key element in ensuring the efficient allocation of labour force across the EU, helping to absorb asymmetric labour demand shocks and contributing to the deepening of the Single Market</w:t>
      </w:r>
      <w:r>
        <w:rPr>
          <w:rStyle w:val="FootnoteReference"/>
          <w:iCs/>
          <w:noProof/>
        </w:rPr>
        <w:footnoteReference w:id="63"/>
      </w:r>
      <w:r>
        <w:rPr>
          <w:iCs/>
          <w:noProof/>
        </w:rPr>
        <w:t>. Be</w:t>
      </w:r>
      <w:r>
        <w:rPr>
          <w:iCs/>
          <w:noProof/>
        </w:rPr>
        <w:t>aring in mind that free movement rights enjoyed by EU citizens are Treaty-based and much more far-reaching than any comparable regime for third-country nationals, in economic terms the advantages of labour mobility across the EU Single Market, whatever the</w:t>
      </w:r>
      <w:r>
        <w:rPr>
          <w:iCs/>
          <w:noProof/>
        </w:rPr>
        <w:t xml:space="preserve"> nationality of the worker, are very similar.</w:t>
      </w:r>
    </w:p>
    <w:p w:rsidR="007306CA" w:rsidRDefault="00576025">
      <w:pPr>
        <w:spacing w:after="120"/>
        <w:rPr>
          <w:iCs/>
          <w:noProof/>
        </w:rPr>
      </w:pPr>
      <w:r>
        <w:rPr>
          <w:iCs/>
          <w:noProof/>
        </w:rPr>
        <w:t>While reliable data on intra-EU mobility of third-country nationals, including highly skilled ones, are currently limited</w:t>
      </w:r>
      <w:r>
        <w:rPr>
          <w:rStyle w:val="FootnoteReference"/>
          <w:iCs/>
          <w:noProof/>
        </w:rPr>
        <w:footnoteReference w:id="64"/>
      </w:r>
      <w:r>
        <w:rPr>
          <w:iCs/>
          <w:noProof/>
        </w:rPr>
        <w:t>, the public consultation and several stakeholders (particularly business) have highligh</w:t>
      </w:r>
      <w:r>
        <w:rPr>
          <w:iCs/>
          <w:noProof/>
        </w:rPr>
        <w:t xml:space="preserve">ted the need for intra-EU mobility for HSW and identified it as the main value added of having an </w:t>
      </w:r>
      <w:r>
        <w:rPr>
          <w:noProof/>
        </w:rPr>
        <w:t>EU-wide scheme</w:t>
      </w:r>
      <w:r>
        <w:rPr>
          <w:rStyle w:val="FootnoteReference"/>
          <w:noProof/>
        </w:rPr>
        <w:footnoteReference w:id="65"/>
      </w:r>
      <w:r>
        <w:rPr>
          <w:noProof/>
        </w:rPr>
        <w:t>.</w:t>
      </w:r>
      <w:r>
        <w:rPr>
          <w:iCs/>
          <w:noProof/>
        </w:rPr>
        <w:t xml:space="preserve"> </w:t>
      </w:r>
      <w:r>
        <w:rPr>
          <w:noProof/>
        </w:rPr>
        <w:t>The views of Blue Card holders themselves may illustrate the need best: 87 % of 4 116 German Blue Card holders who were surveyed see clear be</w:t>
      </w:r>
      <w:r>
        <w:rPr>
          <w:noProof/>
        </w:rPr>
        <w:t>nefits in improved mobility within the EU and 13 % say that they have already or will probably make use of it</w:t>
      </w:r>
      <w:r>
        <w:rPr>
          <w:rStyle w:val="FootnoteReference"/>
          <w:noProof/>
        </w:rPr>
        <w:footnoteReference w:id="66"/>
      </w:r>
      <w:r>
        <w:rPr>
          <w:noProof/>
        </w:rPr>
        <w:t xml:space="preserve">. </w:t>
      </w:r>
    </w:p>
    <w:p w:rsidR="007306CA" w:rsidRDefault="00576025">
      <w:pPr>
        <w:spacing w:after="120"/>
        <w:rPr>
          <w:noProof/>
        </w:rPr>
      </w:pPr>
      <w:r>
        <w:rPr>
          <w:iCs/>
          <w:noProof/>
        </w:rPr>
        <w:t>The current Blue Card Directive contains provisions facilitating intra-EU mobility but</w:t>
      </w:r>
      <w:r>
        <w:rPr>
          <w:b/>
          <w:iCs/>
          <w:noProof/>
        </w:rPr>
        <w:t xml:space="preserve"> </w:t>
      </w:r>
      <w:r>
        <w:rPr>
          <w:iCs/>
          <w:noProof/>
        </w:rPr>
        <w:t>their impact is very limited</w:t>
      </w:r>
      <w:r>
        <w:rPr>
          <w:b/>
          <w:iCs/>
          <w:noProof/>
        </w:rPr>
        <w:t>;</w:t>
      </w:r>
      <w:r>
        <w:rPr>
          <w:iCs/>
          <w:noProof/>
        </w:rPr>
        <w:t xml:space="preserve"> </w:t>
      </w:r>
      <w:r>
        <w:rPr>
          <w:noProof/>
        </w:rPr>
        <w:t xml:space="preserve">in practice there is </w:t>
      </w:r>
      <w:r>
        <w:rPr>
          <w:noProof/>
        </w:rPr>
        <w:t>little difference between the situation of a HSW applying for a Blue Card for the first time from a third country, and that of a Blue Card holder wishing to move to another Member State</w:t>
      </w:r>
      <w:r>
        <w:rPr>
          <w:rStyle w:val="FootnoteReference"/>
          <w:noProof/>
        </w:rPr>
        <w:footnoteReference w:id="67"/>
      </w:r>
      <w:r>
        <w:rPr>
          <w:noProof/>
        </w:rPr>
        <w:t>.</w:t>
      </w:r>
    </w:p>
    <w:p w:rsidR="007306CA" w:rsidRDefault="00576025">
      <w:pPr>
        <w:pStyle w:val="Heading4"/>
        <w:numPr>
          <w:ilvl w:val="0"/>
          <w:numId w:val="0"/>
        </w:numPr>
        <w:spacing w:after="120"/>
        <w:rPr>
          <w:b/>
          <w:i/>
          <w:noProof/>
        </w:rPr>
      </w:pPr>
      <w:r>
        <w:rPr>
          <w:b/>
          <w:i/>
          <w:iCs/>
          <w:noProof/>
        </w:rPr>
        <w:t>Sub-</w:t>
      </w:r>
      <w:r>
        <w:rPr>
          <w:b/>
          <w:i/>
          <w:noProof/>
        </w:rPr>
        <w:t>problem 2: Failure of the EU to retain TCN (recent) graduates an</w:t>
      </w:r>
      <w:r>
        <w:rPr>
          <w:b/>
          <w:i/>
          <w:noProof/>
        </w:rPr>
        <w:t>d former researchers</w:t>
      </w:r>
    </w:p>
    <w:p w:rsidR="007306CA" w:rsidRDefault="00576025">
      <w:pPr>
        <w:autoSpaceDE w:val="0"/>
        <w:autoSpaceDN w:val="0"/>
        <w:adjustRightInd w:val="0"/>
        <w:spacing w:after="120"/>
        <w:rPr>
          <w:noProof/>
        </w:rPr>
      </w:pPr>
      <w:r>
        <w:rPr>
          <w:iCs/>
          <w:noProof/>
        </w:rPr>
        <w:t>The past decade has seen a significant increase globally in the number of persons studying abroad.</w:t>
      </w:r>
      <w:r>
        <w:rPr>
          <w:iCs/>
          <w:noProof/>
          <w:vertAlign w:val="superscript"/>
        </w:rPr>
        <w:footnoteReference w:id="68"/>
      </w:r>
      <w:r>
        <w:rPr>
          <w:iCs/>
          <w:noProof/>
        </w:rPr>
        <w:t xml:space="preserve"> With around 1 million non-EU students enrolled in 2012, the EU is an attractive destination for international students. However, stay-r</w:t>
      </w:r>
      <w:r>
        <w:rPr>
          <w:iCs/>
          <w:noProof/>
        </w:rPr>
        <w:t>ates (after finalising studies) are rather low. The OECD estimates that stay-rates of non-EU students in the EU vary between 16.4 and 29.1 % in the period 2010-2012</w:t>
      </w:r>
      <w:r>
        <w:rPr>
          <w:iCs/>
          <w:noProof/>
          <w:vertAlign w:val="superscript"/>
        </w:rPr>
        <w:footnoteReference w:id="69"/>
      </w:r>
      <w:r>
        <w:rPr>
          <w:iCs/>
          <w:noProof/>
        </w:rPr>
        <w:t xml:space="preserve">. Increased retention of TCN students who graduated from EU universities could represent a </w:t>
      </w:r>
      <w:r>
        <w:rPr>
          <w:iCs/>
          <w:noProof/>
        </w:rPr>
        <w:t>significant growth in human capital for the EU. While no figures are available on the retention rate of researchers in Europe, the need to do more at EU level to attract and retain this category into the EU to boost innovation and competiveness has been hi</w:t>
      </w:r>
      <w:r>
        <w:rPr>
          <w:iCs/>
          <w:noProof/>
        </w:rPr>
        <w:t>ghlighted several times by the EU and its Member States</w:t>
      </w:r>
      <w:r>
        <w:rPr>
          <w:rStyle w:val="FootnoteReference"/>
          <w:iCs/>
          <w:noProof/>
        </w:rPr>
        <w:footnoteReference w:id="70"/>
      </w:r>
      <w:r>
        <w:rPr>
          <w:iCs/>
          <w:noProof/>
        </w:rPr>
        <w:t>.</w:t>
      </w:r>
      <w:r>
        <w:rPr>
          <w:noProof/>
          <w:color w:val="000000"/>
        </w:rPr>
        <w:t xml:space="preserve"> The problem is twofold:</w:t>
      </w:r>
    </w:p>
    <w:p w:rsidR="007306CA" w:rsidRDefault="00576025">
      <w:pPr>
        <w:spacing w:after="120"/>
        <w:rPr>
          <w:noProof/>
        </w:rPr>
      </w:pPr>
      <w:r>
        <w:rPr>
          <w:noProof/>
        </w:rPr>
        <w:t>On the one hand, there is the issue of access to job-seeking for TCN students and researchers to remain in the EU after graduation or having finished a research project in or</w:t>
      </w:r>
      <w:r>
        <w:rPr>
          <w:noProof/>
        </w:rPr>
        <w:t>der to identify work opportunities. While the current EU rules do not foresee any such possibility, the recast Students and Researchers Directive</w:t>
      </w:r>
      <w:r>
        <w:rPr>
          <w:noProof/>
          <w:vertAlign w:val="superscript"/>
        </w:rPr>
        <w:footnoteReference w:id="71"/>
      </w:r>
      <w:r>
        <w:rPr>
          <w:noProof/>
        </w:rPr>
        <w:t xml:space="preserve"> — which will be formally adopted early 2016 — introduces such a possibility for a minimum of 9 months after g</w:t>
      </w:r>
      <w:r>
        <w:rPr>
          <w:noProof/>
        </w:rPr>
        <w:t xml:space="preserve">raduation/finalisation of research. </w:t>
      </w:r>
    </w:p>
    <w:p w:rsidR="007306CA" w:rsidRDefault="00576025">
      <w:pPr>
        <w:spacing w:after="120"/>
        <w:rPr>
          <w:noProof/>
        </w:rPr>
      </w:pPr>
      <w:r>
        <w:rPr>
          <w:noProof/>
        </w:rPr>
        <w:t xml:space="preserve">On the other hand, TCN students and researchers who intend to remain in the EU after graduation or the end of their research project and search for work opportunities, also face other barriers to entry into the </w:t>
      </w:r>
      <w:r>
        <w:rPr>
          <w:noProof/>
          <w:lang w:eastAsia="en-GB"/>
        </w:rPr>
        <w:t>labour</w:t>
      </w:r>
      <w:r>
        <w:rPr>
          <w:noProof/>
        </w:rPr>
        <w:t xml:space="preserve"> m</w:t>
      </w:r>
      <w:r>
        <w:rPr>
          <w:noProof/>
        </w:rPr>
        <w:t>arket. At the beginning of their career, young professionals often receive lower wages than the national average, commensurate to their lower level of experience, which makes it difficult to apply for a Blue Card because they cannot meet the salary thresho</w:t>
      </w:r>
      <w:r>
        <w:rPr>
          <w:noProof/>
        </w:rPr>
        <w:t xml:space="preserve">ld that is based on the national average salary. The current salary level of the Blue Card — generally higher than in similar national schemes — has a clear exclusion effect on these categories of (potential) HSW (see Annex 7). Consequently, possibilities </w:t>
      </w:r>
      <w:r>
        <w:rPr>
          <w:noProof/>
        </w:rPr>
        <w:t>for TCN students and researcher to enter the labour market after finishing their studies or research project are limited.</w:t>
      </w:r>
      <w:r>
        <w:rPr>
          <w:noProof/>
          <w:lang w:eastAsia="en-GB"/>
        </w:rPr>
        <w:t xml:space="preserve"> </w:t>
      </w:r>
    </w:p>
    <w:p w:rsidR="007306CA" w:rsidRDefault="00576025">
      <w:pPr>
        <w:pStyle w:val="Heading3"/>
        <w:spacing w:after="120"/>
        <w:ind w:left="709"/>
        <w:rPr>
          <w:noProof/>
          <w:lang w:val="en-GB"/>
        </w:rPr>
      </w:pPr>
      <w:r>
        <w:rPr>
          <w:noProof/>
          <w:lang w:val="en-GB"/>
        </w:rPr>
        <w:t>Problem area 2: EU failure in admitting other talented and highly skilled TCN</w:t>
      </w:r>
    </w:p>
    <w:p w:rsidR="007306CA" w:rsidRDefault="00576025">
      <w:pPr>
        <w:spacing w:after="120"/>
        <w:rPr>
          <w:noProof/>
        </w:rPr>
      </w:pPr>
      <w:r>
        <w:rPr>
          <w:noProof/>
        </w:rPr>
        <w:t>The issues described under problem area 2 were not iden</w:t>
      </w:r>
      <w:r>
        <w:rPr>
          <w:noProof/>
        </w:rPr>
        <w:t xml:space="preserve">tified and assessed in the </w:t>
      </w:r>
      <w:hyperlink r:id="rId46" w:history="1">
        <w:r>
          <w:rPr>
            <w:rStyle w:val="Hyperlink"/>
            <w:noProof/>
          </w:rPr>
          <w:t>2007 Impact Assessment</w:t>
        </w:r>
      </w:hyperlink>
      <w:r>
        <w:rPr>
          <w:noProof/>
        </w:rPr>
        <w:t xml:space="preserve"> since they have emerged more recently in the debate on the role of (highly skilled) migration to </w:t>
      </w:r>
      <w:r>
        <w:rPr>
          <w:noProof/>
        </w:rPr>
        <w:t>boost EU competiveness (as regards entrepreneurs and international service providers)</w:t>
      </w:r>
      <w:r>
        <w:rPr>
          <w:rStyle w:val="FootnoteReference"/>
          <w:noProof/>
        </w:rPr>
        <w:footnoteReference w:id="72"/>
      </w:r>
      <w:r>
        <w:rPr>
          <w:noProof/>
        </w:rPr>
        <w:t xml:space="preserve">, or are linked to recent developments, such as the migration and refugee crisis (in relation to asylum seekers and refugees). </w:t>
      </w:r>
    </w:p>
    <w:p w:rsidR="007306CA" w:rsidRDefault="00576025">
      <w:pPr>
        <w:spacing w:after="120"/>
        <w:rPr>
          <w:noProof/>
        </w:rPr>
      </w:pPr>
      <w:r>
        <w:rPr>
          <w:noProof/>
        </w:rPr>
        <w:t>The main question to be addressed in the c</w:t>
      </w:r>
      <w:r>
        <w:rPr>
          <w:noProof/>
        </w:rPr>
        <w:t>urrent Impact Assessment is whether the current Blue Card – which does not cover any of the above categories of third-country nationals at the moment</w:t>
      </w:r>
      <w:r>
        <w:rPr>
          <w:rStyle w:val="FootnoteReference"/>
          <w:noProof/>
        </w:rPr>
        <w:footnoteReference w:id="73"/>
      </w:r>
      <w:r>
        <w:rPr>
          <w:noProof/>
        </w:rPr>
        <w:t xml:space="preserve"> – could be extended to include these categories or not, and, if so, to what extent this would contribute </w:t>
      </w:r>
      <w:r>
        <w:rPr>
          <w:noProof/>
        </w:rPr>
        <w:t>to address the challenges and problems identified, and fulfil the main objectives.</w:t>
      </w:r>
    </w:p>
    <w:p w:rsidR="007306CA" w:rsidRDefault="00576025">
      <w:pPr>
        <w:pStyle w:val="Heading4"/>
        <w:numPr>
          <w:ilvl w:val="0"/>
          <w:numId w:val="0"/>
        </w:numPr>
        <w:spacing w:after="120"/>
        <w:rPr>
          <w:b/>
          <w:i/>
          <w:noProof/>
        </w:rPr>
      </w:pPr>
      <w:r>
        <w:rPr>
          <w:b/>
          <w:i/>
          <w:iCs/>
          <w:noProof/>
        </w:rPr>
        <w:t>Sub-problem</w:t>
      </w:r>
      <w:r>
        <w:rPr>
          <w:b/>
          <w:i/>
          <w:noProof/>
        </w:rPr>
        <w:t xml:space="preserve"> 1:</w:t>
      </w:r>
      <w:bookmarkStart w:id="17" w:name="_Toc432752727"/>
      <w:r>
        <w:rPr>
          <w:b/>
          <w:i/>
          <w:noProof/>
        </w:rPr>
        <w:t xml:space="preserve"> </w:t>
      </w:r>
      <w:r>
        <w:rPr>
          <w:b/>
          <w:i/>
          <w:iCs/>
          <w:noProof/>
        </w:rPr>
        <w:t xml:space="preserve">The EU lags behind in attracting </w:t>
      </w:r>
      <w:r>
        <w:rPr>
          <w:b/>
          <w:i/>
          <w:noProof/>
        </w:rPr>
        <w:t>innovative TCN entrepreneurs</w:t>
      </w:r>
      <w:bookmarkEnd w:id="17"/>
      <w:r>
        <w:rPr>
          <w:b/>
          <w:i/>
          <w:noProof/>
        </w:rPr>
        <w:t xml:space="preserve"> and TCN service providers ("Mode 4" categories)</w:t>
      </w:r>
    </w:p>
    <w:p w:rsidR="007306CA" w:rsidRDefault="00576025">
      <w:pPr>
        <w:spacing w:after="120"/>
        <w:rPr>
          <w:i/>
          <w:noProof/>
        </w:rPr>
      </w:pPr>
      <w:r>
        <w:rPr>
          <w:i/>
          <w:noProof/>
        </w:rPr>
        <w:t>a) Entrepreneurs</w:t>
      </w:r>
    </w:p>
    <w:p w:rsidR="007306CA" w:rsidRDefault="00576025">
      <w:pPr>
        <w:spacing w:after="120"/>
        <w:rPr>
          <w:iCs/>
          <w:noProof/>
        </w:rPr>
      </w:pPr>
      <w:r>
        <w:rPr>
          <w:iCs/>
          <w:noProof/>
        </w:rPr>
        <w:t xml:space="preserve">Entrepreneurship creates new </w:t>
      </w:r>
      <w:r>
        <w:rPr>
          <w:iCs/>
          <w:noProof/>
        </w:rPr>
        <w:t>companies, opens up new markets, nurtures new skills and innovation, and is a driver of economic growth and job creation. Consequently, entrepreneurship contributes to the EU's competitiveness as highlighted in the Entrepreneurship 2020 Action Plan</w:t>
      </w:r>
      <w:r>
        <w:rPr>
          <w:iCs/>
          <w:noProof/>
          <w:vertAlign w:val="superscript"/>
        </w:rPr>
        <w:footnoteReference w:id="74"/>
      </w:r>
      <w:r>
        <w:rPr>
          <w:iCs/>
          <w:noProof/>
        </w:rPr>
        <w:t>, ancho</w:t>
      </w:r>
      <w:r>
        <w:rPr>
          <w:iCs/>
          <w:noProof/>
        </w:rPr>
        <w:t xml:space="preserve">red in the </w:t>
      </w:r>
      <w:r>
        <w:rPr>
          <w:noProof/>
        </w:rPr>
        <w:t>overarching</w:t>
      </w:r>
      <w:r>
        <w:rPr>
          <w:iCs/>
          <w:noProof/>
        </w:rPr>
        <w:t xml:space="preserve"> Europe 2020 Strategy.</w:t>
      </w:r>
    </w:p>
    <w:p w:rsidR="007306CA" w:rsidRDefault="00576025">
      <w:pPr>
        <w:spacing w:after="120"/>
        <w:rPr>
          <w:iCs/>
          <w:noProof/>
        </w:rPr>
      </w:pPr>
      <w:r>
        <w:rPr>
          <w:iCs/>
          <w:noProof/>
        </w:rPr>
        <w:t>On average skilled migrants tend to be only slightly more likely to set up businesses than the native-born</w:t>
      </w:r>
      <w:r>
        <w:rPr>
          <w:iCs/>
          <w:noProof/>
          <w:vertAlign w:val="superscript"/>
        </w:rPr>
        <w:footnoteReference w:id="75"/>
      </w:r>
      <w:r>
        <w:rPr>
          <w:iCs/>
          <w:noProof/>
        </w:rPr>
        <w:t>. In the ICT sector, however, the gap is sizable: in Silicon Valley 43.9 % of engineering and technology</w:t>
      </w:r>
      <w:r>
        <w:rPr>
          <w:iCs/>
          <w:noProof/>
        </w:rPr>
        <w:t xml:space="preserve"> companies had at least one key founder who was foreign-born between 2006 and 2012, while this rate was 24.3 % in the entire US. Across the US, these companies employed roughly 560 000 workers and generated $ 63 billion in sales in 2012</w:t>
      </w:r>
      <w:r>
        <w:rPr>
          <w:iCs/>
          <w:noProof/>
          <w:vertAlign w:val="superscript"/>
        </w:rPr>
        <w:footnoteReference w:id="76"/>
      </w:r>
      <w:r>
        <w:rPr>
          <w:iCs/>
          <w:noProof/>
        </w:rPr>
        <w:t>. In OECD countries</w:t>
      </w:r>
      <w:r>
        <w:rPr>
          <w:iCs/>
          <w:noProof/>
        </w:rPr>
        <w:t xml:space="preserve">, on average, a foreign-born self-employed who owns a small or medium firm creates between 1.4 and 2.1 </w:t>
      </w:r>
      <w:r>
        <w:rPr>
          <w:noProof/>
        </w:rPr>
        <w:t>additional</w:t>
      </w:r>
      <w:r>
        <w:rPr>
          <w:iCs/>
          <w:noProof/>
        </w:rPr>
        <w:t xml:space="preserve"> jobs</w:t>
      </w:r>
      <w:r>
        <w:rPr>
          <w:iCs/>
          <w:noProof/>
          <w:vertAlign w:val="superscript"/>
        </w:rPr>
        <w:footnoteReference w:id="77"/>
      </w:r>
      <w:r>
        <w:rPr>
          <w:iCs/>
          <w:noProof/>
        </w:rPr>
        <w:t>.</w:t>
      </w:r>
    </w:p>
    <w:p w:rsidR="007306CA" w:rsidRDefault="00576025">
      <w:pPr>
        <w:spacing w:after="120"/>
        <w:rPr>
          <w:iCs/>
          <w:noProof/>
        </w:rPr>
      </w:pPr>
      <w:r>
        <w:rPr>
          <w:iCs/>
          <w:noProof/>
        </w:rPr>
        <w:t>The EU lags behind in offering opportunities for highly skilled migrants to migrate to the EU to start new businesses</w:t>
      </w:r>
      <w:r>
        <w:rPr>
          <w:iCs/>
          <w:noProof/>
          <w:vertAlign w:val="superscript"/>
        </w:rPr>
        <w:footnoteReference w:id="78"/>
      </w:r>
      <w:r>
        <w:rPr>
          <w:iCs/>
          <w:noProof/>
        </w:rPr>
        <w:t>. Traditional imm</w:t>
      </w:r>
      <w:r>
        <w:rPr>
          <w:iCs/>
          <w:noProof/>
        </w:rPr>
        <w:t xml:space="preserve">igration countries, in particular Canada, New Zealand and the US, have developed dedicated schemes for this category of persons while the EU is not making use of the potential. </w:t>
      </w:r>
    </w:p>
    <w:p w:rsidR="007306CA" w:rsidRDefault="00576025">
      <w:pPr>
        <w:spacing w:after="120"/>
        <w:rPr>
          <w:iCs/>
          <w:noProof/>
        </w:rPr>
      </w:pPr>
      <w:r>
        <w:rPr>
          <w:iCs/>
          <w:noProof/>
        </w:rPr>
        <w:t>The Blue Card currently does not cover self-employed TCN, and there are no oth</w:t>
      </w:r>
      <w:r>
        <w:rPr>
          <w:iCs/>
          <w:noProof/>
        </w:rPr>
        <w:t>er EU-wide instruments regulating the admission and rights of foreign entrepreneurs. Only a few EU Member States (e.g. the Netherlands Italy, Spain) have recently developed immigration schemes or measures aiming at attracting foreign-born entrepreneurs. Th</w:t>
      </w:r>
      <w:r>
        <w:rPr>
          <w:iCs/>
          <w:noProof/>
        </w:rPr>
        <w:t>ese measures vary widely in their nature and modalities</w:t>
      </w:r>
      <w:r>
        <w:rPr>
          <w:iCs/>
          <w:noProof/>
          <w:vertAlign w:val="superscript"/>
        </w:rPr>
        <w:footnoteReference w:id="79"/>
      </w:r>
      <w:r>
        <w:rPr>
          <w:iCs/>
          <w:noProof/>
        </w:rPr>
        <w:t>. Moreover, since these are national schemes, they cannot grant TCN entrepreneurs intra-EU mobility rights which would make it much easier to reside and work where economic opportunities arise, to col</w:t>
      </w:r>
      <w:r>
        <w:rPr>
          <w:iCs/>
          <w:noProof/>
        </w:rPr>
        <w:t xml:space="preserve">laborate on projects with other entrepreneurs in various locations, and to re-locate where investors and the best support measures, such as incubator programmes, are available. </w:t>
      </w:r>
    </w:p>
    <w:p w:rsidR="007306CA" w:rsidRDefault="00576025">
      <w:pPr>
        <w:spacing w:after="120"/>
        <w:rPr>
          <w:i/>
          <w:iCs/>
          <w:noProof/>
          <w:lang w:val="fr-BE"/>
        </w:rPr>
      </w:pPr>
      <w:r>
        <w:rPr>
          <w:i/>
          <w:iCs/>
          <w:noProof/>
          <w:lang w:val="fr-BE"/>
        </w:rPr>
        <w:t>b) International service providers ("Mode 4" categories)</w:t>
      </w:r>
    </w:p>
    <w:p w:rsidR="007306CA" w:rsidRDefault="00576025">
      <w:pPr>
        <w:spacing w:after="120"/>
        <w:rPr>
          <w:iCs/>
          <w:noProof/>
        </w:rPr>
      </w:pPr>
      <w:r>
        <w:rPr>
          <w:iCs/>
          <w:noProof/>
        </w:rPr>
        <w:t>The services sector i</w:t>
      </w:r>
      <w:r>
        <w:rPr>
          <w:iCs/>
          <w:noProof/>
        </w:rPr>
        <w:t>ncludes well-trained, highly skilled TCN professionals who travel to the EU to provide services to EU customers. The European Agenda for Migration noted that the service sector has an important economic impact, with the EU being a net exporter as well as t</w:t>
      </w:r>
      <w:r>
        <w:rPr>
          <w:iCs/>
          <w:noProof/>
        </w:rPr>
        <w:t>he world's largest exporter of services, and announced an assessment of possible ways to provide legal certainty to these categories of business persons</w:t>
      </w:r>
      <w:r>
        <w:rPr>
          <w:noProof/>
        </w:rPr>
        <w:t>. This would also strengthen the EU’s position to demand reciprocity when negotiating Free Trade Agreeme</w:t>
      </w:r>
      <w:r>
        <w:rPr>
          <w:noProof/>
        </w:rPr>
        <w:t>nts (FTAs)</w:t>
      </w:r>
      <w:r>
        <w:rPr>
          <w:iCs/>
          <w:noProof/>
          <w:vertAlign w:val="superscript"/>
        </w:rPr>
        <w:footnoteReference w:id="80"/>
      </w:r>
      <w:r>
        <w:rPr>
          <w:noProof/>
        </w:rPr>
        <w:t>.</w:t>
      </w:r>
      <w:r>
        <w:rPr>
          <w:iCs/>
          <w:noProof/>
        </w:rPr>
        <w:t xml:space="preserve"> </w:t>
      </w:r>
    </w:p>
    <w:p w:rsidR="007306CA" w:rsidRDefault="00576025">
      <w:pPr>
        <w:spacing w:after="120"/>
        <w:rPr>
          <w:iCs/>
          <w:noProof/>
        </w:rPr>
      </w:pPr>
      <w:r>
        <w:rPr>
          <w:iCs/>
          <w:noProof/>
        </w:rPr>
        <w:t>At present, however, those who enter a Member State under commitments contained in an international agreement facilitating the entry and temporary stay of certain categories of trade and investment-related business persons (namely, contractua</w:t>
      </w:r>
      <w:r>
        <w:rPr>
          <w:iCs/>
          <w:noProof/>
        </w:rPr>
        <w:t>l service suppliers and independent professionals</w:t>
      </w:r>
      <w:r>
        <w:rPr>
          <w:rStyle w:val="FootnoteReference"/>
          <w:iCs/>
          <w:noProof/>
        </w:rPr>
        <w:footnoteReference w:id="81"/>
      </w:r>
      <w:r>
        <w:rPr>
          <w:iCs/>
          <w:noProof/>
        </w:rPr>
        <w:t>) often encounter problems. These so-called "Mode 4" categories included in the EU's free trade agreements (FTAs) are not recognised by all Member States; a majority of Member States does not have a dedicat</w:t>
      </w:r>
      <w:r>
        <w:rPr>
          <w:iCs/>
          <w:noProof/>
        </w:rPr>
        <w:t>ed admission scheme in place, existing definitions do not always clearly distinguish between the various types of business persons and can overlap in several cases</w:t>
      </w:r>
      <w:r>
        <w:rPr>
          <w:rStyle w:val="FootnoteReference"/>
          <w:noProof/>
        </w:rPr>
        <w:footnoteReference w:id="82"/>
      </w:r>
      <w:r>
        <w:rPr>
          <w:iCs/>
          <w:noProof/>
        </w:rPr>
        <w:t xml:space="preserve">. </w:t>
      </w:r>
    </w:p>
    <w:p w:rsidR="007306CA" w:rsidRDefault="00576025">
      <w:pPr>
        <w:spacing w:after="120"/>
        <w:rPr>
          <w:iCs/>
          <w:noProof/>
        </w:rPr>
      </w:pPr>
      <w:r>
        <w:rPr>
          <w:iCs/>
          <w:noProof/>
        </w:rPr>
        <w:t>The Intra-Corporate Transferees Directive</w:t>
      </w:r>
      <w:r>
        <w:rPr>
          <w:rStyle w:val="FootnoteReference"/>
          <w:iCs/>
          <w:noProof/>
        </w:rPr>
        <w:footnoteReference w:id="83"/>
      </w:r>
      <w:r>
        <w:rPr>
          <w:iCs/>
          <w:noProof/>
        </w:rPr>
        <w:t xml:space="preserve"> partly addresses this issue but covers only on</w:t>
      </w:r>
      <w:r>
        <w:rPr>
          <w:iCs/>
          <w:noProof/>
        </w:rPr>
        <w:t>e of the "Mode 4" categories, i.e. intra-corporate transferees</w:t>
      </w:r>
      <w:r>
        <w:rPr>
          <w:rStyle w:val="FootnoteReference"/>
          <w:iCs/>
          <w:noProof/>
        </w:rPr>
        <w:footnoteReference w:id="84"/>
      </w:r>
      <w:r>
        <w:rPr>
          <w:iCs/>
          <w:noProof/>
        </w:rPr>
        <w:t>. The Blue Card only covers employees and explicitly excludes such categories from its scope. Consequently, a lack of legal certainty persists with regard to the procedures and rights applicabl</w:t>
      </w:r>
      <w:r>
        <w:rPr>
          <w:iCs/>
          <w:noProof/>
        </w:rPr>
        <w:t xml:space="preserve">e to such service providers. </w:t>
      </w:r>
    </w:p>
    <w:p w:rsidR="007306CA" w:rsidRDefault="00576025">
      <w:pPr>
        <w:spacing w:after="120"/>
        <w:rPr>
          <w:rFonts w:eastAsiaTheme="minorHAnsi"/>
          <w:noProof/>
          <w:lang w:eastAsia="en-GB"/>
        </w:rPr>
      </w:pPr>
      <w:r>
        <w:rPr>
          <w:iCs/>
          <w:noProof/>
        </w:rPr>
        <w:t>This situation leads to a high number of rejected entry applications and could increase risks of abuses, i.e. the use of certain migration channels for other than the foreseen purposes, leading to possible sanctions (for emplo</w:t>
      </w:r>
      <w:r>
        <w:rPr>
          <w:iCs/>
          <w:noProof/>
        </w:rPr>
        <w:t>yers and individuals). While precise figures on the size of the problem are not available, an example of these challenges is provided by the on-going implementation of the Cariforum-EU EPA Agreement</w:t>
      </w:r>
      <w:r>
        <w:rPr>
          <w:iCs/>
          <w:noProof/>
          <w:vertAlign w:val="superscript"/>
        </w:rPr>
        <w:footnoteReference w:id="85"/>
      </w:r>
      <w:r>
        <w:rPr>
          <w:iCs/>
          <w:noProof/>
        </w:rPr>
        <w:t>: Cariforum service providers complain repeatedly that th</w:t>
      </w:r>
      <w:r>
        <w:rPr>
          <w:iCs/>
          <w:noProof/>
        </w:rPr>
        <w:t>e EU has not put in place proper mechanisms to ensure implementation of the "Mode 4" elements of the agreement. The issue is thus singled-out as an obstacle hindering the effectiveness of the agreement in the services sector.</w:t>
      </w:r>
      <w:r>
        <w:rPr>
          <w:noProof/>
          <w:lang w:eastAsia="en-GB"/>
        </w:rPr>
        <w:t xml:space="preserve"> </w:t>
      </w:r>
    </w:p>
    <w:p w:rsidR="007306CA" w:rsidRDefault="00576025">
      <w:pPr>
        <w:pStyle w:val="Heading4"/>
        <w:numPr>
          <w:ilvl w:val="0"/>
          <w:numId w:val="0"/>
        </w:numPr>
        <w:spacing w:after="120"/>
        <w:rPr>
          <w:b/>
          <w:i/>
          <w:iCs/>
          <w:noProof/>
        </w:rPr>
      </w:pPr>
      <w:r>
        <w:rPr>
          <w:b/>
          <w:i/>
          <w:iCs/>
          <w:noProof/>
        </w:rPr>
        <w:t>Sub-p</w:t>
      </w:r>
      <w:r>
        <w:rPr>
          <w:b/>
          <w:i/>
          <w:noProof/>
        </w:rPr>
        <w:t xml:space="preserve">roblem 2: </w:t>
      </w:r>
      <w:r>
        <w:rPr>
          <w:b/>
          <w:i/>
          <w:iCs/>
          <w:noProof/>
        </w:rPr>
        <w:t>Waste of skill</w:t>
      </w:r>
      <w:r>
        <w:rPr>
          <w:b/>
          <w:i/>
          <w:iCs/>
          <w:noProof/>
        </w:rPr>
        <w:t>s and human capital of (highly skilled)</w:t>
      </w:r>
      <w:r>
        <w:rPr>
          <w:b/>
          <w:i/>
          <w:noProof/>
        </w:rPr>
        <w:t xml:space="preserve"> beneficiaries of international protection</w:t>
      </w:r>
      <w:r>
        <w:rPr>
          <w:b/>
          <w:i/>
          <w:iCs/>
          <w:noProof/>
        </w:rPr>
        <w:t xml:space="preserve"> and asylum applicants</w:t>
      </w:r>
    </w:p>
    <w:p w:rsidR="007306CA" w:rsidRDefault="00576025">
      <w:pPr>
        <w:spacing w:after="120"/>
        <w:rPr>
          <w:iCs/>
          <w:noProof/>
        </w:rPr>
      </w:pPr>
      <w:r>
        <w:rPr>
          <w:iCs/>
          <w:noProof/>
        </w:rPr>
        <w:t xml:space="preserve">Currently, the Blue Card explicitly excludes from its scope both beneficiaries of international protection and asylum seekers: they cannot apply for a </w:t>
      </w:r>
      <w:r>
        <w:rPr>
          <w:iCs/>
          <w:noProof/>
        </w:rPr>
        <w:t>Blue Card even if they are highly skilled and have an offer for a highly skilled job. Their admission conditions and rights are regulated principally in the EU asylum acquis: beneficiaries of international protection have full access to the labour market a</w:t>
      </w:r>
      <w:r>
        <w:rPr>
          <w:iCs/>
          <w:noProof/>
        </w:rPr>
        <w:t>s soon as they receive protection status while asylum seekers have the right to work at the latest after nine months from submitting their application for protection</w:t>
      </w:r>
      <w:r>
        <w:rPr>
          <w:iCs/>
          <w:noProof/>
          <w:vertAlign w:val="superscript"/>
        </w:rPr>
        <w:footnoteReference w:id="86"/>
      </w:r>
      <w:r>
        <w:rPr>
          <w:iCs/>
          <w:noProof/>
        </w:rPr>
        <w:t xml:space="preserve">. </w:t>
      </w:r>
    </w:p>
    <w:p w:rsidR="007306CA" w:rsidRDefault="00576025">
      <w:pPr>
        <w:spacing w:after="120"/>
        <w:rPr>
          <w:iCs/>
          <w:noProof/>
        </w:rPr>
      </w:pPr>
      <w:r>
        <w:rPr>
          <w:iCs/>
          <w:noProof/>
        </w:rPr>
        <w:t>Since the Blue Card is a specific and rather selective scheme it is clearly not the pri</w:t>
      </w:r>
      <w:r>
        <w:rPr>
          <w:iCs/>
          <w:noProof/>
        </w:rPr>
        <w:t xml:space="preserve">mary tool either to provide alternatives to asylum seeking or to enhance the labour market integration of these migrants, but it could bring value added to those who are highly skilled. </w:t>
      </w:r>
    </w:p>
    <w:p w:rsidR="007306CA" w:rsidRDefault="00576025">
      <w:pPr>
        <w:spacing w:after="120"/>
        <w:rPr>
          <w:iCs/>
          <w:noProof/>
        </w:rPr>
      </w:pPr>
      <w:r>
        <w:rPr>
          <w:iCs/>
          <w:noProof/>
        </w:rPr>
        <w:t xml:space="preserve">Beneficiaries of international protection may face de-skilling and </w:t>
      </w:r>
      <w:r>
        <w:rPr>
          <w:iCs/>
          <w:noProof/>
        </w:rPr>
        <w:t>problems with the recognition of their qualifications, leading to high unemployment and over-qualification rates compared to native workers. Access to the Blue Card, combined with tailored support measures, could help overcome these problems. It could also</w:t>
      </w:r>
      <w:r>
        <w:rPr>
          <w:iCs/>
          <w:noProof/>
        </w:rPr>
        <w:t xml:space="preserve"> promote their labour market integration by making them more visible to employers and potentially facilitate their intra-EU mobility. Asylum seekers may possess valuable skills which they risk losing over time if they cannot use them while awaiting the out</w:t>
      </w:r>
      <w:r>
        <w:rPr>
          <w:iCs/>
          <w:noProof/>
        </w:rPr>
        <w:t>come of the procedure. In addition, employers may be reluctant to hire highly skilled asylum seekers, if continuing the employment after the end of the asylum procedure is uncertain. The possibility to apply for a Blue Card could provide an attractive opti</w:t>
      </w:r>
      <w:r>
        <w:rPr>
          <w:iCs/>
          <w:noProof/>
        </w:rPr>
        <w:t>on for these asylum seekers and their (potential) employers.</w:t>
      </w:r>
    </w:p>
    <w:p w:rsidR="007306CA" w:rsidRDefault="00576025">
      <w:pPr>
        <w:spacing w:after="120"/>
        <w:rPr>
          <w:iCs/>
          <w:noProof/>
        </w:rPr>
      </w:pPr>
      <w:r>
        <w:rPr>
          <w:iCs/>
          <w:noProof/>
        </w:rPr>
        <w:t>Information on education levels and skill sets of beneficiaries of international protection and asylum seekers is not readily available and, where it is, it is heterogeneous and often contradicti</w:t>
      </w:r>
      <w:r>
        <w:rPr>
          <w:iCs/>
          <w:noProof/>
        </w:rPr>
        <w:t>ng. Anecdotal evidence suggests that the majority of these people are not highly skilled and they usually do not speak the language of the host country. However, other information suggests differences depending on the country of origin. Some information on</w:t>
      </w:r>
      <w:r>
        <w:rPr>
          <w:iCs/>
          <w:noProof/>
        </w:rPr>
        <w:t xml:space="preserve"> skill levels is presented in Annex 16, but reliable conclusions cannot be drawn as to how many asylum seekers or beneficiaries of international protection could potentially qualify for a Blue Card. In any case, access to the Blue Card could lead to a bett</w:t>
      </w:r>
      <w:r>
        <w:rPr>
          <w:iCs/>
          <w:noProof/>
        </w:rPr>
        <w:t>er use of skills and talents of people arriving for reasons other than economic ones, thus valorising and better using their potential, to the benefit of both migrants and the host society.</w:t>
      </w:r>
    </w:p>
    <w:p w:rsidR="007306CA" w:rsidRDefault="00576025">
      <w:pPr>
        <w:pStyle w:val="Heading2"/>
        <w:tabs>
          <w:tab w:val="num" w:pos="1418"/>
        </w:tabs>
        <w:spacing w:after="120"/>
        <w:ind w:left="709"/>
        <w:rPr>
          <w:noProof/>
        </w:rPr>
      </w:pPr>
      <w:bookmarkStart w:id="18" w:name="_Toc452679049"/>
      <w:r>
        <w:rPr>
          <w:noProof/>
        </w:rPr>
        <w:t>Problem drivers</w:t>
      </w:r>
      <w:bookmarkEnd w:id="18"/>
    </w:p>
    <w:p w:rsidR="007306CA" w:rsidRDefault="00576025">
      <w:pPr>
        <w:spacing w:after="120"/>
        <w:rPr>
          <w:b/>
          <w:i/>
          <w:noProof/>
        </w:rPr>
      </w:pPr>
      <w:r>
        <w:rPr>
          <w:b/>
          <w:i/>
          <w:noProof/>
        </w:rPr>
        <w:t>Drivers outside the scope of migration policy</w:t>
      </w:r>
    </w:p>
    <w:p w:rsidR="007306CA" w:rsidRDefault="00576025">
      <w:pPr>
        <w:spacing w:after="120"/>
        <w:rPr>
          <w:noProof/>
        </w:rPr>
      </w:pPr>
      <w:r>
        <w:rPr>
          <w:noProof/>
        </w:rPr>
        <w:t>Ther</w:t>
      </w:r>
      <w:r>
        <w:rPr>
          <w:noProof/>
        </w:rPr>
        <w:t>e are a number of drivers underlying the identified problems. Some of them, however, lie outside of the scope of migration policy: clearly the attractiveness of a particular destination — as also confirmed by the public consultation</w:t>
      </w:r>
      <w:r>
        <w:rPr>
          <w:rStyle w:val="FootnoteReference"/>
          <w:noProof/>
        </w:rPr>
        <w:footnoteReference w:id="87"/>
      </w:r>
      <w:r>
        <w:rPr>
          <w:noProof/>
        </w:rPr>
        <w:t xml:space="preserve"> — is often influenced </w:t>
      </w:r>
      <w:r>
        <w:rPr>
          <w:noProof/>
        </w:rPr>
        <w:t>by factors other than the migration/admission rules (e.g. the living standards, the welfare and tax systems of a particular country, the language spoken, the wage level etc.)</w:t>
      </w:r>
      <w:r>
        <w:rPr>
          <w:rFonts w:ascii="Times" w:hAnsi="Times"/>
          <w:noProof/>
          <w:vertAlign w:val="superscript"/>
        </w:rPr>
        <w:footnoteReference w:id="88"/>
      </w:r>
      <w:r>
        <w:rPr>
          <w:noProof/>
        </w:rPr>
        <w:t>. This is important to bear in mind as it defines the limits of the current exerc</w:t>
      </w:r>
      <w:r>
        <w:rPr>
          <w:noProof/>
        </w:rPr>
        <w:t xml:space="preserve">ise in addressing the problems. </w:t>
      </w:r>
    </w:p>
    <w:p w:rsidR="007306CA" w:rsidRDefault="00576025">
      <w:pPr>
        <w:spacing w:after="120"/>
        <w:rPr>
          <w:b/>
          <w:i/>
          <w:noProof/>
        </w:rPr>
      </w:pPr>
      <w:r>
        <w:rPr>
          <w:b/>
          <w:i/>
          <w:noProof/>
        </w:rPr>
        <w:t>Drivers related to Problem area 1</w:t>
      </w:r>
    </w:p>
    <w:p w:rsidR="007306CA" w:rsidRDefault="00576025">
      <w:pPr>
        <w:spacing w:after="120"/>
        <w:rPr>
          <w:noProof/>
        </w:rPr>
      </w:pPr>
      <w:r>
        <w:rPr>
          <w:noProof/>
        </w:rPr>
        <w:t>The main driver is a regulatory failure, i.e. it is linked to the weaknesses of the current overall EU regulatory framework on admitting HSW: the rules across the Member States are</w:t>
      </w:r>
      <w:r>
        <w:rPr>
          <w:b/>
          <w:noProof/>
        </w:rPr>
        <w:t xml:space="preserve"> incohere</w:t>
      </w:r>
      <w:r>
        <w:rPr>
          <w:b/>
          <w:noProof/>
        </w:rPr>
        <w:t>nt, ineffective and inefficient</w:t>
      </w:r>
      <w:r>
        <w:rPr>
          <w:noProof/>
        </w:rPr>
        <w:t xml:space="preserve"> with </w:t>
      </w:r>
      <w:r>
        <w:rPr>
          <w:b/>
          <w:noProof/>
        </w:rPr>
        <w:t>high barriers of entry and complex and diverging admission procedures</w:t>
      </w:r>
      <w:r>
        <w:rPr>
          <w:noProof/>
        </w:rPr>
        <w:t>. As highlighted in Section 2.1, the Blue Card has quite restrictive admission conditions and definitions that are often less flexible and thus more d</w:t>
      </w:r>
      <w:r>
        <w:rPr>
          <w:noProof/>
        </w:rPr>
        <w:t>ifficult to meet in comparison with many of the national — but also comparable international — schemes. For instance, in several Member States the high and inflexible general salary threshold has an exclusionary effect on a significant section of HSW</w:t>
      </w:r>
      <w:r>
        <w:rPr>
          <w:rStyle w:val="FootnoteReference"/>
          <w:noProof/>
        </w:rPr>
        <w:footnoteReference w:id="89"/>
      </w:r>
      <w:r>
        <w:rPr>
          <w:noProof/>
        </w:rPr>
        <w:t xml:space="preserve"> and </w:t>
      </w:r>
      <w:r>
        <w:rPr>
          <w:noProof/>
        </w:rPr>
        <w:t>— apart from the possibility to set a lower threshold for occupations on national shortage lists — there is little scope for Member States for adaptation to their national labour markets, contrary to national systems for HSW. In the public consultation, 65</w:t>
      </w:r>
      <w:r>
        <w:rPr>
          <w:noProof/>
        </w:rPr>
        <w:t> % of all respondents who consider the current admission conditions inadequate consider that a more flexible salary threshold would considerably improve the situation</w:t>
      </w:r>
      <w:r>
        <w:rPr>
          <w:rStyle w:val="FootnoteReference"/>
          <w:noProof/>
        </w:rPr>
        <w:footnoteReference w:id="90"/>
      </w:r>
      <w:r>
        <w:rPr>
          <w:noProof/>
        </w:rPr>
        <w:t>. Among employers and employer organisations, the percentage is even higher with 82 and 8</w:t>
      </w:r>
      <w:r>
        <w:rPr>
          <w:noProof/>
        </w:rPr>
        <w:t>6 %, respectively. Also 50 % of the national ministries share this view.</w:t>
      </w:r>
    </w:p>
    <w:p w:rsidR="007306CA" w:rsidRDefault="00576025">
      <w:pPr>
        <w:spacing w:after="120"/>
        <w:rPr>
          <w:noProof/>
        </w:rPr>
      </w:pPr>
      <w:r>
        <w:rPr>
          <w:noProof/>
        </w:rPr>
        <w:t>Furthermore, s</w:t>
      </w:r>
      <w:r>
        <w:rPr>
          <w:iCs/>
          <w:noProof/>
        </w:rPr>
        <w:t xml:space="preserve">ome of the Directive’s provisions do not adequately meet the requirements of today's labour markets, which </w:t>
      </w:r>
      <w:r>
        <w:rPr>
          <w:b/>
          <w:iCs/>
          <w:noProof/>
        </w:rPr>
        <w:t>demand higher numbers and an efficient allocation of HSW</w:t>
      </w:r>
      <w:r>
        <w:rPr>
          <w:iCs/>
          <w:noProof/>
        </w:rPr>
        <w:t>, acco</w:t>
      </w:r>
      <w:r>
        <w:rPr>
          <w:iCs/>
          <w:noProof/>
        </w:rPr>
        <w:t>rding to the concrete needs of the EU companies. Indeed t</w:t>
      </w:r>
      <w:r>
        <w:rPr>
          <w:noProof/>
        </w:rPr>
        <w:t xml:space="preserve">he Blue Card allows for </w:t>
      </w:r>
      <w:r>
        <w:rPr>
          <w:b/>
          <w:noProof/>
        </w:rPr>
        <w:t xml:space="preserve">significant restrictions as regards access to the labour market </w:t>
      </w:r>
      <w:r>
        <w:rPr>
          <w:iCs/>
          <w:noProof/>
        </w:rPr>
        <w:t>and provides</w:t>
      </w:r>
      <w:r>
        <w:rPr>
          <w:b/>
          <w:iCs/>
          <w:noProof/>
        </w:rPr>
        <w:t xml:space="preserve"> </w:t>
      </w:r>
      <w:r>
        <w:rPr>
          <w:iCs/>
          <w:noProof/>
        </w:rPr>
        <w:t>only</w:t>
      </w:r>
      <w:r>
        <w:rPr>
          <w:b/>
          <w:iCs/>
          <w:noProof/>
        </w:rPr>
        <w:t xml:space="preserve"> </w:t>
      </w:r>
      <w:r>
        <w:rPr>
          <w:b/>
          <w:noProof/>
        </w:rPr>
        <w:t>limited facilitation of intra-EU mobility</w:t>
      </w:r>
      <w:r>
        <w:rPr>
          <w:noProof/>
        </w:rPr>
        <w:t>.</w:t>
      </w:r>
      <w:r>
        <w:rPr>
          <w:iCs/>
          <w:noProof/>
        </w:rPr>
        <w:t xml:space="preserve"> </w:t>
      </w:r>
      <w:r>
        <w:rPr>
          <w:noProof/>
        </w:rPr>
        <w:t xml:space="preserve">Moreover, the recognition of foreign professional </w:t>
      </w:r>
      <w:r>
        <w:rPr>
          <w:noProof/>
        </w:rPr>
        <w:t>qualifications is often problematic and leads to time-consuming and costly procedures. The recognition procedure can add up to several months to the overall processing time</w:t>
      </w:r>
      <w:r>
        <w:rPr>
          <w:rStyle w:val="FootnoteReference"/>
          <w:noProof/>
        </w:rPr>
        <w:footnoteReference w:id="91"/>
      </w:r>
      <w:r>
        <w:rPr>
          <w:noProof/>
        </w:rPr>
        <w:t>. Almost half of all responding employers, employers' organisations and trade union</w:t>
      </w:r>
      <w:r>
        <w:rPr>
          <w:noProof/>
        </w:rPr>
        <w:t>s in the public consultation rate the current situation of recognition of foreign qualifications on the attractiveness of the EU as either negative or very negative. For private employment services this increases to 67 %</w:t>
      </w:r>
      <w:r>
        <w:rPr>
          <w:rStyle w:val="FootnoteReference"/>
          <w:noProof/>
        </w:rPr>
        <w:footnoteReference w:id="92"/>
      </w:r>
      <w:r>
        <w:rPr>
          <w:noProof/>
        </w:rPr>
        <w:t xml:space="preserve">. </w:t>
      </w:r>
    </w:p>
    <w:p w:rsidR="007306CA" w:rsidRDefault="00576025">
      <w:pPr>
        <w:spacing w:after="120"/>
        <w:rPr>
          <w:noProof/>
        </w:rPr>
      </w:pPr>
      <w:r>
        <w:rPr>
          <w:noProof/>
        </w:rPr>
        <w:t>Finally, the EU Blue Card has ot</w:t>
      </w:r>
      <w:r>
        <w:rPr>
          <w:noProof/>
        </w:rPr>
        <w:t>her</w:t>
      </w:r>
      <w:r>
        <w:rPr>
          <w:b/>
          <w:noProof/>
        </w:rPr>
        <w:t xml:space="preserve"> inherent shortcomings</w:t>
      </w:r>
      <w:r>
        <w:rPr>
          <w:noProof/>
        </w:rPr>
        <w:t>: (1) lengthy maximum processing time of up to 90 days; (2) applications for family are not processed simultaneously with the application of the Blue Card holder</w:t>
      </w:r>
      <w:r>
        <w:rPr>
          <w:iCs/>
          <w:noProof/>
        </w:rPr>
        <w:t>; (3) a two year restriction for full labour market access to highly s</w:t>
      </w:r>
      <w:r>
        <w:rPr>
          <w:iCs/>
          <w:noProof/>
        </w:rPr>
        <w:t xml:space="preserve">killed employment in the Member State concerned; (4) </w:t>
      </w:r>
      <w:r>
        <w:rPr>
          <w:noProof/>
        </w:rPr>
        <w:t>a minimum duration of 1 year for the work contract while many national schemes are available for a shorter time</w:t>
      </w:r>
      <w:r>
        <w:rPr>
          <w:noProof/>
          <w:vertAlign w:val="superscript"/>
        </w:rPr>
        <w:footnoteReference w:id="93"/>
      </w:r>
      <w:r>
        <w:rPr>
          <w:noProof/>
        </w:rPr>
        <w:t>.</w:t>
      </w:r>
    </w:p>
    <w:p w:rsidR="007306CA" w:rsidRDefault="00576025">
      <w:pPr>
        <w:spacing w:after="120"/>
        <w:rPr>
          <w:noProof/>
        </w:rPr>
      </w:pPr>
      <w:r>
        <w:rPr>
          <w:noProof/>
        </w:rPr>
        <w:t>More generally, the</w:t>
      </w:r>
      <w:r>
        <w:rPr>
          <w:b/>
          <w:noProof/>
        </w:rPr>
        <w:t xml:space="preserve"> parallel existence </w:t>
      </w:r>
      <w:r>
        <w:rPr>
          <w:noProof/>
        </w:rPr>
        <w:t>of the</w:t>
      </w:r>
      <w:r>
        <w:rPr>
          <w:b/>
          <w:noProof/>
        </w:rPr>
        <w:t xml:space="preserve"> ineffective EU-wide Blue Card</w:t>
      </w:r>
      <w:r>
        <w:rPr>
          <w:noProof/>
        </w:rPr>
        <w:t>, applied in d</w:t>
      </w:r>
      <w:r>
        <w:rPr>
          <w:noProof/>
        </w:rPr>
        <w:t>iverging ways in 25 Member States</w:t>
      </w:r>
      <w:r>
        <w:rPr>
          <w:rStyle w:val="FootnoteReference"/>
          <w:noProof/>
        </w:rPr>
        <w:footnoteReference w:id="94"/>
      </w:r>
      <w:r>
        <w:rPr>
          <w:noProof/>
        </w:rPr>
        <w:t>, and of the</w:t>
      </w:r>
      <w:r>
        <w:rPr>
          <w:b/>
          <w:noProof/>
        </w:rPr>
        <w:t xml:space="preserve"> many different national schemes </w:t>
      </w:r>
      <w:r>
        <w:rPr>
          <w:noProof/>
        </w:rPr>
        <w:t>aimed at HSW creates a</w:t>
      </w:r>
      <w:r>
        <w:rPr>
          <w:b/>
          <w:noProof/>
        </w:rPr>
        <w:t xml:space="preserve"> complex framework of different administrative procedures </w:t>
      </w:r>
      <w:r>
        <w:rPr>
          <w:noProof/>
        </w:rPr>
        <w:t>for the same category of migrants that both TCN applicants and enterprises have to deal with. Mak</w:t>
      </w:r>
      <w:r>
        <w:rPr>
          <w:noProof/>
        </w:rPr>
        <w:t>ing it easier to get a permit was identified by around 70 % of the respondents to the public consultation as the main issue which the EU could tackle in order to make the EU a more attractive destination for HSW</w:t>
      </w:r>
      <w:r>
        <w:rPr>
          <w:rStyle w:val="FootnoteReference"/>
          <w:noProof/>
        </w:rPr>
        <w:footnoteReference w:id="95"/>
      </w:r>
      <w:r>
        <w:rPr>
          <w:noProof/>
        </w:rPr>
        <w:t>.</w:t>
      </w:r>
    </w:p>
    <w:p w:rsidR="007306CA" w:rsidRDefault="00576025">
      <w:pPr>
        <w:spacing w:after="120"/>
        <w:rPr>
          <w:rFonts w:eastAsiaTheme="minorHAnsi"/>
          <w:noProof/>
          <w:lang w:eastAsia="en-GB"/>
        </w:rPr>
      </w:pPr>
      <w:r>
        <w:rPr>
          <w:noProof/>
        </w:rPr>
        <w:t xml:space="preserve">Finally, the Blue Card is also still a </w:t>
      </w:r>
      <w:r>
        <w:rPr>
          <w:b/>
          <w:noProof/>
        </w:rPr>
        <w:t>relatively new and less well-known instrument</w:t>
      </w:r>
      <w:r>
        <w:rPr>
          <w:noProof/>
        </w:rPr>
        <w:t xml:space="preserve"> than schemes for highly skilled migrants of other major destination countries, such as the US, Canada and Australia. Consequently, the "branding" value of the Blue Card is still fairly low. This is confirmed by</w:t>
      </w:r>
      <w:r>
        <w:rPr>
          <w:noProof/>
        </w:rPr>
        <w:t xml:space="preserve"> the public consultation that showed that 45 % of the respondents had never heard of the Blue Card before participating (574)</w:t>
      </w:r>
      <w:r>
        <w:rPr>
          <w:rStyle w:val="FootnoteReference"/>
          <w:noProof/>
        </w:rPr>
        <w:footnoteReference w:id="96"/>
      </w:r>
      <w:r>
        <w:rPr>
          <w:noProof/>
        </w:rPr>
        <w:t>. Out of the private individuals 73 % had never heard of the Blue Card, while of the target groups of the Blue Card 32 % of third-</w:t>
      </w:r>
      <w:r>
        <w:rPr>
          <w:noProof/>
        </w:rPr>
        <w:t>country nationals in the EU and 48 % of those outside the EU had never heard of it</w:t>
      </w:r>
      <w:r>
        <w:rPr>
          <w:noProof/>
          <w:vertAlign w:val="superscript"/>
        </w:rPr>
        <w:footnoteReference w:id="97"/>
      </w:r>
      <w:r>
        <w:rPr>
          <w:noProof/>
        </w:rPr>
        <w:t>.</w:t>
      </w:r>
      <w:r>
        <w:rPr>
          <w:noProof/>
          <w:lang w:eastAsia="en-GB"/>
        </w:rPr>
        <w:t xml:space="preserve"> </w:t>
      </w:r>
    </w:p>
    <w:p w:rsidR="007306CA" w:rsidRDefault="00576025">
      <w:pPr>
        <w:spacing w:after="120"/>
        <w:rPr>
          <w:b/>
          <w:i/>
          <w:noProof/>
        </w:rPr>
      </w:pPr>
      <w:r>
        <w:rPr>
          <w:b/>
          <w:i/>
          <w:noProof/>
        </w:rPr>
        <w:t>Drivers related to Problem area 2</w:t>
      </w:r>
    </w:p>
    <w:p w:rsidR="007306CA" w:rsidRDefault="00576025">
      <w:pPr>
        <w:spacing w:after="120"/>
        <w:rPr>
          <w:noProof/>
        </w:rPr>
      </w:pPr>
      <w:r>
        <w:rPr>
          <w:noProof/>
        </w:rPr>
        <w:t>The Blue Card’s scope currently excludes several categories of third-country nationals that may also be seen as highly skilled and poten</w:t>
      </w:r>
      <w:r>
        <w:rPr>
          <w:noProof/>
        </w:rPr>
        <w:t>tially contribute to the Blue Card’s objectives, such as foreign innovative self-employed persons/entrepreneurs, or those staying on a temporary basis to provide services. The EU offers few access opportunities for highly skilled migrants to come to the EU</w:t>
      </w:r>
      <w:r>
        <w:rPr>
          <w:noProof/>
        </w:rPr>
        <w:t xml:space="preserve"> as entrepreneurs or service providers: there are </w:t>
      </w:r>
      <w:r>
        <w:rPr>
          <w:b/>
          <w:noProof/>
        </w:rPr>
        <w:t>no EU level schemes and only a few national schemes are specifically targeted at entrepreneurs or service providers</w:t>
      </w:r>
      <w:r>
        <w:rPr>
          <w:noProof/>
        </w:rPr>
        <w:t>. This results in an incoherent regulatory situation across the EU with complex and divergi</w:t>
      </w:r>
      <w:r>
        <w:rPr>
          <w:noProof/>
        </w:rPr>
        <w:t xml:space="preserve">ng admission procedures. While there is little data, this likely results in lower numbers than comparable countries. In addition, there is no intra-EU mobility possibility, little clarity on the residence conditions and rights which does not favour social </w:t>
      </w:r>
      <w:r>
        <w:rPr>
          <w:noProof/>
        </w:rPr>
        <w:t>and economic integration, and their exclusion limits the branding value.</w:t>
      </w:r>
    </w:p>
    <w:p w:rsidR="007306CA" w:rsidRDefault="00576025">
      <w:pPr>
        <w:spacing w:after="120"/>
        <w:rPr>
          <w:noProof/>
        </w:rPr>
      </w:pPr>
      <w:r>
        <w:rPr>
          <w:noProof/>
        </w:rPr>
        <w:t>This regulatory gap in EU law could affect the EU overall competitiveness, particularly in relation to innovative entrepreneurs who can contribute to job creation and to boost innovat</w:t>
      </w:r>
      <w:r>
        <w:rPr>
          <w:noProof/>
        </w:rPr>
        <w:t>ion. As regards international service providers, the lack of clarity about their admission has an impact on the EU and its Member States’ capability of respecting commitments taken under the WTO and EU's Free Trade Agreements vis-à-vis external partners, a</w:t>
      </w:r>
      <w:r>
        <w:rPr>
          <w:noProof/>
        </w:rPr>
        <w:t>nd to demand reciprocity when negotiating Free Trade Agreements (FTAs).</w:t>
      </w:r>
    </w:p>
    <w:p w:rsidR="007306CA" w:rsidRDefault="00576025">
      <w:pPr>
        <w:spacing w:after="120"/>
        <w:rPr>
          <w:noProof/>
        </w:rPr>
      </w:pPr>
      <w:r>
        <w:rPr>
          <w:noProof/>
        </w:rPr>
        <w:t xml:space="preserve">Several </w:t>
      </w:r>
      <w:r>
        <w:rPr>
          <w:b/>
          <w:noProof/>
        </w:rPr>
        <w:t>other categories are also explicitly excluded from applying for a Blue Card even while they would fulfil the conditions</w:t>
      </w:r>
      <w:r>
        <w:rPr>
          <w:noProof/>
        </w:rPr>
        <w:t>, e.g. highly skilled applicants for, or beneficiaries of</w:t>
      </w:r>
      <w:r>
        <w:rPr>
          <w:noProof/>
        </w:rPr>
        <w:t xml:space="preserve">, international protection. </w:t>
      </w:r>
      <w:r>
        <w:rPr>
          <w:rFonts w:eastAsiaTheme="minorHAnsi"/>
          <w:noProof/>
        </w:rPr>
        <w:t xml:space="preserve">This potential pool of talent is already present in the EU but cannot easily access the labour market or make use of intra-EU mobility (see Annex 16 for more details). </w:t>
      </w:r>
      <w:r>
        <w:rPr>
          <w:noProof/>
        </w:rPr>
        <w:t>This can lead to a waste of skills and human capital, as wel</w:t>
      </w:r>
      <w:r>
        <w:rPr>
          <w:noProof/>
        </w:rPr>
        <w:t>l as undermine the effective integration of such people.</w:t>
      </w:r>
    </w:p>
    <w:p w:rsidR="007306CA" w:rsidRDefault="00576025">
      <w:pPr>
        <w:pStyle w:val="Heading2"/>
        <w:tabs>
          <w:tab w:val="num" w:pos="1418"/>
        </w:tabs>
        <w:spacing w:after="120"/>
        <w:ind w:left="709"/>
        <w:rPr>
          <w:noProof/>
        </w:rPr>
      </w:pPr>
      <w:bookmarkStart w:id="19" w:name="_Toc311626699"/>
      <w:bookmarkStart w:id="20" w:name="_Toc452679050"/>
      <w:r>
        <w:rPr>
          <w:noProof/>
        </w:rPr>
        <w:t>Who is affected by the identified problems and in what ways?</w:t>
      </w:r>
      <w:bookmarkEnd w:id="19"/>
      <w:bookmarkEnd w:id="20"/>
    </w:p>
    <w:p w:rsidR="007306CA" w:rsidRDefault="00576025">
      <w:pPr>
        <w:spacing w:after="120"/>
        <w:rPr>
          <w:noProof/>
        </w:rPr>
      </w:pPr>
      <w:r>
        <w:rPr>
          <w:noProof/>
        </w:rPr>
        <w:t>HSW already residing in, or considering migrating to, the EU are negatively affected by the shortcomings of the current complex EU immigra</w:t>
      </w:r>
      <w:r>
        <w:rPr>
          <w:noProof/>
        </w:rPr>
        <w:t>tion system, which results in administrative burden, lengthy waiting times, uncertainty and confusion as to applicable rules and outcomes, or may even discourage them from applying. Limited sets of rights, especially as regards intra-EU mobility, limit the</w:t>
      </w:r>
      <w:r>
        <w:rPr>
          <w:noProof/>
        </w:rPr>
        <w:t xml:space="preserve"> EU’s attractiveness in their eyes.</w:t>
      </w:r>
    </w:p>
    <w:p w:rsidR="007306CA" w:rsidRDefault="00576025">
      <w:pPr>
        <w:spacing w:after="120"/>
        <w:rPr>
          <w:noProof/>
        </w:rPr>
      </w:pPr>
      <w:r>
        <w:rPr>
          <w:noProof/>
        </w:rPr>
        <w:t>TCN innovative entrepreneurs and service providers’ are negatively affected by the lack of transparent and clear rules to enter the EU due to the absence of an EU level scheme and the limited availability, uncertainty an</w:t>
      </w:r>
      <w:r>
        <w:rPr>
          <w:noProof/>
        </w:rPr>
        <w:t>d complexity of national schemes. TCN students and researchers face obstacles in attempting to enter the labour market after the completion of their programmes.</w:t>
      </w:r>
    </w:p>
    <w:p w:rsidR="007306CA" w:rsidRDefault="00576025">
      <w:pPr>
        <w:spacing w:after="120"/>
        <w:rPr>
          <w:noProof/>
        </w:rPr>
      </w:pPr>
      <w:r>
        <w:rPr>
          <w:noProof/>
        </w:rPr>
        <w:t>Countries of origin can be negatively affected if their citizens leave crucial sectors of the l</w:t>
      </w:r>
      <w:r>
        <w:rPr>
          <w:noProof/>
        </w:rPr>
        <w:t xml:space="preserve">ocal workforce (brain drain) and positively affected through brain gain, circular migration and increasing remittance flows. In general, however, currently the risk of brain drain remains limited due to the low numbers of Blue Cards, especially from least </w:t>
      </w:r>
      <w:r>
        <w:rPr>
          <w:noProof/>
        </w:rPr>
        <w:t>developed countries, and the Directive already provides safeguards that can be activated if needed</w:t>
      </w:r>
      <w:r>
        <w:rPr>
          <w:noProof/>
          <w:vertAlign w:val="superscript"/>
        </w:rPr>
        <w:footnoteReference w:id="98"/>
      </w:r>
      <w:r>
        <w:rPr>
          <w:noProof/>
        </w:rPr>
        <w:t>.</w:t>
      </w:r>
    </w:p>
    <w:p w:rsidR="007306CA" w:rsidRDefault="00576025">
      <w:pPr>
        <w:spacing w:after="120"/>
        <w:rPr>
          <w:noProof/>
        </w:rPr>
      </w:pPr>
      <w:r>
        <w:rPr>
          <w:noProof/>
        </w:rPr>
        <w:t xml:space="preserve">EU employers, including big employers, start-ups and SMEs, are negatively affected as they face limitations and excessive (administrative) burden in their </w:t>
      </w:r>
      <w:r>
        <w:rPr>
          <w:noProof/>
        </w:rPr>
        <w:t>possibilities to hire HSW and address skills shortages (see Annex 16).</w:t>
      </w:r>
    </w:p>
    <w:p w:rsidR="007306CA" w:rsidRDefault="00576025">
      <w:pPr>
        <w:spacing w:after="120"/>
        <w:rPr>
          <w:noProof/>
        </w:rPr>
      </w:pPr>
      <w:r>
        <w:rPr>
          <w:noProof/>
        </w:rPr>
        <w:t>National, regional and local authorities of Member States, including ministries, consulates, embassies, are negatively affected as they have to apply and enforce parallel schemes and po</w:t>
      </w:r>
      <w:r>
        <w:rPr>
          <w:noProof/>
        </w:rPr>
        <w:t>tentially complex existing rules</w:t>
      </w:r>
      <w:r>
        <w:rPr>
          <w:noProof/>
          <w:vertAlign w:val="superscript"/>
        </w:rPr>
        <w:footnoteReference w:id="99"/>
      </w:r>
      <w:r>
        <w:rPr>
          <w:noProof/>
        </w:rPr>
        <w:t>, assess applications and grant permits.</w:t>
      </w:r>
    </w:p>
    <w:p w:rsidR="007306CA" w:rsidRDefault="00576025">
      <w:pPr>
        <w:spacing w:after="120"/>
        <w:rPr>
          <w:noProof/>
        </w:rPr>
      </w:pPr>
      <w:r>
        <w:rPr>
          <w:noProof/>
        </w:rPr>
        <w:t>Indirectly, EU citizens are also negatively affected as the EU’s labour migration system for HSW insufficiently contributes to tackling skills shortages, demographic ageing and incre</w:t>
      </w:r>
      <w:r>
        <w:rPr>
          <w:noProof/>
        </w:rPr>
        <w:t xml:space="preserve">asing old-age dependency ratio. This affects the financial viability of the EU’s welfare systems. </w:t>
      </w:r>
    </w:p>
    <w:p w:rsidR="007306CA" w:rsidRDefault="00576025">
      <w:pPr>
        <w:pStyle w:val="Heading2"/>
        <w:spacing w:after="120"/>
        <w:ind w:left="709"/>
        <w:rPr>
          <w:noProof/>
        </w:rPr>
      </w:pPr>
      <w:bookmarkStart w:id="21" w:name="_Toc311626700"/>
      <w:bookmarkStart w:id="22" w:name="_Toc452679051"/>
      <w:r>
        <w:rPr>
          <w:noProof/>
        </w:rPr>
        <w:t>How would the problem evolve, all things being equal? (Baseline scenario)</w:t>
      </w:r>
      <w:bookmarkEnd w:id="21"/>
      <w:bookmarkEnd w:id="22"/>
    </w:p>
    <w:p w:rsidR="007306CA" w:rsidRDefault="00576025">
      <w:pPr>
        <w:spacing w:after="120"/>
        <w:rPr>
          <w:noProof/>
        </w:rPr>
      </w:pPr>
      <w:r>
        <w:rPr>
          <w:noProof/>
        </w:rPr>
        <w:t>As highlighted in Section 1.2 above, the EU will face increasing demographic challe</w:t>
      </w:r>
      <w:r>
        <w:rPr>
          <w:noProof/>
        </w:rPr>
        <w:t>nges. The labour force (20-64) is expected to shrink progressively.</w:t>
      </w:r>
      <w:r>
        <w:rPr>
          <w:iCs/>
          <w:noProof/>
        </w:rPr>
        <w:t xml:space="preserve"> Without positive net migration from outside the EU, this decline would be even stronger and the increase in the old-age dependency ratio would also be much more severe (</w:t>
      </w:r>
      <w:r>
        <w:rPr>
          <w:noProof/>
        </w:rPr>
        <w:t>see table 1 below –</w:t>
      </w:r>
      <w:r>
        <w:rPr>
          <w:noProof/>
        </w:rPr>
        <w:t xml:space="preserve"> more details are in Annex 4). </w:t>
      </w:r>
    </w:p>
    <w:p w:rsidR="007306CA" w:rsidRDefault="00576025">
      <w:pPr>
        <w:spacing w:after="120"/>
        <w:rPr>
          <w:b/>
          <w:noProof/>
          <w:sz w:val="20"/>
          <w:szCs w:val="20"/>
          <w:lang w:eastAsia="en-GB"/>
        </w:rPr>
      </w:pPr>
      <w:r>
        <w:rPr>
          <w:b/>
          <w:noProof/>
          <w:sz w:val="20"/>
          <w:szCs w:val="20"/>
        </w:rPr>
        <w:t xml:space="preserve">Table 1: </w:t>
      </w:r>
      <w:r>
        <w:rPr>
          <w:b/>
          <w:noProof/>
          <w:sz w:val="20"/>
          <w:szCs w:val="20"/>
          <w:lang w:eastAsia="en-GB"/>
        </w:rPr>
        <w:t>Summary table of forecasted population developments and indicators, EU-28</w:t>
      </w:r>
    </w:p>
    <w:p w:rsidR="007306CA" w:rsidRDefault="00576025">
      <w:pPr>
        <w:jc w:val="center"/>
        <w:rPr>
          <w:noProof/>
          <w:color w:val="1F497D"/>
        </w:rPr>
      </w:pPr>
      <w:r>
        <w:rPr>
          <w:noProof/>
          <w:lang w:eastAsia="en-GB"/>
        </w:rPr>
        <w:drawing>
          <wp:inline distT="0" distB="0" distL="0" distR="0">
            <wp:extent cx="5524500" cy="1800901"/>
            <wp:effectExtent l="0" t="0" r="0" b="8890"/>
            <wp:docPr id="2" name="Picture 2" descr="cid:image001.png@01D1A238.12D544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1A238.12D544D0"/>
                    <pic:cNvPicPr>
                      <a:picLocks noChangeAspect="1" noChangeArrowheads="1"/>
                    </pic:cNvPicPr>
                  </pic:nvPicPr>
                  <pic:blipFill>
                    <a:blip r:embed="rId47" r:link="rId48">
                      <a:extLst>
                        <a:ext uri="{28A0092B-C50C-407E-A947-70E740481C1C}">
                          <a14:useLocalDpi xmlns:a14="http://schemas.microsoft.com/office/drawing/2010/main" val="0"/>
                        </a:ext>
                      </a:extLst>
                    </a:blip>
                    <a:srcRect/>
                    <a:stretch>
                      <a:fillRect/>
                    </a:stretch>
                  </pic:blipFill>
                  <pic:spPr bwMode="auto">
                    <a:xfrm>
                      <a:off x="0" y="0"/>
                      <a:ext cx="5554872" cy="1810802"/>
                    </a:xfrm>
                    <a:prstGeom prst="rect">
                      <a:avLst/>
                    </a:prstGeom>
                    <a:noFill/>
                    <a:ln>
                      <a:noFill/>
                    </a:ln>
                  </pic:spPr>
                </pic:pic>
              </a:graphicData>
            </a:graphic>
          </wp:inline>
        </w:drawing>
      </w:r>
    </w:p>
    <w:p w:rsidR="007306CA" w:rsidRDefault="00576025">
      <w:pPr>
        <w:spacing w:after="120"/>
        <w:rPr>
          <w:noProof/>
          <w:sz w:val="16"/>
          <w:szCs w:val="16"/>
        </w:rPr>
      </w:pPr>
      <w:r>
        <w:rPr>
          <w:noProof/>
          <w:sz w:val="16"/>
          <w:szCs w:val="16"/>
        </w:rPr>
        <w:t xml:space="preserve">Source: </w:t>
      </w:r>
      <w:r>
        <w:rPr>
          <w:i/>
          <w:noProof/>
          <w:sz w:val="16"/>
          <w:szCs w:val="16"/>
          <w:lang w:eastAsia="en-GB"/>
        </w:rPr>
        <w:t xml:space="preserve">Eurostat, </w:t>
      </w:r>
      <w:r>
        <w:rPr>
          <w:i/>
          <w:noProof/>
          <w:sz w:val="16"/>
          <w:szCs w:val="16"/>
        </w:rPr>
        <w:t xml:space="preserve">Europop2013, proj_13ndbims and proj_13ndbizms, see more details in </w:t>
      </w:r>
      <w:r>
        <w:rPr>
          <w:noProof/>
          <w:sz w:val="16"/>
          <w:szCs w:val="16"/>
        </w:rPr>
        <w:t>Annex 4</w:t>
      </w:r>
    </w:p>
    <w:p w:rsidR="007306CA" w:rsidRDefault="00576025">
      <w:pPr>
        <w:spacing w:after="120"/>
        <w:rPr>
          <w:noProof/>
        </w:rPr>
      </w:pPr>
      <w:r>
        <w:rPr>
          <w:noProof/>
        </w:rPr>
        <w:t xml:space="preserve">CEDEFOP forecast show that changes in the </w:t>
      </w:r>
      <w:r>
        <w:rPr>
          <w:noProof/>
        </w:rPr>
        <w:t>skills required by the EU are expected to show a sharp increase in the number of jobs employing highly educated labour (+ 15 million, or +23 %) compared to jobs requiring a medium level of education (+ 3.6 million or +3 %) and even more compared to jobs wh</w:t>
      </w:r>
      <w:r>
        <w:rPr>
          <w:noProof/>
        </w:rPr>
        <w:t>ere a low level of education is sufficient (-11.5 million or -24 %)</w:t>
      </w:r>
      <w:r>
        <w:rPr>
          <w:noProof/>
          <w:vertAlign w:val="superscript"/>
        </w:rPr>
        <w:footnoteReference w:id="100"/>
      </w:r>
      <w:r>
        <w:rPr>
          <w:noProof/>
        </w:rPr>
        <w:t xml:space="preserve">. The expected development in employment over 2012-25 across occupations is the result of both employment growth (expansion) as well as replacement demand. Overall, the occupational group </w:t>
      </w:r>
      <w:r>
        <w:rPr>
          <w:noProof/>
        </w:rPr>
        <w:t xml:space="preserve">that will see the largest increase in absolute number in total job openings will be: "Technicians and associate professionals" (ISCO 3), "Professionals" (ISCO 2) and "Legislators, senior officials and managers" (ISCO 1). Those three groups, all considered </w:t>
      </w:r>
      <w:r>
        <w:rPr>
          <w:noProof/>
        </w:rPr>
        <w:t>as highly skilled occupations will benefit from both replacement demand and expansion.</w:t>
      </w:r>
    </w:p>
    <w:p w:rsidR="007306CA" w:rsidRDefault="00576025">
      <w:pPr>
        <w:rPr>
          <w:noProof/>
        </w:rPr>
      </w:pPr>
      <w:r>
        <w:rPr>
          <w:b/>
          <w:noProof/>
          <w:sz w:val="20"/>
          <w:szCs w:val="20"/>
        </w:rPr>
        <w:t>Chart 1:</w:t>
      </w:r>
      <w:r>
        <w:rPr>
          <w:noProof/>
          <w:sz w:val="20"/>
          <w:szCs w:val="20"/>
        </w:rPr>
        <w:t xml:space="preserve"> </w:t>
      </w:r>
      <w:r>
        <w:rPr>
          <w:b/>
          <w:bCs/>
          <w:noProof/>
          <w:sz w:val="20"/>
          <w:szCs w:val="20"/>
        </w:rPr>
        <w:t>Total job opportunities, CEDEFOP baseline scenario (EU-27+) 2012-25 (000s), by group of occupations (ISCO)</w:t>
      </w:r>
      <w:r>
        <w:rPr>
          <w:b/>
          <w:bCs/>
          <w:noProof/>
          <w:lang w:eastAsia="en-GB"/>
        </w:rPr>
        <w:drawing>
          <wp:inline distT="0" distB="0" distL="0" distR="0">
            <wp:extent cx="5588000" cy="3862693"/>
            <wp:effectExtent l="0" t="0" r="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5588000" cy="3862693"/>
                    </a:xfrm>
                    <a:prstGeom prst="rect">
                      <a:avLst/>
                    </a:prstGeom>
                    <a:noFill/>
                    <a:ln>
                      <a:noFill/>
                    </a:ln>
                  </pic:spPr>
                </pic:pic>
              </a:graphicData>
            </a:graphic>
          </wp:inline>
        </w:drawing>
      </w:r>
    </w:p>
    <w:p w:rsidR="007306CA" w:rsidRDefault="00576025">
      <w:pPr>
        <w:spacing w:after="120"/>
        <w:rPr>
          <w:iCs/>
          <w:noProof/>
        </w:rPr>
      </w:pPr>
      <w:r>
        <w:rPr>
          <w:noProof/>
        </w:rPr>
        <w:t>While there is no global overview available that con</w:t>
      </w:r>
      <w:r>
        <w:rPr>
          <w:noProof/>
        </w:rPr>
        <w:t>fronts future supply and demand, some specific studies point at structural skills shortages and mismatches in certain sectors, particularly in highly skilled occupations, which cannot be filled by the existing EU workforce. For example, by 2020, 756 000 un</w:t>
      </w:r>
      <w:r>
        <w:rPr>
          <w:noProof/>
        </w:rPr>
        <w:t>filled vacancies for highly skilled ICT professionals are expected, amounting to around 130 000 vacancies per year over 2014-2020</w:t>
      </w:r>
      <w:r>
        <w:rPr>
          <w:noProof/>
          <w:vertAlign w:val="superscript"/>
        </w:rPr>
        <w:footnoteReference w:id="101"/>
      </w:r>
      <w:r>
        <w:rPr>
          <w:rFonts w:ascii="Arial" w:hAnsi="Arial" w:cs="Arial"/>
          <w:iCs/>
          <w:noProof/>
          <w:color w:val="000000"/>
          <w:sz w:val="20"/>
        </w:rPr>
        <w:t xml:space="preserve">. </w:t>
      </w:r>
      <w:r>
        <w:rPr>
          <w:noProof/>
        </w:rPr>
        <w:t>In the health sector, a shortfall of around 1 million highly skilled workers</w:t>
      </w:r>
      <w:r>
        <w:rPr>
          <w:rStyle w:val="FootnoteReference"/>
          <w:noProof/>
        </w:rPr>
        <w:footnoteReference w:id="102"/>
      </w:r>
      <w:r>
        <w:rPr>
          <w:noProof/>
        </w:rPr>
        <w:t xml:space="preserve"> is estimated by 2020, rising up to 2 million w</w:t>
      </w:r>
      <w:r>
        <w:rPr>
          <w:noProof/>
        </w:rPr>
        <w:t>orkers if long term care and ancillary professions</w:t>
      </w:r>
      <w:r>
        <w:rPr>
          <w:rStyle w:val="FootnoteReference"/>
          <w:noProof/>
        </w:rPr>
        <w:footnoteReference w:id="103"/>
      </w:r>
      <w:r>
        <w:rPr>
          <w:noProof/>
        </w:rPr>
        <w:t xml:space="preserve"> are included. This means that around 15 % of total care would not be covered compared to 2010</w:t>
      </w:r>
      <w:r>
        <w:rPr>
          <w:noProof/>
          <w:vertAlign w:val="superscript"/>
        </w:rPr>
        <w:footnoteReference w:id="104"/>
      </w:r>
      <w:r>
        <w:rPr>
          <w:noProof/>
        </w:rPr>
        <w:t>. Finally, future demand for 'Key Enabling Technologies'</w:t>
      </w:r>
      <w:r>
        <w:rPr>
          <w:rStyle w:val="FootnoteReference"/>
          <w:noProof/>
        </w:rPr>
        <w:footnoteReference w:id="105"/>
      </w:r>
      <w:r>
        <w:rPr>
          <w:noProof/>
        </w:rPr>
        <w:t xml:space="preserve"> professionals and associates with technical skills i</w:t>
      </w:r>
      <w:r>
        <w:rPr>
          <w:noProof/>
        </w:rPr>
        <w:t>s expected to growth by 953 000 (+43 %) over 2013-25, with 62 % of them (around 590 000) requiring high skills</w:t>
      </w:r>
      <w:r>
        <w:rPr>
          <w:rStyle w:val="FootnoteReference"/>
          <w:noProof/>
        </w:rPr>
        <w:footnoteReference w:id="106"/>
      </w:r>
      <w:r>
        <w:rPr>
          <w:noProof/>
        </w:rPr>
        <w:t xml:space="preserve">. </w:t>
      </w:r>
    </w:p>
    <w:p w:rsidR="007306CA" w:rsidRDefault="00576025">
      <w:pPr>
        <w:spacing w:after="120"/>
        <w:rPr>
          <w:noProof/>
        </w:rPr>
      </w:pPr>
      <w:r>
        <w:rPr>
          <w:noProof/>
        </w:rPr>
        <w:t>Intra-EU mobility of the domestic labour force – whose potential is still untapped</w:t>
      </w:r>
      <w:r>
        <w:rPr>
          <w:rStyle w:val="FootnoteReference"/>
          <w:noProof/>
        </w:rPr>
        <w:footnoteReference w:id="107"/>
      </w:r>
      <w:r>
        <w:rPr>
          <w:noProof/>
        </w:rPr>
        <w:t xml:space="preserve"> - can contribute to address and attenuate the above proble</w:t>
      </w:r>
      <w:r>
        <w:rPr>
          <w:noProof/>
        </w:rPr>
        <w:t>ms by encouraging a better matching of labour supply with labour shortages.  The recent revision of the EURES Regulation</w:t>
      </w:r>
      <w:r>
        <w:rPr>
          <w:rStyle w:val="FootnoteReference"/>
          <w:noProof/>
        </w:rPr>
        <w:footnoteReference w:id="108"/>
      </w:r>
      <w:r>
        <w:rPr>
          <w:noProof/>
        </w:rPr>
        <w:t xml:space="preserve"> will not only modernise the EURES Portal</w:t>
      </w:r>
      <w:r>
        <w:rPr>
          <w:rStyle w:val="FootnoteReference"/>
          <w:noProof/>
        </w:rPr>
        <w:footnoteReference w:id="109"/>
      </w:r>
      <w:r>
        <w:rPr>
          <w:noProof/>
        </w:rPr>
        <w:t xml:space="preserve"> to improve transparency but will also introduce tools leading to automatic job matching. The</w:t>
      </w:r>
      <w:r>
        <w:rPr>
          <w:noProof/>
        </w:rPr>
        <w:t xml:space="preserve"> Commission has other initiatives in the pipeline — such as the Labour Mobility Package and the Skills' Initiative</w:t>
      </w:r>
      <w:r>
        <w:rPr>
          <w:noProof/>
          <w:vertAlign w:val="superscript"/>
        </w:rPr>
        <w:footnoteReference w:id="110"/>
      </w:r>
      <w:r>
        <w:rPr>
          <w:noProof/>
        </w:rPr>
        <w:t xml:space="preserve"> — aiming at further enhancing the mobility of workers within the EU Single Market (while preventing abuses) and at facilitating the validati</w:t>
      </w:r>
      <w:r>
        <w:rPr>
          <w:noProof/>
        </w:rPr>
        <w:t xml:space="preserve">on and recognition of skills and qualifications, including foreign qualifications. </w:t>
      </w:r>
    </w:p>
    <w:p w:rsidR="007306CA" w:rsidRDefault="00576025">
      <w:pPr>
        <w:spacing w:after="120"/>
        <w:rPr>
          <w:noProof/>
        </w:rPr>
      </w:pPr>
      <w:r>
        <w:rPr>
          <w:noProof/>
        </w:rPr>
        <w:t>These measures will all undoubtedly contribute to a better matching of labour supply with labour shortages and needs but will, however, not be sufficient to address the ove</w:t>
      </w:r>
      <w:r>
        <w:rPr>
          <w:noProof/>
        </w:rPr>
        <w:t>rall needs in the medium/long term. The prevailing view in academic circles and among policy-makers is that intra-EU labour mobility – even if boosted – would be too low to sufficiently contribute to the single labour market or addressing skills shortages</w:t>
      </w:r>
      <w:r>
        <w:rPr>
          <w:noProof/>
          <w:vertAlign w:val="superscript"/>
        </w:rPr>
        <w:footnoteReference w:id="111"/>
      </w:r>
      <w:r>
        <w:rPr>
          <w:noProof/>
        </w:rPr>
        <w:t>, especially in view of declining working-age population in most EU Member States. Moreover, analysis by the European Central Bank has shown that skills mismatches in the EU are often caused "by structural imbalances between labour demand and labour supply</w:t>
      </w:r>
      <w:r>
        <w:rPr>
          <w:noProof/>
        </w:rPr>
        <w:t>, rather than by a lack of geographical mobility"</w:t>
      </w:r>
      <w:r>
        <w:rPr>
          <w:rStyle w:val="FootnoteReference"/>
          <w:noProof/>
        </w:rPr>
        <w:footnoteReference w:id="112"/>
      </w:r>
      <w:r>
        <w:rPr>
          <w:noProof/>
        </w:rPr>
        <w:t>. This may be linked to the fact that shortages often occur in the same occupations/sectors across EU Member States</w:t>
      </w:r>
      <w:r>
        <w:rPr>
          <w:rStyle w:val="FootnoteReference"/>
          <w:noProof/>
        </w:rPr>
        <w:footnoteReference w:id="113"/>
      </w:r>
      <w:r>
        <w:rPr>
          <w:noProof/>
        </w:rPr>
        <w:t xml:space="preserve"> (e.g. science and engineering professionals, Information and communications technology professionals, health professionals) and that therefore the role of mobility of domestic workers to respond to skills shortages may be limited, at least in certain sect</w:t>
      </w:r>
      <w:r>
        <w:rPr>
          <w:noProof/>
        </w:rPr>
        <w:t xml:space="preserve">ors.   </w:t>
      </w:r>
    </w:p>
    <w:p w:rsidR="007306CA" w:rsidRDefault="00576025">
      <w:pPr>
        <w:spacing w:after="120"/>
        <w:rPr>
          <w:iCs/>
          <w:noProof/>
        </w:rPr>
      </w:pPr>
      <w:r>
        <w:rPr>
          <w:noProof/>
        </w:rPr>
        <w:t xml:space="preserve">Therefore, without addressing the ineffectiveness and inefficiencies of the EU immigration system for HSW, in particular the Blue Card, the EU will have trouble attracting the HSW it needs for its economy. In addition, the complexity and diversity </w:t>
      </w:r>
      <w:r>
        <w:rPr>
          <w:noProof/>
        </w:rPr>
        <w:t>of administrative procedures will continue to pose a high administrative burden on HSW and enterprises, in terms of time and money, but also on Member States authorities.</w:t>
      </w:r>
      <w:r>
        <w:rPr>
          <w:iCs/>
          <w:noProof/>
        </w:rPr>
        <w:t xml:space="preserve"> Further implementation efforts could be made and more infringements launched on the c</w:t>
      </w:r>
      <w:r>
        <w:rPr>
          <w:iCs/>
          <w:noProof/>
        </w:rPr>
        <w:t>urrent EU Blue Card Directive but these would not fix the main problems described above. The main weaknesses of the EU Blue Card Directive are structural and, consequently, cannot be solved by stronger enforcement.</w:t>
      </w:r>
    </w:p>
    <w:p w:rsidR="007306CA" w:rsidRDefault="00576025">
      <w:pPr>
        <w:spacing w:after="120"/>
        <w:rPr>
          <w:noProof/>
        </w:rPr>
      </w:pPr>
      <w:r>
        <w:rPr>
          <w:iCs/>
          <w:noProof/>
        </w:rPr>
        <w:t>Furthermore, continuing to rely solely on</w:t>
      </w:r>
      <w:r>
        <w:rPr>
          <w:iCs/>
          <w:noProof/>
        </w:rPr>
        <w:t xml:space="preserve"> national schemes for innovative entrepreneurs, which are limited to a few Member States and widely diverging in characteristics, entails a continued low use of the entrepreneurial capacity of TCN. In addition, the current problems related to the admission</w:t>
      </w:r>
      <w:r>
        <w:rPr>
          <w:iCs/>
          <w:noProof/>
        </w:rPr>
        <w:t xml:space="preserve"> into the EU of international service providers and independent professional will continue. Moreover, the exclusion of highly skilled applicants and beneficiaries of international protection entails that their skills and human capital will continue to be u</w:t>
      </w:r>
      <w:r>
        <w:rPr>
          <w:iCs/>
          <w:noProof/>
        </w:rPr>
        <w:t xml:space="preserve">nder-used. </w:t>
      </w:r>
    </w:p>
    <w:p w:rsidR="007306CA" w:rsidRDefault="00576025">
      <w:pPr>
        <w:spacing w:after="120"/>
        <w:rPr>
          <w:noProof/>
        </w:rPr>
      </w:pPr>
      <w:r>
        <w:rPr>
          <w:iCs/>
          <w:noProof/>
        </w:rPr>
        <w:t>Amongst the elements evolving positively, th</w:t>
      </w:r>
      <w:r>
        <w:rPr>
          <w:noProof/>
        </w:rPr>
        <w:t>e entry into force in early 2018 of the recast Students and Researchers Directive will contribute to increasing the attractiveness of the EU for these categories, thereby enlarging the EU pool of HSW.</w:t>
      </w:r>
      <w:r>
        <w:rPr>
          <w:noProof/>
        </w:rPr>
        <w:t xml:space="preserve"> Moreover, the newly added possibility of a post-study (or post-research) job search period of minimum 9 months will also increase the capacity of the EU to retain talents.</w:t>
      </w:r>
    </w:p>
    <w:p w:rsidR="007306CA" w:rsidRDefault="00576025">
      <w:pPr>
        <w:spacing w:after="120"/>
        <w:rPr>
          <w:iCs/>
          <w:noProof/>
        </w:rPr>
      </w:pPr>
      <w:r>
        <w:rPr>
          <w:noProof/>
        </w:rPr>
        <w:t xml:space="preserve">Furthermore, the implementation of the Intra Corporate Transferees Directive (ICT) </w:t>
      </w:r>
      <w:r>
        <w:rPr>
          <w:noProof/>
        </w:rPr>
        <w:t>in late 2016 will contribute to harmonising and streamlining the EU immigration system for skilled migrants (e.g. managers, specialists) working for non-EU based companies</w:t>
      </w:r>
      <w:r>
        <w:rPr>
          <w:rStyle w:val="FootnoteReference"/>
          <w:noProof/>
        </w:rPr>
        <w:footnoteReference w:id="114"/>
      </w:r>
      <w:r>
        <w:rPr>
          <w:noProof/>
        </w:rPr>
        <w:t xml:space="preserve"> and being posted to the EU, including some categories of service providers. </w:t>
      </w:r>
      <w:r>
        <w:rPr>
          <w:iCs/>
          <w:noProof/>
        </w:rPr>
        <w:t xml:space="preserve">       </w:t>
      </w:r>
      <w:r>
        <w:rPr>
          <w:iCs/>
          <w:noProof/>
        </w:rPr>
        <w:t xml:space="preserve">    </w:t>
      </w:r>
    </w:p>
    <w:p w:rsidR="007306CA" w:rsidRDefault="00576025">
      <w:pPr>
        <w:pStyle w:val="Heading1"/>
        <w:spacing w:after="120"/>
        <w:ind w:left="482" w:hanging="482"/>
        <w:rPr>
          <w:noProof/>
        </w:rPr>
      </w:pPr>
      <w:bookmarkStart w:id="23" w:name="_Toc311626701"/>
      <w:bookmarkStart w:id="24" w:name="_Toc452679052"/>
      <w:r>
        <w:rPr>
          <w:noProof/>
        </w:rPr>
        <w:t>Why should the EU act?</w:t>
      </w:r>
      <w:bookmarkEnd w:id="23"/>
      <w:bookmarkEnd w:id="24"/>
    </w:p>
    <w:p w:rsidR="007306CA" w:rsidRDefault="00576025">
      <w:pPr>
        <w:spacing w:after="120"/>
        <w:rPr>
          <w:i/>
          <w:noProof/>
        </w:rPr>
      </w:pPr>
      <w:r>
        <w:rPr>
          <w:i/>
          <w:noProof/>
        </w:rPr>
        <w:t>Legal basis and the principle of subsidiarity</w:t>
      </w:r>
    </w:p>
    <w:p w:rsidR="007306CA" w:rsidRDefault="00576025">
      <w:pPr>
        <w:spacing w:after="120"/>
        <w:rPr>
          <w:noProof/>
        </w:rPr>
      </w:pPr>
      <w:r>
        <w:rPr>
          <w:noProof/>
        </w:rPr>
        <w:t>The legal basis for Union action in the area is established in 79(2) (a) and (b) of the Treaty on the Functioning of the European Union (TFEU), in connection with Article 79(1) of th</w:t>
      </w:r>
      <w:r>
        <w:rPr>
          <w:noProof/>
        </w:rPr>
        <w:t>e same Treaty. These provisions state that the “Union shall develop a common immigration policy aimed at ensuring, at all stages, the efficient management of migration flows, fair treatment of third-country nationals residing legally in Member States, (…)”</w:t>
      </w:r>
      <w:r>
        <w:rPr>
          <w:noProof/>
        </w:rPr>
        <w:t xml:space="preserve">. For this purpose, the European Parliament and the Council, acting in accordance with the ordinary legislative procedure, "shall adopt measures in the following areas: (a) the conditions of entry and residence, and standards on the issue by Member States </w:t>
      </w:r>
      <w:r>
        <w:rPr>
          <w:noProof/>
        </w:rPr>
        <w:t>of long-term visas and residence permits (…)” and “(b) the definition of the rights of third-country nationals residing legally in a Member State, including the conditions governing freedom of movement and of residence in other Member States”. The principl</w:t>
      </w:r>
      <w:r>
        <w:rPr>
          <w:noProof/>
        </w:rPr>
        <w:t>e of subsidiarity applies since this is an area of shared competence</w:t>
      </w:r>
      <w:r>
        <w:rPr>
          <w:rStyle w:val="FootnoteReference"/>
          <w:noProof/>
        </w:rPr>
        <w:footnoteReference w:id="115"/>
      </w:r>
      <w:r>
        <w:rPr>
          <w:noProof/>
        </w:rPr>
        <w:t>.</w:t>
      </w:r>
    </w:p>
    <w:p w:rsidR="007306CA" w:rsidRDefault="00576025">
      <w:pPr>
        <w:spacing w:after="120"/>
        <w:rPr>
          <w:i/>
          <w:noProof/>
        </w:rPr>
      </w:pPr>
      <w:r>
        <w:rPr>
          <w:i/>
          <w:noProof/>
        </w:rPr>
        <w:t>EU value added: Administrative simplification, economic rationale and attractiveness</w:t>
      </w:r>
    </w:p>
    <w:p w:rsidR="007306CA" w:rsidRDefault="00576025">
      <w:pPr>
        <w:spacing w:after="120"/>
        <w:rPr>
          <w:noProof/>
        </w:rPr>
      </w:pPr>
      <w:r>
        <w:rPr>
          <w:noProof/>
        </w:rPr>
        <w:t>The goal of making the EU as attractive as traditional immigration countries and compete for the lim</w:t>
      </w:r>
      <w:r>
        <w:rPr>
          <w:noProof/>
        </w:rPr>
        <w:t xml:space="preserve">ited supply of HSW can arguably only be achieved if the EU acts internationally as a single player. Member States acting alone, especially smaller Member States, may not be able to compete in the international competition for highly skilled </w:t>
      </w:r>
      <w:r>
        <w:rPr>
          <w:iCs/>
          <w:noProof/>
        </w:rPr>
        <w:t>third</w:t>
      </w:r>
      <w:r>
        <w:rPr>
          <w:noProof/>
        </w:rPr>
        <w:t>-country p</w:t>
      </w:r>
      <w:r>
        <w:rPr>
          <w:noProof/>
        </w:rPr>
        <w:t>rofessionals. The EU value added of a well-functioning Blue Card is based on providing one transparent, flexible, attractive and streamlined scheme for HSW, that can better compete with schemes in traditional immigration countries, such as US, Canada and A</w:t>
      </w:r>
      <w:r>
        <w:rPr>
          <w:noProof/>
        </w:rPr>
        <w:t>ustralia. It would send a clear message to HSW and business persons that the EU welcomes them to help sustain economic growth and competitiveness, and that it is ready to set up quick admission procedures and attractive conditions for residence for them an</w:t>
      </w:r>
      <w:r>
        <w:rPr>
          <w:noProof/>
        </w:rPr>
        <w:t>d their families.</w:t>
      </w:r>
    </w:p>
    <w:p w:rsidR="007306CA" w:rsidRDefault="00576025">
      <w:pPr>
        <w:spacing w:after="120"/>
        <w:rPr>
          <w:noProof/>
        </w:rPr>
      </w:pPr>
      <w:r>
        <w:rPr>
          <w:iCs/>
          <w:noProof/>
        </w:rPr>
        <w:t>T</w:t>
      </w:r>
      <w:r>
        <w:rPr>
          <w:noProof/>
        </w:rPr>
        <w:t>he main value added an EU-wide scheme is the possibility for HSW to move easily across the EU to work and reside in several Member States, so to better respond to demands for highly skilled labour, and thus contribute to offsetting skill</w:t>
      </w:r>
      <w:r>
        <w:rPr>
          <w:noProof/>
        </w:rPr>
        <w:t xml:space="preserve"> shortages. Enhancing the inflows and circulation of third-country highly skilled professionals between jobs and Member States would enhance their efficient allocation and re-allocation on the EU labour market, producing spill over and beneficial effects f</w:t>
      </w:r>
      <w:r>
        <w:rPr>
          <w:noProof/>
        </w:rPr>
        <w:t>or all the EU economy. This would require no significant additional transfer of competencies from Member States to the EU level as easier intra-EU mobility is already envisaged — even if to a limited extent — in the current Blue Card Directive. Moreover, f</w:t>
      </w:r>
      <w:r>
        <w:rPr>
          <w:noProof/>
        </w:rPr>
        <w:t>urther-reaching schemes on mobility have already been agreed for Intra-Corporate Transferees, Students and Researchers. The only option which could raise issues in terms of subsidiarity – and proportionality is a unified standard Blue Card (POP3) (</w:t>
      </w:r>
      <w:r>
        <w:rPr>
          <w:i/>
          <w:noProof/>
        </w:rPr>
        <w:t>see belo</w:t>
      </w:r>
      <w:r>
        <w:rPr>
          <w:i/>
          <w:noProof/>
        </w:rPr>
        <w:t>w section 5</w:t>
      </w:r>
      <w:r>
        <w:rPr>
          <w:noProof/>
        </w:rPr>
        <w:t>).</w:t>
      </w:r>
    </w:p>
    <w:p w:rsidR="007306CA" w:rsidRDefault="00576025">
      <w:pPr>
        <w:spacing w:after="120"/>
        <w:rPr>
          <w:noProof/>
        </w:rPr>
      </w:pPr>
      <w:r>
        <w:rPr>
          <w:noProof/>
        </w:rPr>
        <w:t>Further, as regards "Mode 4" categories, acting at EU level could facilitate the implementation of the EU commitments in trade in services. This could then be put forward in the common trade policy in dialogues with partner countries, e.g. tr</w:t>
      </w:r>
      <w:r>
        <w:rPr>
          <w:noProof/>
        </w:rPr>
        <w:t>ade agreements, and strengthen the EU’s negotiation position.</w:t>
      </w:r>
    </w:p>
    <w:p w:rsidR="007306CA" w:rsidRDefault="00576025">
      <w:pPr>
        <w:spacing w:after="120"/>
        <w:rPr>
          <w:i/>
          <w:noProof/>
        </w:rPr>
      </w:pPr>
      <w:r>
        <w:rPr>
          <w:i/>
          <w:noProof/>
        </w:rPr>
        <w:t>Proportionality</w:t>
      </w:r>
    </w:p>
    <w:p w:rsidR="007306CA" w:rsidRDefault="00576025">
      <w:pPr>
        <w:spacing w:after="120"/>
        <w:rPr>
          <w:noProof/>
        </w:rPr>
      </w:pPr>
      <w:r>
        <w:rPr>
          <w:noProof/>
        </w:rPr>
        <w:t xml:space="preserve">In the area of legal migration, the current EU legal framework consists of several Directives, regulating admission conditions, procedures and rights of third country nationals, </w:t>
      </w:r>
      <w:r>
        <w:rPr>
          <w:noProof/>
        </w:rPr>
        <w:t>which leave a certain room for manoeuvre to Member States. This does not only reflect the fact that legal migration policy has fallen only relatively recently under EU competence — compared to other areas of EU law — but is also linked to the fact that Mem</w:t>
      </w:r>
      <w:r>
        <w:rPr>
          <w:noProof/>
        </w:rPr>
        <w:t>ber States retain competence on certain aspects, such as the volumes of admission of economic migrants. Even if one of the objectives of the review is to streamline and simplify the current rules on admitting HSW in order to improve the EU ability to attra</w:t>
      </w:r>
      <w:r>
        <w:rPr>
          <w:noProof/>
        </w:rPr>
        <w:t xml:space="preserve">ct and retain them — including through greater harmonisation — proposing a Regulation instead of a Directive would seem disproportionate to achieve the objective, which can also be attained by increasing the level of harmonisation of the current Directive </w:t>
      </w:r>
      <w:r>
        <w:rPr>
          <w:noProof/>
        </w:rPr>
        <w:t xml:space="preserve">and improving certain of its provisions.  </w:t>
      </w:r>
    </w:p>
    <w:p w:rsidR="007306CA" w:rsidRDefault="00576025">
      <w:pPr>
        <w:pStyle w:val="Heading1"/>
        <w:spacing w:after="120"/>
        <w:ind w:left="482" w:hanging="482"/>
        <w:rPr>
          <w:noProof/>
        </w:rPr>
      </w:pPr>
      <w:bookmarkStart w:id="25" w:name="_Toc311626702"/>
      <w:bookmarkStart w:id="26" w:name="_Toc452679053"/>
      <w:r>
        <w:rPr>
          <w:noProof/>
        </w:rPr>
        <w:t>Objectives</w:t>
      </w:r>
      <w:bookmarkEnd w:id="25"/>
      <w:bookmarkEnd w:id="26"/>
    </w:p>
    <w:p w:rsidR="007306CA" w:rsidRDefault="00576025">
      <w:pPr>
        <w:pStyle w:val="Heading2"/>
        <w:tabs>
          <w:tab w:val="num" w:pos="851"/>
        </w:tabs>
        <w:spacing w:after="120"/>
        <w:ind w:left="709"/>
        <w:rPr>
          <w:noProof/>
        </w:rPr>
      </w:pPr>
      <w:bookmarkStart w:id="27" w:name="_Toc452679054"/>
      <w:r>
        <w:rPr>
          <w:noProof/>
        </w:rPr>
        <w:t>General policy objectives</w:t>
      </w:r>
      <w:r>
        <w:rPr>
          <w:rStyle w:val="FootnoteReference"/>
          <w:noProof/>
        </w:rPr>
        <w:footnoteReference w:id="116"/>
      </w:r>
      <w:bookmarkEnd w:id="27"/>
    </w:p>
    <w:p w:rsidR="007306CA" w:rsidRDefault="00576025">
      <w:pPr>
        <w:spacing w:after="120"/>
        <w:ind w:left="-11"/>
        <w:rPr>
          <w:noProof/>
        </w:rPr>
      </w:pPr>
      <w:r>
        <w:rPr>
          <w:noProof/>
        </w:rPr>
        <w:t>Based on the problem analysis and the EU's legal framework in the field of legal migration, the general policy objectives are:</w:t>
      </w:r>
    </w:p>
    <w:p w:rsidR="007306CA" w:rsidRDefault="00576025">
      <w:pPr>
        <w:numPr>
          <w:ilvl w:val="0"/>
          <w:numId w:val="23"/>
        </w:numPr>
        <w:spacing w:after="0"/>
        <w:rPr>
          <w:noProof/>
        </w:rPr>
      </w:pPr>
      <w:r>
        <w:rPr>
          <w:noProof/>
        </w:rPr>
        <w:t xml:space="preserve">To improve the </w:t>
      </w:r>
      <w:r>
        <w:rPr>
          <w:b/>
          <w:noProof/>
        </w:rPr>
        <w:t xml:space="preserve">EU’s ability to attract and retain </w:t>
      </w:r>
      <w:r>
        <w:rPr>
          <w:noProof/>
        </w:rPr>
        <w:t xml:space="preserve">highly skilled third-country nationals in order to increase the contribution of economic immigration to the policies and measures aimed at </w:t>
      </w:r>
      <w:r>
        <w:rPr>
          <w:b/>
          <w:noProof/>
        </w:rPr>
        <w:t xml:space="preserve">enhancing the competitiveness </w:t>
      </w:r>
      <w:r>
        <w:rPr>
          <w:noProof/>
        </w:rPr>
        <w:t xml:space="preserve">of the EU economy and at </w:t>
      </w:r>
      <w:r>
        <w:rPr>
          <w:b/>
          <w:noProof/>
        </w:rPr>
        <w:t>addressing the consequences</w:t>
      </w:r>
      <w:r>
        <w:rPr>
          <w:b/>
          <w:noProof/>
        </w:rPr>
        <w:t xml:space="preserve"> of demographic ageing</w:t>
      </w:r>
      <w:r>
        <w:rPr>
          <w:noProof/>
        </w:rPr>
        <w:t xml:space="preserve">; </w:t>
      </w:r>
    </w:p>
    <w:p w:rsidR="007306CA" w:rsidRDefault="00576025">
      <w:pPr>
        <w:numPr>
          <w:ilvl w:val="0"/>
          <w:numId w:val="23"/>
        </w:numPr>
        <w:rPr>
          <w:noProof/>
        </w:rPr>
      </w:pPr>
      <w:r>
        <w:rPr>
          <w:noProof/>
        </w:rPr>
        <w:t xml:space="preserve">To improve the EU’s ability to </w:t>
      </w:r>
      <w:r>
        <w:rPr>
          <w:b/>
          <w:noProof/>
        </w:rPr>
        <w:t xml:space="preserve">effectively and promptly respond to existing and arising demands </w:t>
      </w:r>
      <w:r>
        <w:rPr>
          <w:noProof/>
        </w:rPr>
        <w:t xml:space="preserve">for highly skilled third-country nationals, and to </w:t>
      </w:r>
      <w:r>
        <w:rPr>
          <w:b/>
          <w:noProof/>
        </w:rPr>
        <w:t>offset skill shortages</w:t>
      </w:r>
      <w:r>
        <w:rPr>
          <w:noProof/>
        </w:rPr>
        <w:t>, by enhancing the inflows and circulation of highly skilled t</w:t>
      </w:r>
      <w:r>
        <w:rPr>
          <w:noProof/>
        </w:rPr>
        <w:t>hird-country nationals between jobs and entrepreneurial activities (</w:t>
      </w:r>
      <w:r>
        <w:rPr>
          <w:b/>
          <w:noProof/>
        </w:rPr>
        <w:t>occupational mobility</w:t>
      </w:r>
      <w:r>
        <w:rPr>
          <w:noProof/>
        </w:rPr>
        <w:t>) and between regions and Member States (</w:t>
      </w:r>
      <w:r>
        <w:rPr>
          <w:b/>
          <w:noProof/>
        </w:rPr>
        <w:t>geographical intra-EU mobility</w:t>
      </w:r>
      <w:r>
        <w:rPr>
          <w:noProof/>
        </w:rPr>
        <w:t>), and promoting their efficient allocation and re-allocation on the EU labour market.</w:t>
      </w:r>
    </w:p>
    <w:p w:rsidR="007306CA" w:rsidRDefault="00576025">
      <w:pPr>
        <w:pStyle w:val="Heading2"/>
        <w:tabs>
          <w:tab w:val="num" w:pos="851"/>
        </w:tabs>
        <w:spacing w:after="120"/>
        <w:ind w:left="709"/>
        <w:rPr>
          <w:noProof/>
        </w:rPr>
      </w:pPr>
      <w:bookmarkStart w:id="28" w:name="_Toc452679055"/>
      <w:r>
        <w:rPr>
          <w:noProof/>
        </w:rPr>
        <w:t xml:space="preserve">Specific </w:t>
      </w:r>
      <w:r>
        <w:rPr>
          <w:noProof/>
        </w:rPr>
        <w:t>policy objectives</w:t>
      </w:r>
      <w:bookmarkEnd w:id="28"/>
    </w:p>
    <w:p w:rsidR="007306CA" w:rsidRDefault="00576025">
      <w:pPr>
        <w:spacing w:after="120"/>
        <w:rPr>
          <w:noProof/>
        </w:rPr>
      </w:pPr>
      <w:r>
        <w:rPr>
          <w:noProof/>
        </w:rPr>
        <w:t>The specific policy objectives are:</w:t>
      </w:r>
    </w:p>
    <w:p w:rsidR="007306CA" w:rsidRDefault="00576025">
      <w:pPr>
        <w:numPr>
          <w:ilvl w:val="0"/>
          <w:numId w:val="24"/>
        </w:numPr>
        <w:spacing w:after="0"/>
        <w:rPr>
          <w:noProof/>
        </w:rPr>
      </w:pPr>
      <w:r>
        <w:rPr>
          <w:noProof/>
        </w:rPr>
        <w:t xml:space="preserve">To create a </w:t>
      </w:r>
      <w:r>
        <w:rPr>
          <w:b/>
          <w:noProof/>
        </w:rPr>
        <w:t xml:space="preserve">coherent, effective and efficient common EU immigration system </w:t>
      </w:r>
      <w:r>
        <w:rPr>
          <w:noProof/>
        </w:rPr>
        <w:t>for highly skilled third-country nationals;</w:t>
      </w:r>
    </w:p>
    <w:p w:rsidR="007306CA" w:rsidRDefault="00576025">
      <w:pPr>
        <w:numPr>
          <w:ilvl w:val="0"/>
          <w:numId w:val="24"/>
        </w:numPr>
        <w:spacing w:after="0"/>
        <w:rPr>
          <w:noProof/>
        </w:rPr>
      </w:pPr>
      <w:r>
        <w:rPr>
          <w:noProof/>
        </w:rPr>
        <w:t xml:space="preserve">To increase the </w:t>
      </w:r>
      <w:r>
        <w:rPr>
          <w:b/>
          <w:noProof/>
        </w:rPr>
        <w:t>numbers</w:t>
      </w:r>
      <w:r>
        <w:rPr>
          <w:noProof/>
        </w:rPr>
        <w:t xml:space="preserve"> of highly skilled third-country nationals immigrating to th</w:t>
      </w:r>
      <w:r>
        <w:rPr>
          <w:noProof/>
        </w:rPr>
        <w:t>e EU on a needs-based approach</w:t>
      </w:r>
      <w:r>
        <w:rPr>
          <w:rStyle w:val="FootnoteReference"/>
          <w:noProof/>
        </w:rPr>
        <w:footnoteReference w:id="117"/>
      </w:r>
      <w:r>
        <w:rPr>
          <w:noProof/>
        </w:rPr>
        <w:t>;</w:t>
      </w:r>
    </w:p>
    <w:p w:rsidR="007306CA" w:rsidRDefault="00576025">
      <w:pPr>
        <w:numPr>
          <w:ilvl w:val="0"/>
          <w:numId w:val="24"/>
        </w:numPr>
        <w:spacing w:after="0"/>
        <w:rPr>
          <w:noProof/>
        </w:rPr>
      </w:pPr>
      <w:r>
        <w:rPr>
          <w:noProof/>
        </w:rPr>
        <w:t xml:space="preserve">To lower </w:t>
      </w:r>
      <w:r>
        <w:rPr>
          <w:b/>
          <w:noProof/>
        </w:rPr>
        <w:t xml:space="preserve">barriers to entry, simplify and harmonise the admission procedures </w:t>
      </w:r>
      <w:r>
        <w:rPr>
          <w:noProof/>
        </w:rPr>
        <w:t>for highly skilled third-country nationals, without prejudice to EU nationals;</w:t>
      </w:r>
    </w:p>
    <w:p w:rsidR="007306CA" w:rsidRDefault="00576025">
      <w:pPr>
        <w:numPr>
          <w:ilvl w:val="0"/>
          <w:numId w:val="24"/>
        </w:numPr>
        <w:spacing w:after="0"/>
        <w:rPr>
          <w:noProof/>
        </w:rPr>
      </w:pPr>
      <w:r>
        <w:rPr>
          <w:noProof/>
        </w:rPr>
        <w:t xml:space="preserve">To promote the </w:t>
      </w:r>
      <w:r>
        <w:rPr>
          <w:b/>
          <w:noProof/>
        </w:rPr>
        <w:t xml:space="preserve">social and economic integration </w:t>
      </w:r>
      <w:r>
        <w:rPr>
          <w:noProof/>
        </w:rPr>
        <w:t xml:space="preserve">of highly skilled third-country nationals and their family members, including labour market integration, by granting them favourable conditions of residence and rights;  </w:t>
      </w:r>
    </w:p>
    <w:p w:rsidR="007306CA" w:rsidRDefault="00576025">
      <w:pPr>
        <w:numPr>
          <w:ilvl w:val="0"/>
          <w:numId w:val="24"/>
        </w:numPr>
        <w:spacing w:after="0"/>
        <w:rPr>
          <w:noProof/>
        </w:rPr>
      </w:pPr>
      <w:r>
        <w:rPr>
          <w:noProof/>
        </w:rPr>
        <w:t xml:space="preserve">To ensure more </w:t>
      </w:r>
      <w:r>
        <w:rPr>
          <w:b/>
          <w:noProof/>
        </w:rPr>
        <w:t>flexible possibilities for intra-EU mobility</w:t>
      </w:r>
      <w:r>
        <w:rPr>
          <w:noProof/>
        </w:rPr>
        <w:t>, remove unnecessary barri</w:t>
      </w:r>
      <w:r>
        <w:rPr>
          <w:noProof/>
        </w:rPr>
        <w:t>ers and allow a more efficient allocation of highly skilled third-country nationals through the EU;</w:t>
      </w:r>
    </w:p>
    <w:p w:rsidR="007306CA" w:rsidRDefault="00576025">
      <w:pPr>
        <w:numPr>
          <w:ilvl w:val="0"/>
          <w:numId w:val="24"/>
        </w:numPr>
        <w:rPr>
          <w:noProof/>
        </w:rPr>
      </w:pPr>
      <w:r>
        <w:rPr>
          <w:noProof/>
        </w:rPr>
        <w:t xml:space="preserve">To ensure the </w:t>
      </w:r>
      <w:r>
        <w:rPr>
          <w:b/>
          <w:noProof/>
        </w:rPr>
        <w:t xml:space="preserve">further development of the ‘EU Blue Card’ brand </w:t>
      </w:r>
      <w:r>
        <w:rPr>
          <w:noProof/>
        </w:rPr>
        <w:t>in order to improve the image of the EU as an attractive destination.</w:t>
      </w:r>
    </w:p>
    <w:p w:rsidR="007306CA" w:rsidRDefault="00576025">
      <w:pPr>
        <w:pStyle w:val="Heading2"/>
        <w:tabs>
          <w:tab w:val="num" w:pos="851"/>
        </w:tabs>
        <w:spacing w:after="120"/>
        <w:ind w:left="709"/>
        <w:rPr>
          <w:noProof/>
        </w:rPr>
      </w:pPr>
      <w:bookmarkStart w:id="29" w:name="_Toc311626703"/>
      <w:bookmarkStart w:id="30" w:name="_Toc452679056"/>
      <w:r>
        <w:rPr>
          <w:noProof/>
        </w:rPr>
        <w:t>Consistency with other E</w:t>
      </w:r>
      <w:r>
        <w:rPr>
          <w:noProof/>
        </w:rPr>
        <w:t>U policies and with the Charter for fundamental rights</w:t>
      </w:r>
      <w:bookmarkEnd w:id="29"/>
      <w:bookmarkEnd w:id="30"/>
      <w:r>
        <w:rPr>
          <w:noProof/>
        </w:rPr>
        <w:t xml:space="preserve"> </w:t>
      </w:r>
    </w:p>
    <w:p w:rsidR="007306CA" w:rsidRDefault="00576025">
      <w:pPr>
        <w:spacing w:after="120"/>
        <w:rPr>
          <w:noProof/>
        </w:rPr>
      </w:pPr>
      <w:r>
        <w:rPr>
          <w:noProof/>
        </w:rPr>
        <w:t>The review of the EU Blue Card was announced in the European Agenda on Migration as a means to achieve an attractive EU-wide scheme for HSW. The Agenda also referred to the need to examine whether ent</w:t>
      </w:r>
      <w:r>
        <w:rPr>
          <w:noProof/>
        </w:rPr>
        <w:t>repreneurs willing to invest in Europe should be covered in the scope of the Blue Card.  This is in line with the EU policies aiming at deepening at upgrading the Single Market: as stressed in the Commission Communication "</w:t>
      </w:r>
      <w:hyperlink r:id="rId50" w:history="1">
        <w:r>
          <w:rPr>
            <w:rStyle w:val="Hyperlink"/>
            <w:noProof/>
          </w:rPr>
          <w:t>Upgrading the Single Market: more opportunities for people and business</w:t>
        </w:r>
      </w:hyperlink>
      <w:r>
        <w:rPr>
          <w:noProof/>
        </w:rPr>
        <w:t>",</w:t>
      </w:r>
      <w:r>
        <w:rPr>
          <w:noProof/>
          <w:color w:val="333333"/>
        </w:rPr>
        <w:t xml:space="preserve"> E</w:t>
      </w:r>
      <w:r>
        <w:rPr>
          <w:noProof/>
        </w:rPr>
        <w:t xml:space="preserve">urope would benefit from </w:t>
      </w:r>
      <w:r>
        <w:rPr>
          <w:bCs/>
          <w:noProof/>
        </w:rPr>
        <w:t xml:space="preserve">attracting </w:t>
      </w:r>
      <w:r>
        <w:rPr>
          <w:noProof/>
        </w:rPr>
        <w:t xml:space="preserve">more </w:t>
      </w:r>
      <w:r>
        <w:rPr>
          <w:bCs/>
          <w:noProof/>
        </w:rPr>
        <w:t>innovators</w:t>
      </w:r>
      <w:r>
        <w:rPr>
          <w:b/>
          <w:bCs/>
          <w:noProof/>
        </w:rPr>
        <w:t xml:space="preserve"> </w:t>
      </w:r>
      <w:r>
        <w:rPr>
          <w:noProof/>
        </w:rPr>
        <w:t>from the rest of the world. Rules on attracting entrepreneurs, combi</w:t>
      </w:r>
      <w:r>
        <w:rPr>
          <w:noProof/>
        </w:rPr>
        <w:t>ned with support measures helping them to operate in the Single Market, could make Europe a more attractive destination for innovators from outside the EU. This is also in line with the ongoing preparatory work at Commission level on a possible "Start up I</w:t>
      </w:r>
      <w:r>
        <w:rPr>
          <w:noProof/>
        </w:rPr>
        <w:t>nitiative"</w:t>
      </w:r>
      <w:r>
        <w:rPr>
          <w:rStyle w:val="FootnoteReference"/>
          <w:noProof/>
        </w:rPr>
        <w:footnoteReference w:id="118"/>
      </w:r>
      <w:r>
        <w:rPr>
          <w:noProof/>
        </w:rPr>
        <w:t xml:space="preserve">. </w:t>
      </w:r>
    </w:p>
    <w:p w:rsidR="007306CA" w:rsidRDefault="00576025">
      <w:pPr>
        <w:spacing w:after="120"/>
        <w:rPr>
          <w:noProof/>
        </w:rPr>
      </w:pPr>
      <w:r>
        <w:rPr>
          <w:noProof/>
        </w:rPr>
        <w:t>The European Agenda on Migration also pointed to the importance of the sector of services and to the need to assess possible ways to provide legal certainty to this category of people. This is also in line with the Communication on New EU Tra</w:t>
      </w:r>
      <w:r>
        <w:rPr>
          <w:noProof/>
        </w:rPr>
        <w:t>de and Investment Strategy "Trade for All", which emphasises the importance of mobility of professionals as a key element to conduct business internationally. Benefits envisaged in service sectors covered by trade agreements would be enhanced if highly qua</w:t>
      </w:r>
      <w:r>
        <w:rPr>
          <w:noProof/>
        </w:rPr>
        <w:t xml:space="preserve">lified service providers were able to move more easily to provide their services across borders. </w:t>
      </w:r>
    </w:p>
    <w:p w:rsidR="007306CA" w:rsidRDefault="00576025">
      <w:pPr>
        <w:spacing w:after="120"/>
        <w:rPr>
          <w:noProof/>
        </w:rPr>
      </w:pPr>
      <w:r>
        <w:rPr>
          <w:noProof/>
        </w:rPr>
        <w:t>A policy on attracting HSW is complementary to policies to facilitate the mobility of EU nationals within the EU — such as the EURES Regulation and the forthc</w:t>
      </w:r>
      <w:r>
        <w:rPr>
          <w:noProof/>
        </w:rPr>
        <w:t>oming Labour Mobility package — as well as at improving and upgrading the skills of EU workers, and the recognition of qualifications, in view of their better labour market integration. The Skills Initiative will deal with these latter aspects and will thu</w:t>
      </w:r>
      <w:r>
        <w:rPr>
          <w:noProof/>
        </w:rPr>
        <w:t>s also contribute to addressing some of the issues linked to the admission of HSW. They all contribute to the EU Growth Strategy, in line with EU2020 priorities</w:t>
      </w:r>
      <w:r>
        <w:rPr>
          <w:rStyle w:val="FootnoteReference"/>
          <w:noProof/>
        </w:rPr>
        <w:footnoteReference w:id="119"/>
      </w:r>
      <w:r>
        <w:rPr>
          <w:noProof/>
        </w:rPr>
        <w:t xml:space="preserve">. </w:t>
      </w:r>
    </w:p>
    <w:p w:rsidR="007306CA" w:rsidRDefault="00576025">
      <w:pPr>
        <w:spacing w:after="120"/>
        <w:rPr>
          <w:noProof/>
        </w:rPr>
      </w:pPr>
      <w:r>
        <w:rPr>
          <w:noProof/>
        </w:rPr>
        <w:t>More generally, it is clear that any policy aimed at admitting HSW to address labour and ski</w:t>
      </w:r>
      <w:r>
        <w:rPr>
          <w:noProof/>
        </w:rPr>
        <w:t xml:space="preserve">lls shortages will have to go hand in hand with policies aiming at increasing labour market integration and social inclusion of TCN already residing in the EU, for whatever reason they have been admitted.     </w:t>
      </w:r>
    </w:p>
    <w:p w:rsidR="007306CA" w:rsidRDefault="00576025">
      <w:pPr>
        <w:spacing w:after="120"/>
        <w:rPr>
          <w:noProof/>
        </w:rPr>
      </w:pPr>
      <w:r>
        <w:rPr>
          <w:noProof/>
        </w:rPr>
        <w:t>This initiative is fully consistent with the C</w:t>
      </w:r>
      <w:r>
        <w:rPr>
          <w:noProof/>
        </w:rPr>
        <w:t>harter of Fundamental Rights and enhances some of the rights enshrined therein, in particular the respect for private and family life (Article 7) — through facilitated provisions in relation to family reunification for HSW — and the right to seek employmen</w:t>
      </w:r>
      <w:r>
        <w:rPr>
          <w:noProof/>
        </w:rPr>
        <w:t xml:space="preserve">t and work  (Article 15), by definition. It is also fully consistent with the rights related to working conditions and rights of workers (Articles 27 to 36) as it maintains the rights to equal treatment for TCN HSW as regards working conditions, access to </w:t>
      </w:r>
      <w:r>
        <w:rPr>
          <w:noProof/>
        </w:rPr>
        <w:t>social security, to education and vocational training as well access to goods and services. Through enhanced intra-EU mobility and access to long-term residence it also promotes the objectives of Article 45 (freedom of movement and of residence). Compatibi</w:t>
      </w:r>
      <w:r>
        <w:rPr>
          <w:noProof/>
        </w:rPr>
        <w:t>lity with Article 47 (right to an effective remedy and fair trial) is fully ensured as the current provisions in the Blue Card related to the right to mount a legal change in case the application is rejected, as well as to be notified the grounds for rejec</w:t>
      </w:r>
      <w:r>
        <w:rPr>
          <w:noProof/>
        </w:rPr>
        <w:t>tion, are maintained.</w:t>
      </w:r>
    </w:p>
    <w:p w:rsidR="007306CA" w:rsidRDefault="00576025">
      <w:pPr>
        <w:pStyle w:val="Heading1"/>
        <w:spacing w:after="120"/>
        <w:ind w:left="482" w:hanging="482"/>
        <w:rPr>
          <w:noProof/>
        </w:rPr>
      </w:pPr>
      <w:bookmarkStart w:id="31" w:name="_Toc452679057"/>
      <w:bookmarkStart w:id="32" w:name="_Toc311626705"/>
      <w:r>
        <w:rPr>
          <w:noProof/>
        </w:rPr>
        <w:t>Policy options</w:t>
      </w:r>
      <w:bookmarkEnd w:id="31"/>
      <w:r>
        <w:rPr>
          <w:noProof/>
        </w:rPr>
        <w:t xml:space="preserve"> </w:t>
      </w:r>
    </w:p>
    <w:p w:rsidR="007306CA" w:rsidRDefault="00576025">
      <w:pPr>
        <w:pStyle w:val="Text1"/>
        <w:ind w:left="0"/>
        <w:rPr>
          <w:noProof/>
        </w:rPr>
      </w:pPr>
      <w:r>
        <w:rPr>
          <w:noProof/>
        </w:rPr>
        <w:t xml:space="preserve">A broad range of policy options have been identified and undergone an initial screening. </w:t>
      </w:r>
    </w:p>
    <w:p w:rsidR="007306CA" w:rsidRDefault="00576025">
      <w:pPr>
        <w:pStyle w:val="Heading2"/>
        <w:tabs>
          <w:tab w:val="num" w:pos="851"/>
        </w:tabs>
        <w:spacing w:after="120"/>
        <w:ind w:left="709"/>
        <w:rPr>
          <w:noProof/>
        </w:rPr>
      </w:pPr>
      <w:bookmarkStart w:id="33" w:name="_Toc452679058"/>
      <w:r>
        <w:rPr>
          <w:rFonts w:eastAsiaTheme="majorEastAsia"/>
          <w:bCs/>
          <w:noProof/>
        </w:rPr>
        <w:t>Options</w:t>
      </w:r>
      <w:r>
        <w:rPr>
          <w:noProof/>
        </w:rPr>
        <w:t xml:space="preserve"> discarded</w:t>
      </w:r>
      <w:bookmarkEnd w:id="33"/>
      <w:r>
        <w:rPr>
          <w:noProof/>
        </w:rPr>
        <w:t xml:space="preserve"> </w:t>
      </w:r>
    </w:p>
    <w:p w:rsidR="007306CA" w:rsidRDefault="00576025">
      <w:pPr>
        <w:spacing w:after="120" w:line="240" w:lineRule="atLeast"/>
        <w:rPr>
          <w:rFonts w:eastAsiaTheme="minorHAnsi"/>
          <w:noProof/>
        </w:rPr>
      </w:pPr>
      <w:r>
        <w:rPr>
          <w:rFonts w:eastAsiaTheme="minorHAnsi"/>
          <w:noProof/>
        </w:rPr>
        <w:t xml:space="preserve">The following policy options are not retained for further in-depth assessment. </w:t>
      </w:r>
    </w:p>
    <w:p w:rsidR="007306CA" w:rsidRDefault="00576025">
      <w:pPr>
        <w:spacing w:after="120" w:line="240" w:lineRule="atLeast"/>
        <w:rPr>
          <w:rFonts w:eastAsiaTheme="minorHAnsi"/>
          <w:i/>
          <w:noProof/>
        </w:rPr>
      </w:pPr>
      <w:r>
        <w:rPr>
          <w:rFonts w:eastAsiaTheme="minorHAnsi"/>
          <w:i/>
          <w:noProof/>
        </w:rPr>
        <w:t xml:space="preserve">a) </w:t>
      </w:r>
      <w:r>
        <w:rPr>
          <w:rFonts w:eastAsiaTheme="minorHAnsi"/>
          <w:i/>
          <w:noProof/>
          <w:u w:val="single"/>
        </w:rPr>
        <w:t>Repealing the Blue Card Di</w:t>
      </w:r>
      <w:r>
        <w:rPr>
          <w:rFonts w:eastAsiaTheme="minorHAnsi"/>
          <w:i/>
          <w:noProof/>
          <w:u w:val="single"/>
        </w:rPr>
        <w:t>rective</w:t>
      </w:r>
    </w:p>
    <w:p w:rsidR="007306CA" w:rsidRDefault="00576025">
      <w:pPr>
        <w:spacing w:after="120"/>
        <w:rPr>
          <w:rFonts w:eastAsiaTheme="minorHAnsi"/>
          <w:noProof/>
        </w:rPr>
      </w:pPr>
      <w:r>
        <w:rPr>
          <w:rFonts w:eastAsiaTheme="minorHAnsi"/>
          <w:noProof/>
        </w:rPr>
        <w:t>Repealing the current Blue Card Directive would practically lead to circumstances similar to those pre-dating the transposition of the Directive in Member States (starting from 2011). The Blue Card would cease to exist and the Member States would r</w:t>
      </w:r>
      <w:r>
        <w:rPr>
          <w:rFonts w:eastAsiaTheme="minorHAnsi"/>
          <w:noProof/>
        </w:rPr>
        <w:t xml:space="preserve">evert to relying solely on their own immigration channels and their own (where existing) national schemes to admit </w:t>
      </w:r>
      <w:r>
        <w:rPr>
          <w:noProof/>
        </w:rPr>
        <w:t>HSW</w:t>
      </w:r>
      <w:r>
        <w:rPr>
          <w:rFonts w:eastAsiaTheme="minorHAnsi"/>
          <w:noProof/>
        </w:rPr>
        <w:t xml:space="preserve"> and others. </w:t>
      </w:r>
    </w:p>
    <w:p w:rsidR="007306CA" w:rsidRDefault="00576025">
      <w:pPr>
        <w:spacing w:after="120"/>
        <w:rPr>
          <w:rFonts w:eastAsiaTheme="minorHAnsi"/>
          <w:noProof/>
        </w:rPr>
      </w:pPr>
      <w:r>
        <w:rPr>
          <w:rFonts w:eastAsiaTheme="minorHAnsi"/>
          <w:noProof/>
        </w:rPr>
        <w:t xml:space="preserve">This would run against the overall goals of the EU in the field of migration policy, and in particular the European Agenda on Migration’s aim of reviewing the Blue Card "to look at how to make it more effective in attracting talent to Europe". It would be </w:t>
      </w:r>
      <w:r>
        <w:rPr>
          <w:rFonts w:eastAsiaTheme="minorHAnsi"/>
          <w:noProof/>
        </w:rPr>
        <w:t xml:space="preserve">incoherent and inefficient to abandon existing EU legislation in this area since – as highlighted in sections 1.2 and 2 – the shortcomings of the EU’s immigration system for HSW would exacerbate and the </w:t>
      </w:r>
      <w:r>
        <w:rPr>
          <w:noProof/>
          <w:lang w:eastAsia="en-GB"/>
        </w:rPr>
        <w:t>problem would evolve more negatively than described i</w:t>
      </w:r>
      <w:r>
        <w:rPr>
          <w:noProof/>
          <w:lang w:eastAsia="en-GB"/>
        </w:rPr>
        <w:t>n the baseline scenario</w:t>
      </w:r>
      <w:r>
        <w:rPr>
          <w:rFonts w:eastAsiaTheme="minorHAnsi"/>
          <w:noProof/>
        </w:rPr>
        <w:t xml:space="preserve">. </w:t>
      </w:r>
    </w:p>
    <w:p w:rsidR="007306CA" w:rsidRDefault="00576025">
      <w:pPr>
        <w:spacing w:after="120"/>
        <w:rPr>
          <w:noProof/>
        </w:rPr>
      </w:pPr>
      <w:r>
        <w:rPr>
          <w:rFonts w:eastAsiaTheme="minorHAnsi"/>
          <w:noProof/>
        </w:rPr>
        <w:t>A repeal would entirely annul the EU value added of the current Blue Card Directive. Even if the Blue Card as it stands today cannot be considered as satisfactory (as explained under Section 2), s</w:t>
      </w:r>
      <w:r>
        <w:rPr>
          <w:iCs/>
          <w:noProof/>
        </w:rPr>
        <w:t xml:space="preserve">ome studies highlighted that the </w:t>
      </w:r>
      <w:r>
        <w:rPr>
          <w:iCs/>
          <w:noProof/>
        </w:rPr>
        <w:t>national schemes of many Member States have improved thanks to the influence and standard-setting of the EU Blue Card</w:t>
      </w:r>
      <w:r>
        <w:rPr>
          <w:rStyle w:val="FootnoteReference"/>
          <w:iCs/>
          <w:noProof/>
        </w:rPr>
        <w:footnoteReference w:id="120"/>
      </w:r>
      <w:r>
        <w:rPr>
          <w:iCs/>
          <w:noProof/>
        </w:rPr>
        <w:t xml:space="preserve"> and, while the numbers are low, they show that the Blue Card has attracted additional HSW and does seem to attract the right profile of H</w:t>
      </w:r>
      <w:r>
        <w:rPr>
          <w:iCs/>
          <w:noProof/>
        </w:rPr>
        <w:t>SW suitable for filling shortages</w:t>
      </w:r>
      <w:r>
        <w:rPr>
          <w:rStyle w:val="FootnoteReference"/>
          <w:iCs/>
          <w:noProof/>
        </w:rPr>
        <w:footnoteReference w:id="121"/>
      </w:r>
      <w:r>
        <w:rPr>
          <w:iCs/>
          <w:noProof/>
        </w:rPr>
        <w:t>.  Abandoning the Blue Card would thus aggravate the current inefficiencies.</w:t>
      </w:r>
    </w:p>
    <w:p w:rsidR="007306CA" w:rsidRDefault="00576025">
      <w:pPr>
        <w:spacing w:after="120"/>
        <w:rPr>
          <w:rFonts w:eastAsiaTheme="minorHAnsi"/>
          <w:i/>
          <w:noProof/>
        </w:rPr>
      </w:pPr>
      <w:r>
        <w:rPr>
          <w:rFonts w:eastAsiaTheme="minorHAnsi"/>
          <w:i/>
          <w:noProof/>
        </w:rPr>
        <w:t xml:space="preserve">b) </w:t>
      </w:r>
      <w:r>
        <w:rPr>
          <w:rFonts w:eastAsiaTheme="minorHAnsi"/>
          <w:i/>
          <w:noProof/>
          <w:u w:val="single"/>
        </w:rPr>
        <w:t>Introduction of a point-based expression of interest system</w:t>
      </w:r>
    </w:p>
    <w:p w:rsidR="007306CA" w:rsidRDefault="00576025">
      <w:pPr>
        <w:spacing w:after="120"/>
        <w:rPr>
          <w:rFonts w:eastAsiaTheme="minorHAnsi"/>
          <w:noProof/>
        </w:rPr>
      </w:pPr>
      <w:r>
        <w:rPr>
          <w:rFonts w:eastAsiaTheme="minorHAnsi"/>
          <w:noProof/>
        </w:rPr>
        <w:t>This policy option entails a points-based, partly ‘supply-driven’ system, built on</w:t>
      </w:r>
      <w:r>
        <w:rPr>
          <w:rFonts w:eastAsiaTheme="minorHAnsi"/>
          <w:noProof/>
        </w:rPr>
        <w:t xml:space="preserve"> an "expression of interest" (EoI) model, inspired by those in Australia, Canada, New Zealand</w:t>
      </w:r>
      <w:r>
        <w:rPr>
          <w:rStyle w:val="FootnoteReference"/>
          <w:rFonts w:eastAsiaTheme="minorHAnsi"/>
          <w:noProof/>
        </w:rPr>
        <w:footnoteReference w:id="122"/>
      </w:r>
      <w:r>
        <w:rPr>
          <w:rFonts w:eastAsiaTheme="minorHAnsi"/>
          <w:noProof/>
        </w:rPr>
        <w:t>. The European Agenda on Migration mentioned this as a possible approach to be considered and examined in the medium/long-term. Indeed this is not a model which c</w:t>
      </w:r>
      <w:r>
        <w:rPr>
          <w:rFonts w:eastAsiaTheme="minorHAnsi"/>
          <w:noProof/>
        </w:rPr>
        <w:t>an be simply copied, but would need to be adapted, bearing in mind the different context (e.g. the fact that most Member States have systems which are largely demand-driven) and the fact that the admission of economic migrants is a shared competence betwee</w:t>
      </w:r>
      <w:r>
        <w:rPr>
          <w:rFonts w:eastAsiaTheme="minorHAnsi"/>
          <w:noProof/>
        </w:rPr>
        <w:t>n the EU and its Member States.</w:t>
      </w:r>
    </w:p>
    <w:p w:rsidR="007306CA" w:rsidRDefault="00576025">
      <w:pPr>
        <w:spacing w:after="120"/>
        <w:rPr>
          <w:rFonts w:eastAsiaTheme="minorHAnsi"/>
          <w:noProof/>
        </w:rPr>
      </w:pPr>
      <w:r>
        <w:rPr>
          <w:rFonts w:eastAsiaTheme="minorHAnsi"/>
          <w:noProof/>
        </w:rPr>
        <w:t>In essence, the EoI is an application management tool that creates a two-step selection process aimed at selecting certain categories of economic migrants whose skill sets are needed in the labour market based on a combinati</w:t>
      </w:r>
      <w:r>
        <w:rPr>
          <w:rFonts w:eastAsiaTheme="minorHAnsi"/>
          <w:noProof/>
        </w:rPr>
        <w:t>on of human capital (supply-driven) and labour needs (demand-driven) selection criteria. Once the pre-screening is done and a "pool" of candidates is created, the actual assessment of the application can start and is fast-tracked compared to 'normal' appli</w:t>
      </w:r>
      <w:r>
        <w:rPr>
          <w:rFonts w:eastAsiaTheme="minorHAnsi"/>
          <w:noProof/>
        </w:rPr>
        <w:t>cations. As the Canadian example shows</w:t>
      </w:r>
      <w:r>
        <w:rPr>
          <w:rStyle w:val="FootnoteReference"/>
          <w:rFonts w:eastAsiaTheme="minorHAnsi"/>
          <w:noProof/>
        </w:rPr>
        <w:footnoteReference w:id="123"/>
      </w:r>
      <w:r>
        <w:rPr>
          <w:rFonts w:eastAsiaTheme="minorHAnsi"/>
          <w:noProof/>
        </w:rPr>
        <w:t>, this requires the development of a number of pre-conditions and tools, for example the need to create a database of pre-screened candidates, a job bank accessible to employers, and potentially an agency and a common</w:t>
      </w:r>
      <w:r>
        <w:rPr>
          <w:rFonts w:eastAsiaTheme="minorHAnsi"/>
          <w:noProof/>
        </w:rPr>
        <w:t xml:space="preserve"> credential evaluation system.</w:t>
      </w:r>
    </w:p>
    <w:p w:rsidR="007306CA" w:rsidRDefault="00576025">
      <w:pPr>
        <w:spacing w:after="120"/>
        <w:rPr>
          <w:rFonts w:eastAsiaTheme="minorHAnsi"/>
          <w:noProof/>
        </w:rPr>
      </w:pPr>
      <w:r>
        <w:rPr>
          <w:rFonts w:eastAsiaTheme="minorHAnsi"/>
          <w:noProof/>
        </w:rPr>
        <w:t>Therefore, this far-reaching policy option would not only lead to a radical</w:t>
      </w:r>
      <w:r>
        <w:rPr>
          <w:noProof/>
        </w:rPr>
        <w:t xml:space="preserve"> change</w:t>
      </w:r>
      <w:r>
        <w:rPr>
          <w:rFonts w:eastAsiaTheme="minorHAnsi"/>
          <w:noProof/>
        </w:rPr>
        <w:t xml:space="preserve"> of the current demand-driven system but</w:t>
      </w:r>
      <w:r>
        <w:rPr>
          <w:noProof/>
        </w:rPr>
        <w:t xml:space="preserve"> </w:t>
      </w:r>
      <w:r>
        <w:rPr>
          <w:rFonts w:eastAsiaTheme="minorHAnsi"/>
          <w:noProof/>
        </w:rPr>
        <w:t>would also require significant technical and logistical investments to develop the above-mentioned too</w:t>
      </w:r>
      <w:r>
        <w:rPr>
          <w:rFonts w:eastAsiaTheme="minorHAnsi"/>
          <w:noProof/>
        </w:rPr>
        <w:t xml:space="preserve">ls. Such overhaul of the EU legal migration system could also affect the division of competences in EU legal migration policymaking. This </w:t>
      </w:r>
      <w:r>
        <w:rPr>
          <w:noProof/>
        </w:rPr>
        <w:t xml:space="preserve">would raise issues of subsidiarity and proportionality of EU action, as it would increase the role of the EU level of </w:t>
      </w:r>
      <w:r>
        <w:rPr>
          <w:noProof/>
        </w:rPr>
        <w:t>governance in admission policies. Therefore, this is not an option which is foreseeable in the short-term but, given its potential advantages particularly in terms of transparency and job matching, it will be further examined and explored in the context of</w:t>
      </w:r>
      <w:r>
        <w:rPr>
          <w:noProof/>
        </w:rPr>
        <w:t xml:space="preserve"> the long-term development of the EU labour migration policy</w:t>
      </w:r>
      <w:r>
        <w:rPr>
          <w:rStyle w:val="FootnoteReference"/>
          <w:rFonts w:eastAsiaTheme="minorHAnsi"/>
          <w:noProof/>
        </w:rPr>
        <w:footnoteReference w:id="124"/>
      </w:r>
      <w:r>
        <w:rPr>
          <w:rFonts w:eastAsiaTheme="minorHAnsi"/>
          <w:noProof/>
        </w:rPr>
        <w:t xml:space="preserve">. </w:t>
      </w:r>
    </w:p>
    <w:p w:rsidR="007306CA" w:rsidRDefault="00576025">
      <w:pPr>
        <w:spacing w:after="120"/>
        <w:rPr>
          <w:rFonts w:eastAsiaTheme="minorHAnsi"/>
          <w:i/>
          <w:noProof/>
          <w:u w:val="single"/>
        </w:rPr>
      </w:pPr>
      <w:r>
        <w:rPr>
          <w:rFonts w:eastAsiaTheme="minorHAnsi"/>
          <w:i/>
          <w:noProof/>
          <w:u w:val="single"/>
        </w:rPr>
        <w:t>c) Extending the Blue Card to cover skilled international service providers</w:t>
      </w:r>
    </w:p>
    <w:p w:rsidR="007306CA" w:rsidRDefault="00576025">
      <w:pPr>
        <w:spacing w:after="120"/>
        <w:rPr>
          <w:noProof/>
        </w:rPr>
      </w:pPr>
      <w:r>
        <w:rPr>
          <w:noProof/>
        </w:rPr>
        <w:t>The option of extending the Blue Card to highly skilled international service providers not linked to commercial pre</w:t>
      </w:r>
      <w:r>
        <w:rPr>
          <w:noProof/>
        </w:rPr>
        <w:t>sence (contractual service suppliers and independent professionals) was also screened. This category is currently explicitly excluded from the Directive's scope and the option of including this category could contribute to legal certainty and compliance wi</w:t>
      </w:r>
      <w:r>
        <w:rPr>
          <w:noProof/>
        </w:rPr>
        <w:t>th the international trade commitments of the EU and the Member States, improve the economic and political relations with partners already having free trade agreements with the EU and would strengthen the EU leverage in the ongoing trade negotiations.</w:t>
      </w:r>
    </w:p>
    <w:p w:rsidR="007306CA" w:rsidRDefault="00576025">
      <w:pPr>
        <w:spacing w:after="120"/>
        <w:rPr>
          <w:noProof/>
        </w:rPr>
      </w:pPr>
      <w:r>
        <w:rPr>
          <w:noProof/>
        </w:rPr>
        <w:t>Howe</w:t>
      </w:r>
      <w:r>
        <w:rPr>
          <w:noProof/>
        </w:rPr>
        <w:t xml:space="preserve">ver, while there are undeniably problems in the admission of </w:t>
      </w:r>
      <w:r>
        <w:rPr>
          <w:iCs/>
          <w:noProof/>
        </w:rPr>
        <w:t xml:space="preserve">certain categories of trade and investment-related business persons (namely, contractual service suppliers and independent professionals), </w:t>
      </w:r>
      <w:r>
        <w:rPr>
          <w:noProof/>
        </w:rPr>
        <w:t>as highlighted in Section 2.1.2, the size of the problem</w:t>
      </w:r>
      <w:r>
        <w:rPr>
          <w:noProof/>
        </w:rPr>
        <w:t xml:space="preserve"> is not clear and it has not been possible so far to collect sufficient evidence justifying the need for regulatory action at EU level and meeting the subsidiarity and proportionality criteria</w:t>
      </w:r>
      <w:r>
        <w:rPr>
          <w:rStyle w:val="FootnoteReference"/>
          <w:noProof/>
        </w:rPr>
        <w:footnoteReference w:id="125"/>
      </w:r>
      <w:r>
        <w:rPr>
          <w:noProof/>
        </w:rPr>
        <w:t xml:space="preserve">. There is also not sufficient evidence of the extent to which </w:t>
      </w:r>
      <w:r>
        <w:rPr>
          <w:noProof/>
        </w:rPr>
        <w:t>this would contribute to the enhancing the competitiveness of the EU economy nor can it be shown that this would improve the EU’s ability to address skill shortages significantly (general policy objectives 1 and 2).</w:t>
      </w:r>
    </w:p>
    <w:p w:rsidR="007306CA" w:rsidRDefault="00576025">
      <w:pPr>
        <w:spacing w:after="120"/>
        <w:rPr>
          <w:noProof/>
        </w:rPr>
      </w:pPr>
      <w:r>
        <w:rPr>
          <w:noProof/>
        </w:rPr>
        <w:t>Moreover, even if sufficient evidence wo</w:t>
      </w:r>
      <w:r>
        <w:rPr>
          <w:noProof/>
        </w:rPr>
        <w:t xml:space="preserve">uld be available to justify EU level action, it would have to be demonstrated that: a) EU </w:t>
      </w:r>
      <w:r>
        <w:rPr>
          <w:i/>
          <w:noProof/>
        </w:rPr>
        <w:t>regulatory</w:t>
      </w:r>
      <w:r>
        <w:rPr>
          <w:noProof/>
        </w:rPr>
        <w:t xml:space="preserve"> action is needed, instead of other means, including non-regulatory </w:t>
      </w:r>
      <w:r>
        <w:rPr>
          <w:rStyle w:val="FootnoteReference"/>
          <w:noProof/>
        </w:rPr>
        <w:footnoteReference w:id="126"/>
      </w:r>
      <w:r>
        <w:rPr>
          <w:noProof/>
        </w:rPr>
        <w:t>; b) the inclusion in the Blue Card Directive would be the most appropriate solution. I</w:t>
      </w:r>
      <w:r>
        <w:rPr>
          <w:noProof/>
        </w:rPr>
        <w:t xml:space="preserve">n that respect, including skilled international service providers into the EU Blue Card would mean combining very different categories, with different needs, in the same instrument. There is a big difference between skilled international service providers </w:t>
      </w:r>
      <w:r>
        <w:rPr>
          <w:noProof/>
        </w:rPr>
        <w:t>and highly qualified workers covered by the current EU Blue Card. On the one hand, the EU Blue Card aims to “attract and retain highly qualified third-country workers”, i.e. long-term employment-based migration with a job in the EU. On the other hand, serv</w:t>
      </w:r>
      <w:r>
        <w:rPr>
          <w:noProof/>
        </w:rPr>
        <w:t>ice providers not linked to commercial presence are highly skilled third-country professionals with either a job outside of the EU (contractual service suppliers) or self-employed (independent professionals). Their stay in the EU is per definition meant to</w:t>
      </w:r>
      <w:r>
        <w:rPr>
          <w:noProof/>
        </w:rPr>
        <w:t xml:space="preserve"> be temporary</w:t>
      </w:r>
      <w:r>
        <w:rPr>
          <w:rStyle w:val="FootnoteReference"/>
          <w:noProof/>
        </w:rPr>
        <w:footnoteReference w:id="127"/>
      </w:r>
      <w:r>
        <w:rPr>
          <w:noProof/>
        </w:rPr>
        <w:t xml:space="preserve"> and non-employment-based. Consequently, their inclusion into the Blue Card Directive would require a separate sub-set of completely different rules</w:t>
      </w:r>
      <w:r>
        <w:rPr>
          <w:rStyle w:val="FootnoteReference"/>
          <w:noProof/>
        </w:rPr>
        <w:footnoteReference w:id="128"/>
      </w:r>
      <w:r>
        <w:rPr>
          <w:noProof/>
        </w:rPr>
        <w:t>. In fact, even multiple sets of rules would be needed as contractual service suppliers and i</w:t>
      </w:r>
      <w:r>
        <w:rPr>
          <w:noProof/>
        </w:rPr>
        <w:t>ndependent professionals have distinct features. This would increase the complexity, and risk undermining some specific objectives such as a coherent, efficient and effective common EU immigration system for highly skilled third-country nationals</w:t>
      </w:r>
      <w:r>
        <w:rPr>
          <w:rStyle w:val="FootnoteReference"/>
          <w:noProof/>
        </w:rPr>
        <w:footnoteReference w:id="129"/>
      </w:r>
      <w:r>
        <w:rPr>
          <w:noProof/>
        </w:rPr>
        <w:t>. Finally</w:t>
      </w:r>
      <w:r>
        <w:rPr>
          <w:noProof/>
        </w:rPr>
        <w:t>, more evidence is also needed on the potential adverse social impacts on EU citizens</w:t>
      </w:r>
      <w:r>
        <w:rPr>
          <w:rStyle w:val="FootnoteReference"/>
          <w:noProof/>
        </w:rPr>
        <w:footnoteReference w:id="130"/>
      </w:r>
      <w:r>
        <w:rPr>
          <w:noProof/>
        </w:rPr>
        <w:t xml:space="preserve">. </w:t>
      </w:r>
    </w:p>
    <w:p w:rsidR="007306CA" w:rsidRDefault="00576025">
      <w:pPr>
        <w:spacing w:after="120"/>
        <w:rPr>
          <w:noProof/>
        </w:rPr>
      </w:pPr>
      <w:r>
        <w:rPr>
          <w:noProof/>
        </w:rPr>
        <w:t>This is why, as announced in the Communication adopted on 6 April 2016</w:t>
      </w:r>
      <w:r>
        <w:rPr>
          <w:noProof/>
          <w:vertAlign w:val="superscript"/>
        </w:rPr>
        <w:footnoteReference w:id="131"/>
      </w:r>
      <w:r>
        <w:rPr>
          <w:noProof/>
        </w:rPr>
        <w:t>, the Commission decided to include the issue of whether there is a need for specific EU rules o</w:t>
      </w:r>
      <w:r>
        <w:rPr>
          <w:noProof/>
        </w:rPr>
        <w:t>n international service providers within the context of trade agreements in the framework of the "REFIT evaluation" of the existing EU legal migration acquis.</w:t>
      </w:r>
    </w:p>
    <w:p w:rsidR="007306CA" w:rsidRDefault="00576025">
      <w:pPr>
        <w:pStyle w:val="Heading2"/>
        <w:tabs>
          <w:tab w:val="num" w:pos="851"/>
        </w:tabs>
        <w:spacing w:after="120"/>
        <w:ind w:left="709"/>
        <w:rPr>
          <w:rFonts w:eastAsiaTheme="majorEastAsia"/>
          <w:noProof/>
        </w:rPr>
      </w:pPr>
      <w:bookmarkStart w:id="34" w:name="_Toc452679059"/>
      <w:r>
        <w:rPr>
          <w:noProof/>
        </w:rPr>
        <w:t>Options retained for further in-depth assessment</w:t>
      </w:r>
      <w:bookmarkEnd w:id="34"/>
    </w:p>
    <w:p w:rsidR="007306CA" w:rsidRDefault="00576025">
      <w:pPr>
        <w:pStyle w:val="Heading3"/>
        <w:rPr>
          <w:rFonts w:eastAsiaTheme="majorEastAsia"/>
          <w:noProof/>
        </w:rPr>
      </w:pPr>
      <w:r>
        <w:rPr>
          <w:rFonts w:eastAsiaTheme="majorEastAsia"/>
          <w:noProof/>
        </w:rPr>
        <w:t>Legislative options</w:t>
      </w:r>
    </w:p>
    <w:p w:rsidR="007306CA" w:rsidRDefault="00576025">
      <w:pPr>
        <w:spacing w:after="120" w:line="240" w:lineRule="atLeast"/>
        <w:rPr>
          <w:rFonts w:eastAsiaTheme="minorHAnsi"/>
          <w:noProof/>
        </w:rPr>
      </w:pPr>
      <w:bookmarkStart w:id="35" w:name="_Toc440438838"/>
      <w:bookmarkStart w:id="36" w:name="_Toc440438901"/>
      <w:bookmarkStart w:id="37" w:name="_Toc440474347"/>
      <w:bookmarkStart w:id="38" w:name="_Toc441850294"/>
      <w:bookmarkEnd w:id="35"/>
      <w:bookmarkEnd w:id="36"/>
      <w:bookmarkEnd w:id="37"/>
      <w:bookmarkEnd w:id="38"/>
      <w:r>
        <w:rPr>
          <w:noProof/>
        </w:rPr>
        <w:t xml:space="preserve">This section presents a number of policy option packages (POPs) </w:t>
      </w:r>
      <w:r>
        <w:rPr>
          <w:rFonts w:eastAsiaTheme="minorHAnsi"/>
          <w:noProof/>
        </w:rPr>
        <w:t>designed to meet the general and specific policy objectives w</w:t>
      </w:r>
      <w:r>
        <w:rPr>
          <w:noProof/>
        </w:rPr>
        <w:t>hile at the same time representing a balancing act between various degrees of ambition and feasibility. These POPs have been compos</w:t>
      </w:r>
      <w:r>
        <w:rPr>
          <w:noProof/>
        </w:rPr>
        <w:t xml:space="preserve">ed by combining legislative policy options on three aspects: (1) the </w:t>
      </w:r>
      <w:r>
        <w:rPr>
          <w:b/>
          <w:noProof/>
        </w:rPr>
        <w:t>admission conditions</w:t>
      </w:r>
      <w:r>
        <w:rPr>
          <w:rStyle w:val="FootnoteReference"/>
          <w:noProof/>
        </w:rPr>
        <w:footnoteReference w:id="132"/>
      </w:r>
      <w:r>
        <w:rPr>
          <w:noProof/>
        </w:rPr>
        <w:t xml:space="preserve">, (2) the </w:t>
      </w:r>
      <w:r>
        <w:rPr>
          <w:b/>
          <w:noProof/>
        </w:rPr>
        <w:t>rights of EU Blue Card holders</w:t>
      </w:r>
      <w:r>
        <w:rPr>
          <w:noProof/>
        </w:rPr>
        <w:t xml:space="preserve"> (including </w:t>
      </w:r>
      <w:r>
        <w:rPr>
          <w:b/>
          <w:noProof/>
        </w:rPr>
        <w:t>intra-EU mobility</w:t>
      </w:r>
      <w:r>
        <w:rPr>
          <w:noProof/>
        </w:rPr>
        <w:t>)</w:t>
      </w:r>
      <w:r>
        <w:rPr>
          <w:rStyle w:val="FootnoteReference"/>
          <w:noProof/>
        </w:rPr>
        <w:footnoteReference w:id="133"/>
      </w:r>
      <w:r>
        <w:rPr>
          <w:noProof/>
        </w:rPr>
        <w:t xml:space="preserve">, and (3) the relationship between the EU Blue Card and </w:t>
      </w:r>
      <w:r>
        <w:rPr>
          <w:b/>
          <w:noProof/>
        </w:rPr>
        <w:t>parallel national schemes</w:t>
      </w:r>
      <w:r>
        <w:rPr>
          <w:noProof/>
        </w:rPr>
        <w:t xml:space="preserve"> for highly sk</w:t>
      </w:r>
      <w:r>
        <w:rPr>
          <w:noProof/>
        </w:rPr>
        <w:t>illed TCNs.</w:t>
      </w:r>
    </w:p>
    <w:p w:rsidR="007306CA" w:rsidRDefault="00576025">
      <w:pPr>
        <w:spacing w:after="120" w:line="240" w:lineRule="atLeast"/>
        <w:rPr>
          <w:noProof/>
        </w:rPr>
      </w:pPr>
      <w:r>
        <w:rPr>
          <w:noProof/>
        </w:rPr>
        <w:t>Firstly, concerning the first two aspects, the underlying logic for the specific combinations of POPs is that, generally, labour migration schemes show</w:t>
      </w:r>
      <w:r>
        <w:rPr>
          <w:rStyle w:val="FootnoteReference"/>
          <w:noProof/>
        </w:rPr>
        <w:footnoteReference w:id="134"/>
      </w:r>
      <w:r>
        <w:rPr>
          <w:noProof/>
        </w:rPr>
        <w:t xml:space="preserve"> (i) </w:t>
      </w:r>
      <w:r>
        <w:rPr>
          <w:i/>
          <w:noProof/>
        </w:rPr>
        <w:t xml:space="preserve">a reverse correlation on the liberal-restrictive axis between admission conditions and </w:t>
      </w:r>
      <w:r>
        <w:rPr>
          <w:i/>
          <w:noProof/>
        </w:rPr>
        <w:t>the level of rights granted to applicants</w:t>
      </w:r>
      <w:r>
        <w:rPr>
          <w:noProof/>
        </w:rPr>
        <w:t xml:space="preserve">, and (ii), at the same time, </w:t>
      </w:r>
      <w:r>
        <w:rPr>
          <w:i/>
          <w:noProof/>
        </w:rPr>
        <w:t>a direct correlation between the skill or qualification level of the TCN (high-medium-low)</w:t>
      </w:r>
      <w:r>
        <w:rPr>
          <w:noProof/>
        </w:rPr>
        <w:t xml:space="preserve"> – with the salary threshold often considered as a proxy for skills and qualifications – </w:t>
      </w:r>
      <w:r>
        <w:rPr>
          <w:i/>
          <w:noProof/>
        </w:rPr>
        <w:t>and th</w:t>
      </w:r>
      <w:r>
        <w:rPr>
          <w:i/>
          <w:noProof/>
        </w:rPr>
        <w:t>e degree of liberalness (admission and rights)</w:t>
      </w:r>
      <w:r>
        <w:rPr>
          <w:rStyle w:val="FootnoteReference"/>
          <w:noProof/>
        </w:rPr>
        <w:footnoteReference w:id="135"/>
      </w:r>
      <w:r>
        <w:rPr>
          <w:noProof/>
        </w:rPr>
        <w:t>. Across the POPs this results in a various combinations of the trade-off between inclusiveness and increased rights and facilitation. On the one hand, where a POP has a high level of inclusiveness - thus bein</w:t>
      </w:r>
      <w:r>
        <w:rPr>
          <w:noProof/>
        </w:rPr>
        <w:t>g more easily accessible to potential applicants through entry conditions that are set lower, more flexible or easier to fulfil (opening up to a larger group with a lowering skills or qualifications level) - the corresponding procedural facilitation, level</w:t>
      </w:r>
      <w:r>
        <w:rPr>
          <w:noProof/>
        </w:rPr>
        <w:t xml:space="preserve"> of rights and facilitation of intra-EU mobility are lower. On the other hand, where the entry conditions are more selective making the POP more exclusive (i.e. higher skills or qualifications levels), the procedures are more facilitated, and the level of </w:t>
      </w:r>
      <w:r>
        <w:rPr>
          <w:noProof/>
        </w:rPr>
        <w:t xml:space="preserve">rights and intra-EU mobility facilitation are higher. </w:t>
      </w:r>
    </w:p>
    <w:p w:rsidR="007306CA" w:rsidRDefault="00576025">
      <w:pPr>
        <w:spacing w:after="120" w:line="240" w:lineRule="atLeast"/>
        <w:rPr>
          <w:noProof/>
        </w:rPr>
      </w:pPr>
      <w:r>
        <w:rPr>
          <w:noProof/>
        </w:rPr>
        <w:t>In theory, there could be other combinations of POPs that do not follow the logic of this trade-off between inclusiveness and increased rights and facilitation attached to the Blue card</w:t>
      </w:r>
      <w:r>
        <w:rPr>
          <w:rStyle w:val="FootnoteReference"/>
          <w:noProof/>
        </w:rPr>
        <w:footnoteReference w:id="136"/>
      </w:r>
      <w:r>
        <w:rPr>
          <w:noProof/>
        </w:rPr>
        <w:t>. However, such</w:t>
      </w:r>
      <w:r>
        <w:rPr>
          <w:noProof/>
        </w:rPr>
        <w:t xml:space="preserve"> combinations of POPs would run counter the internal logic and spirit of most national labour migration schemes of Member States (see Annex 6) and of other major immigration countries (see Annex 8). While an individual country could conceivably set up a sc</w:t>
      </w:r>
      <w:r>
        <w:rPr>
          <w:noProof/>
        </w:rPr>
        <w:t>heme that does not follow this trade-off logic, because of specific circumstances and depending on its policy objectives, this is not deemed feasible for the EU-wide scheme that the EU Blue Card is. As it is meant to be applied by 25 Member States, the log</w:t>
      </w:r>
      <w:r>
        <w:rPr>
          <w:noProof/>
        </w:rPr>
        <w:t>ic and spirit of the POPs should be based on a common denominator of the main characteristics of most labour migration schemes in order to be able to encompass the needs and objectives of these 25 Member States to a high extent</w:t>
      </w:r>
      <w:r>
        <w:rPr>
          <w:rStyle w:val="FootnoteReference"/>
          <w:noProof/>
        </w:rPr>
        <w:footnoteReference w:id="137"/>
      </w:r>
      <w:r>
        <w:rPr>
          <w:noProof/>
        </w:rPr>
        <w:t>.</w:t>
      </w:r>
    </w:p>
    <w:p w:rsidR="007306CA" w:rsidRDefault="00576025">
      <w:pPr>
        <w:spacing w:after="120" w:line="240" w:lineRule="atLeast"/>
        <w:rPr>
          <w:noProof/>
        </w:rPr>
      </w:pPr>
      <w:r>
        <w:rPr>
          <w:noProof/>
        </w:rPr>
        <w:t>Secondly, still concerning</w:t>
      </w:r>
      <w:r>
        <w:rPr>
          <w:noProof/>
        </w:rPr>
        <w:t xml:space="preserve"> the first two aspects (admission conditions and rights), in the case of the EU Blue Card, there is (iii) a </w:t>
      </w:r>
      <w:r>
        <w:rPr>
          <w:i/>
          <w:noProof/>
        </w:rPr>
        <w:t xml:space="preserve">particular additional transnational dimension of trust between Member States </w:t>
      </w:r>
      <w:r>
        <w:rPr>
          <w:noProof/>
        </w:rPr>
        <w:t>that is absent in national labour migration schemes, i.e. the possibili</w:t>
      </w:r>
      <w:r>
        <w:rPr>
          <w:noProof/>
        </w:rPr>
        <w:t>ty of (facilitated) mobility to a second Member State. Easier access to the territory and labour market of other Member States is an important element of attractiveness</w:t>
      </w:r>
      <w:r>
        <w:rPr>
          <w:rStyle w:val="FootnoteReference"/>
          <w:noProof/>
        </w:rPr>
        <w:footnoteReference w:id="138"/>
      </w:r>
      <w:r>
        <w:rPr>
          <w:noProof/>
        </w:rPr>
        <w:t>, a clearly voiced need for employers</w:t>
      </w:r>
      <w:r>
        <w:rPr>
          <w:rStyle w:val="FootnoteReference"/>
          <w:noProof/>
        </w:rPr>
        <w:footnoteReference w:id="139"/>
      </w:r>
      <w:r>
        <w:rPr>
          <w:noProof/>
        </w:rPr>
        <w:t xml:space="preserve">, a logical consequence of the </w:t>
      </w:r>
      <w:r>
        <w:rPr>
          <w:noProof/>
        </w:rPr>
        <w:br/>
        <w:t>Single Market</w:t>
      </w:r>
      <w:r>
        <w:rPr>
          <w:rStyle w:val="FootnoteReference"/>
          <w:noProof/>
        </w:rPr>
        <w:footnoteReference w:id="140"/>
      </w:r>
      <w:r>
        <w:rPr>
          <w:noProof/>
        </w:rPr>
        <w:t>, a</w:t>
      </w:r>
      <w:r>
        <w:rPr>
          <w:noProof/>
        </w:rPr>
        <w:t>nd a value added that only the EU Blue Card could offer. Where the other rights granted are mostly confined within the national borders of the Member State, intra-EU mobility involves a trans-nationally granted right as the admission conditions in the firs</w:t>
      </w:r>
      <w:r>
        <w:rPr>
          <w:noProof/>
        </w:rPr>
        <w:t xml:space="preserve">t Member State also affect the second Member State. This adds a dimension of trust between Member State which requires a careful calibration between the admission conditions in the first Member State and the intra-EU mobility right of access to the second </w:t>
      </w:r>
      <w:r>
        <w:rPr>
          <w:noProof/>
        </w:rPr>
        <w:t>Member State.</w:t>
      </w:r>
    </w:p>
    <w:p w:rsidR="007306CA" w:rsidRDefault="00576025">
      <w:pPr>
        <w:spacing w:after="120" w:line="240" w:lineRule="atLeast"/>
        <w:rPr>
          <w:noProof/>
        </w:rPr>
      </w:pPr>
      <w:r>
        <w:rPr>
          <w:noProof/>
        </w:rPr>
        <w:t xml:space="preserve">Concerning the last aspect (3) – the </w:t>
      </w:r>
      <w:r>
        <w:rPr>
          <w:b/>
          <w:noProof/>
        </w:rPr>
        <w:t>relationship between the EU Blue Card and parallel national schemes</w:t>
      </w:r>
      <w:r>
        <w:rPr>
          <w:noProof/>
        </w:rPr>
        <w:t xml:space="preserve"> for highly skilled TCNs</w:t>
      </w:r>
      <w:r>
        <w:rPr>
          <w:rStyle w:val="FootnoteReference"/>
          <w:noProof/>
        </w:rPr>
        <w:footnoteReference w:id="141"/>
      </w:r>
      <w:r>
        <w:rPr>
          <w:noProof/>
        </w:rPr>
        <w:t xml:space="preserve"> – the underlying rationale behind POPs in which national schemes are abolished or not, is the extent to which th</w:t>
      </w:r>
      <w:r>
        <w:rPr>
          <w:noProof/>
        </w:rPr>
        <w:t>e specific combination of options on the first two aspects – i.e. the admission conditions and the rights of EU Blue Card holders – makes the Blue Card sufficiently “</w:t>
      </w:r>
      <w:r>
        <w:rPr>
          <w:i/>
          <w:noProof/>
        </w:rPr>
        <w:t>inclusive</w:t>
      </w:r>
      <w:r>
        <w:rPr>
          <w:noProof/>
        </w:rPr>
        <w:t>” to be able to be adaptable to national situations and substitute, by and large,</w:t>
      </w:r>
      <w:r>
        <w:rPr>
          <w:noProof/>
        </w:rPr>
        <w:t xml:space="preserve"> parallel national schemes covering the same category of people</w:t>
      </w:r>
      <w:r>
        <w:rPr>
          <w:rStyle w:val="FootnoteReference"/>
          <w:noProof/>
        </w:rPr>
        <w:footnoteReference w:id="142"/>
      </w:r>
      <w:r>
        <w:rPr>
          <w:noProof/>
        </w:rPr>
        <w:t>. In doing so these POPs aim to replicate and substitute the positive aspects of the national schemes, while addressing the negative dimension of the national scheme-Blue Card relationship, an</w:t>
      </w:r>
      <w:r>
        <w:rPr>
          <w:noProof/>
        </w:rPr>
        <w:t>d maintaining and reinforcing the positive aspects of the EU Blue Card. It is important to note, however, that even when parallel national schemes are abolished</w:t>
      </w:r>
      <w:r>
        <w:rPr>
          <w:rStyle w:val="FootnoteReference"/>
          <w:noProof/>
        </w:rPr>
        <w:footnoteReference w:id="143"/>
      </w:r>
      <w:r>
        <w:rPr>
          <w:noProof/>
        </w:rPr>
        <w:t xml:space="preserve">, Member States remain allowed to maintain national schemes for HSW falling </w:t>
      </w:r>
      <w:r>
        <w:rPr>
          <w:i/>
          <w:noProof/>
        </w:rPr>
        <w:t>outsid</w:t>
      </w:r>
      <w:r>
        <w:rPr>
          <w:noProof/>
        </w:rPr>
        <w:t>e the scope o</w:t>
      </w:r>
      <w:r>
        <w:rPr>
          <w:noProof/>
        </w:rPr>
        <w:t>f the EU-wide scheme</w:t>
      </w:r>
      <w:r>
        <w:rPr>
          <w:rStyle w:val="FootnoteReference"/>
          <w:noProof/>
        </w:rPr>
        <w:footnoteReference w:id="144"/>
      </w:r>
      <w:r>
        <w:rPr>
          <w:noProof/>
        </w:rPr>
        <w:t xml:space="preserve">. The EU Blue Card would “carve out” a separate and single scheme for those HSW falling inside its scope, leaving other TCNs untouched and susceptible to be covered by national schemes. The parallelism of two schemes applicable to the </w:t>
      </w:r>
      <w:r>
        <w:rPr>
          <w:noProof/>
        </w:rPr>
        <w:t>same category of HSW at the same time would thus be eliminated while, if there is a need, Member States still have the possibility to grant admission to TCNs who do not fall within the scope of application of the EU Blue Card.</w:t>
      </w:r>
    </w:p>
    <w:p w:rsidR="007306CA" w:rsidRDefault="00576025">
      <w:pPr>
        <w:spacing w:after="120" w:line="240" w:lineRule="atLeast"/>
        <w:rPr>
          <w:noProof/>
        </w:rPr>
      </w:pPr>
      <w:r>
        <w:rPr>
          <w:noProof/>
        </w:rPr>
        <w:t xml:space="preserve">At the same time, the </w:t>
      </w:r>
      <w:r>
        <w:rPr>
          <w:i/>
          <w:noProof/>
        </w:rPr>
        <w:t>level o</w:t>
      </w:r>
      <w:r>
        <w:rPr>
          <w:i/>
          <w:noProof/>
        </w:rPr>
        <w:t>f harmonisation</w:t>
      </w:r>
      <w:r>
        <w:rPr>
          <w:noProof/>
        </w:rPr>
        <w:t xml:space="preserve"> (including streamlining and simplification) of the overall EU system for attracting HSW is determined by the inclusiveness and complexity of (i) the different policy options for the Blue Card, (ii) the individual national schemes, (iii) the</w:t>
      </w:r>
      <w:r>
        <w:rPr>
          <w:noProof/>
        </w:rPr>
        <w:t xml:space="preserve"> Blue Card and the parallel national schemes combined.</w:t>
      </w:r>
    </w:p>
    <w:p w:rsidR="007306CA" w:rsidRDefault="00576025">
      <w:pPr>
        <w:spacing w:after="120" w:line="240" w:lineRule="atLeast"/>
        <w:rPr>
          <w:noProof/>
        </w:rPr>
      </w:pPr>
      <w:r>
        <w:rPr>
          <w:noProof/>
        </w:rPr>
        <w:t>The POPs considered are the following</w:t>
      </w:r>
      <w:r>
        <w:rPr>
          <w:rStyle w:val="FootnoteReference"/>
          <w:noProof/>
        </w:rPr>
        <w:footnoteReference w:id="145"/>
      </w:r>
      <w:r>
        <w:rPr>
          <w:noProof/>
        </w:rPr>
        <w:t>:</w:t>
      </w:r>
    </w:p>
    <w:p w:rsidR="007306CA" w:rsidRDefault="00576025">
      <w:pPr>
        <w:spacing w:after="120" w:line="240" w:lineRule="atLeast"/>
        <w:rPr>
          <w:rFonts w:eastAsiaTheme="majorEastAsia"/>
          <w:b/>
          <w:bCs/>
          <w:noProof/>
        </w:rPr>
      </w:pPr>
      <w:bookmarkStart w:id="39" w:name="_Toc432690435"/>
      <w:bookmarkStart w:id="40" w:name="_Toc436129364"/>
      <w:bookmarkStart w:id="41" w:name="_Toc436230414"/>
      <w:r>
        <w:rPr>
          <w:rFonts w:eastAsiaTheme="majorEastAsia"/>
          <w:b/>
          <w:bCs/>
          <w:noProof/>
        </w:rPr>
        <w:t xml:space="preserve">POP0: Baseline scenario </w:t>
      </w:r>
    </w:p>
    <w:p w:rsidR="007306CA" w:rsidRDefault="00576025">
      <w:pPr>
        <w:spacing w:after="120"/>
        <w:rPr>
          <w:rFonts w:eastAsiaTheme="majorEastAsia"/>
          <w:b/>
          <w:bCs/>
          <w:noProof/>
        </w:rPr>
      </w:pPr>
      <w:r>
        <w:rPr>
          <w:rFonts w:eastAsiaTheme="minorHAnsi"/>
          <w:noProof/>
        </w:rPr>
        <w:t>The current EU Blue Card would continue to be applied without legislative changes. Existing</w:t>
      </w:r>
      <w:r>
        <w:rPr>
          <w:noProof/>
          <w:lang w:eastAsia="en-GB"/>
        </w:rPr>
        <w:t xml:space="preserve"> monitoring and enforcement activities of the current legislation would continue, as well as activities to improve cross-national recognition of foreign qualifications either between Member States or in cooperation with third countries through exchanges of</w:t>
      </w:r>
      <w:r>
        <w:rPr>
          <w:noProof/>
          <w:lang w:eastAsia="en-GB"/>
        </w:rPr>
        <w:t xml:space="preserve"> practice and further </w:t>
      </w:r>
      <w:r>
        <w:rPr>
          <w:rFonts w:eastAsiaTheme="minorHAnsi"/>
          <w:noProof/>
        </w:rPr>
        <w:t>guidance</w:t>
      </w:r>
      <w:r>
        <w:rPr>
          <w:noProof/>
          <w:lang w:eastAsia="en-GB"/>
        </w:rPr>
        <w:t xml:space="preserve"> to the national authorities</w:t>
      </w:r>
      <w:r>
        <w:rPr>
          <w:noProof/>
          <w:vertAlign w:val="superscript"/>
          <w:lang w:eastAsia="en-GB"/>
        </w:rPr>
        <w:footnoteReference w:id="146"/>
      </w:r>
      <w:r>
        <w:rPr>
          <w:noProof/>
          <w:lang w:eastAsia="en-GB"/>
        </w:rPr>
        <w:t>.</w:t>
      </w:r>
    </w:p>
    <w:p w:rsidR="007306CA" w:rsidRDefault="00576025">
      <w:pPr>
        <w:spacing w:after="120"/>
        <w:rPr>
          <w:rFonts w:eastAsiaTheme="minorHAnsi"/>
          <w:noProof/>
        </w:rPr>
      </w:pPr>
      <w:r>
        <w:rPr>
          <w:rFonts w:eastAsiaTheme="majorEastAsia"/>
          <w:b/>
          <w:bCs/>
          <w:noProof/>
        </w:rPr>
        <w:t xml:space="preserve">POP1: Extending the scope by making it accessible to a significantly wider group of workers, including (some) medium-skilled </w:t>
      </w:r>
    </w:p>
    <w:p w:rsidR="007306CA" w:rsidRDefault="00576025">
      <w:pPr>
        <w:spacing w:after="120"/>
        <w:rPr>
          <w:rFonts w:eastAsiaTheme="minorHAnsi"/>
          <w:noProof/>
        </w:rPr>
      </w:pPr>
      <w:r>
        <w:rPr>
          <w:rFonts w:eastAsiaTheme="minorHAnsi"/>
          <w:noProof/>
        </w:rPr>
        <w:t>This option would make the EU Blue Card available also to some medium</w:t>
      </w:r>
      <w:r>
        <w:rPr>
          <w:rFonts w:eastAsiaTheme="minorHAnsi"/>
          <w:noProof/>
        </w:rPr>
        <w:t>-skilled workers, as salary and qualifications would be set as alternative instead of cumulative conditions. The level of rights would not be significantly enhanced from the current level.</w:t>
      </w:r>
    </w:p>
    <w:p w:rsidR="007306CA" w:rsidRDefault="00576025">
      <w:pPr>
        <w:spacing w:after="120"/>
        <w:rPr>
          <w:rFonts w:eastAsiaTheme="majorEastAsia"/>
          <w:b/>
          <w:bCs/>
          <w:noProof/>
        </w:rPr>
      </w:pPr>
      <w:r>
        <w:rPr>
          <w:rFonts w:eastAsiaTheme="majorEastAsia"/>
          <w:b/>
          <w:bCs/>
          <w:noProof/>
        </w:rPr>
        <w:t>POP2: Modifying admission conditions and rights without extending t</w:t>
      </w:r>
      <w:r>
        <w:rPr>
          <w:rFonts w:eastAsiaTheme="majorEastAsia"/>
          <w:b/>
          <w:bCs/>
          <w:noProof/>
        </w:rPr>
        <w:t>he scope beyond HSW</w:t>
      </w:r>
    </w:p>
    <w:bookmarkEnd w:id="39"/>
    <w:bookmarkEnd w:id="40"/>
    <w:bookmarkEnd w:id="41"/>
    <w:p w:rsidR="007306CA" w:rsidRDefault="00576025">
      <w:pPr>
        <w:spacing w:after="120"/>
        <w:rPr>
          <w:rFonts w:eastAsiaTheme="minorHAnsi"/>
          <w:noProof/>
        </w:rPr>
      </w:pPr>
      <w:r>
        <w:rPr>
          <w:rFonts w:eastAsiaTheme="minorHAnsi"/>
          <w:noProof/>
        </w:rPr>
        <w:t>This option has three sub-options depending on the target group (wider vs. more selective) and remains within the scope and basic framework of the current Directive, but with facilitation common to all sub-options as regards conditions,</w:t>
      </w:r>
      <w:r>
        <w:rPr>
          <w:rFonts w:eastAsiaTheme="minorHAnsi"/>
          <w:noProof/>
        </w:rPr>
        <w:t xml:space="preserve"> procedures and rights. </w:t>
      </w:r>
    </w:p>
    <w:p w:rsidR="007306CA" w:rsidRDefault="00576025">
      <w:pPr>
        <w:spacing w:after="120"/>
        <w:rPr>
          <w:rFonts w:eastAsiaTheme="minorHAnsi"/>
          <w:noProof/>
        </w:rPr>
      </w:pPr>
      <w:r>
        <w:rPr>
          <w:rFonts w:eastAsiaTheme="minorHAnsi"/>
          <w:b/>
          <w:noProof/>
        </w:rPr>
        <w:t>POP2(a): Making the Blue Card accessible to a wider group of HSW</w:t>
      </w:r>
    </w:p>
    <w:p w:rsidR="007306CA" w:rsidRDefault="00576025">
      <w:pPr>
        <w:spacing w:after="120"/>
        <w:rPr>
          <w:rFonts w:eastAsiaTheme="minorHAnsi"/>
          <w:noProof/>
        </w:rPr>
      </w:pPr>
      <w:r>
        <w:rPr>
          <w:rFonts w:eastAsiaTheme="minorHAnsi"/>
          <w:noProof/>
        </w:rPr>
        <w:t>This sub-option would extend the scope of HSW eligible for the EU Blue Card, facilitate admission and provide enhanced residence and mobility rights. Member States would maintain some limited leeway for national adaptation of the scheme, but parallel natio</w:t>
      </w:r>
      <w:r>
        <w:rPr>
          <w:rFonts w:eastAsiaTheme="minorHAnsi"/>
          <w:noProof/>
        </w:rPr>
        <w:t xml:space="preserve">nal schemes would be abolished. </w:t>
      </w:r>
    </w:p>
    <w:p w:rsidR="007306CA" w:rsidRDefault="00576025">
      <w:pPr>
        <w:spacing w:after="120"/>
        <w:rPr>
          <w:rFonts w:eastAsiaTheme="minorHAnsi"/>
          <w:noProof/>
        </w:rPr>
      </w:pPr>
      <w:r>
        <w:rPr>
          <w:rFonts w:eastAsiaTheme="minorHAnsi"/>
          <w:b/>
          <w:noProof/>
        </w:rPr>
        <w:t>POP2(b): Making the Blue Card a tool to attract a selected group of the most HSW</w:t>
      </w:r>
    </w:p>
    <w:p w:rsidR="007306CA" w:rsidRDefault="00576025">
      <w:pPr>
        <w:spacing w:after="120"/>
        <w:rPr>
          <w:rFonts w:eastAsiaTheme="minorHAnsi"/>
          <w:noProof/>
        </w:rPr>
      </w:pPr>
      <w:r>
        <w:rPr>
          <w:rFonts w:eastAsiaTheme="minorHAnsi"/>
          <w:noProof/>
        </w:rPr>
        <w:t>This sub-option would make the EU Blue Card a rather selective instrument for the very highly skilled. Eligible workers would benefit from fas</w:t>
      </w:r>
      <w:r>
        <w:rPr>
          <w:rFonts w:eastAsiaTheme="minorHAnsi"/>
          <w:noProof/>
        </w:rPr>
        <w:t>t and easy admission and from extensive rights. Parallel national schemes would remain allowed.</w:t>
      </w:r>
    </w:p>
    <w:p w:rsidR="007306CA" w:rsidRDefault="00576025">
      <w:pPr>
        <w:spacing w:after="120" w:line="240" w:lineRule="atLeast"/>
        <w:rPr>
          <w:rFonts w:eastAsiaTheme="minorHAnsi"/>
          <w:b/>
          <w:noProof/>
        </w:rPr>
      </w:pPr>
      <w:r>
        <w:rPr>
          <w:rFonts w:eastAsiaTheme="minorHAnsi"/>
          <w:b/>
          <w:noProof/>
        </w:rPr>
        <w:t>POP2(c): Creating a two-tiered Blue Card targeted at different skill levels of HSW</w:t>
      </w:r>
    </w:p>
    <w:p w:rsidR="007306CA" w:rsidRDefault="00576025">
      <w:pPr>
        <w:spacing w:after="120"/>
        <w:rPr>
          <w:rFonts w:eastAsiaTheme="minorHAnsi"/>
          <w:noProof/>
        </w:rPr>
      </w:pPr>
      <w:r>
        <w:rPr>
          <w:rFonts w:eastAsiaTheme="minorHAnsi"/>
          <w:noProof/>
        </w:rPr>
        <w:t>This sub-option would be a combination of sub-options POP2(a) and (b) by crea</w:t>
      </w:r>
      <w:r>
        <w:rPr>
          <w:rFonts w:eastAsiaTheme="minorHAnsi"/>
          <w:noProof/>
        </w:rPr>
        <w:t>ting an EU Blue Card with two levels to address different categories of HSW: first level for a wide group of HSW and a more selective second level with faster access to long-term residence and easier intra-EU mobility. Parallel national schemes would be ab</w:t>
      </w:r>
      <w:r>
        <w:rPr>
          <w:rFonts w:eastAsiaTheme="minorHAnsi"/>
          <w:noProof/>
        </w:rPr>
        <w:t xml:space="preserve">olished. </w:t>
      </w:r>
    </w:p>
    <w:p w:rsidR="007306CA" w:rsidRDefault="00576025">
      <w:pPr>
        <w:spacing w:after="120" w:line="240" w:lineRule="atLeast"/>
        <w:rPr>
          <w:rFonts w:eastAsiaTheme="majorEastAsia"/>
          <w:b/>
          <w:bCs/>
          <w:noProof/>
        </w:rPr>
      </w:pPr>
      <w:bookmarkStart w:id="42" w:name="_Toc441153324"/>
      <w:bookmarkStart w:id="43" w:name="_Toc441153900"/>
      <w:r>
        <w:rPr>
          <w:rFonts w:eastAsiaTheme="majorEastAsia"/>
          <w:b/>
          <w:bCs/>
          <w:noProof/>
        </w:rPr>
        <w:t xml:space="preserve">POP3: A unified </w:t>
      </w:r>
      <w:bookmarkStart w:id="44" w:name="_Toc432690438"/>
      <w:bookmarkStart w:id="45" w:name="_Toc436129369"/>
      <w:bookmarkStart w:id="46" w:name="_Toc436230419"/>
      <w:bookmarkEnd w:id="42"/>
      <w:bookmarkEnd w:id="43"/>
      <w:r>
        <w:rPr>
          <w:rFonts w:eastAsiaTheme="majorEastAsia"/>
          <w:b/>
          <w:bCs/>
          <w:noProof/>
        </w:rPr>
        <w:t>standard EU-wide Blue Card</w:t>
      </w:r>
      <w:bookmarkEnd w:id="44"/>
      <w:bookmarkEnd w:id="45"/>
      <w:bookmarkEnd w:id="46"/>
      <w:r>
        <w:rPr>
          <w:rFonts w:eastAsiaTheme="majorEastAsia"/>
          <w:b/>
          <w:bCs/>
          <w:noProof/>
        </w:rPr>
        <w:t>: very selective yet very attractive</w:t>
      </w:r>
    </w:p>
    <w:p w:rsidR="007306CA" w:rsidRDefault="00576025">
      <w:pPr>
        <w:spacing w:after="120"/>
        <w:rPr>
          <w:rFonts w:eastAsiaTheme="minorHAnsi"/>
          <w:noProof/>
        </w:rPr>
      </w:pPr>
      <w:r>
        <w:rPr>
          <w:rFonts w:eastAsiaTheme="minorHAnsi"/>
          <w:noProof/>
        </w:rPr>
        <w:t>This policy option package would introduce a standard EU-wide set of Blue Card rules applicable across the Member States. There would be no scope for the Member States</w:t>
      </w:r>
      <w:r>
        <w:rPr>
          <w:rFonts w:eastAsiaTheme="minorHAnsi"/>
          <w:noProof/>
        </w:rPr>
        <w:t xml:space="preserve"> to adapt any of the conditions or other rules of the EU Blue Card to national labour market circumstances. A Blue Card issued by one Member State would be mutually recognised by all Member States and provide unlimited intra-EU mobility. Parallel national </w:t>
      </w:r>
      <w:r>
        <w:rPr>
          <w:rFonts w:eastAsiaTheme="minorHAnsi"/>
          <w:noProof/>
        </w:rPr>
        <w:t xml:space="preserve">schemes would be abolished. </w:t>
      </w:r>
    </w:p>
    <w:p w:rsidR="007306CA" w:rsidRDefault="00576025">
      <w:pPr>
        <w:spacing w:after="120"/>
        <w:rPr>
          <w:rFonts w:eastAsiaTheme="minorHAnsi"/>
          <w:noProof/>
        </w:rPr>
      </w:pPr>
      <w:r>
        <w:rPr>
          <w:rFonts w:eastAsiaTheme="minorHAnsi"/>
          <w:noProof/>
        </w:rPr>
        <w:t>The table below gives an overview of the various elements in each option.</w:t>
      </w:r>
    </w:p>
    <w:tbl>
      <w:tblPr>
        <w:tblW w:w="9317" w:type="dxa"/>
        <w:jc w:val="center"/>
        <w:tblLayout w:type="fixed"/>
        <w:tblCellMar>
          <w:left w:w="28" w:type="dxa"/>
          <w:right w:w="0" w:type="dxa"/>
        </w:tblCellMar>
        <w:tblLook w:val="04A0" w:firstRow="1" w:lastRow="0" w:firstColumn="1" w:lastColumn="0" w:noHBand="0" w:noVBand="1"/>
      </w:tblPr>
      <w:tblGrid>
        <w:gridCol w:w="1059"/>
        <w:gridCol w:w="1297"/>
        <w:gridCol w:w="1503"/>
        <w:gridCol w:w="1463"/>
        <w:gridCol w:w="1164"/>
        <w:gridCol w:w="1466"/>
        <w:gridCol w:w="1358"/>
        <w:gridCol w:w="7"/>
      </w:tblGrid>
      <w:tr w:rsidR="007306CA">
        <w:trPr>
          <w:gridAfter w:val="1"/>
          <w:wAfter w:w="7" w:type="dxa"/>
          <w:trHeight w:val="280"/>
          <w:jc w:val="center"/>
        </w:trPr>
        <w:tc>
          <w:tcPr>
            <w:tcW w:w="1059" w:type="dxa"/>
            <w:tcBorders>
              <w:top w:val="single" w:sz="4" w:space="0" w:color="auto"/>
              <w:left w:val="single" w:sz="4" w:space="0" w:color="auto"/>
              <w:bottom w:val="single" w:sz="12" w:space="0" w:color="auto"/>
              <w:right w:val="single" w:sz="4" w:space="0" w:color="auto"/>
            </w:tcBorders>
            <w:shd w:val="clear" w:color="000000" w:fill="8DB4E2"/>
            <w:vAlign w:val="center"/>
            <w:hideMark/>
          </w:tcPr>
          <w:p w:rsidR="007306CA" w:rsidRDefault="00576025">
            <w:pPr>
              <w:spacing w:after="0"/>
              <w:jc w:val="center"/>
              <w:rPr>
                <w:b/>
                <w:bCs/>
                <w:noProof/>
                <w:color w:val="000000"/>
                <w:sz w:val="22"/>
                <w:szCs w:val="22"/>
              </w:rPr>
            </w:pPr>
            <w:r>
              <w:rPr>
                <w:b/>
                <w:bCs/>
                <w:noProof/>
                <w:color w:val="000000"/>
                <w:sz w:val="22"/>
                <w:szCs w:val="22"/>
              </w:rPr>
              <w:t>POP1</w:t>
            </w:r>
          </w:p>
        </w:tc>
        <w:tc>
          <w:tcPr>
            <w:tcW w:w="1297" w:type="dxa"/>
            <w:tcBorders>
              <w:top w:val="single" w:sz="4" w:space="0" w:color="auto"/>
              <w:left w:val="nil"/>
              <w:bottom w:val="single" w:sz="12" w:space="0" w:color="auto"/>
              <w:right w:val="single" w:sz="4" w:space="0" w:color="auto"/>
            </w:tcBorders>
            <w:shd w:val="clear" w:color="000000" w:fill="8DB4E2"/>
            <w:vAlign w:val="center"/>
            <w:hideMark/>
          </w:tcPr>
          <w:p w:rsidR="007306CA" w:rsidRDefault="00576025">
            <w:pPr>
              <w:tabs>
                <w:tab w:val="left" w:pos="2302"/>
              </w:tabs>
              <w:spacing w:after="0"/>
              <w:jc w:val="center"/>
              <w:rPr>
                <w:b/>
                <w:bCs/>
                <w:noProof/>
                <w:color w:val="000000"/>
                <w:sz w:val="22"/>
                <w:szCs w:val="22"/>
              </w:rPr>
            </w:pPr>
            <w:r>
              <w:rPr>
                <w:b/>
                <w:bCs/>
                <w:noProof/>
                <w:color w:val="000000"/>
                <w:sz w:val="22"/>
                <w:szCs w:val="22"/>
              </w:rPr>
              <w:t>POP0</w:t>
            </w:r>
          </w:p>
        </w:tc>
        <w:tc>
          <w:tcPr>
            <w:tcW w:w="1503" w:type="dxa"/>
            <w:tcBorders>
              <w:top w:val="single" w:sz="4" w:space="0" w:color="auto"/>
              <w:left w:val="nil"/>
              <w:bottom w:val="single" w:sz="12" w:space="0" w:color="auto"/>
              <w:right w:val="single" w:sz="4" w:space="0" w:color="auto"/>
            </w:tcBorders>
            <w:shd w:val="clear" w:color="000000" w:fill="8DB4E2"/>
            <w:vAlign w:val="center"/>
            <w:hideMark/>
          </w:tcPr>
          <w:p w:rsidR="007306CA" w:rsidRDefault="00576025">
            <w:pPr>
              <w:tabs>
                <w:tab w:val="left" w:pos="2302"/>
              </w:tabs>
              <w:spacing w:after="0"/>
              <w:jc w:val="center"/>
              <w:rPr>
                <w:b/>
                <w:bCs/>
                <w:noProof/>
                <w:color w:val="000000"/>
                <w:sz w:val="22"/>
                <w:szCs w:val="22"/>
              </w:rPr>
            </w:pPr>
            <w:r>
              <w:rPr>
                <w:b/>
                <w:bCs/>
                <w:noProof/>
                <w:color w:val="000000"/>
                <w:sz w:val="22"/>
                <w:szCs w:val="22"/>
              </w:rPr>
              <w:t>POP1</w:t>
            </w:r>
          </w:p>
        </w:tc>
        <w:tc>
          <w:tcPr>
            <w:tcW w:w="1463" w:type="dxa"/>
            <w:tcBorders>
              <w:top w:val="single" w:sz="4" w:space="0" w:color="auto"/>
              <w:left w:val="nil"/>
              <w:bottom w:val="single" w:sz="12" w:space="0" w:color="auto"/>
              <w:right w:val="single" w:sz="4" w:space="0" w:color="auto"/>
            </w:tcBorders>
            <w:shd w:val="clear" w:color="000000" w:fill="8DB4E2"/>
            <w:vAlign w:val="center"/>
            <w:hideMark/>
          </w:tcPr>
          <w:p w:rsidR="007306CA" w:rsidRDefault="00576025">
            <w:pPr>
              <w:tabs>
                <w:tab w:val="left" w:pos="2302"/>
              </w:tabs>
              <w:spacing w:after="0"/>
              <w:jc w:val="center"/>
              <w:rPr>
                <w:b/>
                <w:bCs/>
                <w:noProof/>
                <w:color w:val="000000"/>
                <w:sz w:val="22"/>
                <w:szCs w:val="22"/>
              </w:rPr>
            </w:pPr>
            <w:r>
              <w:rPr>
                <w:b/>
                <w:bCs/>
                <w:noProof/>
                <w:color w:val="000000"/>
                <w:sz w:val="22"/>
                <w:szCs w:val="22"/>
              </w:rPr>
              <w:t>POP2(a)</w:t>
            </w:r>
          </w:p>
        </w:tc>
        <w:tc>
          <w:tcPr>
            <w:tcW w:w="1164" w:type="dxa"/>
            <w:tcBorders>
              <w:top w:val="single" w:sz="4" w:space="0" w:color="auto"/>
              <w:left w:val="nil"/>
              <w:bottom w:val="single" w:sz="12" w:space="0" w:color="auto"/>
              <w:right w:val="single" w:sz="4" w:space="0" w:color="auto"/>
            </w:tcBorders>
            <w:shd w:val="clear" w:color="000000" w:fill="8DB4E2"/>
            <w:vAlign w:val="center"/>
            <w:hideMark/>
          </w:tcPr>
          <w:p w:rsidR="007306CA" w:rsidRDefault="00576025">
            <w:pPr>
              <w:tabs>
                <w:tab w:val="left" w:pos="2302"/>
              </w:tabs>
              <w:spacing w:after="0"/>
              <w:jc w:val="center"/>
              <w:rPr>
                <w:b/>
                <w:bCs/>
                <w:noProof/>
                <w:color w:val="000000"/>
                <w:sz w:val="22"/>
                <w:szCs w:val="22"/>
              </w:rPr>
            </w:pPr>
            <w:r>
              <w:rPr>
                <w:b/>
                <w:bCs/>
                <w:noProof/>
                <w:color w:val="000000"/>
                <w:sz w:val="22"/>
                <w:szCs w:val="22"/>
              </w:rPr>
              <w:t>POP2(b)</w:t>
            </w:r>
          </w:p>
        </w:tc>
        <w:tc>
          <w:tcPr>
            <w:tcW w:w="1466" w:type="dxa"/>
            <w:tcBorders>
              <w:top w:val="single" w:sz="4" w:space="0" w:color="auto"/>
              <w:left w:val="nil"/>
              <w:bottom w:val="single" w:sz="12" w:space="0" w:color="auto"/>
              <w:right w:val="single" w:sz="4" w:space="0" w:color="auto"/>
            </w:tcBorders>
            <w:shd w:val="clear" w:color="000000" w:fill="8DB4E2"/>
            <w:vAlign w:val="center"/>
            <w:hideMark/>
          </w:tcPr>
          <w:p w:rsidR="007306CA" w:rsidRDefault="00576025">
            <w:pPr>
              <w:tabs>
                <w:tab w:val="left" w:pos="2302"/>
              </w:tabs>
              <w:spacing w:after="0"/>
              <w:jc w:val="center"/>
              <w:rPr>
                <w:b/>
                <w:bCs/>
                <w:noProof/>
                <w:color w:val="000000"/>
                <w:sz w:val="22"/>
                <w:szCs w:val="22"/>
              </w:rPr>
            </w:pPr>
            <w:r>
              <w:rPr>
                <w:b/>
                <w:bCs/>
                <w:noProof/>
                <w:color w:val="000000"/>
                <w:sz w:val="22"/>
                <w:szCs w:val="22"/>
              </w:rPr>
              <w:t>POP2(c)</w:t>
            </w:r>
          </w:p>
        </w:tc>
        <w:tc>
          <w:tcPr>
            <w:tcW w:w="1358" w:type="dxa"/>
            <w:tcBorders>
              <w:top w:val="single" w:sz="4" w:space="0" w:color="auto"/>
              <w:left w:val="nil"/>
              <w:bottom w:val="single" w:sz="12" w:space="0" w:color="auto"/>
              <w:right w:val="single" w:sz="4" w:space="0" w:color="auto"/>
            </w:tcBorders>
            <w:shd w:val="clear" w:color="000000" w:fill="8DB4E2"/>
            <w:vAlign w:val="center"/>
            <w:hideMark/>
          </w:tcPr>
          <w:p w:rsidR="007306CA" w:rsidRDefault="00576025">
            <w:pPr>
              <w:tabs>
                <w:tab w:val="left" w:pos="2302"/>
              </w:tabs>
              <w:spacing w:after="0"/>
              <w:jc w:val="center"/>
              <w:rPr>
                <w:b/>
                <w:bCs/>
                <w:noProof/>
                <w:color w:val="000000"/>
                <w:sz w:val="22"/>
                <w:szCs w:val="22"/>
              </w:rPr>
            </w:pPr>
            <w:r>
              <w:rPr>
                <w:b/>
                <w:bCs/>
                <w:noProof/>
                <w:color w:val="000000"/>
                <w:sz w:val="22"/>
                <w:szCs w:val="22"/>
              </w:rPr>
              <w:t>POP3</w:t>
            </w:r>
          </w:p>
        </w:tc>
      </w:tr>
      <w:tr w:rsidR="007306CA">
        <w:trPr>
          <w:gridAfter w:val="1"/>
          <w:wAfter w:w="7" w:type="dxa"/>
          <w:trHeight w:val="44"/>
          <w:jc w:val="center"/>
        </w:trPr>
        <w:tc>
          <w:tcPr>
            <w:tcW w:w="9310" w:type="dxa"/>
            <w:gridSpan w:val="7"/>
            <w:tcBorders>
              <w:top w:val="single" w:sz="12" w:space="0" w:color="auto"/>
              <w:left w:val="single" w:sz="12" w:space="0" w:color="auto"/>
              <w:bottom w:val="single" w:sz="4" w:space="0" w:color="auto"/>
              <w:right w:val="single" w:sz="12" w:space="0" w:color="auto"/>
            </w:tcBorders>
            <w:shd w:val="clear" w:color="000000" w:fill="C5D9F1"/>
            <w:vAlign w:val="center"/>
          </w:tcPr>
          <w:p w:rsidR="007306CA" w:rsidRDefault="00576025">
            <w:pPr>
              <w:tabs>
                <w:tab w:val="left" w:pos="2302"/>
              </w:tabs>
              <w:spacing w:after="0"/>
              <w:jc w:val="center"/>
              <w:rPr>
                <w:b/>
                <w:iCs/>
                <w:noProof/>
                <w:color w:val="000000"/>
                <w:sz w:val="22"/>
                <w:szCs w:val="22"/>
              </w:rPr>
            </w:pPr>
            <w:r>
              <w:rPr>
                <w:b/>
                <w:iCs/>
                <w:noProof/>
                <w:color w:val="000000"/>
                <w:sz w:val="22"/>
                <w:szCs w:val="22"/>
              </w:rPr>
              <w:t>Entry conditions</w:t>
            </w:r>
          </w:p>
        </w:tc>
      </w:tr>
      <w:tr w:rsidR="007306CA">
        <w:trPr>
          <w:gridAfter w:val="1"/>
          <w:wAfter w:w="7" w:type="dxa"/>
          <w:trHeight w:val="462"/>
          <w:jc w:val="center"/>
        </w:trPr>
        <w:tc>
          <w:tcPr>
            <w:tcW w:w="1059" w:type="dxa"/>
            <w:tcBorders>
              <w:top w:val="single" w:sz="12" w:space="0" w:color="auto"/>
              <w:left w:val="single" w:sz="12" w:space="0" w:color="auto"/>
              <w:bottom w:val="single" w:sz="4" w:space="0" w:color="auto"/>
              <w:right w:val="single" w:sz="4" w:space="0" w:color="auto"/>
            </w:tcBorders>
            <w:shd w:val="clear" w:color="000000" w:fill="C5D9F1"/>
            <w:vAlign w:val="center"/>
            <w:hideMark/>
          </w:tcPr>
          <w:p w:rsidR="007306CA" w:rsidRDefault="007306CA">
            <w:pPr>
              <w:spacing w:after="0"/>
              <w:jc w:val="center"/>
              <w:rPr>
                <w:rFonts w:ascii="Arial" w:hAnsi="Arial"/>
                <w:b/>
                <w:bCs/>
                <w:i/>
                <w:noProof/>
                <w:color w:val="000000"/>
                <w:sz w:val="18"/>
                <w:szCs w:val="18"/>
                <w:u w:val="single"/>
              </w:rPr>
            </w:pPr>
          </w:p>
        </w:tc>
        <w:tc>
          <w:tcPr>
            <w:tcW w:w="1297" w:type="dxa"/>
            <w:tcBorders>
              <w:top w:val="single" w:sz="12" w:space="0" w:color="auto"/>
              <w:left w:val="nil"/>
              <w:bottom w:val="single" w:sz="4" w:space="0" w:color="auto"/>
              <w:right w:val="single" w:sz="4" w:space="0" w:color="auto"/>
            </w:tcBorders>
            <w:shd w:val="clear" w:color="000000" w:fill="C5D9F1"/>
            <w:vAlign w:val="center"/>
            <w:hideMark/>
          </w:tcPr>
          <w:p w:rsidR="007306CA" w:rsidRDefault="00576025">
            <w:pPr>
              <w:spacing w:after="0"/>
              <w:jc w:val="center"/>
              <w:rPr>
                <w:noProof/>
                <w:color w:val="000000"/>
                <w:sz w:val="18"/>
                <w:szCs w:val="18"/>
              </w:rPr>
            </w:pPr>
            <w:r>
              <w:rPr>
                <w:i/>
                <w:noProof/>
                <w:color w:val="000000"/>
                <w:sz w:val="18"/>
                <w:szCs w:val="18"/>
              </w:rPr>
              <w:t>Baseline</w:t>
            </w:r>
          </w:p>
        </w:tc>
        <w:tc>
          <w:tcPr>
            <w:tcW w:w="1503" w:type="dxa"/>
            <w:tcBorders>
              <w:top w:val="single" w:sz="12" w:space="0" w:color="auto"/>
              <w:left w:val="nil"/>
              <w:bottom w:val="single" w:sz="4" w:space="0" w:color="auto"/>
              <w:right w:val="single" w:sz="4" w:space="0" w:color="auto"/>
            </w:tcBorders>
            <w:shd w:val="clear" w:color="000000" w:fill="C5D9F1"/>
            <w:vAlign w:val="center"/>
            <w:hideMark/>
          </w:tcPr>
          <w:p w:rsidR="007306CA" w:rsidRDefault="00576025">
            <w:pPr>
              <w:spacing w:after="0"/>
              <w:jc w:val="center"/>
              <w:rPr>
                <w:i/>
                <w:iCs/>
                <w:noProof/>
                <w:color w:val="000000"/>
                <w:sz w:val="18"/>
                <w:szCs w:val="18"/>
              </w:rPr>
            </w:pPr>
            <w:r>
              <w:rPr>
                <w:i/>
                <w:iCs/>
                <w:noProof/>
                <w:color w:val="000000"/>
                <w:sz w:val="18"/>
                <w:szCs w:val="18"/>
              </w:rPr>
              <w:t>Very inclusive, much more flexible and adaptable</w:t>
            </w:r>
          </w:p>
        </w:tc>
        <w:tc>
          <w:tcPr>
            <w:tcW w:w="1463" w:type="dxa"/>
            <w:tcBorders>
              <w:top w:val="single" w:sz="12" w:space="0" w:color="auto"/>
              <w:left w:val="nil"/>
              <w:bottom w:val="single" w:sz="4" w:space="0" w:color="auto"/>
              <w:right w:val="single" w:sz="4" w:space="0" w:color="auto"/>
            </w:tcBorders>
            <w:shd w:val="clear" w:color="000000" w:fill="C5D9F1"/>
            <w:vAlign w:val="center"/>
            <w:hideMark/>
          </w:tcPr>
          <w:p w:rsidR="007306CA" w:rsidRDefault="00576025">
            <w:pPr>
              <w:spacing w:after="0"/>
              <w:jc w:val="center"/>
              <w:rPr>
                <w:i/>
                <w:iCs/>
                <w:noProof/>
                <w:color w:val="000000"/>
                <w:sz w:val="18"/>
                <w:szCs w:val="18"/>
              </w:rPr>
            </w:pPr>
            <w:r>
              <w:rPr>
                <w:i/>
                <w:iCs/>
                <w:noProof/>
                <w:color w:val="000000"/>
                <w:sz w:val="18"/>
                <w:szCs w:val="18"/>
              </w:rPr>
              <w:t xml:space="preserve">Inclusive, more flexible and </w:t>
            </w:r>
            <w:r>
              <w:rPr>
                <w:i/>
                <w:iCs/>
                <w:noProof/>
                <w:color w:val="000000"/>
                <w:sz w:val="18"/>
                <w:szCs w:val="18"/>
              </w:rPr>
              <w:t>adaptable by MS</w:t>
            </w:r>
          </w:p>
        </w:tc>
        <w:tc>
          <w:tcPr>
            <w:tcW w:w="1164" w:type="dxa"/>
            <w:tcBorders>
              <w:top w:val="single" w:sz="12" w:space="0" w:color="auto"/>
              <w:left w:val="nil"/>
              <w:bottom w:val="single" w:sz="4" w:space="0" w:color="auto"/>
              <w:right w:val="single" w:sz="4" w:space="0" w:color="auto"/>
            </w:tcBorders>
            <w:shd w:val="clear" w:color="000000" w:fill="C5D9F1"/>
            <w:vAlign w:val="center"/>
            <w:hideMark/>
          </w:tcPr>
          <w:p w:rsidR="007306CA" w:rsidRDefault="00576025">
            <w:pPr>
              <w:spacing w:after="0"/>
              <w:jc w:val="center"/>
              <w:rPr>
                <w:i/>
                <w:iCs/>
                <w:noProof/>
                <w:color w:val="000000"/>
                <w:sz w:val="18"/>
                <w:szCs w:val="18"/>
              </w:rPr>
            </w:pPr>
            <w:r>
              <w:rPr>
                <w:i/>
                <w:iCs/>
                <w:noProof/>
                <w:color w:val="000000"/>
                <w:sz w:val="18"/>
                <w:szCs w:val="18"/>
              </w:rPr>
              <w:t>Selective, less flexible and adaptable</w:t>
            </w:r>
          </w:p>
        </w:tc>
        <w:tc>
          <w:tcPr>
            <w:tcW w:w="1466" w:type="dxa"/>
            <w:tcBorders>
              <w:top w:val="single" w:sz="12" w:space="0" w:color="auto"/>
              <w:left w:val="nil"/>
              <w:bottom w:val="single" w:sz="4" w:space="0" w:color="auto"/>
              <w:right w:val="single" w:sz="4" w:space="0" w:color="auto"/>
            </w:tcBorders>
            <w:shd w:val="clear" w:color="000000" w:fill="C5D9F1"/>
            <w:vAlign w:val="center"/>
            <w:hideMark/>
          </w:tcPr>
          <w:p w:rsidR="007306CA" w:rsidRDefault="00576025">
            <w:pPr>
              <w:spacing w:after="0"/>
              <w:jc w:val="center"/>
              <w:rPr>
                <w:i/>
                <w:iCs/>
                <w:noProof/>
                <w:color w:val="000000"/>
                <w:sz w:val="18"/>
                <w:szCs w:val="18"/>
              </w:rPr>
            </w:pPr>
            <w:r>
              <w:rPr>
                <w:i/>
                <w:iCs/>
                <w:noProof/>
                <w:color w:val="000000"/>
                <w:sz w:val="18"/>
                <w:szCs w:val="18"/>
              </w:rPr>
              <w:t>Combines POP2(a) and (b)</w:t>
            </w:r>
          </w:p>
        </w:tc>
        <w:tc>
          <w:tcPr>
            <w:tcW w:w="1358" w:type="dxa"/>
            <w:tcBorders>
              <w:top w:val="single" w:sz="12" w:space="0" w:color="auto"/>
              <w:left w:val="nil"/>
              <w:bottom w:val="single" w:sz="4" w:space="0" w:color="auto"/>
              <w:right w:val="single" w:sz="12" w:space="0" w:color="auto"/>
            </w:tcBorders>
            <w:shd w:val="clear" w:color="000000" w:fill="C5D9F1"/>
            <w:vAlign w:val="center"/>
            <w:hideMark/>
          </w:tcPr>
          <w:p w:rsidR="007306CA" w:rsidRDefault="00576025">
            <w:pPr>
              <w:spacing w:after="0"/>
              <w:jc w:val="center"/>
              <w:rPr>
                <w:i/>
                <w:iCs/>
                <w:noProof/>
                <w:color w:val="000000"/>
                <w:sz w:val="18"/>
                <w:szCs w:val="18"/>
              </w:rPr>
            </w:pPr>
            <w:r>
              <w:rPr>
                <w:i/>
                <w:iCs/>
                <w:noProof/>
                <w:color w:val="000000"/>
                <w:sz w:val="18"/>
                <w:szCs w:val="18"/>
              </w:rPr>
              <w:t>Very selective, EU level</w:t>
            </w:r>
          </w:p>
        </w:tc>
      </w:tr>
      <w:tr w:rsidR="007306CA">
        <w:trPr>
          <w:gridAfter w:val="1"/>
          <w:wAfter w:w="7" w:type="dxa"/>
          <w:trHeight w:val="74"/>
          <w:jc w:val="center"/>
        </w:trPr>
        <w:tc>
          <w:tcPr>
            <w:tcW w:w="1059" w:type="dxa"/>
            <w:tcBorders>
              <w:top w:val="single" w:sz="4" w:space="0" w:color="auto"/>
              <w:left w:val="single" w:sz="12" w:space="0" w:color="auto"/>
              <w:bottom w:val="single" w:sz="4" w:space="0" w:color="auto"/>
              <w:right w:val="single" w:sz="4" w:space="0" w:color="auto"/>
            </w:tcBorders>
            <w:shd w:val="clear" w:color="000000" w:fill="8DB4E2"/>
            <w:vAlign w:val="center"/>
            <w:hideMark/>
          </w:tcPr>
          <w:p w:rsidR="007306CA" w:rsidRDefault="00576025">
            <w:pPr>
              <w:spacing w:after="0"/>
              <w:jc w:val="left"/>
              <w:rPr>
                <w:noProof/>
                <w:color w:val="000000"/>
                <w:sz w:val="18"/>
                <w:szCs w:val="18"/>
              </w:rPr>
            </w:pPr>
            <w:r>
              <w:rPr>
                <w:noProof/>
                <w:color w:val="000000"/>
                <w:sz w:val="18"/>
                <w:szCs w:val="18"/>
              </w:rPr>
              <w:t>Length of work contract</w:t>
            </w:r>
          </w:p>
        </w:tc>
        <w:tc>
          <w:tcPr>
            <w:tcW w:w="1297" w:type="dxa"/>
            <w:tcBorders>
              <w:top w:val="single" w:sz="4" w:space="0" w:color="auto"/>
              <w:left w:val="nil"/>
              <w:bottom w:val="single" w:sz="4" w:space="0" w:color="auto"/>
              <w:right w:val="single" w:sz="4" w:space="0" w:color="auto"/>
            </w:tcBorders>
            <w:shd w:val="clear" w:color="auto" w:fill="auto"/>
            <w:vAlign w:val="center"/>
            <w:hideMark/>
          </w:tcPr>
          <w:p w:rsidR="007306CA" w:rsidRDefault="00576025">
            <w:pPr>
              <w:spacing w:after="0"/>
              <w:jc w:val="left"/>
              <w:rPr>
                <w:noProof/>
                <w:color w:val="000000"/>
                <w:sz w:val="18"/>
                <w:szCs w:val="18"/>
              </w:rPr>
            </w:pPr>
            <w:r>
              <w:rPr>
                <w:noProof/>
                <w:color w:val="000000"/>
                <w:sz w:val="18"/>
                <w:szCs w:val="18"/>
              </w:rPr>
              <w:t>12 months</w:t>
            </w:r>
          </w:p>
        </w:tc>
        <w:tc>
          <w:tcPr>
            <w:tcW w:w="1503" w:type="dxa"/>
            <w:tcBorders>
              <w:top w:val="single" w:sz="4" w:space="0" w:color="auto"/>
              <w:left w:val="nil"/>
              <w:bottom w:val="single" w:sz="4" w:space="0" w:color="auto"/>
              <w:right w:val="single" w:sz="4" w:space="0" w:color="auto"/>
            </w:tcBorders>
            <w:shd w:val="clear" w:color="auto" w:fill="auto"/>
            <w:vAlign w:val="center"/>
            <w:hideMark/>
          </w:tcPr>
          <w:p w:rsidR="007306CA" w:rsidRDefault="00576025">
            <w:pPr>
              <w:spacing w:after="0"/>
              <w:jc w:val="left"/>
              <w:rPr>
                <w:noProof/>
                <w:color w:val="000000"/>
                <w:sz w:val="18"/>
                <w:szCs w:val="18"/>
              </w:rPr>
            </w:pPr>
            <w:r>
              <w:rPr>
                <w:noProof/>
                <w:color w:val="000000"/>
                <w:sz w:val="18"/>
                <w:szCs w:val="18"/>
              </w:rPr>
              <w:t>6 months</w:t>
            </w:r>
          </w:p>
        </w:tc>
        <w:tc>
          <w:tcPr>
            <w:tcW w:w="1463" w:type="dxa"/>
            <w:tcBorders>
              <w:top w:val="single" w:sz="4" w:space="0" w:color="auto"/>
              <w:left w:val="nil"/>
              <w:bottom w:val="single" w:sz="4" w:space="0" w:color="auto"/>
              <w:right w:val="single" w:sz="4" w:space="0" w:color="auto"/>
            </w:tcBorders>
            <w:shd w:val="clear" w:color="auto" w:fill="auto"/>
            <w:vAlign w:val="center"/>
            <w:hideMark/>
          </w:tcPr>
          <w:p w:rsidR="007306CA" w:rsidRDefault="00576025">
            <w:pPr>
              <w:spacing w:after="0"/>
              <w:jc w:val="left"/>
              <w:rPr>
                <w:noProof/>
                <w:color w:val="000000"/>
                <w:sz w:val="18"/>
                <w:szCs w:val="18"/>
              </w:rPr>
            </w:pPr>
            <w:r>
              <w:rPr>
                <w:noProof/>
                <w:color w:val="000000"/>
                <w:sz w:val="18"/>
                <w:szCs w:val="18"/>
              </w:rPr>
              <w:t>6 months</w:t>
            </w:r>
          </w:p>
        </w:tc>
        <w:tc>
          <w:tcPr>
            <w:tcW w:w="1164" w:type="dxa"/>
            <w:tcBorders>
              <w:top w:val="single" w:sz="4" w:space="0" w:color="auto"/>
              <w:left w:val="nil"/>
              <w:bottom w:val="single" w:sz="4" w:space="0" w:color="auto"/>
              <w:right w:val="single" w:sz="4" w:space="0" w:color="auto"/>
            </w:tcBorders>
            <w:shd w:val="clear" w:color="auto" w:fill="auto"/>
            <w:vAlign w:val="center"/>
            <w:hideMark/>
          </w:tcPr>
          <w:p w:rsidR="007306CA" w:rsidRDefault="00576025">
            <w:pPr>
              <w:spacing w:after="0"/>
              <w:jc w:val="left"/>
              <w:rPr>
                <w:noProof/>
                <w:color w:val="000000"/>
                <w:sz w:val="18"/>
                <w:szCs w:val="18"/>
              </w:rPr>
            </w:pPr>
            <w:r>
              <w:rPr>
                <w:noProof/>
                <w:color w:val="000000"/>
                <w:sz w:val="18"/>
                <w:szCs w:val="18"/>
              </w:rPr>
              <w:t>6 months</w:t>
            </w:r>
          </w:p>
        </w:tc>
        <w:tc>
          <w:tcPr>
            <w:tcW w:w="1466" w:type="dxa"/>
            <w:tcBorders>
              <w:top w:val="single" w:sz="4" w:space="0" w:color="auto"/>
              <w:left w:val="nil"/>
              <w:bottom w:val="single" w:sz="4" w:space="0" w:color="auto"/>
              <w:right w:val="single" w:sz="4" w:space="0" w:color="auto"/>
            </w:tcBorders>
            <w:shd w:val="clear" w:color="auto" w:fill="auto"/>
            <w:vAlign w:val="center"/>
            <w:hideMark/>
          </w:tcPr>
          <w:p w:rsidR="007306CA" w:rsidRDefault="00576025">
            <w:pPr>
              <w:spacing w:after="0"/>
              <w:jc w:val="left"/>
              <w:rPr>
                <w:noProof/>
                <w:color w:val="000000"/>
                <w:sz w:val="18"/>
                <w:szCs w:val="18"/>
              </w:rPr>
            </w:pPr>
            <w:r>
              <w:rPr>
                <w:noProof/>
                <w:color w:val="000000"/>
                <w:sz w:val="18"/>
                <w:szCs w:val="18"/>
              </w:rPr>
              <w:t>6 months</w:t>
            </w:r>
          </w:p>
        </w:tc>
        <w:tc>
          <w:tcPr>
            <w:tcW w:w="1358" w:type="dxa"/>
            <w:tcBorders>
              <w:top w:val="single" w:sz="4" w:space="0" w:color="auto"/>
              <w:left w:val="nil"/>
              <w:bottom w:val="single" w:sz="4" w:space="0" w:color="auto"/>
              <w:right w:val="single" w:sz="12" w:space="0" w:color="auto"/>
            </w:tcBorders>
            <w:shd w:val="clear" w:color="auto" w:fill="auto"/>
            <w:vAlign w:val="center"/>
            <w:hideMark/>
          </w:tcPr>
          <w:p w:rsidR="007306CA" w:rsidRDefault="00576025">
            <w:pPr>
              <w:spacing w:after="0"/>
              <w:jc w:val="left"/>
              <w:rPr>
                <w:noProof/>
                <w:color w:val="000000"/>
                <w:sz w:val="18"/>
                <w:szCs w:val="18"/>
              </w:rPr>
            </w:pPr>
            <w:r>
              <w:rPr>
                <w:noProof/>
                <w:color w:val="000000"/>
                <w:sz w:val="18"/>
                <w:szCs w:val="18"/>
              </w:rPr>
              <w:t>6 months</w:t>
            </w:r>
          </w:p>
        </w:tc>
      </w:tr>
      <w:tr w:rsidR="007306CA">
        <w:trPr>
          <w:gridAfter w:val="1"/>
          <w:wAfter w:w="7" w:type="dxa"/>
          <w:trHeight w:val="120"/>
          <w:jc w:val="center"/>
        </w:trPr>
        <w:tc>
          <w:tcPr>
            <w:tcW w:w="1059" w:type="dxa"/>
            <w:tcBorders>
              <w:top w:val="single" w:sz="4" w:space="0" w:color="auto"/>
              <w:left w:val="single" w:sz="12" w:space="0" w:color="auto"/>
              <w:bottom w:val="single" w:sz="4" w:space="0" w:color="auto"/>
              <w:right w:val="single" w:sz="4" w:space="0" w:color="auto"/>
            </w:tcBorders>
            <w:shd w:val="clear" w:color="000000" w:fill="8DB4E2"/>
            <w:vAlign w:val="center"/>
            <w:hideMark/>
          </w:tcPr>
          <w:p w:rsidR="007306CA" w:rsidRDefault="00576025">
            <w:pPr>
              <w:spacing w:after="0"/>
              <w:jc w:val="left"/>
              <w:rPr>
                <w:noProof/>
                <w:color w:val="000000"/>
                <w:sz w:val="18"/>
                <w:szCs w:val="18"/>
              </w:rPr>
            </w:pPr>
            <w:r>
              <w:rPr>
                <w:noProof/>
                <w:color w:val="000000"/>
                <w:sz w:val="18"/>
                <w:szCs w:val="18"/>
              </w:rPr>
              <w:t>Qualifications - regulated professions</w:t>
            </w:r>
          </w:p>
        </w:tc>
        <w:tc>
          <w:tcPr>
            <w:tcW w:w="1297" w:type="dxa"/>
            <w:tcBorders>
              <w:top w:val="single" w:sz="4" w:space="0" w:color="auto"/>
              <w:left w:val="nil"/>
              <w:bottom w:val="single" w:sz="4" w:space="0" w:color="auto"/>
              <w:right w:val="single" w:sz="4" w:space="0" w:color="auto"/>
            </w:tcBorders>
            <w:shd w:val="clear" w:color="auto" w:fill="auto"/>
            <w:vAlign w:val="center"/>
            <w:hideMark/>
          </w:tcPr>
          <w:p w:rsidR="007306CA" w:rsidRDefault="00576025">
            <w:pPr>
              <w:spacing w:after="0"/>
              <w:jc w:val="left"/>
              <w:rPr>
                <w:noProof/>
                <w:color w:val="000000"/>
                <w:sz w:val="18"/>
                <w:szCs w:val="18"/>
              </w:rPr>
            </w:pPr>
            <w:r>
              <w:rPr>
                <w:noProof/>
                <w:color w:val="000000"/>
                <w:sz w:val="18"/>
                <w:szCs w:val="18"/>
              </w:rPr>
              <w:t>Required</w:t>
            </w:r>
          </w:p>
        </w:tc>
        <w:tc>
          <w:tcPr>
            <w:tcW w:w="1503" w:type="dxa"/>
            <w:tcBorders>
              <w:top w:val="single" w:sz="4" w:space="0" w:color="auto"/>
              <w:left w:val="nil"/>
              <w:bottom w:val="single" w:sz="4" w:space="0" w:color="auto"/>
              <w:right w:val="single" w:sz="4" w:space="0" w:color="auto"/>
            </w:tcBorders>
            <w:shd w:val="clear" w:color="auto" w:fill="auto"/>
            <w:vAlign w:val="center"/>
            <w:hideMark/>
          </w:tcPr>
          <w:p w:rsidR="007306CA" w:rsidRDefault="00576025">
            <w:pPr>
              <w:spacing w:after="0"/>
              <w:jc w:val="left"/>
              <w:rPr>
                <w:noProof/>
                <w:color w:val="000000"/>
                <w:sz w:val="18"/>
                <w:szCs w:val="18"/>
              </w:rPr>
            </w:pPr>
            <w:r>
              <w:rPr>
                <w:noProof/>
                <w:color w:val="000000"/>
                <w:sz w:val="18"/>
                <w:szCs w:val="18"/>
              </w:rPr>
              <w:t xml:space="preserve">Required, but no </w:t>
            </w:r>
            <w:r>
              <w:rPr>
                <w:noProof/>
                <w:color w:val="000000"/>
                <w:sz w:val="18"/>
                <w:szCs w:val="18"/>
              </w:rPr>
              <w:t>salary threshold if highly skilled job (ISCO 1-2)</w:t>
            </w:r>
          </w:p>
        </w:tc>
        <w:tc>
          <w:tcPr>
            <w:tcW w:w="1463" w:type="dxa"/>
            <w:tcBorders>
              <w:top w:val="single" w:sz="4" w:space="0" w:color="auto"/>
              <w:left w:val="nil"/>
              <w:bottom w:val="single" w:sz="4" w:space="0" w:color="auto"/>
              <w:right w:val="single" w:sz="4" w:space="0" w:color="auto"/>
            </w:tcBorders>
            <w:shd w:val="clear" w:color="auto" w:fill="auto"/>
            <w:vAlign w:val="center"/>
            <w:hideMark/>
          </w:tcPr>
          <w:p w:rsidR="007306CA" w:rsidRDefault="00576025">
            <w:pPr>
              <w:spacing w:after="0"/>
              <w:jc w:val="left"/>
              <w:rPr>
                <w:noProof/>
                <w:color w:val="000000"/>
                <w:sz w:val="18"/>
                <w:szCs w:val="18"/>
              </w:rPr>
            </w:pPr>
            <w:r>
              <w:rPr>
                <w:noProof/>
                <w:color w:val="000000"/>
                <w:sz w:val="18"/>
                <w:szCs w:val="18"/>
              </w:rPr>
              <w:t>Baseline</w:t>
            </w:r>
          </w:p>
        </w:tc>
        <w:tc>
          <w:tcPr>
            <w:tcW w:w="1164" w:type="dxa"/>
            <w:tcBorders>
              <w:top w:val="single" w:sz="4" w:space="0" w:color="auto"/>
              <w:left w:val="nil"/>
              <w:bottom w:val="single" w:sz="4" w:space="0" w:color="auto"/>
              <w:right w:val="single" w:sz="4" w:space="0" w:color="auto"/>
            </w:tcBorders>
            <w:shd w:val="clear" w:color="auto" w:fill="auto"/>
            <w:vAlign w:val="center"/>
            <w:hideMark/>
          </w:tcPr>
          <w:p w:rsidR="007306CA" w:rsidRDefault="00576025">
            <w:pPr>
              <w:spacing w:after="0"/>
              <w:jc w:val="left"/>
              <w:rPr>
                <w:noProof/>
                <w:color w:val="000000"/>
                <w:sz w:val="18"/>
                <w:szCs w:val="18"/>
              </w:rPr>
            </w:pPr>
            <w:r>
              <w:rPr>
                <w:noProof/>
                <w:color w:val="000000"/>
                <w:sz w:val="18"/>
                <w:szCs w:val="18"/>
              </w:rPr>
              <w:t>Baseline</w:t>
            </w:r>
          </w:p>
        </w:tc>
        <w:tc>
          <w:tcPr>
            <w:tcW w:w="1466" w:type="dxa"/>
            <w:tcBorders>
              <w:top w:val="single" w:sz="4" w:space="0" w:color="auto"/>
              <w:left w:val="nil"/>
              <w:bottom w:val="single" w:sz="4" w:space="0" w:color="auto"/>
              <w:right w:val="single" w:sz="4" w:space="0" w:color="auto"/>
            </w:tcBorders>
            <w:shd w:val="clear" w:color="auto" w:fill="auto"/>
            <w:vAlign w:val="center"/>
            <w:hideMark/>
          </w:tcPr>
          <w:p w:rsidR="007306CA" w:rsidRDefault="00576025">
            <w:pPr>
              <w:spacing w:after="0"/>
              <w:jc w:val="left"/>
              <w:rPr>
                <w:noProof/>
                <w:color w:val="000000"/>
                <w:sz w:val="18"/>
                <w:szCs w:val="18"/>
              </w:rPr>
            </w:pPr>
            <w:r>
              <w:rPr>
                <w:noProof/>
                <w:color w:val="000000"/>
                <w:sz w:val="18"/>
                <w:szCs w:val="18"/>
              </w:rPr>
              <w:t>Baseline</w:t>
            </w:r>
          </w:p>
        </w:tc>
        <w:tc>
          <w:tcPr>
            <w:tcW w:w="1358" w:type="dxa"/>
            <w:tcBorders>
              <w:top w:val="single" w:sz="4" w:space="0" w:color="auto"/>
              <w:left w:val="nil"/>
              <w:bottom w:val="single" w:sz="4" w:space="0" w:color="auto"/>
              <w:right w:val="single" w:sz="12" w:space="0" w:color="auto"/>
            </w:tcBorders>
            <w:shd w:val="clear" w:color="auto" w:fill="auto"/>
            <w:vAlign w:val="center"/>
            <w:hideMark/>
          </w:tcPr>
          <w:p w:rsidR="007306CA" w:rsidRDefault="00576025">
            <w:pPr>
              <w:spacing w:after="0"/>
              <w:jc w:val="left"/>
              <w:rPr>
                <w:noProof/>
                <w:color w:val="000000"/>
                <w:sz w:val="18"/>
                <w:szCs w:val="18"/>
              </w:rPr>
            </w:pPr>
            <w:r>
              <w:rPr>
                <w:noProof/>
                <w:color w:val="000000"/>
                <w:sz w:val="18"/>
                <w:szCs w:val="18"/>
              </w:rPr>
              <w:t>Baseline</w:t>
            </w:r>
          </w:p>
        </w:tc>
      </w:tr>
      <w:tr w:rsidR="007306CA">
        <w:trPr>
          <w:gridAfter w:val="1"/>
          <w:wAfter w:w="7" w:type="dxa"/>
          <w:trHeight w:val="74"/>
          <w:jc w:val="center"/>
        </w:trPr>
        <w:tc>
          <w:tcPr>
            <w:tcW w:w="1059" w:type="dxa"/>
            <w:tcBorders>
              <w:top w:val="single" w:sz="4" w:space="0" w:color="auto"/>
              <w:left w:val="single" w:sz="12" w:space="0" w:color="auto"/>
              <w:bottom w:val="single" w:sz="4" w:space="0" w:color="auto"/>
              <w:right w:val="single" w:sz="4" w:space="0" w:color="auto"/>
            </w:tcBorders>
            <w:shd w:val="clear" w:color="000000" w:fill="8DB4E2"/>
            <w:vAlign w:val="center"/>
            <w:hideMark/>
          </w:tcPr>
          <w:p w:rsidR="007306CA" w:rsidRDefault="00576025">
            <w:pPr>
              <w:spacing w:after="0"/>
              <w:jc w:val="left"/>
              <w:rPr>
                <w:noProof/>
                <w:color w:val="000000"/>
                <w:sz w:val="18"/>
                <w:szCs w:val="18"/>
              </w:rPr>
            </w:pPr>
            <w:r>
              <w:rPr>
                <w:noProof/>
                <w:color w:val="000000"/>
                <w:sz w:val="18"/>
                <w:szCs w:val="18"/>
              </w:rPr>
              <w:t>Qualifications – unreg. professions</w:t>
            </w:r>
          </w:p>
        </w:tc>
        <w:tc>
          <w:tcPr>
            <w:tcW w:w="1297" w:type="dxa"/>
            <w:tcBorders>
              <w:top w:val="single" w:sz="4" w:space="0" w:color="auto"/>
              <w:left w:val="nil"/>
              <w:bottom w:val="single" w:sz="4" w:space="0" w:color="auto"/>
              <w:right w:val="single" w:sz="4" w:space="0" w:color="auto"/>
            </w:tcBorders>
            <w:shd w:val="clear" w:color="auto" w:fill="auto"/>
            <w:vAlign w:val="center"/>
            <w:hideMark/>
          </w:tcPr>
          <w:p w:rsidR="007306CA" w:rsidRDefault="00576025">
            <w:pPr>
              <w:spacing w:after="0"/>
              <w:jc w:val="left"/>
              <w:rPr>
                <w:noProof/>
                <w:color w:val="000000"/>
                <w:sz w:val="18"/>
                <w:szCs w:val="18"/>
              </w:rPr>
            </w:pPr>
            <w:r>
              <w:rPr>
                <w:noProof/>
                <w:color w:val="000000"/>
                <w:sz w:val="18"/>
                <w:szCs w:val="18"/>
              </w:rPr>
              <w:t>Required</w:t>
            </w:r>
          </w:p>
        </w:tc>
        <w:tc>
          <w:tcPr>
            <w:tcW w:w="1503" w:type="dxa"/>
            <w:tcBorders>
              <w:top w:val="single" w:sz="4" w:space="0" w:color="auto"/>
              <w:left w:val="nil"/>
              <w:bottom w:val="single" w:sz="4" w:space="0" w:color="auto"/>
              <w:right w:val="single" w:sz="4" w:space="0" w:color="auto"/>
            </w:tcBorders>
            <w:shd w:val="clear" w:color="auto" w:fill="auto"/>
            <w:vAlign w:val="center"/>
            <w:hideMark/>
          </w:tcPr>
          <w:p w:rsidR="007306CA" w:rsidRDefault="00576025">
            <w:pPr>
              <w:spacing w:after="0"/>
              <w:jc w:val="left"/>
              <w:rPr>
                <w:noProof/>
                <w:color w:val="000000"/>
                <w:sz w:val="18"/>
                <w:szCs w:val="18"/>
              </w:rPr>
            </w:pPr>
            <w:r>
              <w:rPr>
                <w:noProof/>
                <w:color w:val="000000"/>
                <w:sz w:val="18"/>
                <w:szCs w:val="18"/>
              </w:rPr>
              <w:t>Applicant can choose between salary threshold or qualifications</w:t>
            </w:r>
          </w:p>
        </w:tc>
        <w:tc>
          <w:tcPr>
            <w:tcW w:w="1463" w:type="dxa"/>
            <w:tcBorders>
              <w:top w:val="single" w:sz="4" w:space="0" w:color="auto"/>
              <w:left w:val="nil"/>
              <w:bottom w:val="single" w:sz="4" w:space="0" w:color="auto"/>
              <w:right w:val="single" w:sz="4" w:space="0" w:color="auto"/>
            </w:tcBorders>
            <w:shd w:val="clear" w:color="auto" w:fill="auto"/>
            <w:vAlign w:val="center"/>
            <w:hideMark/>
          </w:tcPr>
          <w:p w:rsidR="007306CA" w:rsidRDefault="00576025">
            <w:pPr>
              <w:spacing w:after="0"/>
              <w:jc w:val="left"/>
              <w:rPr>
                <w:noProof/>
                <w:color w:val="000000"/>
                <w:sz w:val="18"/>
                <w:szCs w:val="18"/>
              </w:rPr>
            </w:pPr>
            <w:r>
              <w:rPr>
                <w:noProof/>
                <w:color w:val="000000"/>
                <w:sz w:val="18"/>
                <w:szCs w:val="18"/>
              </w:rPr>
              <w:t>More flexibility for recognition of qualifications</w:t>
            </w:r>
          </w:p>
        </w:tc>
        <w:tc>
          <w:tcPr>
            <w:tcW w:w="1164" w:type="dxa"/>
            <w:tcBorders>
              <w:top w:val="single" w:sz="4" w:space="0" w:color="auto"/>
              <w:left w:val="nil"/>
              <w:bottom w:val="single" w:sz="4" w:space="0" w:color="auto"/>
              <w:right w:val="single" w:sz="4" w:space="0" w:color="auto"/>
            </w:tcBorders>
            <w:shd w:val="clear" w:color="auto" w:fill="auto"/>
            <w:vAlign w:val="center"/>
            <w:hideMark/>
          </w:tcPr>
          <w:p w:rsidR="007306CA" w:rsidRDefault="00576025">
            <w:pPr>
              <w:spacing w:after="0"/>
              <w:jc w:val="left"/>
              <w:rPr>
                <w:noProof/>
                <w:color w:val="000000"/>
                <w:sz w:val="18"/>
                <w:szCs w:val="18"/>
              </w:rPr>
            </w:pPr>
            <w:r>
              <w:rPr>
                <w:noProof/>
                <w:color w:val="000000"/>
                <w:sz w:val="18"/>
                <w:szCs w:val="18"/>
              </w:rPr>
              <w:t xml:space="preserve">Same as </w:t>
            </w:r>
            <w:r>
              <w:rPr>
                <w:noProof/>
                <w:color w:val="000000"/>
                <w:sz w:val="18"/>
                <w:szCs w:val="18"/>
              </w:rPr>
              <w:t>POP2(a)</w:t>
            </w:r>
          </w:p>
        </w:tc>
        <w:tc>
          <w:tcPr>
            <w:tcW w:w="1466" w:type="dxa"/>
            <w:tcBorders>
              <w:top w:val="single" w:sz="4" w:space="0" w:color="auto"/>
              <w:left w:val="nil"/>
              <w:bottom w:val="single" w:sz="4" w:space="0" w:color="auto"/>
              <w:right w:val="single" w:sz="4" w:space="0" w:color="auto"/>
            </w:tcBorders>
            <w:shd w:val="clear" w:color="auto" w:fill="auto"/>
            <w:vAlign w:val="center"/>
            <w:hideMark/>
          </w:tcPr>
          <w:p w:rsidR="007306CA" w:rsidRDefault="00576025">
            <w:pPr>
              <w:spacing w:after="0"/>
              <w:jc w:val="left"/>
              <w:rPr>
                <w:noProof/>
                <w:color w:val="000000"/>
                <w:sz w:val="18"/>
                <w:szCs w:val="18"/>
              </w:rPr>
            </w:pPr>
            <w:r>
              <w:rPr>
                <w:noProof/>
                <w:color w:val="000000"/>
                <w:sz w:val="18"/>
                <w:szCs w:val="18"/>
              </w:rPr>
              <w:t>Same as POP2(a)</w:t>
            </w:r>
          </w:p>
        </w:tc>
        <w:tc>
          <w:tcPr>
            <w:tcW w:w="1358" w:type="dxa"/>
            <w:tcBorders>
              <w:top w:val="single" w:sz="4" w:space="0" w:color="auto"/>
              <w:left w:val="nil"/>
              <w:bottom w:val="single" w:sz="4" w:space="0" w:color="auto"/>
              <w:right w:val="single" w:sz="12" w:space="0" w:color="auto"/>
            </w:tcBorders>
            <w:shd w:val="clear" w:color="auto" w:fill="auto"/>
            <w:vAlign w:val="center"/>
            <w:hideMark/>
          </w:tcPr>
          <w:p w:rsidR="007306CA" w:rsidRDefault="00576025">
            <w:pPr>
              <w:spacing w:after="0"/>
              <w:jc w:val="left"/>
              <w:rPr>
                <w:noProof/>
                <w:color w:val="000000"/>
                <w:sz w:val="18"/>
                <w:szCs w:val="18"/>
              </w:rPr>
            </w:pPr>
            <w:r>
              <w:rPr>
                <w:noProof/>
                <w:color w:val="000000"/>
                <w:sz w:val="18"/>
                <w:szCs w:val="18"/>
              </w:rPr>
              <w:t>Same as POP2(a)</w:t>
            </w:r>
          </w:p>
        </w:tc>
      </w:tr>
      <w:tr w:rsidR="007306CA">
        <w:trPr>
          <w:gridAfter w:val="1"/>
          <w:wAfter w:w="7" w:type="dxa"/>
          <w:trHeight w:val="74"/>
          <w:jc w:val="center"/>
        </w:trPr>
        <w:tc>
          <w:tcPr>
            <w:tcW w:w="1059" w:type="dxa"/>
            <w:tcBorders>
              <w:top w:val="single" w:sz="4" w:space="0" w:color="auto"/>
              <w:left w:val="single" w:sz="12" w:space="0" w:color="auto"/>
              <w:bottom w:val="single" w:sz="4" w:space="0" w:color="auto"/>
              <w:right w:val="single" w:sz="4" w:space="0" w:color="auto"/>
            </w:tcBorders>
            <w:shd w:val="clear" w:color="000000" w:fill="8DB4E2"/>
            <w:vAlign w:val="center"/>
            <w:hideMark/>
          </w:tcPr>
          <w:p w:rsidR="007306CA" w:rsidRDefault="00576025">
            <w:pPr>
              <w:spacing w:after="0"/>
              <w:jc w:val="left"/>
              <w:rPr>
                <w:noProof/>
                <w:color w:val="000000"/>
                <w:sz w:val="18"/>
                <w:szCs w:val="18"/>
              </w:rPr>
            </w:pPr>
            <w:r>
              <w:rPr>
                <w:noProof/>
                <w:color w:val="000000"/>
                <w:sz w:val="18"/>
                <w:szCs w:val="18"/>
              </w:rPr>
              <w:t>Prof. experience alternative</w:t>
            </w:r>
          </w:p>
        </w:tc>
        <w:tc>
          <w:tcPr>
            <w:tcW w:w="1297" w:type="dxa"/>
            <w:tcBorders>
              <w:top w:val="single" w:sz="4" w:space="0" w:color="auto"/>
              <w:left w:val="nil"/>
              <w:bottom w:val="single" w:sz="4" w:space="0" w:color="auto"/>
              <w:right w:val="single" w:sz="4" w:space="0" w:color="auto"/>
            </w:tcBorders>
            <w:shd w:val="clear" w:color="auto" w:fill="auto"/>
            <w:vAlign w:val="center"/>
            <w:hideMark/>
          </w:tcPr>
          <w:p w:rsidR="007306CA" w:rsidRDefault="00576025">
            <w:pPr>
              <w:spacing w:after="0"/>
              <w:jc w:val="left"/>
              <w:rPr>
                <w:noProof/>
                <w:color w:val="000000"/>
                <w:sz w:val="18"/>
                <w:szCs w:val="18"/>
              </w:rPr>
            </w:pPr>
            <w:r>
              <w:rPr>
                <w:noProof/>
                <w:color w:val="000000"/>
                <w:sz w:val="18"/>
                <w:szCs w:val="18"/>
              </w:rPr>
              <w:t>Optional 5 years</w:t>
            </w:r>
          </w:p>
        </w:tc>
        <w:tc>
          <w:tcPr>
            <w:tcW w:w="1503" w:type="dxa"/>
            <w:tcBorders>
              <w:top w:val="single" w:sz="4" w:space="0" w:color="auto"/>
              <w:left w:val="nil"/>
              <w:bottom w:val="single" w:sz="4" w:space="0" w:color="auto"/>
              <w:right w:val="single" w:sz="4" w:space="0" w:color="auto"/>
            </w:tcBorders>
            <w:shd w:val="clear" w:color="auto" w:fill="auto"/>
            <w:vAlign w:val="center"/>
            <w:hideMark/>
          </w:tcPr>
          <w:p w:rsidR="007306CA" w:rsidRDefault="00576025">
            <w:pPr>
              <w:spacing w:after="0"/>
              <w:jc w:val="left"/>
              <w:rPr>
                <w:noProof/>
                <w:color w:val="000000"/>
                <w:sz w:val="18"/>
                <w:szCs w:val="18"/>
              </w:rPr>
            </w:pPr>
            <w:r>
              <w:rPr>
                <w:noProof/>
                <w:color w:val="000000"/>
                <w:sz w:val="18"/>
                <w:szCs w:val="18"/>
              </w:rPr>
              <w:t>Baseline</w:t>
            </w:r>
          </w:p>
        </w:tc>
        <w:tc>
          <w:tcPr>
            <w:tcW w:w="1463" w:type="dxa"/>
            <w:tcBorders>
              <w:top w:val="single" w:sz="4" w:space="0" w:color="auto"/>
              <w:left w:val="nil"/>
              <w:bottom w:val="single" w:sz="4" w:space="0" w:color="auto"/>
              <w:right w:val="single" w:sz="4" w:space="0" w:color="auto"/>
            </w:tcBorders>
            <w:shd w:val="clear" w:color="auto" w:fill="auto"/>
            <w:vAlign w:val="center"/>
            <w:hideMark/>
          </w:tcPr>
          <w:p w:rsidR="007306CA" w:rsidRDefault="00576025">
            <w:pPr>
              <w:spacing w:after="0"/>
              <w:jc w:val="left"/>
              <w:rPr>
                <w:noProof/>
                <w:color w:val="000000"/>
                <w:sz w:val="18"/>
                <w:szCs w:val="18"/>
              </w:rPr>
            </w:pPr>
            <w:r>
              <w:rPr>
                <w:noProof/>
                <w:color w:val="000000"/>
                <w:sz w:val="18"/>
                <w:szCs w:val="18"/>
              </w:rPr>
              <w:t>Mandatory (unregulated professions)</w:t>
            </w:r>
          </w:p>
        </w:tc>
        <w:tc>
          <w:tcPr>
            <w:tcW w:w="1164" w:type="dxa"/>
            <w:tcBorders>
              <w:top w:val="single" w:sz="4" w:space="0" w:color="auto"/>
              <w:left w:val="nil"/>
              <w:bottom w:val="single" w:sz="4" w:space="0" w:color="auto"/>
              <w:right w:val="single" w:sz="4" w:space="0" w:color="auto"/>
            </w:tcBorders>
            <w:shd w:val="clear" w:color="auto" w:fill="auto"/>
            <w:vAlign w:val="center"/>
            <w:hideMark/>
          </w:tcPr>
          <w:p w:rsidR="007306CA" w:rsidRDefault="00576025">
            <w:pPr>
              <w:spacing w:after="0"/>
              <w:jc w:val="left"/>
              <w:rPr>
                <w:noProof/>
                <w:color w:val="000000"/>
                <w:sz w:val="18"/>
                <w:szCs w:val="18"/>
              </w:rPr>
            </w:pPr>
            <w:r>
              <w:rPr>
                <w:noProof/>
                <w:color w:val="000000"/>
                <w:sz w:val="18"/>
                <w:szCs w:val="18"/>
              </w:rPr>
              <w:t>Same as POP2(a)</w:t>
            </w:r>
          </w:p>
        </w:tc>
        <w:tc>
          <w:tcPr>
            <w:tcW w:w="1466" w:type="dxa"/>
            <w:tcBorders>
              <w:top w:val="single" w:sz="4" w:space="0" w:color="auto"/>
              <w:left w:val="nil"/>
              <w:bottom w:val="single" w:sz="4" w:space="0" w:color="auto"/>
              <w:right w:val="single" w:sz="4" w:space="0" w:color="auto"/>
            </w:tcBorders>
            <w:shd w:val="clear" w:color="auto" w:fill="auto"/>
            <w:vAlign w:val="center"/>
            <w:hideMark/>
          </w:tcPr>
          <w:p w:rsidR="007306CA" w:rsidRDefault="00576025">
            <w:pPr>
              <w:spacing w:after="0"/>
              <w:jc w:val="left"/>
              <w:rPr>
                <w:noProof/>
                <w:color w:val="000000"/>
                <w:sz w:val="18"/>
                <w:szCs w:val="18"/>
              </w:rPr>
            </w:pPr>
            <w:r>
              <w:rPr>
                <w:noProof/>
                <w:color w:val="000000"/>
                <w:sz w:val="18"/>
                <w:szCs w:val="18"/>
              </w:rPr>
              <w:t>Same as POP2(a)</w:t>
            </w:r>
          </w:p>
        </w:tc>
        <w:tc>
          <w:tcPr>
            <w:tcW w:w="1358" w:type="dxa"/>
            <w:tcBorders>
              <w:top w:val="single" w:sz="4" w:space="0" w:color="auto"/>
              <w:left w:val="nil"/>
              <w:bottom w:val="single" w:sz="4" w:space="0" w:color="auto"/>
              <w:right w:val="single" w:sz="12" w:space="0" w:color="auto"/>
            </w:tcBorders>
            <w:shd w:val="clear" w:color="auto" w:fill="auto"/>
            <w:vAlign w:val="center"/>
            <w:hideMark/>
          </w:tcPr>
          <w:p w:rsidR="007306CA" w:rsidRDefault="00576025">
            <w:pPr>
              <w:spacing w:after="0"/>
              <w:jc w:val="left"/>
              <w:rPr>
                <w:noProof/>
                <w:color w:val="000000"/>
                <w:sz w:val="18"/>
                <w:szCs w:val="18"/>
              </w:rPr>
            </w:pPr>
            <w:r>
              <w:rPr>
                <w:noProof/>
                <w:color w:val="000000"/>
                <w:sz w:val="18"/>
                <w:szCs w:val="18"/>
              </w:rPr>
              <w:t>Same as POP2(a)</w:t>
            </w:r>
          </w:p>
        </w:tc>
      </w:tr>
      <w:tr w:rsidR="007306CA">
        <w:trPr>
          <w:gridAfter w:val="1"/>
          <w:wAfter w:w="7" w:type="dxa"/>
          <w:trHeight w:val="1062"/>
          <w:jc w:val="center"/>
        </w:trPr>
        <w:tc>
          <w:tcPr>
            <w:tcW w:w="1059" w:type="dxa"/>
            <w:tcBorders>
              <w:top w:val="single" w:sz="4" w:space="0" w:color="auto"/>
              <w:left w:val="single" w:sz="12" w:space="0" w:color="auto"/>
              <w:bottom w:val="single" w:sz="4" w:space="0" w:color="auto"/>
              <w:right w:val="single" w:sz="4" w:space="0" w:color="auto"/>
            </w:tcBorders>
            <w:shd w:val="clear" w:color="000000" w:fill="8DB4E2"/>
            <w:vAlign w:val="center"/>
            <w:hideMark/>
          </w:tcPr>
          <w:p w:rsidR="007306CA" w:rsidRDefault="00576025">
            <w:pPr>
              <w:spacing w:after="0"/>
              <w:jc w:val="left"/>
              <w:rPr>
                <w:noProof/>
                <w:color w:val="000000"/>
                <w:sz w:val="18"/>
                <w:szCs w:val="18"/>
              </w:rPr>
            </w:pPr>
            <w:r>
              <w:rPr>
                <w:noProof/>
                <w:color w:val="000000"/>
                <w:sz w:val="18"/>
                <w:szCs w:val="18"/>
              </w:rPr>
              <w:t>General salary threshold</w:t>
            </w:r>
          </w:p>
        </w:tc>
        <w:tc>
          <w:tcPr>
            <w:tcW w:w="1297" w:type="dxa"/>
            <w:tcBorders>
              <w:top w:val="single" w:sz="4" w:space="0" w:color="auto"/>
              <w:left w:val="nil"/>
              <w:bottom w:val="single" w:sz="4" w:space="0" w:color="auto"/>
              <w:right w:val="single" w:sz="4" w:space="0" w:color="auto"/>
            </w:tcBorders>
            <w:shd w:val="clear" w:color="auto" w:fill="auto"/>
            <w:vAlign w:val="center"/>
            <w:hideMark/>
          </w:tcPr>
          <w:p w:rsidR="007306CA" w:rsidRDefault="00576025">
            <w:pPr>
              <w:spacing w:after="0"/>
              <w:jc w:val="left"/>
              <w:rPr>
                <w:noProof/>
                <w:color w:val="000000"/>
                <w:sz w:val="18"/>
                <w:szCs w:val="18"/>
              </w:rPr>
            </w:pPr>
            <w:r>
              <w:rPr>
                <w:noProof/>
                <w:color w:val="000000"/>
                <w:sz w:val="18"/>
                <w:szCs w:val="18"/>
              </w:rPr>
              <w:t xml:space="preserve">Min. 1.5 times </w:t>
            </w:r>
            <w:r>
              <w:rPr>
                <w:noProof/>
                <w:color w:val="000000"/>
                <w:sz w:val="18"/>
                <w:szCs w:val="18"/>
                <w:lang w:eastAsia="en-GB"/>
              </w:rPr>
              <w:t>average</w:t>
            </w:r>
            <w:r>
              <w:rPr>
                <w:noProof/>
                <w:color w:val="000000"/>
                <w:sz w:val="18"/>
                <w:szCs w:val="18"/>
              </w:rPr>
              <w:t xml:space="preserve"> gross annual salary, set by MS</w:t>
            </w:r>
          </w:p>
        </w:tc>
        <w:tc>
          <w:tcPr>
            <w:tcW w:w="1503" w:type="dxa"/>
            <w:tcBorders>
              <w:top w:val="single" w:sz="4" w:space="0" w:color="auto"/>
              <w:left w:val="nil"/>
              <w:bottom w:val="single" w:sz="4" w:space="0" w:color="auto"/>
              <w:right w:val="single" w:sz="4" w:space="0" w:color="auto"/>
            </w:tcBorders>
            <w:shd w:val="clear" w:color="auto" w:fill="auto"/>
            <w:vAlign w:val="center"/>
            <w:hideMark/>
          </w:tcPr>
          <w:p w:rsidR="007306CA" w:rsidRDefault="00576025">
            <w:pPr>
              <w:spacing w:after="0"/>
              <w:jc w:val="left"/>
              <w:rPr>
                <w:noProof/>
                <w:color w:val="000000"/>
                <w:sz w:val="18"/>
                <w:szCs w:val="18"/>
              </w:rPr>
            </w:pPr>
            <w:r>
              <w:rPr>
                <w:noProof/>
                <w:color w:val="000000"/>
                <w:sz w:val="18"/>
                <w:szCs w:val="18"/>
              </w:rPr>
              <w:t>Applicant can choose (unreg. prof.). More harmonised yet remains exclusive, set by MS within limited range (1.4-1.7)</w:t>
            </w:r>
          </w:p>
        </w:tc>
        <w:tc>
          <w:tcPr>
            <w:tcW w:w="1463" w:type="dxa"/>
            <w:tcBorders>
              <w:top w:val="single" w:sz="4" w:space="0" w:color="auto"/>
              <w:left w:val="nil"/>
              <w:bottom w:val="single" w:sz="4" w:space="0" w:color="auto"/>
              <w:right w:val="single" w:sz="4" w:space="0" w:color="auto"/>
            </w:tcBorders>
            <w:shd w:val="clear" w:color="auto" w:fill="auto"/>
            <w:vAlign w:val="center"/>
            <w:hideMark/>
          </w:tcPr>
          <w:p w:rsidR="007306CA" w:rsidRDefault="00576025">
            <w:pPr>
              <w:spacing w:after="0"/>
              <w:jc w:val="left"/>
              <w:rPr>
                <w:noProof/>
                <w:color w:val="000000"/>
                <w:sz w:val="18"/>
                <w:szCs w:val="18"/>
              </w:rPr>
            </w:pPr>
            <w:r>
              <w:rPr>
                <w:noProof/>
                <w:color w:val="000000"/>
                <w:sz w:val="18"/>
                <w:szCs w:val="18"/>
              </w:rPr>
              <w:t>Much lower and more adaptable, set by MS within low range (1.0-1.4)</w:t>
            </w:r>
          </w:p>
        </w:tc>
        <w:tc>
          <w:tcPr>
            <w:tcW w:w="1164" w:type="dxa"/>
            <w:tcBorders>
              <w:top w:val="single" w:sz="4" w:space="0" w:color="auto"/>
              <w:left w:val="nil"/>
              <w:bottom w:val="single" w:sz="4" w:space="0" w:color="auto"/>
              <w:right w:val="single" w:sz="4" w:space="0" w:color="auto"/>
            </w:tcBorders>
            <w:shd w:val="clear" w:color="auto" w:fill="auto"/>
            <w:vAlign w:val="center"/>
            <w:hideMark/>
          </w:tcPr>
          <w:p w:rsidR="007306CA" w:rsidRDefault="00576025">
            <w:pPr>
              <w:spacing w:after="0"/>
              <w:jc w:val="left"/>
              <w:rPr>
                <w:noProof/>
                <w:color w:val="000000"/>
                <w:sz w:val="18"/>
                <w:szCs w:val="18"/>
              </w:rPr>
            </w:pPr>
            <w:r>
              <w:rPr>
                <w:noProof/>
                <w:color w:val="000000"/>
                <w:sz w:val="18"/>
                <w:szCs w:val="18"/>
              </w:rPr>
              <w:t>Remains exclusive (baseline) but more h</w:t>
            </w:r>
            <w:r>
              <w:rPr>
                <w:noProof/>
                <w:color w:val="000000"/>
                <w:sz w:val="18"/>
                <w:szCs w:val="18"/>
              </w:rPr>
              <w:t>armonised, set by MS within limited high range  (1.5-1.7)</w:t>
            </w:r>
          </w:p>
        </w:tc>
        <w:tc>
          <w:tcPr>
            <w:tcW w:w="1466" w:type="dxa"/>
            <w:tcBorders>
              <w:top w:val="single" w:sz="4" w:space="0" w:color="auto"/>
              <w:left w:val="nil"/>
              <w:bottom w:val="single" w:sz="4" w:space="0" w:color="auto"/>
              <w:right w:val="single" w:sz="4" w:space="0" w:color="auto"/>
            </w:tcBorders>
            <w:shd w:val="clear" w:color="auto" w:fill="auto"/>
            <w:vAlign w:val="center"/>
            <w:hideMark/>
          </w:tcPr>
          <w:p w:rsidR="007306CA" w:rsidRDefault="00576025">
            <w:pPr>
              <w:spacing w:after="0"/>
              <w:jc w:val="left"/>
              <w:rPr>
                <w:noProof/>
                <w:color w:val="000000"/>
                <w:sz w:val="18"/>
                <w:szCs w:val="18"/>
              </w:rPr>
            </w:pPr>
            <w:r>
              <w:rPr>
                <w:noProof/>
                <w:color w:val="000000"/>
                <w:sz w:val="18"/>
                <w:szCs w:val="18"/>
              </w:rPr>
              <w:t>POP2(a) for level 1 and POP2(b) level 2 BC holders</w:t>
            </w:r>
          </w:p>
        </w:tc>
        <w:tc>
          <w:tcPr>
            <w:tcW w:w="1358" w:type="dxa"/>
            <w:tcBorders>
              <w:top w:val="single" w:sz="4" w:space="0" w:color="auto"/>
              <w:left w:val="nil"/>
              <w:bottom w:val="single" w:sz="4" w:space="0" w:color="auto"/>
              <w:right w:val="single" w:sz="12" w:space="0" w:color="auto"/>
            </w:tcBorders>
            <w:shd w:val="clear" w:color="auto" w:fill="auto"/>
            <w:vAlign w:val="center"/>
            <w:hideMark/>
          </w:tcPr>
          <w:p w:rsidR="007306CA" w:rsidRDefault="00576025">
            <w:pPr>
              <w:spacing w:after="0"/>
              <w:jc w:val="left"/>
              <w:rPr>
                <w:noProof/>
                <w:color w:val="000000"/>
                <w:sz w:val="18"/>
                <w:szCs w:val="18"/>
              </w:rPr>
            </w:pPr>
            <w:r>
              <w:rPr>
                <w:noProof/>
                <w:color w:val="000000"/>
                <w:sz w:val="18"/>
                <w:szCs w:val="18"/>
              </w:rPr>
              <w:t>Unified relatively high EU-wide salary threshold set at EU-level</w:t>
            </w:r>
          </w:p>
        </w:tc>
      </w:tr>
      <w:tr w:rsidR="007306CA">
        <w:trPr>
          <w:gridAfter w:val="1"/>
          <w:wAfter w:w="7" w:type="dxa"/>
          <w:trHeight w:val="481"/>
          <w:jc w:val="center"/>
        </w:trPr>
        <w:tc>
          <w:tcPr>
            <w:tcW w:w="1059" w:type="dxa"/>
            <w:tcBorders>
              <w:top w:val="single" w:sz="4" w:space="0" w:color="auto"/>
              <w:left w:val="single" w:sz="12" w:space="0" w:color="auto"/>
              <w:bottom w:val="single" w:sz="4" w:space="0" w:color="auto"/>
              <w:right w:val="single" w:sz="4" w:space="0" w:color="auto"/>
            </w:tcBorders>
            <w:shd w:val="clear" w:color="000000" w:fill="8DB4E2"/>
            <w:vAlign w:val="center"/>
            <w:hideMark/>
          </w:tcPr>
          <w:p w:rsidR="007306CA" w:rsidRDefault="00576025">
            <w:pPr>
              <w:spacing w:after="0"/>
              <w:jc w:val="left"/>
              <w:rPr>
                <w:noProof/>
                <w:color w:val="000000"/>
                <w:sz w:val="18"/>
                <w:szCs w:val="18"/>
              </w:rPr>
            </w:pPr>
            <w:r>
              <w:rPr>
                <w:noProof/>
                <w:color w:val="000000"/>
                <w:sz w:val="18"/>
                <w:szCs w:val="18"/>
              </w:rPr>
              <w:t xml:space="preserve">Lower salary threshold </w:t>
            </w:r>
          </w:p>
          <w:p w:rsidR="007306CA" w:rsidRDefault="00576025">
            <w:pPr>
              <w:spacing w:after="0"/>
              <w:jc w:val="left"/>
              <w:rPr>
                <w:noProof/>
                <w:color w:val="000000"/>
                <w:sz w:val="18"/>
                <w:szCs w:val="18"/>
              </w:rPr>
            </w:pPr>
            <w:r>
              <w:rPr>
                <w:noProof/>
                <w:color w:val="000000"/>
                <w:sz w:val="18"/>
                <w:szCs w:val="18"/>
              </w:rPr>
              <w:t>- for shortage occupations</w:t>
            </w:r>
          </w:p>
        </w:tc>
        <w:tc>
          <w:tcPr>
            <w:tcW w:w="1297" w:type="dxa"/>
            <w:tcBorders>
              <w:top w:val="single" w:sz="4" w:space="0" w:color="auto"/>
              <w:left w:val="nil"/>
              <w:bottom w:val="single" w:sz="4" w:space="0" w:color="auto"/>
              <w:right w:val="single" w:sz="4" w:space="0" w:color="auto"/>
            </w:tcBorders>
            <w:shd w:val="clear" w:color="auto" w:fill="auto"/>
            <w:vAlign w:val="center"/>
            <w:hideMark/>
          </w:tcPr>
          <w:p w:rsidR="007306CA" w:rsidRDefault="00576025">
            <w:pPr>
              <w:spacing w:after="0"/>
              <w:jc w:val="left"/>
              <w:rPr>
                <w:noProof/>
                <w:color w:val="000000"/>
                <w:sz w:val="18"/>
                <w:szCs w:val="18"/>
              </w:rPr>
            </w:pPr>
            <w:r>
              <w:rPr>
                <w:noProof/>
                <w:color w:val="000000"/>
                <w:sz w:val="18"/>
                <w:szCs w:val="18"/>
              </w:rPr>
              <w:t xml:space="preserve">Optional, min. 1.2 times </w:t>
            </w:r>
            <w:r>
              <w:rPr>
                <w:noProof/>
                <w:color w:val="000000"/>
                <w:sz w:val="18"/>
                <w:szCs w:val="18"/>
              </w:rPr>
              <w:t>average gross annual salary, limited to highly skilled (ISCO 1-2)</w:t>
            </w:r>
          </w:p>
        </w:tc>
        <w:tc>
          <w:tcPr>
            <w:tcW w:w="1503" w:type="dxa"/>
            <w:tcBorders>
              <w:top w:val="single" w:sz="4" w:space="0" w:color="auto"/>
              <w:left w:val="nil"/>
              <w:bottom w:val="single" w:sz="4" w:space="0" w:color="auto"/>
              <w:right w:val="single" w:sz="4" w:space="0" w:color="auto"/>
            </w:tcBorders>
            <w:shd w:val="clear" w:color="auto" w:fill="auto"/>
            <w:vAlign w:val="center"/>
            <w:hideMark/>
          </w:tcPr>
          <w:p w:rsidR="007306CA" w:rsidRDefault="00576025">
            <w:pPr>
              <w:spacing w:after="0"/>
              <w:jc w:val="left"/>
              <w:rPr>
                <w:noProof/>
                <w:color w:val="000000"/>
                <w:sz w:val="18"/>
                <w:szCs w:val="18"/>
              </w:rPr>
            </w:pPr>
            <w:r>
              <w:rPr>
                <w:noProof/>
                <w:color w:val="000000"/>
                <w:sz w:val="18"/>
                <w:szCs w:val="18"/>
              </w:rPr>
              <w:t>Mandatory, 80 % of general threshold, expanded to some medium skilled (ISCO 1-3)</w:t>
            </w:r>
          </w:p>
        </w:tc>
        <w:tc>
          <w:tcPr>
            <w:tcW w:w="1463" w:type="dxa"/>
            <w:tcBorders>
              <w:top w:val="single" w:sz="4" w:space="0" w:color="auto"/>
              <w:left w:val="nil"/>
              <w:bottom w:val="single" w:sz="4" w:space="0" w:color="auto"/>
              <w:right w:val="single" w:sz="4" w:space="0" w:color="auto"/>
            </w:tcBorders>
            <w:shd w:val="clear" w:color="auto" w:fill="auto"/>
            <w:vAlign w:val="center"/>
            <w:hideMark/>
          </w:tcPr>
          <w:p w:rsidR="007306CA" w:rsidRDefault="00576025">
            <w:pPr>
              <w:spacing w:after="0"/>
              <w:jc w:val="left"/>
              <w:rPr>
                <w:noProof/>
                <w:color w:val="000000"/>
                <w:sz w:val="18"/>
                <w:szCs w:val="18"/>
              </w:rPr>
            </w:pPr>
            <w:r>
              <w:rPr>
                <w:noProof/>
                <w:color w:val="000000"/>
                <w:sz w:val="18"/>
                <w:szCs w:val="18"/>
              </w:rPr>
              <w:t>Mandatory, 80 % of general threshold, limited to highly skilled (ISCO 1-2)</w:t>
            </w:r>
          </w:p>
        </w:tc>
        <w:tc>
          <w:tcPr>
            <w:tcW w:w="1164" w:type="dxa"/>
            <w:tcBorders>
              <w:top w:val="single" w:sz="4" w:space="0" w:color="auto"/>
              <w:left w:val="nil"/>
              <w:bottom w:val="single" w:sz="4" w:space="0" w:color="auto"/>
              <w:right w:val="single" w:sz="4" w:space="0" w:color="auto"/>
            </w:tcBorders>
            <w:shd w:val="clear" w:color="auto" w:fill="auto"/>
            <w:vAlign w:val="center"/>
            <w:hideMark/>
          </w:tcPr>
          <w:p w:rsidR="007306CA" w:rsidRDefault="00576025">
            <w:pPr>
              <w:spacing w:after="0"/>
              <w:jc w:val="left"/>
              <w:rPr>
                <w:noProof/>
                <w:color w:val="000000"/>
                <w:sz w:val="18"/>
                <w:szCs w:val="18"/>
              </w:rPr>
            </w:pPr>
            <w:r>
              <w:rPr>
                <w:noProof/>
                <w:color w:val="000000"/>
                <w:sz w:val="18"/>
                <w:szCs w:val="18"/>
              </w:rPr>
              <w:t>No</w:t>
            </w:r>
          </w:p>
        </w:tc>
        <w:tc>
          <w:tcPr>
            <w:tcW w:w="1466" w:type="dxa"/>
            <w:tcBorders>
              <w:top w:val="single" w:sz="4" w:space="0" w:color="auto"/>
              <w:left w:val="nil"/>
              <w:bottom w:val="single" w:sz="4" w:space="0" w:color="auto"/>
              <w:right w:val="single" w:sz="4" w:space="0" w:color="auto"/>
            </w:tcBorders>
            <w:shd w:val="clear" w:color="auto" w:fill="auto"/>
            <w:vAlign w:val="center"/>
            <w:hideMark/>
          </w:tcPr>
          <w:p w:rsidR="007306CA" w:rsidRDefault="00576025">
            <w:pPr>
              <w:spacing w:after="0"/>
              <w:jc w:val="left"/>
              <w:rPr>
                <w:noProof/>
                <w:color w:val="000000"/>
                <w:sz w:val="18"/>
                <w:szCs w:val="18"/>
              </w:rPr>
            </w:pPr>
            <w:r>
              <w:rPr>
                <w:noProof/>
                <w:color w:val="000000"/>
                <w:sz w:val="18"/>
                <w:szCs w:val="18"/>
              </w:rPr>
              <w:t>Same as POP2(a)</w:t>
            </w:r>
          </w:p>
        </w:tc>
        <w:tc>
          <w:tcPr>
            <w:tcW w:w="1358" w:type="dxa"/>
            <w:tcBorders>
              <w:top w:val="single" w:sz="4" w:space="0" w:color="auto"/>
              <w:left w:val="nil"/>
              <w:bottom w:val="single" w:sz="4" w:space="0" w:color="auto"/>
              <w:right w:val="single" w:sz="12" w:space="0" w:color="auto"/>
            </w:tcBorders>
            <w:shd w:val="clear" w:color="auto" w:fill="auto"/>
            <w:vAlign w:val="center"/>
            <w:hideMark/>
          </w:tcPr>
          <w:p w:rsidR="007306CA" w:rsidRDefault="00576025">
            <w:pPr>
              <w:spacing w:after="0"/>
              <w:jc w:val="left"/>
              <w:rPr>
                <w:noProof/>
                <w:color w:val="000000"/>
                <w:sz w:val="18"/>
                <w:szCs w:val="18"/>
              </w:rPr>
            </w:pPr>
            <w:r>
              <w:rPr>
                <w:noProof/>
                <w:color w:val="000000"/>
                <w:sz w:val="18"/>
                <w:szCs w:val="18"/>
              </w:rPr>
              <w:t>No</w:t>
            </w:r>
          </w:p>
        </w:tc>
      </w:tr>
      <w:tr w:rsidR="007306CA">
        <w:trPr>
          <w:gridAfter w:val="1"/>
          <w:wAfter w:w="7" w:type="dxa"/>
          <w:trHeight w:val="63"/>
          <w:jc w:val="center"/>
        </w:trPr>
        <w:tc>
          <w:tcPr>
            <w:tcW w:w="1059" w:type="dxa"/>
            <w:tcBorders>
              <w:top w:val="single" w:sz="4" w:space="0" w:color="auto"/>
              <w:left w:val="single" w:sz="12" w:space="0" w:color="auto"/>
              <w:bottom w:val="single" w:sz="4" w:space="0" w:color="auto"/>
              <w:right w:val="single" w:sz="4" w:space="0" w:color="auto"/>
            </w:tcBorders>
            <w:shd w:val="clear" w:color="000000" w:fill="8DB4E2"/>
            <w:vAlign w:val="center"/>
            <w:hideMark/>
          </w:tcPr>
          <w:p w:rsidR="007306CA" w:rsidRDefault="00576025">
            <w:pPr>
              <w:spacing w:after="0"/>
              <w:jc w:val="left"/>
              <w:rPr>
                <w:noProof/>
                <w:color w:val="000000"/>
                <w:sz w:val="18"/>
                <w:szCs w:val="18"/>
              </w:rPr>
            </w:pPr>
            <w:r>
              <w:rPr>
                <w:noProof/>
                <w:color w:val="000000"/>
                <w:sz w:val="18"/>
                <w:szCs w:val="18"/>
              </w:rPr>
              <w:t xml:space="preserve">- for </w:t>
            </w:r>
            <w:r>
              <w:rPr>
                <w:noProof/>
                <w:color w:val="000000"/>
                <w:sz w:val="18"/>
                <w:szCs w:val="18"/>
              </w:rPr>
              <w:t>recent graduates</w:t>
            </w:r>
          </w:p>
        </w:tc>
        <w:tc>
          <w:tcPr>
            <w:tcW w:w="1297" w:type="dxa"/>
            <w:tcBorders>
              <w:top w:val="single" w:sz="4" w:space="0" w:color="auto"/>
              <w:left w:val="nil"/>
              <w:bottom w:val="single" w:sz="4" w:space="0" w:color="auto"/>
              <w:right w:val="single" w:sz="4" w:space="0" w:color="auto"/>
            </w:tcBorders>
            <w:shd w:val="clear" w:color="auto" w:fill="auto"/>
            <w:vAlign w:val="center"/>
            <w:hideMark/>
          </w:tcPr>
          <w:p w:rsidR="007306CA" w:rsidRDefault="00576025">
            <w:pPr>
              <w:spacing w:after="0"/>
              <w:jc w:val="left"/>
              <w:rPr>
                <w:noProof/>
                <w:color w:val="000000"/>
                <w:sz w:val="18"/>
                <w:szCs w:val="18"/>
              </w:rPr>
            </w:pPr>
            <w:r>
              <w:rPr>
                <w:noProof/>
                <w:color w:val="000000"/>
                <w:sz w:val="18"/>
                <w:szCs w:val="18"/>
              </w:rPr>
              <w:t>No</w:t>
            </w:r>
          </w:p>
        </w:tc>
        <w:tc>
          <w:tcPr>
            <w:tcW w:w="1503" w:type="dxa"/>
            <w:tcBorders>
              <w:top w:val="single" w:sz="4" w:space="0" w:color="auto"/>
              <w:left w:val="nil"/>
              <w:bottom w:val="single" w:sz="4" w:space="0" w:color="auto"/>
              <w:right w:val="single" w:sz="4" w:space="0" w:color="auto"/>
            </w:tcBorders>
            <w:shd w:val="clear" w:color="auto" w:fill="auto"/>
            <w:vAlign w:val="center"/>
            <w:hideMark/>
          </w:tcPr>
          <w:p w:rsidR="007306CA" w:rsidRDefault="00576025">
            <w:pPr>
              <w:spacing w:after="0"/>
              <w:jc w:val="left"/>
              <w:rPr>
                <w:noProof/>
                <w:color w:val="000000"/>
                <w:sz w:val="18"/>
                <w:szCs w:val="18"/>
              </w:rPr>
            </w:pPr>
            <w:r>
              <w:rPr>
                <w:noProof/>
                <w:color w:val="000000"/>
                <w:sz w:val="18"/>
                <w:szCs w:val="18"/>
              </w:rPr>
              <w:t>No</w:t>
            </w:r>
          </w:p>
        </w:tc>
        <w:tc>
          <w:tcPr>
            <w:tcW w:w="1463" w:type="dxa"/>
            <w:tcBorders>
              <w:top w:val="single" w:sz="4" w:space="0" w:color="auto"/>
              <w:left w:val="nil"/>
              <w:bottom w:val="single" w:sz="4" w:space="0" w:color="auto"/>
              <w:right w:val="single" w:sz="4" w:space="0" w:color="auto"/>
            </w:tcBorders>
            <w:shd w:val="clear" w:color="auto" w:fill="auto"/>
            <w:vAlign w:val="center"/>
            <w:hideMark/>
          </w:tcPr>
          <w:p w:rsidR="007306CA" w:rsidRDefault="00576025">
            <w:pPr>
              <w:spacing w:after="0"/>
              <w:jc w:val="left"/>
              <w:rPr>
                <w:noProof/>
                <w:color w:val="000000"/>
                <w:sz w:val="18"/>
                <w:szCs w:val="18"/>
              </w:rPr>
            </w:pPr>
            <w:r>
              <w:rPr>
                <w:noProof/>
                <w:color w:val="000000"/>
                <w:sz w:val="18"/>
                <w:szCs w:val="18"/>
              </w:rPr>
              <w:t>Yes, 80 % of general threshold</w:t>
            </w:r>
          </w:p>
        </w:tc>
        <w:tc>
          <w:tcPr>
            <w:tcW w:w="1164" w:type="dxa"/>
            <w:tcBorders>
              <w:top w:val="single" w:sz="4" w:space="0" w:color="auto"/>
              <w:left w:val="nil"/>
              <w:bottom w:val="single" w:sz="4" w:space="0" w:color="auto"/>
              <w:right w:val="single" w:sz="4" w:space="0" w:color="auto"/>
            </w:tcBorders>
            <w:shd w:val="clear" w:color="auto" w:fill="auto"/>
            <w:vAlign w:val="center"/>
            <w:hideMark/>
          </w:tcPr>
          <w:p w:rsidR="007306CA" w:rsidRDefault="00576025">
            <w:pPr>
              <w:spacing w:after="0"/>
              <w:jc w:val="left"/>
              <w:rPr>
                <w:noProof/>
                <w:color w:val="000000"/>
                <w:sz w:val="18"/>
                <w:szCs w:val="18"/>
              </w:rPr>
            </w:pPr>
            <w:r>
              <w:rPr>
                <w:noProof/>
                <w:color w:val="000000"/>
                <w:sz w:val="18"/>
                <w:szCs w:val="18"/>
              </w:rPr>
              <w:t>No</w:t>
            </w:r>
          </w:p>
        </w:tc>
        <w:tc>
          <w:tcPr>
            <w:tcW w:w="1466" w:type="dxa"/>
            <w:tcBorders>
              <w:top w:val="single" w:sz="4" w:space="0" w:color="auto"/>
              <w:left w:val="nil"/>
              <w:bottom w:val="single" w:sz="4" w:space="0" w:color="auto"/>
              <w:right w:val="single" w:sz="4" w:space="0" w:color="auto"/>
            </w:tcBorders>
            <w:shd w:val="clear" w:color="auto" w:fill="auto"/>
            <w:vAlign w:val="center"/>
            <w:hideMark/>
          </w:tcPr>
          <w:p w:rsidR="007306CA" w:rsidRDefault="00576025">
            <w:pPr>
              <w:spacing w:after="0"/>
              <w:jc w:val="left"/>
              <w:rPr>
                <w:noProof/>
                <w:color w:val="000000"/>
                <w:sz w:val="18"/>
                <w:szCs w:val="18"/>
              </w:rPr>
            </w:pPr>
            <w:r>
              <w:rPr>
                <w:noProof/>
                <w:color w:val="000000"/>
                <w:sz w:val="18"/>
                <w:szCs w:val="18"/>
              </w:rPr>
              <w:t>Same as POP2(a)</w:t>
            </w:r>
          </w:p>
        </w:tc>
        <w:tc>
          <w:tcPr>
            <w:tcW w:w="1358" w:type="dxa"/>
            <w:tcBorders>
              <w:top w:val="single" w:sz="4" w:space="0" w:color="auto"/>
              <w:left w:val="nil"/>
              <w:bottom w:val="single" w:sz="4" w:space="0" w:color="auto"/>
              <w:right w:val="single" w:sz="12" w:space="0" w:color="auto"/>
            </w:tcBorders>
            <w:shd w:val="clear" w:color="auto" w:fill="auto"/>
            <w:vAlign w:val="center"/>
            <w:hideMark/>
          </w:tcPr>
          <w:p w:rsidR="007306CA" w:rsidRDefault="00576025">
            <w:pPr>
              <w:spacing w:after="0"/>
              <w:jc w:val="left"/>
              <w:rPr>
                <w:noProof/>
                <w:color w:val="000000"/>
                <w:sz w:val="18"/>
                <w:szCs w:val="18"/>
              </w:rPr>
            </w:pPr>
            <w:r>
              <w:rPr>
                <w:noProof/>
                <w:color w:val="000000"/>
                <w:sz w:val="18"/>
                <w:szCs w:val="18"/>
              </w:rPr>
              <w:t>No</w:t>
            </w:r>
          </w:p>
        </w:tc>
      </w:tr>
      <w:tr w:rsidR="007306CA">
        <w:trPr>
          <w:gridAfter w:val="1"/>
          <w:wAfter w:w="7" w:type="dxa"/>
          <w:trHeight w:val="63"/>
          <w:jc w:val="center"/>
        </w:trPr>
        <w:tc>
          <w:tcPr>
            <w:tcW w:w="1059" w:type="dxa"/>
            <w:tcBorders>
              <w:top w:val="single" w:sz="4" w:space="0" w:color="auto"/>
              <w:left w:val="single" w:sz="12" w:space="0" w:color="auto"/>
              <w:bottom w:val="single" w:sz="4" w:space="0" w:color="auto"/>
              <w:right w:val="single" w:sz="4" w:space="0" w:color="auto"/>
            </w:tcBorders>
            <w:shd w:val="clear" w:color="000000" w:fill="8DB4E2"/>
            <w:vAlign w:val="center"/>
            <w:hideMark/>
          </w:tcPr>
          <w:p w:rsidR="007306CA" w:rsidRDefault="00576025">
            <w:pPr>
              <w:spacing w:after="0"/>
              <w:jc w:val="left"/>
              <w:rPr>
                <w:b/>
                <w:bCs/>
                <w:noProof/>
                <w:color w:val="000000"/>
                <w:sz w:val="18"/>
                <w:szCs w:val="18"/>
              </w:rPr>
            </w:pPr>
            <w:r>
              <w:rPr>
                <w:b/>
                <w:bCs/>
                <w:noProof/>
                <w:color w:val="000000"/>
                <w:sz w:val="18"/>
                <w:szCs w:val="18"/>
              </w:rPr>
              <w:t>Labour market test</w:t>
            </w:r>
          </w:p>
        </w:tc>
        <w:tc>
          <w:tcPr>
            <w:tcW w:w="1297" w:type="dxa"/>
            <w:tcBorders>
              <w:top w:val="single" w:sz="4" w:space="0" w:color="auto"/>
              <w:left w:val="nil"/>
              <w:bottom w:val="single" w:sz="4" w:space="0" w:color="auto"/>
              <w:right w:val="single" w:sz="4" w:space="0" w:color="auto"/>
            </w:tcBorders>
            <w:shd w:val="clear" w:color="auto" w:fill="auto"/>
            <w:vAlign w:val="center"/>
            <w:hideMark/>
          </w:tcPr>
          <w:p w:rsidR="007306CA" w:rsidRDefault="00576025">
            <w:pPr>
              <w:spacing w:after="0"/>
              <w:jc w:val="left"/>
              <w:rPr>
                <w:noProof/>
                <w:color w:val="000000"/>
                <w:sz w:val="18"/>
                <w:szCs w:val="18"/>
              </w:rPr>
            </w:pPr>
            <w:r>
              <w:rPr>
                <w:noProof/>
                <w:color w:val="000000"/>
                <w:sz w:val="18"/>
                <w:szCs w:val="18"/>
              </w:rPr>
              <w:t>Allowed</w:t>
            </w:r>
          </w:p>
        </w:tc>
        <w:tc>
          <w:tcPr>
            <w:tcW w:w="1503" w:type="dxa"/>
            <w:tcBorders>
              <w:top w:val="single" w:sz="4" w:space="0" w:color="auto"/>
              <w:left w:val="nil"/>
              <w:bottom w:val="single" w:sz="4" w:space="0" w:color="auto"/>
              <w:right w:val="single" w:sz="4" w:space="0" w:color="auto"/>
            </w:tcBorders>
            <w:shd w:val="clear" w:color="auto" w:fill="auto"/>
            <w:vAlign w:val="center"/>
            <w:hideMark/>
          </w:tcPr>
          <w:p w:rsidR="007306CA" w:rsidRDefault="00576025">
            <w:pPr>
              <w:spacing w:after="0"/>
              <w:jc w:val="left"/>
              <w:rPr>
                <w:noProof/>
                <w:color w:val="000000"/>
                <w:sz w:val="18"/>
                <w:szCs w:val="18"/>
              </w:rPr>
            </w:pPr>
            <w:r>
              <w:rPr>
                <w:noProof/>
                <w:color w:val="000000"/>
                <w:sz w:val="18"/>
                <w:szCs w:val="18"/>
              </w:rPr>
              <w:t>Allowed</w:t>
            </w:r>
          </w:p>
        </w:tc>
        <w:tc>
          <w:tcPr>
            <w:tcW w:w="1463" w:type="dxa"/>
            <w:tcBorders>
              <w:top w:val="single" w:sz="4" w:space="0" w:color="auto"/>
              <w:left w:val="nil"/>
              <w:bottom w:val="single" w:sz="4" w:space="0" w:color="auto"/>
              <w:right w:val="single" w:sz="4" w:space="0" w:color="auto"/>
            </w:tcBorders>
            <w:shd w:val="clear" w:color="auto" w:fill="auto"/>
            <w:vAlign w:val="center"/>
            <w:hideMark/>
          </w:tcPr>
          <w:p w:rsidR="007306CA" w:rsidRDefault="00576025">
            <w:pPr>
              <w:spacing w:after="0"/>
              <w:jc w:val="left"/>
              <w:rPr>
                <w:noProof/>
                <w:color w:val="000000"/>
                <w:sz w:val="18"/>
                <w:szCs w:val="18"/>
              </w:rPr>
            </w:pPr>
            <w:r>
              <w:rPr>
                <w:noProof/>
                <w:color w:val="000000"/>
                <w:sz w:val="18"/>
                <w:szCs w:val="18"/>
              </w:rPr>
              <w:t>Only in exceptional circumstances</w:t>
            </w:r>
          </w:p>
        </w:tc>
        <w:tc>
          <w:tcPr>
            <w:tcW w:w="1164" w:type="dxa"/>
            <w:tcBorders>
              <w:top w:val="single" w:sz="4" w:space="0" w:color="auto"/>
              <w:left w:val="nil"/>
              <w:bottom w:val="single" w:sz="4" w:space="0" w:color="auto"/>
              <w:right w:val="single" w:sz="4" w:space="0" w:color="auto"/>
            </w:tcBorders>
            <w:shd w:val="clear" w:color="auto" w:fill="auto"/>
            <w:vAlign w:val="center"/>
            <w:hideMark/>
          </w:tcPr>
          <w:p w:rsidR="007306CA" w:rsidRDefault="00576025">
            <w:pPr>
              <w:spacing w:after="0"/>
              <w:jc w:val="left"/>
              <w:rPr>
                <w:noProof/>
                <w:color w:val="000000"/>
                <w:sz w:val="18"/>
                <w:szCs w:val="18"/>
              </w:rPr>
            </w:pPr>
            <w:r>
              <w:rPr>
                <w:noProof/>
                <w:color w:val="000000"/>
                <w:sz w:val="18"/>
                <w:szCs w:val="18"/>
              </w:rPr>
              <w:t>Not allowed</w:t>
            </w:r>
          </w:p>
        </w:tc>
        <w:tc>
          <w:tcPr>
            <w:tcW w:w="1466" w:type="dxa"/>
            <w:tcBorders>
              <w:top w:val="single" w:sz="4" w:space="0" w:color="auto"/>
              <w:left w:val="nil"/>
              <w:bottom w:val="single" w:sz="4" w:space="0" w:color="auto"/>
              <w:right w:val="single" w:sz="4" w:space="0" w:color="auto"/>
            </w:tcBorders>
            <w:shd w:val="clear" w:color="auto" w:fill="auto"/>
            <w:vAlign w:val="center"/>
            <w:hideMark/>
          </w:tcPr>
          <w:p w:rsidR="007306CA" w:rsidRDefault="00576025">
            <w:pPr>
              <w:spacing w:after="0"/>
              <w:jc w:val="left"/>
              <w:rPr>
                <w:noProof/>
                <w:color w:val="000000"/>
                <w:sz w:val="18"/>
                <w:szCs w:val="18"/>
              </w:rPr>
            </w:pPr>
            <w:r>
              <w:rPr>
                <w:noProof/>
                <w:color w:val="000000"/>
                <w:sz w:val="18"/>
                <w:szCs w:val="18"/>
              </w:rPr>
              <w:t>Only in exceptional circumstances</w:t>
            </w:r>
          </w:p>
        </w:tc>
        <w:tc>
          <w:tcPr>
            <w:tcW w:w="1358" w:type="dxa"/>
            <w:tcBorders>
              <w:top w:val="single" w:sz="4" w:space="0" w:color="auto"/>
              <w:left w:val="nil"/>
              <w:bottom w:val="single" w:sz="4" w:space="0" w:color="auto"/>
              <w:right w:val="single" w:sz="12" w:space="0" w:color="auto"/>
            </w:tcBorders>
            <w:shd w:val="clear" w:color="auto" w:fill="auto"/>
            <w:vAlign w:val="center"/>
            <w:hideMark/>
          </w:tcPr>
          <w:p w:rsidR="007306CA" w:rsidRDefault="00576025">
            <w:pPr>
              <w:spacing w:after="0"/>
              <w:jc w:val="left"/>
              <w:rPr>
                <w:noProof/>
                <w:color w:val="000000"/>
                <w:sz w:val="18"/>
                <w:szCs w:val="18"/>
              </w:rPr>
            </w:pPr>
            <w:r>
              <w:rPr>
                <w:noProof/>
                <w:color w:val="000000"/>
                <w:sz w:val="18"/>
                <w:szCs w:val="18"/>
              </w:rPr>
              <w:t>Not allowed</w:t>
            </w:r>
          </w:p>
        </w:tc>
      </w:tr>
      <w:tr w:rsidR="007306CA">
        <w:trPr>
          <w:gridAfter w:val="1"/>
          <w:wAfter w:w="7" w:type="dxa"/>
          <w:trHeight w:val="63"/>
          <w:jc w:val="center"/>
        </w:trPr>
        <w:tc>
          <w:tcPr>
            <w:tcW w:w="1059" w:type="dxa"/>
            <w:tcBorders>
              <w:top w:val="single" w:sz="4" w:space="0" w:color="auto"/>
              <w:left w:val="single" w:sz="12" w:space="0" w:color="auto"/>
              <w:bottom w:val="single" w:sz="12" w:space="0" w:color="auto"/>
              <w:right w:val="single" w:sz="4" w:space="0" w:color="auto"/>
            </w:tcBorders>
            <w:shd w:val="clear" w:color="000000" w:fill="8DB4E2"/>
            <w:vAlign w:val="center"/>
            <w:hideMark/>
          </w:tcPr>
          <w:p w:rsidR="007306CA" w:rsidRDefault="00576025">
            <w:pPr>
              <w:spacing w:after="0"/>
              <w:jc w:val="left"/>
              <w:rPr>
                <w:b/>
                <w:bCs/>
                <w:noProof/>
                <w:color w:val="000000"/>
                <w:sz w:val="18"/>
                <w:szCs w:val="18"/>
              </w:rPr>
            </w:pPr>
            <w:r>
              <w:rPr>
                <w:b/>
                <w:bCs/>
                <w:noProof/>
                <w:color w:val="000000"/>
                <w:sz w:val="18"/>
                <w:szCs w:val="18"/>
              </w:rPr>
              <w:t>Additional safeguards</w:t>
            </w:r>
          </w:p>
        </w:tc>
        <w:tc>
          <w:tcPr>
            <w:tcW w:w="1297" w:type="dxa"/>
            <w:tcBorders>
              <w:top w:val="single" w:sz="4" w:space="0" w:color="auto"/>
              <w:left w:val="nil"/>
              <w:bottom w:val="single" w:sz="12" w:space="0" w:color="auto"/>
              <w:right w:val="single" w:sz="4" w:space="0" w:color="auto"/>
            </w:tcBorders>
            <w:shd w:val="clear" w:color="auto" w:fill="auto"/>
            <w:vAlign w:val="center"/>
            <w:hideMark/>
          </w:tcPr>
          <w:p w:rsidR="007306CA" w:rsidRDefault="00576025">
            <w:pPr>
              <w:spacing w:after="0"/>
              <w:jc w:val="left"/>
              <w:rPr>
                <w:noProof/>
                <w:color w:val="000000"/>
                <w:sz w:val="18"/>
                <w:szCs w:val="18"/>
              </w:rPr>
            </w:pPr>
            <w:r>
              <w:rPr>
                <w:noProof/>
                <w:color w:val="000000"/>
                <w:sz w:val="18"/>
                <w:szCs w:val="18"/>
              </w:rPr>
              <w:t>Generic</w:t>
            </w:r>
          </w:p>
        </w:tc>
        <w:tc>
          <w:tcPr>
            <w:tcW w:w="1503" w:type="dxa"/>
            <w:tcBorders>
              <w:top w:val="single" w:sz="4" w:space="0" w:color="auto"/>
              <w:left w:val="nil"/>
              <w:bottom w:val="single" w:sz="12" w:space="0" w:color="auto"/>
              <w:right w:val="single" w:sz="4" w:space="0" w:color="auto"/>
            </w:tcBorders>
            <w:shd w:val="clear" w:color="auto" w:fill="auto"/>
            <w:vAlign w:val="center"/>
            <w:hideMark/>
          </w:tcPr>
          <w:p w:rsidR="007306CA" w:rsidRDefault="00576025">
            <w:pPr>
              <w:spacing w:after="0"/>
              <w:jc w:val="left"/>
              <w:rPr>
                <w:noProof/>
                <w:color w:val="000000"/>
                <w:sz w:val="18"/>
                <w:szCs w:val="18"/>
              </w:rPr>
            </w:pPr>
            <w:r>
              <w:rPr>
                <w:noProof/>
                <w:color w:val="000000"/>
                <w:sz w:val="18"/>
                <w:szCs w:val="18"/>
              </w:rPr>
              <w:t xml:space="preserve">Yes, to prevent </w:t>
            </w:r>
            <w:r>
              <w:rPr>
                <w:noProof/>
                <w:color w:val="000000"/>
                <w:sz w:val="18"/>
                <w:szCs w:val="18"/>
              </w:rPr>
              <w:t>social dumping and abuse</w:t>
            </w:r>
          </w:p>
        </w:tc>
        <w:tc>
          <w:tcPr>
            <w:tcW w:w="1463" w:type="dxa"/>
            <w:tcBorders>
              <w:top w:val="single" w:sz="4" w:space="0" w:color="auto"/>
              <w:left w:val="nil"/>
              <w:bottom w:val="single" w:sz="12" w:space="0" w:color="auto"/>
              <w:right w:val="single" w:sz="4" w:space="0" w:color="auto"/>
            </w:tcBorders>
            <w:shd w:val="clear" w:color="auto" w:fill="auto"/>
            <w:vAlign w:val="center"/>
            <w:hideMark/>
          </w:tcPr>
          <w:p w:rsidR="007306CA" w:rsidRDefault="00576025">
            <w:pPr>
              <w:spacing w:after="0"/>
              <w:jc w:val="left"/>
              <w:rPr>
                <w:noProof/>
                <w:color w:val="000000"/>
                <w:sz w:val="18"/>
                <w:szCs w:val="18"/>
              </w:rPr>
            </w:pPr>
            <w:r>
              <w:rPr>
                <w:noProof/>
                <w:color w:val="000000"/>
                <w:sz w:val="18"/>
                <w:szCs w:val="18"/>
              </w:rPr>
              <w:t>No</w:t>
            </w:r>
          </w:p>
        </w:tc>
        <w:tc>
          <w:tcPr>
            <w:tcW w:w="1164" w:type="dxa"/>
            <w:tcBorders>
              <w:top w:val="single" w:sz="4" w:space="0" w:color="auto"/>
              <w:left w:val="nil"/>
              <w:bottom w:val="single" w:sz="12" w:space="0" w:color="auto"/>
              <w:right w:val="single" w:sz="4" w:space="0" w:color="auto"/>
            </w:tcBorders>
            <w:shd w:val="clear" w:color="auto" w:fill="auto"/>
            <w:vAlign w:val="center"/>
            <w:hideMark/>
          </w:tcPr>
          <w:p w:rsidR="007306CA" w:rsidRDefault="00576025">
            <w:pPr>
              <w:spacing w:after="0"/>
              <w:jc w:val="left"/>
              <w:rPr>
                <w:noProof/>
                <w:color w:val="000000"/>
                <w:sz w:val="18"/>
                <w:szCs w:val="18"/>
              </w:rPr>
            </w:pPr>
            <w:r>
              <w:rPr>
                <w:noProof/>
                <w:color w:val="000000"/>
                <w:sz w:val="18"/>
                <w:szCs w:val="18"/>
              </w:rPr>
              <w:t>No</w:t>
            </w:r>
          </w:p>
        </w:tc>
        <w:tc>
          <w:tcPr>
            <w:tcW w:w="1466" w:type="dxa"/>
            <w:tcBorders>
              <w:top w:val="single" w:sz="4" w:space="0" w:color="auto"/>
              <w:left w:val="nil"/>
              <w:bottom w:val="single" w:sz="12" w:space="0" w:color="auto"/>
              <w:right w:val="single" w:sz="4" w:space="0" w:color="auto"/>
            </w:tcBorders>
            <w:shd w:val="clear" w:color="auto" w:fill="auto"/>
            <w:vAlign w:val="center"/>
            <w:hideMark/>
          </w:tcPr>
          <w:p w:rsidR="007306CA" w:rsidRDefault="00576025">
            <w:pPr>
              <w:spacing w:after="0"/>
              <w:jc w:val="left"/>
              <w:rPr>
                <w:noProof/>
                <w:color w:val="000000"/>
                <w:sz w:val="18"/>
                <w:szCs w:val="18"/>
              </w:rPr>
            </w:pPr>
            <w:r>
              <w:rPr>
                <w:noProof/>
                <w:color w:val="000000"/>
                <w:sz w:val="18"/>
                <w:szCs w:val="18"/>
              </w:rPr>
              <w:t>No</w:t>
            </w:r>
          </w:p>
        </w:tc>
        <w:tc>
          <w:tcPr>
            <w:tcW w:w="1358" w:type="dxa"/>
            <w:tcBorders>
              <w:top w:val="single" w:sz="4" w:space="0" w:color="auto"/>
              <w:left w:val="nil"/>
              <w:bottom w:val="single" w:sz="12" w:space="0" w:color="auto"/>
              <w:right w:val="single" w:sz="12" w:space="0" w:color="auto"/>
            </w:tcBorders>
            <w:shd w:val="clear" w:color="auto" w:fill="auto"/>
            <w:vAlign w:val="center"/>
            <w:hideMark/>
          </w:tcPr>
          <w:p w:rsidR="007306CA" w:rsidRDefault="00576025">
            <w:pPr>
              <w:spacing w:after="0"/>
              <w:jc w:val="left"/>
              <w:rPr>
                <w:noProof/>
                <w:color w:val="000000"/>
                <w:sz w:val="18"/>
                <w:szCs w:val="18"/>
              </w:rPr>
            </w:pPr>
            <w:r>
              <w:rPr>
                <w:noProof/>
                <w:color w:val="000000"/>
                <w:sz w:val="18"/>
                <w:szCs w:val="18"/>
              </w:rPr>
              <w:t>No</w:t>
            </w:r>
          </w:p>
        </w:tc>
      </w:tr>
      <w:tr w:rsidR="007306CA">
        <w:trPr>
          <w:gridAfter w:val="1"/>
          <w:wAfter w:w="7" w:type="dxa"/>
          <w:trHeight w:val="44"/>
          <w:jc w:val="center"/>
        </w:trPr>
        <w:tc>
          <w:tcPr>
            <w:tcW w:w="9310" w:type="dxa"/>
            <w:gridSpan w:val="7"/>
            <w:tcBorders>
              <w:top w:val="single" w:sz="12" w:space="0" w:color="auto"/>
              <w:left w:val="single" w:sz="12" w:space="0" w:color="auto"/>
              <w:bottom w:val="single" w:sz="4" w:space="0" w:color="auto"/>
              <w:right w:val="single" w:sz="12" w:space="0" w:color="auto"/>
            </w:tcBorders>
            <w:shd w:val="clear" w:color="000000" w:fill="C5D9F1"/>
            <w:vAlign w:val="center"/>
          </w:tcPr>
          <w:p w:rsidR="007306CA" w:rsidRDefault="00576025">
            <w:pPr>
              <w:tabs>
                <w:tab w:val="left" w:pos="2302"/>
              </w:tabs>
              <w:spacing w:after="0"/>
              <w:jc w:val="center"/>
              <w:rPr>
                <w:iCs/>
                <w:noProof/>
                <w:color w:val="000000"/>
                <w:sz w:val="18"/>
                <w:szCs w:val="18"/>
              </w:rPr>
            </w:pPr>
            <w:r>
              <w:rPr>
                <w:b/>
                <w:iCs/>
                <w:noProof/>
                <w:color w:val="000000"/>
                <w:sz w:val="22"/>
                <w:szCs w:val="22"/>
              </w:rPr>
              <w:t>Procedures</w:t>
            </w:r>
          </w:p>
        </w:tc>
      </w:tr>
      <w:tr w:rsidR="007306CA">
        <w:trPr>
          <w:gridAfter w:val="1"/>
          <w:wAfter w:w="7" w:type="dxa"/>
          <w:trHeight w:val="63"/>
          <w:jc w:val="center"/>
        </w:trPr>
        <w:tc>
          <w:tcPr>
            <w:tcW w:w="1059" w:type="dxa"/>
            <w:tcBorders>
              <w:top w:val="single" w:sz="12" w:space="0" w:color="auto"/>
              <w:left w:val="single" w:sz="12" w:space="0" w:color="auto"/>
              <w:bottom w:val="single" w:sz="4" w:space="0" w:color="auto"/>
              <w:right w:val="single" w:sz="4" w:space="0" w:color="auto"/>
            </w:tcBorders>
            <w:shd w:val="clear" w:color="000000" w:fill="C5D9F1"/>
            <w:vAlign w:val="center"/>
            <w:hideMark/>
          </w:tcPr>
          <w:p w:rsidR="007306CA" w:rsidRDefault="007306CA">
            <w:pPr>
              <w:spacing w:after="0"/>
              <w:jc w:val="center"/>
              <w:rPr>
                <w:rFonts w:ascii="Arial" w:hAnsi="Arial"/>
                <w:b/>
                <w:bCs/>
                <w:i/>
                <w:smallCaps/>
                <w:noProof/>
                <w:color w:val="000000"/>
                <w:sz w:val="18"/>
                <w:szCs w:val="18"/>
                <w:u w:val="single"/>
              </w:rPr>
            </w:pPr>
          </w:p>
        </w:tc>
        <w:tc>
          <w:tcPr>
            <w:tcW w:w="1297" w:type="dxa"/>
            <w:tcBorders>
              <w:top w:val="single" w:sz="12" w:space="0" w:color="auto"/>
              <w:left w:val="nil"/>
              <w:bottom w:val="single" w:sz="4" w:space="0" w:color="auto"/>
              <w:right w:val="single" w:sz="4" w:space="0" w:color="auto"/>
            </w:tcBorders>
            <w:shd w:val="clear" w:color="000000" w:fill="C5D9F1"/>
            <w:vAlign w:val="center"/>
            <w:hideMark/>
          </w:tcPr>
          <w:p w:rsidR="007306CA" w:rsidRDefault="00576025">
            <w:pPr>
              <w:spacing w:after="0"/>
              <w:jc w:val="center"/>
              <w:rPr>
                <w:noProof/>
                <w:color w:val="000000"/>
                <w:sz w:val="18"/>
                <w:szCs w:val="18"/>
              </w:rPr>
            </w:pPr>
            <w:r>
              <w:rPr>
                <w:i/>
                <w:noProof/>
                <w:color w:val="000000"/>
                <w:sz w:val="18"/>
                <w:szCs w:val="18"/>
              </w:rPr>
              <w:t>Baseline</w:t>
            </w:r>
          </w:p>
        </w:tc>
        <w:tc>
          <w:tcPr>
            <w:tcW w:w="1503" w:type="dxa"/>
            <w:tcBorders>
              <w:top w:val="single" w:sz="12" w:space="0" w:color="auto"/>
              <w:left w:val="nil"/>
              <w:bottom w:val="single" w:sz="4" w:space="0" w:color="auto"/>
              <w:right w:val="single" w:sz="4" w:space="0" w:color="auto"/>
            </w:tcBorders>
            <w:shd w:val="clear" w:color="000000" w:fill="C5D9F1"/>
            <w:vAlign w:val="center"/>
            <w:hideMark/>
          </w:tcPr>
          <w:p w:rsidR="007306CA" w:rsidRDefault="00576025">
            <w:pPr>
              <w:spacing w:after="0"/>
              <w:jc w:val="center"/>
              <w:rPr>
                <w:i/>
                <w:iCs/>
                <w:noProof/>
                <w:color w:val="000000"/>
                <w:sz w:val="18"/>
                <w:szCs w:val="18"/>
              </w:rPr>
            </w:pPr>
            <w:r>
              <w:rPr>
                <w:i/>
                <w:iCs/>
                <w:noProof/>
                <w:color w:val="000000"/>
                <w:sz w:val="18"/>
                <w:szCs w:val="18"/>
              </w:rPr>
              <w:t>Somewhat facilitated</w:t>
            </w:r>
          </w:p>
        </w:tc>
        <w:tc>
          <w:tcPr>
            <w:tcW w:w="1463" w:type="dxa"/>
            <w:tcBorders>
              <w:top w:val="single" w:sz="12" w:space="0" w:color="auto"/>
              <w:left w:val="nil"/>
              <w:bottom w:val="single" w:sz="4" w:space="0" w:color="auto"/>
              <w:right w:val="single" w:sz="4" w:space="0" w:color="auto"/>
            </w:tcBorders>
            <w:shd w:val="clear" w:color="000000" w:fill="C5D9F1"/>
            <w:vAlign w:val="center"/>
            <w:hideMark/>
          </w:tcPr>
          <w:p w:rsidR="007306CA" w:rsidRDefault="00576025">
            <w:pPr>
              <w:spacing w:after="0"/>
              <w:jc w:val="center"/>
              <w:rPr>
                <w:i/>
                <w:iCs/>
                <w:noProof/>
                <w:color w:val="000000"/>
                <w:sz w:val="18"/>
                <w:szCs w:val="18"/>
              </w:rPr>
            </w:pPr>
            <w:r>
              <w:rPr>
                <w:i/>
                <w:iCs/>
                <w:noProof/>
                <w:color w:val="000000"/>
                <w:sz w:val="18"/>
                <w:szCs w:val="18"/>
              </w:rPr>
              <w:t>Much facilitated</w:t>
            </w:r>
          </w:p>
        </w:tc>
        <w:tc>
          <w:tcPr>
            <w:tcW w:w="1164" w:type="dxa"/>
            <w:tcBorders>
              <w:top w:val="single" w:sz="12" w:space="0" w:color="auto"/>
              <w:left w:val="nil"/>
              <w:bottom w:val="single" w:sz="4" w:space="0" w:color="auto"/>
              <w:right w:val="single" w:sz="4" w:space="0" w:color="auto"/>
            </w:tcBorders>
            <w:shd w:val="clear" w:color="000000" w:fill="C5D9F1"/>
            <w:vAlign w:val="center"/>
            <w:hideMark/>
          </w:tcPr>
          <w:p w:rsidR="007306CA" w:rsidRDefault="00576025">
            <w:pPr>
              <w:spacing w:after="0"/>
              <w:jc w:val="center"/>
              <w:rPr>
                <w:i/>
                <w:iCs/>
                <w:noProof/>
                <w:color w:val="000000"/>
                <w:sz w:val="18"/>
                <w:szCs w:val="18"/>
              </w:rPr>
            </w:pPr>
            <w:r>
              <w:rPr>
                <w:i/>
                <w:iCs/>
                <w:noProof/>
                <w:color w:val="000000"/>
                <w:sz w:val="18"/>
                <w:szCs w:val="18"/>
              </w:rPr>
              <w:t>Much facilitated</w:t>
            </w:r>
          </w:p>
        </w:tc>
        <w:tc>
          <w:tcPr>
            <w:tcW w:w="1466" w:type="dxa"/>
            <w:tcBorders>
              <w:top w:val="single" w:sz="12" w:space="0" w:color="auto"/>
              <w:left w:val="nil"/>
              <w:bottom w:val="single" w:sz="4" w:space="0" w:color="auto"/>
              <w:right w:val="single" w:sz="4" w:space="0" w:color="auto"/>
            </w:tcBorders>
            <w:shd w:val="clear" w:color="000000" w:fill="C5D9F1"/>
            <w:vAlign w:val="center"/>
            <w:hideMark/>
          </w:tcPr>
          <w:p w:rsidR="007306CA" w:rsidRDefault="00576025">
            <w:pPr>
              <w:spacing w:after="0"/>
              <w:jc w:val="center"/>
              <w:rPr>
                <w:i/>
                <w:iCs/>
                <w:noProof/>
                <w:color w:val="000000"/>
                <w:sz w:val="18"/>
                <w:szCs w:val="18"/>
              </w:rPr>
            </w:pPr>
            <w:r>
              <w:rPr>
                <w:i/>
                <w:iCs/>
                <w:noProof/>
                <w:color w:val="000000"/>
                <w:sz w:val="18"/>
                <w:szCs w:val="18"/>
              </w:rPr>
              <w:t>Much facilitated</w:t>
            </w:r>
          </w:p>
        </w:tc>
        <w:tc>
          <w:tcPr>
            <w:tcW w:w="1358" w:type="dxa"/>
            <w:tcBorders>
              <w:top w:val="single" w:sz="12" w:space="0" w:color="auto"/>
              <w:left w:val="nil"/>
              <w:bottom w:val="single" w:sz="4" w:space="0" w:color="auto"/>
              <w:right w:val="single" w:sz="12" w:space="0" w:color="auto"/>
            </w:tcBorders>
            <w:shd w:val="clear" w:color="000000" w:fill="C5D9F1"/>
            <w:vAlign w:val="center"/>
            <w:hideMark/>
          </w:tcPr>
          <w:p w:rsidR="007306CA" w:rsidRDefault="00576025">
            <w:pPr>
              <w:spacing w:after="0"/>
              <w:jc w:val="center"/>
              <w:rPr>
                <w:i/>
                <w:iCs/>
                <w:noProof/>
                <w:color w:val="000000"/>
                <w:sz w:val="18"/>
                <w:szCs w:val="18"/>
              </w:rPr>
            </w:pPr>
            <w:r>
              <w:rPr>
                <w:i/>
                <w:iCs/>
                <w:noProof/>
                <w:color w:val="000000"/>
                <w:sz w:val="18"/>
                <w:szCs w:val="18"/>
              </w:rPr>
              <w:t>Very much facilitated</w:t>
            </w:r>
          </w:p>
        </w:tc>
      </w:tr>
      <w:tr w:rsidR="007306CA">
        <w:trPr>
          <w:gridAfter w:val="1"/>
          <w:wAfter w:w="7" w:type="dxa"/>
          <w:trHeight w:val="63"/>
          <w:jc w:val="center"/>
        </w:trPr>
        <w:tc>
          <w:tcPr>
            <w:tcW w:w="1059" w:type="dxa"/>
            <w:tcBorders>
              <w:top w:val="single" w:sz="4" w:space="0" w:color="auto"/>
              <w:left w:val="single" w:sz="12" w:space="0" w:color="auto"/>
              <w:bottom w:val="single" w:sz="4" w:space="0" w:color="auto"/>
              <w:right w:val="single" w:sz="4" w:space="0" w:color="auto"/>
            </w:tcBorders>
            <w:shd w:val="clear" w:color="000000" w:fill="8DB4E2"/>
            <w:vAlign w:val="center"/>
            <w:hideMark/>
          </w:tcPr>
          <w:p w:rsidR="007306CA" w:rsidRDefault="00576025">
            <w:pPr>
              <w:spacing w:after="0"/>
              <w:jc w:val="left"/>
              <w:rPr>
                <w:noProof/>
                <w:color w:val="000000"/>
                <w:sz w:val="18"/>
                <w:szCs w:val="18"/>
              </w:rPr>
            </w:pPr>
            <w:r>
              <w:rPr>
                <w:noProof/>
                <w:color w:val="000000"/>
                <w:sz w:val="18"/>
                <w:szCs w:val="18"/>
              </w:rPr>
              <w:t>Application</w:t>
            </w:r>
          </w:p>
        </w:tc>
        <w:tc>
          <w:tcPr>
            <w:tcW w:w="1297" w:type="dxa"/>
            <w:tcBorders>
              <w:top w:val="single" w:sz="4" w:space="0" w:color="auto"/>
              <w:left w:val="nil"/>
              <w:bottom w:val="single" w:sz="4" w:space="0" w:color="auto"/>
              <w:right w:val="single" w:sz="4" w:space="0" w:color="auto"/>
            </w:tcBorders>
            <w:shd w:val="clear" w:color="auto" w:fill="auto"/>
            <w:vAlign w:val="center"/>
            <w:hideMark/>
          </w:tcPr>
          <w:p w:rsidR="007306CA" w:rsidRDefault="00576025">
            <w:pPr>
              <w:spacing w:after="0"/>
              <w:jc w:val="left"/>
              <w:rPr>
                <w:noProof/>
                <w:color w:val="000000"/>
                <w:sz w:val="18"/>
                <w:szCs w:val="18"/>
              </w:rPr>
            </w:pPr>
            <w:r>
              <w:rPr>
                <w:noProof/>
                <w:color w:val="000000"/>
                <w:sz w:val="18"/>
                <w:szCs w:val="18"/>
              </w:rPr>
              <w:t>Abroad (exception: in territory)</w:t>
            </w:r>
          </w:p>
        </w:tc>
        <w:tc>
          <w:tcPr>
            <w:tcW w:w="1503" w:type="dxa"/>
            <w:tcBorders>
              <w:top w:val="single" w:sz="4" w:space="0" w:color="auto"/>
              <w:left w:val="nil"/>
              <w:bottom w:val="single" w:sz="4" w:space="0" w:color="auto"/>
              <w:right w:val="single" w:sz="4" w:space="0" w:color="auto"/>
            </w:tcBorders>
            <w:shd w:val="clear" w:color="auto" w:fill="auto"/>
            <w:vAlign w:val="center"/>
            <w:hideMark/>
          </w:tcPr>
          <w:p w:rsidR="007306CA" w:rsidRDefault="00576025">
            <w:pPr>
              <w:spacing w:after="0"/>
              <w:jc w:val="left"/>
              <w:rPr>
                <w:noProof/>
                <w:color w:val="000000"/>
                <w:sz w:val="18"/>
                <w:szCs w:val="18"/>
              </w:rPr>
            </w:pPr>
            <w:r>
              <w:rPr>
                <w:noProof/>
                <w:color w:val="000000"/>
                <w:sz w:val="18"/>
                <w:szCs w:val="18"/>
              </w:rPr>
              <w:t>Abroad or in the territory</w:t>
            </w:r>
          </w:p>
        </w:tc>
        <w:tc>
          <w:tcPr>
            <w:tcW w:w="1463" w:type="dxa"/>
            <w:tcBorders>
              <w:top w:val="single" w:sz="4" w:space="0" w:color="auto"/>
              <w:left w:val="nil"/>
              <w:bottom w:val="single" w:sz="4" w:space="0" w:color="auto"/>
              <w:right w:val="single" w:sz="4" w:space="0" w:color="auto"/>
            </w:tcBorders>
            <w:shd w:val="clear" w:color="auto" w:fill="auto"/>
            <w:vAlign w:val="center"/>
            <w:hideMark/>
          </w:tcPr>
          <w:p w:rsidR="007306CA" w:rsidRDefault="00576025">
            <w:pPr>
              <w:spacing w:after="0"/>
              <w:jc w:val="left"/>
              <w:rPr>
                <w:noProof/>
                <w:color w:val="000000"/>
                <w:sz w:val="18"/>
                <w:szCs w:val="18"/>
              </w:rPr>
            </w:pPr>
            <w:r>
              <w:rPr>
                <w:noProof/>
                <w:color w:val="000000"/>
                <w:sz w:val="18"/>
                <w:szCs w:val="18"/>
              </w:rPr>
              <w:t>Abroad or in the territory</w:t>
            </w:r>
          </w:p>
        </w:tc>
        <w:tc>
          <w:tcPr>
            <w:tcW w:w="1164" w:type="dxa"/>
            <w:tcBorders>
              <w:top w:val="single" w:sz="4" w:space="0" w:color="auto"/>
              <w:left w:val="nil"/>
              <w:bottom w:val="single" w:sz="4" w:space="0" w:color="auto"/>
              <w:right w:val="single" w:sz="4" w:space="0" w:color="auto"/>
            </w:tcBorders>
            <w:shd w:val="clear" w:color="auto" w:fill="auto"/>
            <w:vAlign w:val="center"/>
            <w:hideMark/>
          </w:tcPr>
          <w:p w:rsidR="007306CA" w:rsidRDefault="00576025">
            <w:pPr>
              <w:spacing w:after="0"/>
              <w:jc w:val="left"/>
              <w:rPr>
                <w:noProof/>
                <w:color w:val="000000"/>
                <w:sz w:val="18"/>
                <w:szCs w:val="18"/>
              </w:rPr>
            </w:pPr>
            <w:r>
              <w:rPr>
                <w:noProof/>
                <w:color w:val="000000"/>
                <w:sz w:val="18"/>
                <w:szCs w:val="18"/>
              </w:rPr>
              <w:t>Abroad or in the territory</w:t>
            </w:r>
          </w:p>
        </w:tc>
        <w:tc>
          <w:tcPr>
            <w:tcW w:w="1466" w:type="dxa"/>
            <w:tcBorders>
              <w:top w:val="single" w:sz="4" w:space="0" w:color="auto"/>
              <w:left w:val="nil"/>
              <w:bottom w:val="single" w:sz="4" w:space="0" w:color="auto"/>
              <w:right w:val="single" w:sz="4" w:space="0" w:color="auto"/>
            </w:tcBorders>
            <w:shd w:val="clear" w:color="auto" w:fill="auto"/>
            <w:vAlign w:val="center"/>
            <w:hideMark/>
          </w:tcPr>
          <w:p w:rsidR="007306CA" w:rsidRDefault="00576025">
            <w:pPr>
              <w:spacing w:after="0"/>
              <w:jc w:val="left"/>
              <w:rPr>
                <w:noProof/>
                <w:color w:val="000000"/>
                <w:sz w:val="18"/>
                <w:szCs w:val="18"/>
              </w:rPr>
            </w:pPr>
            <w:r>
              <w:rPr>
                <w:noProof/>
                <w:color w:val="000000"/>
                <w:sz w:val="18"/>
                <w:szCs w:val="18"/>
              </w:rPr>
              <w:t>Abroad or in the territory</w:t>
            </w:r>
          </w:p>
        </w:tc>
        <w:tc>
          <w:tcPr>
            <w:tcW w:w="1358" w:type="dxa"/>
            <w:tcBorders>
              <w:top w:val="single" w:sz="4" w:space="0" w:color="auto"/>
              <w:left w:val="nil"/>
              <w:bottom w:val="single" w:sz="4" w:space="0" w:color="auto"/>
              <w:right w:val="single" w:sz="12" w:space="0" w:color="auto"/>
            </w:tcBorders>
            <w:shd w:val="clear" w:color="auto" w:fill="auto"/>
            <w:vAlign w:val="center"/>
            <w:hideMark/>
          </w:tcPr>
          <w:p w:rsidR="007306CA" w:rsidRDefault="00576025">
            <w:pPr>
              <w:spacing w:after="0"/>
              <w:jc w:val="left"/>
              <w:rPr>
                <w:noProof/>
                <w:color w:val="000000"/>
                <w:sz w:val="18"/>
                <w:szCs w:val="18"/>
              </w:rPr>
            </w:pPr>
            <w:r>
              <w:rPr>
                <w:noProof/>
                <w:color w:val="000000"/>
                <w:sz w:val="18"/>
                <w:szCs w:val="18"/>
              </w:rPr>
              <w:t>Abroad or in the territory. EU level online application, sent to national authorities to process</w:t>
            </w:r>
          </w:p>
        </w:tc>
      </w:tr>
      <w:tr w:rsidR="007306CA">
        <w:trPr>
          <w:gridAfter w:val="1"/>
          <w:wAfter w:w="7" w:type="dxa"/>
          <w:trHeight w:val="63"/>
          <w:jc w:val="center"/>
        </w:trPr>
        <w:tc>
          <w:tcPr>
            <w:tcW w:w="1059" w:type="dxa"/>
            <w:tcBorders>
              <w:top w:val="single" w:sz="4" w:space="0" w:color="auto"/>
              <w:left w:val="single" w:sz="12" w:space="0" w:color="auto"/>
              <w:bottom w:val="single" w:sz="4" w:space="0" w:color="auto"/>
              <w:right w:val="single" w:sz="4" w:space="0" w:color="auto"/>
            </w:tcBorders>
            <w:shd w:val="clear" w:color="000000" w:fill="8DB4E2"/>
            <w:vAlign w:val="center"/>
            <w:hideMark/>
          </w:tcPr>
          <w:p w:rsidR="007306CA" w:rsidRDefault="00576025">
            <w:pPr>
              <w:spacing w:after="0"/>
              <w:jc w:val="left"/>
              <w:rPr>
                <w:noProof/>
                <w:color w:val="000000"/>
                <w:sz w:val="18"/>
                <w:szCs w:val="18"/>
              </w:rPr>
            </w:pPr>
            <w:r>
              <w:rPr>
                <w:noProof/>
                <w:color w:val="000000"/>
                <w:sz w:val="18"/>
                <w:szCs w:val="18"/>
              </w:rPr>
              <w:t>Processing speed</w:t>
            </w:r>
          </w:p>
        </w:tc>
        <w:tc>
          <w:tcPr>
            <w:tcW w:w="1297" w:type="dxa"/>
            <w:tcBorders>
              <w:top w:val="single" w:sz="4" w:space="0" w:color="auto"/>
              <w:left w:val="nil"/>
              <w:bottom w:val="single" w:sz="4" w:space="0" w:color="auto"/>
              <w:right w:val="single" w:sz="4" w:space="0" w:color="auto"/>
            </w:tcBorders>
            <w:shd w:val="clear" w:color="auto" w:fill="auto"/>
            <w:vAlign w:val="center"/>
            <w:hideMark/>
          </w:tcPr>
          <w:p w:rsidR="007306CA" w:rsidRDefault="00576025">
            <w:pPr>
              <w:spacing w:after="0"/>
              <w:jc w:val="left"/>
              <w:rPr>
                <w:noProof/>
                <w:color w:val="000000"/>
                <w:sz w:val="18"/>
                <w:szCs w:val="18"/>
              </w:rPr>
            </w:pPr>
            <w:r>
              <w:rPr>
                <w:noProof/>
                <w:color w:val="000000"/>
                <w:sz w:val="18"/>
                <w:szCs w:val="18"/>
              </w:rPr>
              <w:t>Max. 90 days</w:t>
            </w:r>
          </w:p>
        </w:tc>
        <w:tc>
          <w:tcPr>
            <w:tcW w:w="1503" w:type="dxa"/>
            <w:tcBorders>
              <w:top w:val="single" w:sz="4" w:space="0" w:color="auto"/>
              <w:left w:val="nil"/>
              <w:bottom w:val="single" w:sz="4" w:space="0" w:color="auto"/>
              <w:right w:val="single" w:sz="4" w:space="0" w:color="auto"/>
            </w:tcBorders>
            <w:shd w:val="clear" w:color="auto" w:fill="auto"/>
            <w:vAlign w:val="center"/>
            <w:hideMark/>
          </w:tcPr>
          <w:p w:rsidR="007306CA" w:rsidRDefault="00576025">
            <w:pPr>
              <w:spacing w:after="0"/>
              <w:jc w:val="left"/>
              <w:rPr>
                <w:noProof/>
                <w:color w:val="000000"/>
                <w:sz w:val="18"/>
                <w:szCs w:val="18"/>
              </w:rPr>
            </w:pPr>
            <w:r>
              <w:rPr>
                <w:noProof/>
                <w:color w:val="000000"/>
                <w:sz w:val="18"/>
                <w:szCs w:val="18"/>
              </w:rPr>
              <w:t>Baseline</w:t>
            </w:r>
          </w:p>
        </w:tc>
        <w:tc>
          <w:tcPr>
            <w:tcW w:w="1463" w:type="dxa"/>
            <w:tcBorders>
              <w:top w:val="single" w:sz="4" w:space="0" w:color="auto"/>
              <w:left w:val="nil"/>
              <w:bottom w:val="single" w:sz="4" w:space="0" w:color="auto"/>
              <w:right w:val="single" w:sz="4" w:space="0" w:color="auto"/>
            </w:tcBorders>
            <w:shd w:val="clear" w:color="auto" w:fill="auto"/>
            <w:vAlign w:val="center"/>
            <w:hideMark/>
          </w:tcPr>
          <w:p w:rsidR="007306CA" w:rsidRDefault="00576025">
            <w:pPr>
              <w:spacing w:after="0"/>
              <w:jc w:val="left"/>
              <w:rPr>
                <w:noProof/>
                <w:color w:val="000000"/>
                <w:sz w:val="18"/>
                <w:szCs w:val="18"/>
              </w:rPr>
            </w:pPr>
            <w:r>
              <w:rPr>
                <w:noProof/>
                <w:color w:val="000000"/>
                <w:sz w:val="18"/>
                <w:szCs w:val="18"/>
              </w:rPr>
              <w:t>Target 30 days and max. 60 days</w:t>
            </w:r>
          </w:p>
        </w:tc>
        <w:tc>
          <w:tcPr>
            <w:tcW w:w="1164" w:type="dxa"/>
            <w:tcBorders>
              <w:top w:val="single" w:sz="4" w:space="0" w:color="auto"/>
              <w:left w:val="nil"/>
              <w:bottom w:val="single" w:sz="4" w:space="0" w:color="auto"/>
              <w:right w:val="single" w:sz="4" w:space="0" w:color="auto"/>
            </w:tcBorders>
            <w:shd w:val="clear" w:color="auto" w:fill="auto"/>
            <w:vAlign w:val="center"/>
            <w:hideMark/>
          </w:tcPr>
          <w:p w:rsidR="007306CA" w:rsidRDefault="00576025">
            <w:pPr>
              <w:spacing w:after="0"/>
              <w:jc w:val="left"/>
              <w:rPr>
                <w:noProof/>
                <w:color w:val="000000"/>
                <w:sz w:val="18"/>
                <w:szCs w:val="18"/>
              </w:rPr>
            </w:pPr>
            <w:r>
              <w:rPr>
                <w:noProof/>
                <w:color w:val="000000"/>
                <w:sz w:val="18"/>
                <w:szCs w:val="18"/>
              </w:rPr>
              <w:t>Same as POP2(a)</w:t>
            </w:r>
          </w:p>
        </w:tc>
        <w:tc>
          <w:tcPr>
            <w:tcW w:w="1466" w:type="dxa"/>
            <w:tcBorders>
              <w:top w:val="single" w:sz="4" w:space="0" w:color="auto"/>
              <w:left w:val="nil"/>
              <w:bottom w:val="single" w:sz="4" w:space="0" w:color="auto"/>
              <w:right w:val="single" w:sz="4" w:space="0" w:color="auto"/>
            </w:tcBorders>
            <w:shd w:val="clear" w:color="auto" w:fill="auto"/>
            <w:vAlign w:val="center"/>
            <w:hideMark/>
          </w:tcPr>
          <w:p w:rsidR="007306CA" w:rsidRDefault="00576025">
            <w:pPr>
              <w:spacing w:after="0"/>
              <w:jc w:val="left"/>
              <w:rPr>
                <w:noProof/>
                <w:color w:val="000000"/>
                <w:sz w:val="18"/>
                <w:szCs w:val="18"/>
              </w:rPr>
            </w:pPr>
            <w:r>
              <w:rPr>
                <w:noProof/>
                <w:color w:val="000000"/>
                <w:sz w:val="18"/>
                <w:szCs w:val="18"/>
              </w:rPr>
              <w:t>Same as POP2(a)</w:t>
            </w:r>
          </w:p>
        </w:tc>
        <w:tc>
          <w:tcPr>
            <w:tcW w:w="1358" w:type="dxa"/>
            <w:tcBorders>
              <w:top w:val="single" w:sz="4" w:space="0" w:color="auto"/>
              <w:left w:val="nil"/>
              <w:bottom w:val="single" w:sz="4" w:space="0" w:color="auto"/>
              <w:right w:val="single" w:sz="12" w:space="0" w:color="auto"/>
            </w:tcBorders>
            <w:shd w:val="clear" w:color="auto" w:fill="auto"/>
            <w:vAlign w:val="center"/>
            <w:hideMark/>
          </w:tcPr>
          <w:p w:rsidR="007306CA" w:rsidRDefault="00576025">
            <w:pPr>
              <w:spacing w:after="0"/>
              <w:jc w:val="left"/>
              <w:rPr>
                <w:noProof/>
                <w:color w:val="000000"/>
                <w:sz w:val="18"/>
                <w:szCs w:val="18"/>
              </w:rPr>
            </w:pPr>
            <w:r>
              <w:rPr>
                <w:noProof/>
                <w:color w:val="000000"/>
                <w:sz w:val="18"/>
                <w:szCs w:val="18"/>
              </w:rPr>
              <w:t>Same as POP2(a)</w:t>
            </w:r>
          </w:p>
        </w:tc>
      </w:tr>
      <w:tr w:rsidR="007306CA">
        <w:trPr>
          <w:gridAfter w:val="1"/>
          <w:wAfter w:w="7" w:type="dxa"/>
          <w:trHeight w:val="63"/>
          <w:jc w:val="center"/>
        </w:trPr>
        <w:tc>
          <w:tcPr>
            <w:tcW w:w="1059" w:type="dxa"/>
            <w:tcBorders>
              <w:top w:val="single" w:sz="4" w:space="0" w:color="auto"/>
              <w:left w:val="single" w:sz="12" w:space="0" w:color="auto"/>
              <w:bottom w:val="single" w:sz="12" w:space="0" w:color="auto"/>
              <w:right w:val="single" w:sz="4" w:space="0" w:color="auto"/>
            </w:tcBorders>
            <w:shd w:val="clear" w:color="000000" w:fill="8DB4E2"/>
            <w:vAlign w:val="center"/>
            <w:hideMark/>
          </w:tcPr>
          <w:p w:rsidR="007306CA" w:rsidRDefault="00576025">
            <w:pPr>
              <w:spacing w:after="0"/>
              <w:jc w:val="left"/>
              <w:rPr>
                <w:noProof/>
                <w:color w:val="000000"/>
                <w:sz w:val="18"/>
                <w:szCs w:val="18"/>
              </w:rPr>
            </w:pPr>
            <w:r>
              <w:rPr>
                <w:noProof/>
                <w:color w:val="000000"/>
                <w:sz w:val="18"/>
                <w:szCs w:val="18"/>
              </w:rPr>
              <w:t>Trusted employers system</w:t>
            </w:r>
          </w:p>
        </w:tc>
        <w:tc>
          <w:tcPr>
            <w:tcW w:w="1297" w:type="dxa"/>
            <w:tcBorders>
              <w:top w:val="single" w:sz="4" w:space="0" w:color="auto"/>
              <w:left w:val="nil"/>
              <w:bottom w:val="single" w:sz="12" w:space="0" w:color="auto"/>
              <w:right w:val="single" w:sz="4" w:space="0" w:color="auto"/>
            </w:tcBorders>
            <w:shd w:val="clear" w:color="auto" w:fill="auto"/>
            <w:vAlign w:val="center"/>
            <w:hideMark/>
          </w:tcPr>
          <w:p w:rsidR="007306CA" w:rsidRDefault="00576025">
            <w:pPr>
              <w:spacing w:after="0"/>
              <w:jc w:val="left"/>
              <w:rPr>
                <w:noProof/>
                <w:color w:val="000000"/>
                <w:sz w:val="18"/>
                <w:szCs w:val="18"/>
              </w:rPr>
            </w:pPr>
            <w:r>
              <w:rPr>
                <w:noProof/>
                <w:color w:val="000000"/>
                <w:sz w:val="18"/>
                <w:szCs w:val="18"/>
              </w:rPr>
              <w:t>No</w:t>
            </w:r>
          </w:p>
        </w:tc>
        <w:tc>
          <w:tcPr>
            <w:tcW w:w="1503" w:type="dxa"/>
            <w:tcBorders>
              <w:top w:val="single" w:sz="4" w:space="0" w:color="auto"/>
              <w:left w:val="nil"/>
              <w:bottom w:val="single" w:sz="12" w:space="0" w:color="auto"/>
              <w:right w:val="single" w:sz="4" w:space="0" w:color="auto"/>
            </w:tcBorders>
            <w:shd w:val="clear" w:color="auto" w:fill="auto"/>
            <w:vAlign w:val="center"/>
            <w:hideMark/>
          </w:tcPr>
          <w:p w:rsidR="007306CA" w:rsidRDefault="00576025">
            <w:pPr>
              <w:spacing w:after="0"/>
              <w:jc w:val="left"/>
              <w:rPr>
                <w:noProof/>
                <w:color w:val="000000"/>
                <w:sz w:val="18"/>
                <w:szCs w:val="18"/>
              </w:rPr>
            </w:pPr>
            <w:r>
              <w:rPr>
                <w:noProof/>
                <w:color w:val="000000"/>
                <w:sz w:val="18"/>
                <w:szCs w:val="18"/>
              </w:rPr>
              <w:t>No</w:t>
            </w:r>
          </w:p>
        </w:tc>
        <w:tc>
          <w:tcPr>
            <w:tcW w:w="1463" w:type="dxa"/>
            <w:tcBorders>
              <w:top w:val="single" w:sz="4" w:space="0" w:color="auto"/>
              <w:left w:val="nil"/>
              <w:bottom w:val="single" w:sz="12" w:space="0" w:color="auto"/>
              <w:right w:val="single" w:sz="4" w:space="0" w:color="auto"/>
            </w:tcBorders>
            <w:shd w:val="clear" w:color="auto" w:fill="auto"/>
            <w:vAlign w:val="center"/>
            <w:hideMark/>
          </w:tcPr>
          <w:p w:rsidR="007306CA" w:rsidRDefault="00576025">
            <w:pPr>
              <w:spacing w:after="0"/>
              <w:jc w:val="left"/>
              <w:rPr>
                <w:noProof/>
                <w:color w:val="000000"/>
                <w:sz w:val="18"/>
                <w:szCs w:val="18"/>
              </w:rPr>
            </w:pPr>
            <w:r>
              <w:rPr>
                <w:noProof/>
                <w:color w:val="000000"/>
                <w:sz w:val="18"/>
                <w:szCs w:val="18"/>
              </w:rPr>
              <w:t>Yes, optional, faster procedure and waiving of qualifications (unreg. prof.)</w:t>
            </w:r>
          </w:p>
        </w:tc>
        <w:tc>
          <w:tcPr>
            <w:tcW w:w="1164" w:type="dxa"/>
            <w:tcBorders>
              <w:top w:val="single" w:sz="4" w:space="0" w:color="auto"/>
              <w:left w:val="nil"/>
              <w:bottom w:val="single" w:sz="12" w:space="0" w:color="auto"/>
              <w:right w:val="single" w:sz="4" w:space="0" w:color="auto"/>
            </w:tcBorders>
            <w:shd w:val="clear" w:color="auto" w:fill="auto"/>
            <w:vAlign w:val="center"/>
            <w:hideMark/>
          </w:tcPr>
          <w:p w:rsidR="007306CA" w:rsidRDefault="00576025">
            <w:pPr>
              <w:spacing w:after="0"/>
              <w:jc w:val="left"/>
              <w:rPr>
                <w:noProof/>
                <w:color w:val="000000"/>
                <w:sz w:val="18"/>
                <w:szCs w:val="18"/>
              </w:rPr>
            </w:pPr>
            <w:r>
              <w:rPr>
                <w:noProof/>
                <w:color w:val="000000"/>
                <w:sz w:val="18"/>
                <w:szCs w:val="18"/>
              </w:rPr>
              <w:t>Same as POP2(a)</w:t>
            </w:r>
          </w:p>
        </w:tc>
        <w:tc>
          <w:tcPr>
            <w:tcW w:w="1466" w:type="dxa"/>
            <w:tcBorders>
              <w:top w:val="single" w:sz="4" w:space="0" w:color="auto"/>
              <w:left w:val="nil"/>
              <w:bottom w:val="single" w:sz="12" w:space="0" w:color="auto"/>
              <w:right w:val="single" w:sz="4" w:space="0" w:color="auto"/>
            </w:tcBorders>
            <w:shd w:val="clear" w:color="auto" w:fill="auto"/>
            <w:vAlign w:val="center"/>
            <w:hideMark/>
          </w:tcPr>
          <w:p w:rsidR="007306CA" w:rsidRDefault="00576025">
            <w:pPr>
              <w:spacing w:after="0"/>
              <w:jc w:val="left"/>
              <w:rPr>
                <w:noProof/>
                <w:color w:val="000000"/>
                <w:sz w:val="18"/>
                <w:szCs w:val="18"/>
              </w:rPr>
            </w:pPr>
            <w:r>
              <w:rPr>
                <w:noProof/>
                <w:color w:val="000000"/>
                <w:sz w:val="18"/>
                <w:szCs w:val="18"/>
              </w:rPr>
              <w:t>Same as POP2(a)</w:t>
            </w:r>
          </w:p>
        </w:tc>
        <w:tc>
          <w:tcPr>
            <w:tcW w:w="1358" w:type="dxa"/>
            <w:tcBorders>
              <w:top w:val="single" w:sz="4" w:space="0" w:color="auto"/>
              <w:left w:val="nil"/>
              <w:bottom w:val="single" w:sz="12" w:space="0" w:color="auto"/>
              <w:right w:val="single" w:sz="12" w:space="0" w:color="auto"/>
            </w:tcBorders>
            <w:shd w:val="clear" w:color="auto" w:fill="auto"/>
            <w:vAlign w:val="center"/>
            <w:hideMark/>
          </w:tcPr>
          <w:p w:rsidR="007306CA" w:rsidRDefault="00576025">
            <w:pPr>
              <w:spacing w:after="0"/>
              <w:jc w:val="left"/>
              <w:rPr>
                <w:noProof/>
                <w:color w:val="000000"/>
                <w:sz w:val="18"/>
                <w:szCs w:val="18"/>
              </w:rPr>
            </w:pPr>
            <w:r>
              <w:rPr>
                <w:noProof/>
                <w:color w:val="000000"/>
                <w:sz w:val="18"/>
                <w:szCs w:val="18"/>
              </w:rPr>
              <w:t>Same as POP2(a)</w:t>
            </w:r>
          </w:p>
        </w:tc>
      </w:tr>
      <w:tr w:rsidR="007306CA">
        <w:trPr>
          <w:gridAfter w:val="1"/>
          <w:wAfter w:w="7" w:type="dxa"/>
          <w:trHeight w:val="44"/>
          <w:jc w:val="center"/>
        </w:trPr>
        <w:tc>
          <w:tcPr>
            <w:tcW w:w="9310" w:type="dxa"/>
            <w:gridSpan w:val="7"/>
            <w:tcBorders>
              <w:top w:val="single" w:sz="12" w:space="0" w:color="auto"/>
              <w:left w:val="single" w:sz="12" w:space="0" w:color="auto"/>
              <w:bottom w:val="single" w:sz="4" w:space="0" w:color="auto"/>
              <w:right w:val="single" w:sz="12" w:space="0" w:color="auto"/>
            </w:tcBorders>
            <w:shd w:val="clear" w:color="000000" w:fill="C5D9F1"/>
            <w:vAlign w:val="center"/>
          </w:tcPr>
          <w:p w:rsidR="007306CA" w:rsidRDefault="00576025">
            <w:pPr>
              <w:spacing w:after="0"/>
              <w:jc w:val="center"/>
              <w:rPr>
                <w:i/>
                <w:iCs/>
                <w:noProof/>
                <w:color w:val="000000"/>
                <w:sz w:val="18"/>
                <w:szCs w:val="18"/>
              </w:rPr>
            </w:pPr>
            <w:r>
              <w:rPr>
                <w:b/>
                <w:iCs/>
                <w:noProof/>
                <w:color w:val="000000"/>
                <w:sz w:val="22"/>
                <w:szCs w:val="22"/>
              </w:rPr>
              <w:t>Rights</w:t>
            </w:r>
          </w:p>
        </w:tc>
      </w:tr>
      <w:tr w:rsidR="007306CA">
        <w:trPr>
          <w:gridAfter w:val="1"/>
          <w:wAfter w:w="7" w:type="dxa"/>
          <w:trHeight w:val="63"/>
          <w:jc w:val="center"/>
        </w:trPr>
        <w:tc>
          <w:tcPr>
            <w:tcW w:w="1059" w:type="dxa"/>
            <w:tcBorders>
              <w:top w:val="single" w:sz="12" w:space="0" w:color="auto"/>
              <w:left w:val="single" w:sz="12" w:space="0" w:color="auto"/>
              <w:bottom w:val="single" w:sz="4" w:space="0" w:color="auto"/>
              <w:right w:val="single" w:sz="4" w:space="0" w:color="auto"/>
            </w:tcBorders>
            <w:shd w:val="clear" w:color="000000" w:fill="C5D9F1"/>
            <w:vAlign w:val="center"/>
            <w:hideMark/>
          </w:tcPr>
          <w:p w:rsidR="007306CA" w:rsidRDefault="007306CA">
            <w:pPr>
              <w:spacing w:after="0"/>
              <w:jc w:val="center"/>
              <w:rPr>
                <w:b/>
                <w:bCs/>
                <w:smallCaps/>
                <w:noProof/>
                <w:color w:val="000000"/>
                <w:sz w:val="18"/>
                <w:szCs w:val="18"/>
                <w:u w:val="single"/>
              </w:rPr>
            </w:pPr>
          </w:p>
        </w:tc>
        <w:tc>
          <w:tcPr>
            <w:tcW w:w="1297" w:type="dxa"/>
            <w:tcBorders>
              <w:top w:val="single" w:sz="12" w:space="0" w:color="auto"/>
              <w:left w:val="nil"/>
              <w:bottom w:val="single" w:sz="4" w:space="0" w:color="auto"/>
              <w:right w:val="single" w:sz="4" w:space="0" w:color="auto"/>
            </w:tcBorders>
            <w:shd w:val="clear" w:color="000000" w:fill="C5D9F1"/>
            <w:vAlign w:val="center"/>
            <w:hideMark/>
          </w:tcPr>
          <w:p w:rsidR="007306CA" w:rsidRDefault="00576025">
            <w:pPr>
              <w:spacing w:after="0"/>
              <w:jc w:val="center"/>
              <w:rPr>
                <w:b/>
                <w:bCs/>
                <w:noProof/>
                <w:color w:val="000000"/>
                <w:sz w:val="18"/>
                <w:szCs w:val="18"/>
              </w:rPr>
            </w:pPr>
            <w:r>
              <w:rPr>
                <w:i/>
                <w:noProof/>
                <w:color w:val="000000"/>
                <w:sz w:val="18"/>
                <w:szCs w:val="18"/>
              </w:rPr>
              <w:t>Baseline</w:t>
            </w:r>
          </w:p>
        </w:tc>
        <w:tc>
          <w:tcPr>
            <w:tcW w:w="1503" w:type="dxa"/>
            <w:tcBorders>
              <w:top w:val="single" w:sz="12" w:space="0" w:color="auto"/>
              <w:left w:val="nil"/>
              <w:bottom w:val="single" w:sz="4" w:space="0" w:color="auto"/>
              <w:right w:val="single" w:sz="4" w:space="0" w:color="auto"/>
            </w:tcBorders>
            <w:shd w:val="clear" w:color="000000" w:fill="C5D9F1"/>
            <w:vAlign w:val="center"/>
            <w:hideMark/>
          </w:tcPr>
          <w:p w:rsidR="007306CA" w:rsidRDefault="00576025">
            <w:pPr>
              <w:spacing w:after="0"/>
              <w:jc w:val="center"/>
              <w:rPr>
                <w:i/>
                <w:iCs/>
                <w:noProof/>
                <w:color w:val="000000"/>
                <w:sz w:val="18"/>
                <w:szCs w:val="18"/>
              </w:rPr>
            </w:pPr>
            <w:r>
              <w:rPr>
                <w:i/>
                <w:iCs/>
                <w:noProof/>
                <w:color w:val="000000"/>
                <w:sz w:val="18"/>
                <w:szCs w:val="18"/>
              </w:rPr>
              <w:t>Similar to baseline</w:t>
            </w:r>
          </w:p>
        </w:tc>
        <w:tc>
          <w:tcPr>
            <w:tcW w:w="1463" w:type="dxa"/>
            <w:tcBorders>
              <w:top w:val="single" w:sz="12" w:space="0" w:color="auto"/>
              <w:left w:val="nil"/>
              <w:bottom w:val="single" w:sz="4" w:space="0" w:color="auto"/>
              <w:right w:val="single" w:sz="4" w:space="0" w:color="auto"/>
            </w:tcBorders>
            <w:shd w:val="clear" w:color="000000" w:fill="C5D9F1"/>
            <w:vAlign w:val="center"/>
            <w:hideMark/>
          </w:tcPr>
          <w:p w:rsidR="007306CA" w:rsidRDefault="00576025">
            <w:pPr>
              <w:spacing w:after="0"/>
              <w:jc w:val="center"/>
              <w:rPr>
                <w:i/>
                <w:iCs/>
                <w:noProof/>
                <w:color w:val="000000"/>
                <w:sz w:val="18"/>
                <w:szCs w:val="18"/>
              </w:rPr>
            </w:pPr>
            <w:r>
              <w:rPr>
                <w:i/>
                <w:iCs/>
                <w:noProof/>
                <w:color w:val="000000"/>
                <w:sz w:val="18"/>
                <w:szCs w:val="18"/>
              </w:rPr>
              <w:t>Higher level of rights</w:t>
            </w:r>
          </w:p>
        </w:tc>
        <w:tc>
          <w:tcPr>
            <w:tcW w:w="1164" w:type="dxa"/>
            <w:tcBorders>
              <w:top w:val="single" w:sz="12" w:space="0" w:color="auto"/>
              <w:left w:val="nil"/>
              <w:bottom w:val="single" w:sz="4" w:space="0" w:color="auto"/>
              <w:right w:val="single" w:sz="4" w:space="0" w:color="auto"/>
            </w:tcBorders>
            <w:shd w:val="clear" w:color="000000" w:fill="C5D9F1"/>
            <w:vAlign w:val="center"/>
            <w:hideMark/>
          </w:tcPr>
          <w:p w:rsidR="007306CA" w:rsidRDefault="00576025">
            <w:pPr>
              <w:spacing w:after="0"/>
              <w:jc w:val="center"/>
              <w:rPr>
                <w:i/>
                <w:iCs/>
                <w:noProof/>
                <w:color w:val="000000"/>
                <w:sz w:val="18"/>
                <w:szCs w:val="18"/>
              </w:rPr>
            </w:pPr>
            <w:r>
              <w:rPr>
                <w:i/>
                <w:iCs/>
                <w:noProof/>
                <w:color w:val="000000"/>
                <w:sz w:val="18"/>
                <w:szCs w:val="18"/>
              </w:rPr>
              <w:t xml:space="preserve">Higher level of </w:t>
            </w:r>
            <w:r>
              <w:rPr>
                <w:i/>
                <w:iCs/>
                <w:noProof/>
                <w:color w:val="000000"/>
                <w:sz w:val="18"/>
                <w:szCs w:val="18"/>
              </w:rPr>
              <w:t>rights</w:t>
            </w:r>
          </w:p>
        </w:tc>
        <w:tc>
          <w:tcPr>
            <w:tcW w:w="1466" w:type="dxa"/>
            <w:tcBorders>
              <w:top w:val="single" w:sz="12" w:space="0" w:color="auto"/>
              <w:left w:val="nil"/>
              <w:bottom w:val="single" w:sz="4" w:space="0" w:color="auto"/>
              <w:right w:val="single" w:sz="4" w:space="0" w:color="auto"/>
            </w:tcBorders>
            <w:shd w:val="clear" w:color="000000" w:fill="C5D9F1"/>
            <w:vAlign w:val="center"/>
            <w:hideMark/>
          </w:tcPr>
          <w:p w:rsidR="007306CA" w:rsidRDefault="00576025">
            <w:pPr>
              <w:spacing w:after="0"/>
              <w:jc w:val="center"/>
              <w:rPr>
                <w:i/>
                <w:iCs/>
                <w:noProof/>
                <w:color w:val="000000"/>
                <w:sz w:val="18"/>
                <w:szCs w:val="18"/>
              </w:rPr>
            </w:pPr>
            <w:r>
              <w:rPr>
                <w:i/>
                <w:iCs/>
                <w:noProof/>
                <w:color w:val="000000"/>
                <w:sz w:val="18"/>
                <w:szCs w:val="18"/>
              </w:rPr>
              <w:t>Differentiated level of rights</w:t>
            </w:r>
          </w:p>
        </w:tc>
        <w:tc>
          <w:tcPr>
            <w:tcW w:w="1358" w:type="dxa"/>
            <w:tcBorders>
              <w:top w:val="single" w:sz="12" w:space="0" w:color="auto"/>
              <w:left w:val="nil"/>
              <w:bottom w:val="single" w:sz="4" w:space="0" w:color="auto"/>
              <w:right w:val="single" w:sz="12" w:space="0" w:color="auto"/>
            </w:tcBorders>
            <w:shd w:val="clear" w:color="000000" w:fill="C5D9F1"/>
            <w:vAlign w:val="center"/>
            <w:hideMark/>
          </w:tcPr>
          <w:p w:rsidR="007306CA" w:rsidRDefault="00576025">
            <w:pPr>
              <w:spacing w:after="0"/>
              <w:jc w:val="center"/>
              <w:rPr>
                <w:i/>
                <w:iCs/>
                <w:noProof/>
                <w:color w:val="000000"/>
                <w:sz w:val="18"/>
                <w:szCs w:val="18"/>
              </w:rPr>
            </w:pPr>
            <w:r>
              <w:rPr>
                <w:i/>
                <w:iCs/>
                <w:noProof/>
                <w:color w:val="000000"/>
                <w:sz w:val="18"/>
                <w:szCs w:val="18"/>
              </w:rPr>
              <w:t>Higher level of rights</w:t>
            </w:r>
          </w:p>
        </w:tc>
      </w:tr>
      <w:tr w:rsidR="007306CA">
        <w:trPr>
          <w:gridAfter w:val="1"/>
          <w:wAfter w:w="7" w:type="dxa"/>
          <w:trHeight w:val="468"/>
          <w:jc w:val="center"/>
        </w:trPr>
        <w:tc>
          <w:tcPr>
            <w:tcW w:w="1059" w:type="dxa"/>
            <w:tcBorders>
              <w:top w:val="single" w:sz="4" w:space="0" w:color="auto"/>
              <w:left w:val="single" w:sz="12" w:space="0" w:color="auto"/>
              <w:bottom w:val="single" w:sz="4" w:space="0" w:color="auto"/>
              <w:right w:val="single" w:sz="4" w:space="0" w:color="auto"/>
            </w:tcBorders>
            <w:shd w:val="clear" w:color="000000" w:fill="8DB4E2"/>
            <w:vAlign w:val="center"/>
            <w:hideMark/>
          </w:tcPr>
          <w:p w:rsidR="007306CA" w:rsidRDefault="00576025">
            <w:pPr>
              <w:spacing w:after="0"/>
              <w:jc w:val="left"/>
              <w:rPr>
                <w:noProof/>
                <w:color w:val="000000"/>
                <w:sz w:val="18"/>
                <w:szCs w:val="18"/>
              </w:rPr>
            </w:pPr>
            <w:r>
              <w:rPr>
                <w:noProof/>
                <w:color w:val="000000"/>
                <w:sz w:val="18"/>
                <w:szCs w:val="18"/>
              </w:rPr>
              <w:t>Validity of the Blue Card</w:t>
            </w:r>
          </w:p>
        </w:tc>
        <w:tc>
          <w:tcPr>
            <w:tcW w:w="1297" w:type="dxa"/>
            <w:tcBorders>
              <w:top w:val="single" w:sz="4" w:space="0" w:color="auto"/>
              <w:left w:val="nil"/>
              <w:bottom w:val="single" w:sz="4" w:space="0" w:color="auto"/>
              <w:right w:val="single" w:sz="4" w:space="0" w:color="auto"/>
            </w:tcBorders>
            <w:shd w:val="clear" w:color="auto" w:fill="auto"/>
            <w:vAlign w:val="center"/>
            <w:hideMark/>
          </w:tcPr>
          <w:p w:rsidR="007306CA" w:rsidRDefault="00576025">
            <w:pPr>
              <w:spacing w:after="0"/>
              <w:jc w:val="left"/>
              <w:rPr>
                <w:noProof/>
                <w:color w:val="000000"/>
                <w:sz w:val="18"/>
                <w:szCs w:val="18"/>
              </w:rPr>
            </w:pPr>
            <w:r>
              <w:rPr>
                <w:noProof/>
                <w:color w:val="000000"/>
                <w:sz w:val="18"/>
                <w:szCs w:val="18"/>
              </w:rPr>
              <w:t>Between 1-4 years set by MS or length of contract + 3 months</w:t>
            </w:r>
          </w:p>
        </w:tc>
        <w:tc>
          <w:tcPr>
            <w:tcW w:w="1503" w:type="dxa"/>
            <w:tcBorders>
              <w:top w:val="single" w:sz="4" w:space="0" w:color="auto"/>
              <w:left w:val="nil"/>
              <w:bottom w:val="single" w:sz="4" w:space="0" w:color="auto"/>
              <w:right w:val="single" w:sz="4" w:space="0" w:color="auto"/>
            </w:tcBorders>
            <w:shd w:val="clear" w:color="auto" w:fill="auto"/>
            <w:vAlign w:val="center"/>
            <w:hideMark/>
          </w:tcPr>
          <w:p w:rsidR="007306CA" w:rsidRDefault="00576025">
            <w:pPr>
              <w:spacing w:after="0"/>
              <w:jc w:val="left"/>
              <w:rPr>
                <w:noProof/>
                <w:color w:val="000000"/>
                <w:sz w:val="18"/>
                <w:szCs w:val="18"/>
              </w:rPr>
            </w:pPr>
            <w:r>
              <w:rPr>
                <w:noProof/>
                <w:color w:val="000000"/>
                <w:sz w:val="18"/>
                <w:szCs w:val="18"/>
              </w:rPr>
              <w:t>Baseline</w:t>
            </w:r>
          </w:p>
        </w:tc>
        <w:tc>
          <w:tcPr>
            <w:tcW w:w="1463" w:type="dxa"/>
            <w:tcBorders>
              <w:top w:val="single" w:sz="4" w:space="0" w:color="auto"/>
              <w:left w:val="nil"/>
              <w:bottom w:val="single" w:sz="4" w:space="0" w:color="auto"/>
              <w:right w:val="single" w:sz="4" w:space="0" w:color="auto"/>
            </w:tcBorders>
            <w:shd w:val="clear" w:color="auto" w:fill="auto"/>
            <w:vAlign w:val="center"/>
            <w:hideMark/>
          </w:tcPr>
          <w:p w:rsidR="007306CA" w:rsidRDefault="00576025">
            <w:pPr>
              <w:spacing w:after="0"/>
              <w:jc w:val="left"/>
              <w:rPr>
                <w:noProof/>
                <w:color w:val="000000"/>
                <w:sz w:val="18"/>
                <w:szCs w:val="18"/>
              </w:rPr>
            </w:pPr>
            <w:r>
              <w:rPr>
                <w:noProof/>
                <w:color w:val="000000"/>
                <w:sz w:val="18"/>
                <w:szCs w:val="18"/>
              </w:rPr>
              <w:t>Baseline</w:t>
            </w:r>
          </w:p>
        </w:tc>
        <w:tc>
          <w:tcPr>
            <w:tcW w:w="1164" w:type="dxa"/>
            <w:tcBorders>
              <w:top w:val="single" w:sz="4" w:space="0" w:color="auto"/>
              <w:left w:val="nil"/>
              <w:bottom w:val="single" w:sz="4" w:space="0" w:color="auto"/>
              <w:right w:val="single" w:sz="4" w:space="0" w:color="auto"/>
            </w:tcBorders>
            <w:shd w:val="clear" w:color="auto" w:fill="auto"/>
            <w:vAlign w:val="center"/>
            <w:hideMark/>
          </w:tcPr>
          <w:p w:rsidR="007306CA" w:rsidRDefault="00576025">
            <w:pPr>
              <w:spacing w:after="0"/>
              <w:jc w:val="left"/>
              <w:rPr>
                <w:noProof/>
                <w:color w:val="000000"/>
                <w:sz w:val="18"/>
                <w:szCs w:val="18"/>
              </w:rPr>
            </w:pPr>
            <w:r>
              <w:rPr>
                <w:noProof/>
                <w:color w:val="000000"/>
                <w:sz w:val="18"/>
                <w:szCs w:val="18"/>
              </w:rPr>
              <w:t>Standard 3 years</w:t>
            </w:r>
          </w:p>
        </w:tc>
        <w:tc>
          <w:tcPr>
            <w:tcW w:w="1466" w:type="dxa"/>
            <w:tcBorders>
              <w:top w:val="single" w:sz="4" w:space="0" w:color="auto"/>
              <w:left w:val="nil"/>
              <w:bottom w:val="single" w:sz="4" w:space="0" w:color="auto"/>
              <w:right w:val="single" w:sz="4" w:space="0" w:color="auto"/>
            </w:tcBorders>
            <w:shd w:val="clear" w:color="auto" w:fill="auto"/>
            <w:vAlign w:val="center"/>
            <w:hideMark/>
          </w:tcPr>
          <w:p w:rsidR="007306CA" w:rsidRDefault="00576025">
            <w:pPr>
              <w:spacing w:after="0"/>
              <w:jc w:val="left"/>
              <w:rPr>
                <w:noProof/>
                <w:color w:val="000000"/>
                <w:sz w:val="18"/>
                <w:szCs w:val="18"/>
              </w:rPr>
            </w:pPr>
            <w:r>
              <w:rPr>
                <w:noProof/>
                <w:color w:val="000000"/>
                <w:sz w:val="18"/>
                <w:szCs w:val="18"/>
              </w:rPr>
              <w:t>Baseline</w:t>
            </w:r>
          </w:p>
        </w:tc>
        <w:tc>
          <w:tcPr>
            <w:tcW w:w="1358" w:type="dxa"/>
            <w:tcBorders>
              <w:top w:val="single" w:sz="4" w:space="0" w:color="auto"/>
              <w:left w:val="nil"/>
              <w:bottom w:val="single" w:sz="4" w:space="0" w:color="auto"/>
              <w:right w:val="single" w:sz="12" w:space="0" w:color="auto"/>
            </w:tcBorders>
            <w:shd w:val="clear" w:color="auto" w:fill="auto"/>
            <w:vAlign w:val="center"/>
            <w:hideMark/>
          </w:tcPr>
          <w:p w:rsidR="007306CA" w:rsidRDefault="00576025">
            <w:pPr>
              <w:spacing w:after="0"/>
              <w:jc w:val="left"/>
              <w:rPr>
                <w:noProof/>
                <w:color w:val="000000"/>
                <w:sz w:val="18"/>
                <w:szCs w:val="18"/>
              </w:rPr>
            </w:pPr>
            <w:r>
              <w:rPr>
                <w:noProof/>
                <w:color w:val="000000"/>
                <w:sz w:val="18"/>
                <w:szCs w:val="18"/>
              </w:rPr>
              <w:t>Baseline</w:t>
            </w:r>
          </w:p>
        </w:tc>
      </w:tr>
      <w:tr w:rsidR="007306CA">
        <w:trPr>
          <w:gridAfter w:val="1"/>
          <w:wAfter w:w="7" w:type="dxa"/>
          <w:trHeight w:val="63"/>
          <w:jc w:val="center"/>
        </w:trPr>
        <w:tc>
          <w:tcPr>
            <w:tcW w:w="1059" w:type="dxa"/>
            <w:tcBorders>
              <w:top w:val="single" w:sz="4" w:space="0" w:color="auto"/>
              <w:left w:val="single" w:sz="12" w:space="0" w:color="auto"/>
              <w:bottom w:val="single" w:sz="4" w:space="0" w:color="auto"/>
              <w:right w:val="single" w:sz="4" w:space="0" w:color="auto"/>
            </w:tcBorders>
            <w:shd w:val="clear" w:color="000000" w:fill="8DB4E2"/>
            <w:vAlign w:val="center"/>
            <w:hideMark/>
          </w:tcPr>
          <w:p w:rsidR="007306CA" w:rsidRDefault="00576025">
            <w:pPr>
              <w:spacing w:after="0"/>
              <w:jc w:val="left"/>
              <w:rPr>
                <w:noProof/>
                <w:color w:val="000000"/>
                <w:sz w:val="18"/>
                <w:szCs w:val="18"/>
              </w:rPr>
            </w:pPr>
            <w:r>
              <w:rPr>
                <w:noProof/>
                <w:color w:val="000000"/>
                <w:sz w:val="18"/>
                <w:szCs w:val="18"/>
              </w:rPr>
              <w:t>Long-term residence</w:t>
            </w:r>
          </w:p>
        </w:tc>
        <w:tc>
          <w:tcPr>
            <w:tcW w:w="1297" w:type="dxa"/>
            <w:tcBorders>
              <w:top w:val="single" w:sz="4" w:space="0" w:color="auto"/>
              <w:left w:val="nil"/>
              <w:bottom w:val="single" w:sz="4" w:space="0" w:color="auto"/>
              <w:right w:val="single" w:sz="4" w:space="0" w:color="auto"/>
            </w:tcBorders>
            <w:shd w:val="clear" w:color="auto" w:fill="auto"/>
            <w:vAlign w:val="center"/>
            <w:hideMark/>
          </w:tcPr>
          <w:p w:rsidR="007306CA" w:rsidRDefault="00576025">
            <w:pPr>
              <w:spacing w:after="0"/>
              <w:jc w:val="left"/>
              <w:rPr>
                <w:noProof/>
                <w:color w:val="000000"/>
                <w:sz w:val="18"/>
                <w:szCs w:val="18"/>
              </w:rPr>
            </w:pPr>
            <w:r>
              <w:rPr>
                <w:noProof/>
                <w:color w:val="000000"/>
                <w:sz w:val="18"/>
                <w:szCs w:val="18"/>
              </w:rPr>
              <w:t>Possible after 5 years</w:t>
            </w:r>
          </w:p>
        </w:tc>
        <w:tc>
          <w:tcPr>
            <w:tcW w:w="1503" w:type="dxa"/>
            <w:tcBorders>
              <w:top w:val="single" w:sz="4" w:space="0" w:color="auto"/>
              <w:left w:val="nil"/>
              <w:bottom w:val="single" w:sz="4" w:space="0" w:color="auto"/>
              <w:right w:val="single" w:sz="4" w:space="0" w:color="auto"/>
            </w:tcBorders>
            <w:shd w:val="clear" w:color="auto" w:fill="auto"/>
            <w:vAlign w:val="center"/>
            <w:hideMark/>
          </w:tcPr>
          <w:p w:rsidR="007306CA" w:rsidRDefault="00576025">
            <w:pPr>
              <w:spacing w:after="0"/>
              <w:jc w:val="left"/>
              <w:rPr>
                <w:noProof/>
                <w:color w:val="000000"/>
                <w:sz w:val="18"/>
                <w:szCs w:val="18"/>
              </w:rPr>
            </w:pPr>
            <w:r>
              <w:rPr>
                <w:noProof/>
                <w:color w:val="000000"/>
                <w:sz w:val="18"/>
                <w:szCs w:val="18"/>
              </w:rPr>
              <w:t>Baseline</w:t>
            </w:r>
          </w:p>
        </w:tc>
        <w:tc>
          <w:tcPr>
            <w:tcW w:w="1463" w:type="dxa"/>
            <w:tcBorders>
              <w:top w:val="single" w:sz="4" w:space="0" w:color="auto"/>
              <w:left w:val="nil"/>
              <w:bottom w:val="single" w:sz="4" w:space="0" w:color="auto"/>
              <w:right w:val="single" w:sz="4" w:space="0" w:color="auto"/>
            </w:tcBorders>
            <w:shd w:val="clear" w:color="auto" w:fill="auto"/>
            <w:vAlign w:val="center"/>
            <w:hideMark/>
          </w:tcPr>
          <w:p w:rsidR="007306CA" w:rsidRDefault="00576025">
            <w:pPr>
              <w:spacing w:after="0"/>
              <w:jc w:val="left"/>
              <w:rPr>
                <w:noProof/>
                <w:color w:val="000000"/>
                <w:sz w:val="18"/>
                <w:szCs w:val="18"/>
              </w:rPr>
            </w:pPr>
            <w:r>
              <w:rPr>
                <w:noProof/>
                <w:color w:val="000000"/>
                <w:sz w:val="18"/>
                <w:szCs w:val="18"/>
              </w:rPr>
              <w:t>After 3 years</w:t>
            </w:r>
          </w:p>
        </w:tc>
        <w:tc>
          <w:tcPr>
            <w:tcW w:w="1164" w:type="dxa"/>
            <w:tcBorders>
              <w:top w:val="single" w:sz="4" w:space="0" w:color="auto"/>
              <w:left w:val="nil"/>
              <w:bottom w:val="single" w:sz="4" w:space="0" w:color="auto"/>
              <w:right w:val="single" w:sz="4" w:space="0" w:color="auto"/>
            </w:tcBorders>
            <w:shd w:val="clear" w:color="auto" w:fill="auto"/>
            <w:vAlign w:val="center"/>
            <w:hideMark/>
          </w:tcPr>
          <w:p w:rsidR="007306CA" w:rsidRDefault="00576025">
            <w:pPr>
              <w:spacing w:after="0"/>
              <w:jc w:val="left"/>
              <w:rPr>
                <w:noProof/>
                <w:color w:val="000000"/>
                <w:sz w:val="18"/>
                <w:szCs w:val="18"/>
              </w:rPr>
            </w:pPr>
            <w:r>
              <w:rPr>
                <w:noProof/>
                <w:color w:val="000000"/>
                <w:sz w:val="18"/>
                <w:szCs w:val="18"/>
              </w:rPr>
              <w:t>After 3 years</w:t>
            </w:r>
          </w:p>
        </w:tc>
        <w:tc>
          <w:tcPr>
            <w:tcW w:w="1466" w:type="dxa"/>
            <w:tcBorders>
              <w:top w:val="single" w:sz="4" w:space="0" w:color="auto"/>
              <w:left w:val="nil"/>
              <w:bottom w:val="single" w:sz="4" w:space="0" w:color="auto"/>
              <w:right w:val="single" w:sz="4" w:space="0" w:color="auto"/>
            </w:tcBorders>
            <w:shd w:val="clear" w:color="auto" w:fill="auto"/>
            <w:vAlign w:val="center"/>
            <w:hideMark/>
          </w:tcPr>
          <w:p w:rsidR="007306CA" w:rsidRDefault="00576025">
            <w:pPr>
              <w:spacing w:after="0"/>
              <w:jc w:val="left"/>
              <w:rPr>
                <w:noProof/>
                <w:color w:val="000000"/>
                <w:sz w:val="18"/>
                <w:szCs w:val="18"/>
              </w:rPr>
            </w:pPr>
            <w:r>
              <w:rPr>
                <w:noProof/>
                <w:color w:val="000000"/>
                <w:sz w:val="18"/>
                <w:szCs w:val="18"/>
              </w:rPr>
              <w:t>Level 1: baseline / Level 2: after 3 years</w:t>
            </w:r>
          </w:p>
        </w:tc>
        <w:tc>
          <w:tcPr>
            <w:tcW w:w="1358" w:type="dxa"/>
            <w:tcBorders>
              <w:top w:val="single" w:sz="4" w:space="0" w:color="auto"/>
              <w:left w:val="nil"/>
              <w:bottom w:val="single" w:sz="4" w:space="0" w:color="auto"/>
              <w:right w:val="single" w:sz="12" w:space="0" w:color="auto"/>
            </w:tcBorders>
            <w:shd w:val="clear" w:color="auto" w:fill="auto"/>
            <w:vAlign w:val="center"/>
            <w:hideMark/>
          </w:tcPr>
          <w:p w:rsidR="007306CA" w:rsidRDefault="00576025">
            <w:pPr>
              <w:spacing w:after="0"/>
              <w:jc w:val="left"/>
              <w:rPr>
                <w:noProof/>
                <w:color w:val="000000"/>
                <w:sz w:val="18"/>
                <w:szCs w:val="18"/>
              </w:rPr>
            </w:pPr>
            <w:r>
              <w:rPr>
                <w:noProof/>
                <w:color w:val="000000"/>
                <w:sz w:val="18"/>
                <w:szCs w:val="18"/>
              </w:rPr>
              <w:t>After 3 years</w:t>
            </w:r>
          </w:p>
        </w:tc>
      </w:tr>
      <w:tr w:rsidR="007306CA">
        <w:trPr>
          <w:gridAfter w:val="1"/>
          <w:wAfter w:w="7" w:type="dxa"/>
          <w:trHeight w:val="261"/>
          <w:jc w:val="center"/>
        </w:trPr>
        <w:tc>
          <w:tcPr>
            <w:tcW w:w="1059" w:type="dxa"/>
            <w:tcBorders>
              <w:top w:val="single" w:sz="4" w:space="0" w:color="auto"/>
              <w:left w:val="single" w:sz="12" w:space="0" w:color="auto"/>
              <w:bottom w:val="single" w:sz="4" w:space="0" w:color="auto"/>
              <w:right w:val="single" w:sz="4" w:space="0" w:color="auto"/>
            </w:tcBorders>
            <w:shd w:val="clear" w:color="000000" w:fill="8DB4E2"/>
            <w:vAlign w:val="center"/>
            <w:hideMark/>
          </w:tcPr>
          <w:p w:rsidR="007306CA" w:rsidRDefault="00576025">
            <w:pPr>
              <w:spacing w:after="0"/>
              <w:jc w:val="left"/>
              <w:rPr>
                <w:noProof/>
                <w:color w:val="000000"/>
                <w:sz w:val="18"/>
                <w:szCs w:val="18"/>
              </w:rPr>
            </w:pPr>
            <w:r>
              <w:rPr>
                <w:noProof/>
                <w:color w:val="000000"/>
                <w:sz w:val="18"/>
                <w:szCs w:val="18"/>
              </w:rPr>
              <w:t>Labour market access</w:t>
            </w:r>
          </w:p>
        </w:tc>
        <w:tc>
          <w:tcPr>
            <w:tcW w:w="1297" w:type="dxa"/>
            <w:tcBorders>
              <w:top w:val="single" w:sz="4" w:space="0" w:color="auto"/>
              <w:left w:val="nil"/>
              <w:bottom w:val="single" w:sz="4" w:space="0" w:color="auto"/>
              <w:right w:val="single" w:sz="4" w:space="0" w:color="auto"/>
            </w:tcBorders>
            <w:shd w:val="clear" w:color="auto" w:fill="auto"/>
            <w:vAlign w:val="center"/>
            <w:hideMark/>
          </w:tcPr>
          <w:p w:rsidR="007306CA" w:rsidRDefault="00576025">
            <w:pPr>
              <w:spacing w:after="0"/>
              <w:jc w:val="left"/>
              <w:rPr>
                <w:noProof/>
                <w:color w:val="000000"/>
                <w:sz w:val="18"/>
                <w:szCs w:val="18"/>
              </w:rPr>
            </w:pPr>
            <w:r>
              <w:rPr>
                <w:noProof/>
                <w:color w:val="000000"/>
                <w:sz w:val="18"/>
                <w:szCs w:val="18"/>
              </w:rPr>
              <w:t>First 2 years: limited to highly skilled jobs and changes subject to authorisation</w:t>
            </w:r>
          </w:p>
        </w:tc>
        <w:tc>
          <w:tcPr>
            <w:tcW w:w="1503" w:type="dxa"/>
            <w:tcBorders>
              <w:top w:val="single" w:sz="4" w:space="0" w:color="auto"/>
              <w:left w:val="nil"/>
              <w:bottom w:val="single" w:sz="4" w:space="0" w:color="auto"/>
              <w:right w:val="single" w:sz="4" w:space="0" w:color="auto"/>
            </w:tcBorders>
            <w:shd w:val="clear" w:color="auto" w:fill="auto"/>
            <w:vAlign w:val="center"/>
            <w:hideMark/>
          </w:tcPr>
          <w:p w:rsidR="007306CA" w:rsidRDefault="00576025">
            <w:pPr>
              <w:spacing w:after="0"/>
              <w:jc w:val="left"/>
              <w:rPr>
                <w:noProof/>
                <w:color w:val="000000"/>
                <w:sz w:val="18"/>
                <w:szCs w:val="18"/>
              </w:rPr>
            </w:pPr>
            <w:r>
              <w:rPr>
                <w:noProof/>
                <w:color w:val="000000"/>
                <w:sz w:val="18"/>
                <w:szCs w:val="18"/>
              </w:rPr>
              <w:t>Baseline</w:t>
            </w:r>
          </w:p>
        </w:tc>
        <w:tc>
          <w:tcPr>
            <w:tcW w:w="1463" w:type="dxa"/>
            <w:tcBorders>
              <w:top w:val="single" w:sz="4" w:space="0" w:color="auto"/>
              <w:left w:val="nil"/>
              <w:bottom w:val="single" w:sz="4" w:space="0" w:color="auto"/>
              <w:right w:val="single" w:sz="4" w:space="0" w:color="auto"/>
            </w:tcBorders>
            <w:shd w:val="clear" w:color="auto" w:fill="auto"/>
            <w:vAlign w:val="center"/>
            <w:hideMark/>
          </w:tcPr>
          <w:p w:rsidR="007306CA" w:rsidRDefault="00576025">
            <w:pPr>
              <w:spacing w:after="0"/>
              <w:jc w:val="left"/>
              <w:rPr>
                <w:noProof/>
                <w:color w:val="000000"/>
                <w:sz w:val="18"/>
                <w:szCs w:val="18"/>
              </w:rPr>
            </w:pPr>
            <w:r>
              <w:rPr>
                <w:noProof/>
                <w:color w:val="000000"/>
                <w:sz w:val="18"/>
                <w:szCs w:val="18"/>
              </w:rPr>
              <w:t xml:space="preserve">Immediate full access to highly skilled jobs, only </w:t>
            </w:r>
            <w:r>
              <w:rPr>
                <w:noProof/>
                <w:color w:val="000000"/>
                <w:sz w:val="18"/>
                <w:szCs w:val="18"/>
              </w:rPr>
              <w:t>notification</w:t>
            </w:r>
          </w:p>
        </w:tc>
        <w:tc>
          <w:tcPr>
            <w:tcW w:w="1164" w:type="dxa"/>
            <w:tcBorders>
              <w:top w:val="single" w:sz="4" w:space="0" w:color="auto"/>
              <w:left w:val="nil"/>
              <w:bottom w:val="single" w:sz="4" w:space="0" w:color="auto"/>
              <w:right w:val="single" w:sz="4" w:space="0" w:color="auto"/>
            </w:tcBorders>
            <w:shd w:val="clear" w:color="auto" w:fill="auto"/>
            <w:vAlign w:val="center"/>
            <w:hideMark/>
          </w:tcPr>
          <w:p w:rsidR="007306CA" w:rsidRDefault="00576025">
            <w:pPr>
              <w:spacing w:after="0"/>
              <w:jc w:val="left"/>
              <w:rPr>
                <w:noProof/>
                <w:color w:val="000000"/>
                <w:sz w:val="18"/>
                <w:szCs w:val="18"/>
              </w:rPr>
            </w:pPr>
            <w:r>
              <w:rPr>
                <w:noProof/>
                <w:color w:val="000000"/>
                <w:sz w:val="18"/>
                <w:szCs w:val="18"/>
              </w:rPr>
              <w:t>Same as POP2(a)</w:t>
            </w:r>
          </w:p>
        </w:tc>
        <w:tc>
          <w:tcPr>
            <w:tcW w:w="1466" w:type="dxa"/>
            <w:tcBorders>
              <w:top w:val="single" w:sz="4" w:space="0" w:color="auto"/>
              <w:left w:val="nil"/>
              <w:bottom w:val="single" w:sz="4" w:space="0" w:color="auto"/>
              <w:right w:val="single" w:sz="4" w:space="0" w:color="auto"/>
            </w:tcBorders>
            <w:shd w:val="clear" w:color="auto" w:fill="auto"/>
            <w:vAlign w:val="center"/>
            <w:hideMark/>
          </w:tcPr>
          <w:p w:rsidR="007306CA" w:rsidRDefault="00576025">
            <w:pPr>
              <w:spacing w:after="0"/>
              <w:jc w:val="left"/>
              <w:rPr>
                <w:noProof/>
                <w:color w:val="000000"/>
                <w:sz w:val="18"/>
                <w:szCs w:val="18"/>
              </w:rPr>
            </w:pPr>
            <w:r>
              <w:rPr>
                <w:noProof/>
                <w:color w:val="000000"/>
                <w:sz w:val="18"/>
                <w:szCs w:val="18"/>
              </w:rPr>
              <w:t>Same as POP2(a)</w:t>
            </w:r>
          </w:p>
        </w:tc>
        <w:tc>
          <w:tcPr>
            <w:tcW w:w="1358" w:type="dxa"/>
            <w:tcBorders>
              <w:top w:val="single" w:sz="4" w:space="0" w:color="auto"/>
              <w:left w:val="nil"/>
              <w:bottom w:val="single" w:sz="4" w:space="0" w:color="auto"/>
              <w:right w:val="single" w:sz="12" w:space="0" w:color="auto"/>
            </w:tcBorders>
            <w:shd w:val="clear" w:color="auto" w:fill="auto"/>
            <w:vAlign w:val="center"/>
            <w:hideMark/>
          </w:tcPr>
          <w:p w:rsidR="007306CA" w:rsidRDefault="00576025">
            <w:pPr>
              <w:spacing w:after="0"/>
              <w:jc w:val="left"/>
              <w:rPr>
                <w:noProof/>
                <w:color w:val="000000"/>
                <w:sz w:val="18"/>
                <w:szCs w:val="18"/>
              </w:rPr>
            </w:pPr>
            <w:r>
              <w:rPr>
                <w:noProof/>
                <w:color w:val="000000"/>
                <w:sz w:val="18"/>
                <w:szCs w:val="18"/>
              </w:rPr>
              <w:t>Same as POP2(a)</w:t>
            </w:r>
          </w:p>
        </w:tc>
      </w:tr>
      <w:tr w:rsidR="007306CA">
        <w:trPr>
          <w:gridAfter w:val="1"/>
          <w:wAfter w:w="7" w:type="dxa"/>
          <w:trHeight w:val="232"/>
          <w:jc w:val="center"/>
        </w:trPr>
        <w:tc>
          <w:tcPr>
            <w:tcW w:w="1059" w:type="dxa"/>
            <w:tcBorders>
              <w:top w:val="single" w:sz="4" w:space="0" w:color="auto"/>
              <w:left w:val="single" w:sz="12" w:space="0" w:color="auto"/>
              <w:bottom w:val="single" w:sz="4" w:space="0" w:color="auto"/>
              <w:right w:val="single" w:sz="4" w:space="0" w:color="auto"/>
            </w:tcBorders>
            <w:shd w:val="clear" w:color="000000" w:fill="8DB4E2"/>
            <w:vAlign w:val="center"/>
            <w:hideMark/>
          </w:tcPr>
          <w:p w:rsidR="007306CA" w:rsidRDefault="00576025">
            <w:pPr>
              <w:spacing w:after="0"/>
              <w:jc w:val="left"/>
              <w:rPr>
                <w:noProof/>
                <w:color w:val="000000"/>
                <w:sz w:val="18"/>
                <w:szCs w:val="18"/>
              </w:rPr>
            </w:pPr>
            <w:r>
              <w:rPr>
                <w:noProof/>
                <w:color w:val="000000"/>
                <w:sz w:val="18"/>
                <w:szCs w:val="18"/>
              </w:rPr>
              <w:t>Facilitation for entrepreneurs</w:t>
            </w:r>
          </w:p>
        </w:tc>
        <w:tc>
          <w:tcPr>
            <w:tcW w:w="1297" w:type="dxa"/>
            <w:tcBorders>
              <w:top w:val="single" w:sz="4" w:space="0" w:color="auto"/>
              <w:left w:val="nil"/>
              <w:bottom w:val="single" w:sz="4" w:space="0" w:color="auto"/>
              <w:right w:val="single" w:sz="4" w:space="0" w:color="auto"/>
            </w:tcBorders>
            <w:shd w:val="clear" w:color="auto" w:fill="auto"/>
            <w:vAlign w:val="center"/>
            <w:hideMark/>
          </w:tcPr>
          <w:p w:rsidR="007306CA" w:rsidRDefault="00576025">
            <w:pPr>
              <w:spacing w:after="0"/>
              <w:jc w:val="left"/>
              <w:rPr>
                <w:noProof/>
                <w:color w:val="000000"/>
                <w:sz w:val="18"/>
                <w:szCs w:val="18"/>
              </w:rPr>
            </w:pPr>
            <w:r>
              <w:rPr>
                <w:noProof/>
                <w:color w:val="000000"/>
                <w:sz w:val="18"/>
                <w:szCs w:val="18"/>
              </w:rPr>
              <w:t>No, self-employed activity not allowed</w:t>
            </w:r>
          </w:p>
        </w:tc>
        <w:tc>
          <w:tcPr>
            <w:tcW w:w="1503" w:type="dxa"/>
            <w:tcBorders>
              <w:top w:val="single" w:sz="4" w:space="0" w:color="auto"/>
              <w:left w:val="nil"/>
              <w:bottom w:val="single" w:sz="4" w:space="0" w:color="auto"/>
              <w:right w:val="single" w:sz="4" w:space="0" w:color="auto"/>
            </w:tcBorders>
            <w:shd w:val="clear" w:color="auto" w:fill="auto"/>
            <w:vAlign w:val="center"/>
            <w:hideMark/>
          </w:tcPr>
          <w:p w:rsidR="007306CA" w:rsidRDefault="00576025">
            <w:pPr>
              <w:spacing w:after="0"/>
              <w:jc w:val="left"/>
              <w:rPr>
                <w:noProof/>
                <w:color w:val="000000"/>
                <w:sz w:val="18"/>
                <w:szCs w:val="18"/>
              </w:rPr>
            </w:pPr>
            <w:r>
              <w:rPr>
                <w:noProof/>
                <w:color w:val="000000"/>
                <w:sz w:val="18"/>
                <w:szCs w:val="18"/>
              </w:rPr>
              <w:t>Yes, secondary self-employed activity on the side of BC job allowed</w:t>
            </w:r>
          </w:p>
        </w:tc>
        <w:tc>
          <w:tcPr>
            <w:tcW w:w="1463" w:type="dxa"/>
            <w:tcBorders>
              <w:top w:val="single" w:sz="4" w:space="0" w:color="auto"/>
              <w:left w:val="nil"/>
              <w:bottom w:val="single" w:sz="4" w:space="0" w:color="auto"/>
              <w:right w:val="single" w:sz="4" w:space="0" w:color="auto"/>
            </w:tcBorders>
            <w:shd w:val="clear" w:color="auto" w:fill="auto"/>
            <w:vAlign w:val="center"/>
            <w:hideMark/>
          </w:tcPr>
          <w:p w:rsidR="007306CA" w:rsidRDefault="00576025">
            <w:pPr>
              <w:spacing w:after="0"/>
              <w:jc w:val="left"/>
              <w:rPr>
                <w:noProof/>
                <w:color w:val="000000"/>
                <w:sz w:val="18"/>
                <w:szCs w:val="18"/>
              </w:rPr>
            </w:pPr>
            <w:r>
              <w:rPr>
                <w:noProof/>
                <w:color w:val="000000"/>
                <w:sz w:val="18"/>
                <w:szCs w:val="18"/>
              </w:rPr>
              <w:t>Same as POP1</w:t>
            </w:r>
          </w:p>
        </w:tc>
        <w:tc>
          <w:tcPr>
            <w:tcW w:w="1164" w:type="dxa"/>
            <w:tcBorders>
              <w:top w:val="single" w:sz="4" w:space="0" w:color="auto"/>
              <w:left w:val="nil"/>
              <w:bottom w:val="single" w:sz="4" w:space="0" w:color="auto"/>
              <w:right w:val="single" w:sz="4" w:space="0" w:color="auto"/>
            </w:tcBorders>
            <w:shd w:val="clear" w:color="auto" w:fill="auto"/>
            <w:vAlign w:val="center"/>
            <w:hideMark/>
          </w:tcPr>
          <w:p w:rsidR="007306CA" w:rsidRDefault="00576025">
            <w:pPr>
              <w:spacing w:after="0"/>
              <w:jc w:val="left"/>
              <w:rPr>
                <w:noProof/>
                <w:color w:val="000000"/>
                <w:sz w:val="18"/>
                <w:szCs w:val="18"/>
              </w:rPr>
            </w:pPr>
            <w:r>
              <w:rPr>
                <w:noProof/>
                <w:color w:val="000000"/>
                <w:sz w:val="18"/>
                <w:szCs w:val="18"/>
              </w:rPr>
              <w:t>Same as POP1</w:t>
            </w:r>
          </w:p>
        </w:tc>
        <w:tc>
          <w:tcPr>
            <w:tcW w:w="1466" w:type="dxa"/>
            <w:tcBorders>
              <w:top w:val="single" w:sz="4" w:space="0" w:color="auto"/>
              <w:left w:val="nil"/>
              <w:bottom w:val="single" w:sz="4" w:space="0" w:color="auto"/>
              <w:right w:val="single" w:sz="4" w:space="0" w:color="auto"/>
            </w:tcBorders>
            <w:shd w:val="clear" w:color="auto" w:fill="auto"/>
            <w:vAlign w:val="center"/>
            <w:hideMark/>
          </w:tcPr>
          <w:p w:rsidR="007306CA" w:rsidRDefault="00576025">
            <w:pPr>
              <w:spacing w:after="0"/>
              <w:jc w:val="left"/>
              <w:rPr>
                <w:noProof/>
                <w:color w:val="000000"/>
                <w:sz w:val="18"/>
                <w:szCs w:val="18"/>
              </w:rPr>
            </w:pPr>
            <w:r>
              <w:rPr>
                <w:noProof/>
                <w:color w:val="000000"/>
                <w:sz w:val="18"/>
                <w:szCs w:val="18"/>
              </w:rPr>
              <w:t>Same as POP1</w:t>
            </w:r>
          </w:p>
        </w:tc>
        <w:tc>
          <w:tcPr>
            <w:tcW w:w="1358" w:type="dxa"/>
            <w:tcBorders>
              <w:top w:val="single" w:sz="4" w:space="0" w:color="auto"/>
              <w:left w:val="nil"/>
              <w:bottom w:val="single" w:sz="4" w:space="0" w:color="auto"/>
              <w:right w:val="single" w:sz="12" w:space="0" w:color="auto"/>
            </w:tcBorders>
            <w:shd w:val="clear" w:color="auto" w:fill="auto"/>
            <w:vAlign w:val="center"/>
            <w:hideMark/>
          </w:tcPr>
          <w:p w:rsidR="007306CA" w:rsidRDefault="00576025">
            <w:pPr>
              <w:spacing w:after="0"/>
              <w:jc w:val="left"/>
              <w:rPr>
                <w:noProof/>
                <w:color w:val="000000"/>
                <w:sz w:val="18"/>
                <w:szCs w:val="18"/>
              </w:rPr>
            </w:pPr>
            <w:r>
              <w:rPr>
                <w:noProof/>
                <w:color w:val="000000"/>
                <w:sz w:val="18"/>
                <w:szCs w:val="18"/>
              </w:rPr>
              <w:t>Same as POP1</w:t>
            </w:r>
          </w:p>
        </w:tc>
      </w:tr>
      <w:tr w:rsidR="007306CA">
        <w:trPr>
          <w:gridAfter w:val="1"/>
          <w:wAfter w:w="7" w:type="dxa"/>
          <w:trHeight w:val="63"/>
          <w:jc w:val="center"/>
        </w:trPr>
        <w:tc>
          <w:tcPr>
            <w:tcW w:w="1059" w:type="dxa"/>
            <w:tcBorders>
              <w:top w:val="single" w:sz="4" w:space="0" w:color="auto"/>
              <w:left w:val="single" w:sz="12" w:space="0" w:color="auto"/>
              <w:bottom w:val="single" w:sz="12" w:space="0" w:color="auto"/>
              <w:right w:val="single" w:sz="4" w:space="0" w:color="auto"/>
            </w:tcBorders>
            <w:shd w:val="clear" w:color="000000" w:fill="8DB4E2"/>
            <w:vAlign w:val="center"/>
            <w:hideMark/>
          </w:tcPr>
          <w:p w:rsidR="007306CA" w:rsidRDefault="00576025">
            <w:pPr>
              <w:spacing w:after="0"/>
              <w:jc w:val="left"/>
              <w:rPr>
                <w:noProof/>
                <w:color w:val="000000"/>
                <w:sz w:val="18"/>
                <w:szCs w:val="18"/>
              </w:rPr>
            </w:pPr>
            <w:r>
              <w:rPr>
                <w:noProof/>
                <w:color w:val="000000"/>
                <w:sz w:val="18"/>
                <w:szCs w:val="18"/>
              </w:rPr>
              <w:t>Family members</w:t>
            </w:r>
          </w:p>
        </w:tc>
        <w:tc>
          <w:tcPr>
            <w:tcW w:w="1297" w:type="dxa"/>
            <w:tcBorders>
              <w:top w:val="single" w:sz="4" w:space="0" w:color="auto"/>
              <w:left w:val="nil"/>
              <w:bottom w:val="single" w:sz="12" w:space="0" w:color="auto"/>
              <w:right w:val="single" w:sz="4" w:space="0" w:color="auto"/>
            </w:tcBorders>
            <w:shd w:val="clear" w:color="auto" w:fill="auto"/>
            <w:vAlign w:val="center"/>
            <w:hideMark/>
          </w:tcPr>
          <w:p w:rsidR="007306CA" w:rsidRDefault="00576025">
            <w:pPr>
              <w:spacing w:after="0"/>
              <w:jc w:val="left"/>
              <w:rPr>
                <w:noProof/>
                <w:color w:val="000000"/>
                <w:sz w:val="18"/>
                <w:szCs w:val="18"/>
              </w:rPr>
            </w:pPr>
            <w:r>
              <w:rPr>
                <w:noProof/>
                <w:color w:val="000000"/>
                <w:sz w:val="18"/>
                <w:szCs w:val="18"/>
              </w:rPr>
              <w:t>Family members can join after 6 months at the latest</w:t>
            </w:r>
          </w:p>
        </w:tc>
        <w:tc>
          <w:tcPr>
            <w:tcW w:w="1503" w:type="dxa"/>
            <w:tcBorders>
              <w:top w:val="single" w:sz="4" w:space="0" w:color="auto"/>
              <w:left w:val="nil"/>
              <w:bottom w:val="single" w:sz="12" w:space="0" w:color="auto"/>
              <w:right w:val="single" w:sz="4" w:space="0" w:color="auto"/>
            </w:tcBorders>
            <w:shd w:val="clear" w:color="auto" w:fill="auto"/>
            <w:vAlign w:val="center"/>
            <w:hideMark/>
          </w:tcPr>
          <w:p w:rsidR="007306CA" w:rsidRDefault="00576025">
            <w:pPr>
              <w:spacing w:after="0"/>
              <w:jc w:val="left"/>
              <w:rPr>
                <w:noProof/>
                <w:color w:val="000000"/>
                <w:sz w:val="18"/>
                <w:szCs w:val="18"/>
              </w:rPr>
            </w:pPr>
            <w:r>
              <w:rPr>
                <w:noProof/>
                <w:color w:val="000000"/>
                <w:sz w:val="18"/>
                <w:szCs w:val="18"/>
              </w:rPr>
              <w:t>Baseline</w:t>
            </w:r>
          </w:p>
        </w:tc>
        <w:tc>
          <w:tcPr>
            <w:tcW w:w="1463" w:type="dxa"/>
            <w:tcBorders>
              <w:top w:val="single" w:sz="4" w:space="0" w:color="auto"/>
              <w:left w:val="nil"/>
              <w:bottom w:val="single" w:sz="12" w:space="0" w:color="auto"/>
              <w:right w:val="single" w:sz="4" w:space="0" w:color="auto"/>
            </w:tcBorders>
            <w:shd w:val="clear" w:color="auto" w:fill="auto"/>
            <w:vAlign w:val="center"/>
            <w:hideMark/>
          </w:tcPr>
          <w:p w:rsidR="007306CA" w:rsidRDefault="00576025">
            <w:pPr>
              <w:spacing w:after="0"/>
              <w:jc w:val="left"/>
              <w:rPr>
                <w:noProof/>
                <w:color w:val="000000"/>
                <w:sz w:val="18"/>
                <w:szCs w:val="18"/>
              </w:rPr>
            </w:pPr>
            <w:r>
              <w:rPr>
                <w:noProof/>
                <w:color w:val="000000"/>
                <w:sz w:val="18"/>
                <w:szCs w:val="18"/>
              </w:rPr>
              <w:t>Family members can join simultaneously</w:t>
            </w:r>
          </w:p>
        </w:tc>
        <w:tc>
          <w:tcPr>
            <w:tcW w:w="1164" w:type="dxa"/>
            <w:tcBorders>
              <w:top w:val="single" w:sz="4" w:space="0" w:color="auto"/>
              <w:left w:val="nil"/>
              <w:bottom w:val="single" w:sz="12" w:space="0" w:color="auto"/>
              <w:right w:val="single" w:sz="4" w:space="0" w:color="auto"/>
            </w:tcBorders>
            <w:shd w:val="clear" w:color="auto" w:fill="auto"/>
            <w:vAlign w:val="center"/>
            <w:hideMark/>
          </w:tcPr>
          <w:p w:rsidR="007306CA" w:rsidRDefault="00576025">
            <w:pPr>
              <w:spacing w:after="0"/>
              <w:jc w:val="left"/>
              <w:rPr>
                <w:noProof/>
                <w:color w:val="000000"/>
                <w:sz w:val="18"/>
                <w:szCs w:val="18"/>
              </w:rPr>
            </w:pPr>
            <w:r>
              <w:rPr>
                <w:noProof/>
                <w:color w:val="000000"/>
                <w:sz w:val="18"/>
                <w:szCs w:val="18"/>
              </w:rPr>
              <w:t>Same as POP2(a)</w:t>
            </w:r>
          </w:p>
        </w:tc>
        <w:tc>
          <w:tcPr>
            <w:tcW w:w="1466" w:type="dxa"/>
            <w:tcBorders>
              <w:top w:val="single" w:sz="4" w:space="0" w:color="auto"/>
              <w:left w:val="nil"/>
              <w:bottom w:val="single" w:sz="12" w:space="0" w:color="auto"/>
              <w:right w:val="single" w:sz="4" w:space="0" w:color="auto"/>
            </w:tcBorders>
            <w:shd w:val="clear" w:color="auto" w:fill="auto"/>
            <w:vAlign w:val="center"/>
            <w:hideMark/>
          </w:tcPr>
          <w:p w:rsidR="007306CA" w:rsidRDefault="00576025">
            <w:pPr>
              <w:spacing w:after="0"/>
              <w:jc w:val="left"/>
              <w:rPr>
                <w:noProof/>
                <w:color w:val="000000"/>
                <w:sz w:val="18"/>
                <w:szCs w:val="18"/>
              </w:rPr>
            </w:pPr>
            <w:r>
              <w:rPr>
                <w:noProof/>
                <w:color w:val="000000"/>
                <w:sz w:val="18"/>
                <w:szCs w:val="18"/>
              </w:rPr>
              <w:t>Same as POP2(a)</w:t>
            </w:r>
          </w:p>
        </w:tc>
        <w:tc>
          <w:tcPr>
            <w:tcW w:w="1358" w:type="dxa"/>
            <w:tcBorders>
              <w:top w:val="single" w:sz="4" w:space="0" w:color="auto"/>
              <w:left w:val="nil"/>
              <w:bottom w:val="single" w:sz="12" w:space="0" w:color="auto"/>
              <w:right w:val="single" w:sz="12" w:space="0" w:color="auto"/>
            </w:tcBorders>
            <w:shd w:val="clear" w:color="auto" w:fill="auto"/>
            <w:vAlign w:val="center"/>
            <w:hideMark/>
          </w:tcPr>
          <w:p w:rsidR="007306CA" w:rsidRDefault="00576025">
            <w:pPr>
              <w:spacing w:after="0"/>
              <w:jc w:val="left"/>
              <w:rPr>
                <w:noProof/>
                <w:color w:val="000000"/>
                <w:sz w:val="18"/>
                <w:szCs w:val="18"/>
              </w:rPr>
            </w:pPr>
            <w:r>
              <w:rPr>
                <w:noProof/>
                <w:color w:val="000000"/>
                <w:sz w:val="18"/>
                <w:szCs w:val="18"/>
              </w:rPr>
              <w:t>Same as POP2(a)</w:t>
            </w:r>
          </w:p>
        </w:tc>
      </w:tr>
      <w:tr w:rsidR="007306CA">
        <w:trPr>
          <w:gridAfter w:val="1"/>
          <w:wAfter w:w="7" w:type="dxa"/>
          <w:trHeight w:val="63"/>
          <w:jc w:val="center"/>
        </w:trPr>
        <w:tc>
          <w:tcPr>
            <w:tcW w:w="9310" w:type="dxa"/>
            <w:gridSpan w:val="7"/>
            <w:tcBorders>
              <w:top w:val="single" w:sz="12" w:space="0" w:color="auto"/>
              <w:left w:val="single" w:sz="12" w:space="0" w:color="auto"/>
              <w:bottom w:val="single" w:sz="4" w:space="0" w:color="auto"/>
              <w:right w:val="single" w:sz="12" w:space="0" w:color="auto"/>
            </w:tcBorders>
            <w:shd w:val="clear" w:color="000000" w:fill="C5D9F1"/>
            <w:vAlign w:val="center"/>
          </w:tcPr>
          <w:p w:rsidR="007306CA" w:rsidRDefault="00576025">
            <w:pPr>
              <w:spacing w:after="0"/>
              <w:jc w:val="center"/>
              <w:rPr>
                <w:i/>
                <w:iCs/>
                <w:noProof/>
                <w:color w:val="000000"/>
                <w:sz w:val="18"/>
                <w:szCs w:val="18"/>
              </w:rPr>
            </w:pPr>
            <w:r>
              <w:rPr>
                <w:b/>
                <w:iCs/>
                <w:noProof/>
                <w:color w:val="000000"/>
                <w:sz w:val="22"/>
                <w:szCs w:val="22"/>
              </w:rPr>
              <w:t>Intra-EU Mobility</w:t>
            </w:r>
          </w:p>
        </w:tc>
      </w:tr>
      <w:tr w:rsidR="007306CA">
        <w:trPr>
          <w:gridAfter w:val="1"/>
          <w:wAfter w:w="7" w:type="dxa"/>
          <w:trHeight w:val="63"/>
          <w:jc w:val="center"/>
        </w:trPr>
        <w:tc>
          <w:tcPr>
            <w:tcW w:w="1059" w:type="dxa"/>
            <w:tcBorders>
              <w:top w:val="single" w:sz="12" w:space="0" w:color="auto"/>
              <w:left w:val="single" w:sz="12" w:space="0" w:color="auto"/>
              <w:bottom w:val="single" w:sz="4" w:space="0" w:color="auto"/>
              <w:right w:val="single" w:sz="4" w:space="0" w:color="auto"/>
            </w:tcBorders>
            <w:shd w:val="clear" w:color="000000" w:fill="C5D9F1"/>
            <w:vAlign w:val="center"/>
            <w:hideMark/>
          </w:tcPr>
          <w:p w:rsidR="007306CA" w:rsidRDefault="007306CA">
            <w:pPr>
              <w:spacing w:after="0"/>
              <w:jc w:val="center"/>
              <w:rPr>
                <w:rFonts w:ascii="Arial" w:hAnsi="Arial"/>
                <w:b/>
                <w:bCs/>
                <w:i/>
                <w:noProof/>
                <w:color w:val="000000"/>
                <w:sz w:val="18"/>
                <w:szCs w:val="18"/>
                <w:u w:val="single"/>
              </w:rPr>
            </w:pPr>
          </w:p>
        </w:tc>
        <w:tc>
          <w:tcPr>
            <w:tcW w:w="1297" w:type="dxa"/>
            <w:tcBorders>
              <w:top w:val="single" w:sz="12" w:space="0" w:color="auto"/>
              <w:left w:val="nil"/>
              <w:bottom w:val="single" w:sz="4" w:space="0" w:color="auto"/>
              <w:right w:val="single" w:sz="4" w:space="0" w:color="auto"/>
            </w:tcBorders>
            <w:shd w:val="clear" w:color="000000" w:fill="C5D9F1"/>
            <w:vAlign w:val="center"/>
            <w:hideMark/>
          </w:tcPr>
          <w:p w:rsidR="007306CA" w:rsidRDefault="00576025">
            <w:pPr>
              <w:spacing w:after="0"/>
              <w:jc w:val="center"/>
              <w:rPr>
                <w:b/>
                <w:bCs/>
                <w:noProof/>
                <w:color w:val="000000"/>
                <w:sz w:val="18"/>
                <w:szCs w:val="18"/>
              </w:rPr>
            </w:pPr>
            <w:r>
              <w:rPr>
                <w:i/>
                <w:noProof/>
                <w:color w:val="000000"/>
                <w:sz w:val="18"/>
                <w:szCs w:val="18"/>
              </w:rPr>
              <w:t>Baseline</w:t>
            </w:r>
          </w:p>
        </w:tc>
        <w:tc>
          <w:tcPr>
            <w:tcW w:w="1503" w:type="dxa"/>
            <w:tcBorders>
              <w:top w:val="single" w:sz="12" w:space="0" w:color="auto"/>
              <w:left w:val="nil"/>
              <w:bottom w:val="single" w:sz="4" w:space="0" w:color="auto"/>
              <w:right w:val="single" w:sz="4" w:space="0" w:color="auto"/>
            </w:tcBorders>
            <w:shd w:val="clear" w:color="000000" w:fill="C5D9F1"/>
            <w:vAlign w:val="center"/>
            <w:hideMark/>
          </w:tcPr>
          <w:p w:rsidR="007306CA" w:rsidRDefault="00576025">
            <w:pPr>
              <w:spacing w:after="0"/>
              <w:jc w:val="center"/>
              <w:rPr>
                <w:i/>
                <w:iCs/>
                <w:noProof/>
                <w:color w:val="000000"/>
                <w:sz w:val="18"/>
                <w:szCs w:val="18"/>
              </w:rPr>
            </w:pPr>
            <w:r>
              <w:rPr>
                <w:i/>
                <w:iCs/>
                <w:noProof/>
                <w:color w:val="000000"/>
                <w:sz w:val="18"/>
                <w:szCs w:val="18"/>
              </w:rPr>
              <w:t>Similar to baseline</w:t>
            </w:r>
          </w:p>
        </w:tc>
        <w:tc>
          <w:tcPr>
            <w:tcW w:w="1463" w:type="dxa"/>
            <w:tcBorders>
              <w:top w:val="single" w:sz="12" w:space="0" w:color="auto"/>
              <w:left w:val="nil"/>
              <w:bottom w:val="single" w:sz="4" w:space="0" w:color="auto"/>
              <w:right w:val="single" w:sz="4" w:space="0" w:color="auto"/>
            </w:tcBorders>
            <w:shd w:val="clear" w:color="000000" w:fill="C5D9F1"/>
            <w:vAlign w:val="center"/>
            <w:hideMark/>
          </w:tcPr>
          <w:p w:rsidR="007306CA" w:rsidRDefault="00576025">
            <w:pPr>
              <w:spacing w:after="0"/>
              <w:jc w:val="center"/>
              <w:rPr>
                <w:i/>
                <w:iCs/>
                <w:noProof/>
                <w:color w:val="000000"/>
                <w:sz w:val="18"/>
                <w:szCs w:val="18"/>
              </w:rPr>
            </w:pPr>
            <w:r>
              <w:rPr>
                <w:i/>
                <w:iCs/>
                <w:noProof/>
                <w:color w:val="000000"/>
                <w:sz w:val="18"/>
                <w:szCs w:val="18"/>
              </w:rPr>
              <w:t>Facilitated</w:t>
            </w:r>
          </w:p>
        </w:tc>
        <w:tc>
          <w:tcPr>
            <w:tcW w:w="1164" w:type="dxa"/>
            <w:tcBorders>
              <w:top w:val="single" w:sz="12" w:space="0" w:color="auto"/>
              <w:left w:val="nil"/>
              <w:bottom w:val="single" w:sz="4" w:space="0" w:color="auto"/>
              <w:right w:val="single" w:sz="4" w:space="0" w:color="auto"/>
            </w:tcBorders>
            <w:shd w:val="clear" w:color="000000" w:fill="C5D9F1"/>
            <w:vAlign w:val="center"/>
            <w:hideMark/>
          </w:tcPr>
          <w:p w:rsidR="007306CA" w:rsidRDefault="00576025">
            <w:pPr>
              <w:spacing w:after="0"/>
              <w:jc w:val="center"/>
              <w:rPr>
                <w:i/>
                <w:iCs/>
                <w:noProof/>
                <w:color w:val="000000"/>
                <w:sz w:val="18"/>
                <w:szCs w:val="18"/>
              </w:rPr>
            </w:pPr>
            <w:r>
              <w:rPr>
                <w:i/>
                <w:iCs/>
                <w:noProof/>
                <w:color w:val="000000"/>
                <w:sz w:val="18"/>
                <w:szCs w:val="18"/>
              </w:rPr>
              <w:t>Much facilitated</w:t>
            </w:r>
          </w:p>
        </w:tc>
        <w:tc>
          <w:tcPr>
            <w:tcW w:w="1466" w:type="dxa"/>
            <w:tcBorders>
              <w:top w:val="single" w:sz="12" w:space="0" w:color="auto"/>
              <w:left w:val="nil"/>
              <w:bottom w:val="single" w:sz="4" w:space="0" w:color="auto"/>
              <w:right w:val="single" w:sz="4" w:space="0" w:color="auto"/>
            </w:tcBorders>
            <w:shd w:val="clear" w:color="000000" w:fill="C5D9F1"/>
            <w:vAlign w:val="center"/>
            <w:hideMark/>
          </w:tcPr>
          <w:p w:rsidR="007306CA" w:rsidRDefault="00576025">
            <w:pPr>
              <w:spacing w:after="0"/>
              <w:jc w:val="center"/>
              <w:rPr>
                <w:i/>
                <w:iCs/>
                <w:noProof/>
                <w:color w:val="000000"/>
                <w:sz w:val="18"/>
                <w:szCs w:val="18"/>
              </w:rPr>
            </w:pPr>
            <w:r>
              <w:rPr>
                <w:i/>
                <w:iCs/>
                <w:noProof/>
                <w:color w:val="000000"/>
                <w:sz w:val="18"/>
                <w:szCs w:val="18"/>
              </w:rPr>
              <w:t>Facilitated</w:t>
            </w:r>
          </w:p>
        </w:tc>
        <w:tc>
          <w:tcPr>
            <w:tcW w:w="1358" w:type="dxa"/>
            <w:tcBorders>
              <w:top w:val="single" w:sz="12" w:space="0" w:color="auto"/>
              <w:left w:val="nil"/>
              <w:bottom w:val="single" w:sz="4" w:space="0" w:color="auto"/>
              <w:right w:val="single" w:sz="12" w:space="0" w:color="auto"/>
            </w:tcBorders>
            <w:shd w:val="clear" w:color="000000" w:fill="C5D9F1"/>
            <w:vAlign w:val="center"/>
            <w:hideMark/>
          </w:tcPr>
          <w:p w:rsidR="007306CA" w:rsidRDefault="00576025">
            <w:pPr>
              <w:spacing w:after="0"/>
              <w:jc w:val="center"/>
              <w:rPr>
                <w:i/>
                <w:iCs/>
                <w:noProof/>
                <w:color w:val="000000"/>
                <w:sz w:val="18"/>
                <w:szCs w:val="18"/>
              </w:rPr>
            </w:pPr>
            <w:r>
              <w:rPr>
                <w:i/>
                <w:iCs/>
                <w:noProof/>
                <w:color w:val="000000"/>
                <w:sz w:val="18"/>
                <w:szCs w:val="18"/>
              </w:rPr>
              <w:t>Full mobility</w:t>
            </w:r>
          </w:p>
        </w:tc>
      </w:tr>
      <w:tr w:rsidR="007306CA">
        <w:trPr>
          <w:gridAfter w:val="1"/>
          <w:wAfter w:w="7" w:type="dxa"/>
          <w:trHeight w:val="63"/>
          <w:jc w:val="center"/>
        </w:trPr>
        <w:tc>
          <w:tcPr>
            <w:tcW w:w="1059" w:type="dxa"/>
            <w:tcBorders>
              <w:top w:val="single" w:sz="4" w:space="0" w:color="auto"/>
              <w:left w:val="single" w:sz="12" w:space="0" w:color="auto"/>
              <w:bottom w:val="single" w:sz="12" w:space="0" w:color="auto"/>
              <w:right w:val="single" w:sz="4" w:space="0" w:color="auto"/>
            </w:tcBorders>
            <w:shd w:val="clear" w:color="000000" w:fill="8DB4E2"/>
            <w:vAlign w:val="center"/>
            <w:hideMark/>
          </w:tcPr>
          <w:p w:rsidR="007306CA" w:rsidRDefault="00576025">
            <w:pPr>
              <w:spacing w:after="0"/>
              <w:jc w:val="left"/>
              <w:rPr>
                <w:noProof/>
                <w:color w:val="000000"/>
                <w:sz w:val="18"/>
                <w:szCs w:val="18"/>
              </w:rPr>
            </w:pPr>
            <w:r>
              <w:rPr>
                <w:noProof/>
                <w:color w:val="000000"/>
                <w:sz w:val="18"/>
                <w:szCs w:val="18"/>
              </w:rPr>
              <w:t>Moving to second Member State</w:t>
            </w:r>
          </w:p>
        </w:tc>
        <w:tc>
          <w:tcPr>
            <w:tcW w:w="1297" w:type="dxa"/>
            <w:tcBorders>
              <w:top w:val="single" w:sz="4" w:space="0" w:color="auto"/>
              <w:left w:val="nil"/>
              <w:bottom w:val="single" w:sz="12" w:space="0" w:color="auto"/>
              <w:right w:val="single" w:sz="4" w:space="0" w:color="auto"/>
            </w:tcBorders>
            <w:shd w:val="clear" w:color="auto" w:fill="auto"/>
            <w:vAlign w:val="center"/>
            <w:hideMark/>
          </w:tcPr>
          <w:p w:rsidR="007306CA" w:rsidRDefault="00576025">
            <w:pPr>
              <w:spacing w:after="0"/>
              <w:jc w:val="left"/>
              <w:rPr>
                <w:noProof/>
                <w:color w:val="000000"/>
                <w:sz w:val="18"/>
                <w:szCs w:val="18"/>
              </w:rPr>
            </w:pPr>
            <w:r>
              <w:rPr>
                <w:noProof/>
                <w:color w:val="000000"/>
                <w:sz w:val="18"/>
                <w:szCs w:val="18"/>
              </w:rPr>
              <w:t>After 18 months: new BC in second MS with limited facilitation</w:t>
            </w:r>
            <w:r>
              <w:rPr>
                <w:rStyle w:val="FootnoteReference"/>
                <w:noProof/>
                <w:color w:val="000000"/>
                <w:sz w:val="18"/>
                <w:szCs w:val="18"/>
              </w:rPr>
              <w:footnoteReference w:id="147"/>
            </w:r>
          </w:p>
        </w:tc>
        <w:tc>
          <w:tcPr>
            <w:tcW w:w="1503" w:type="dxa"/>
            <w:tcBorders>
              <w:top w:val="single" w:sz="4" w:space="0" w:color="auto"/>
              <w:left w:val="nil"/>
              <w:bottom w:val="single" w:sz="12" w:space="0" w:color="auto"/>
              <w:right w:val="single" w:sz="4" w:space="0" w:color="auto"/>
            </w:tcBorders>
            <w:shd w:val="clear" w:color="auto" w:fill="auto"/>
            <w:vAlign w:val="center"/>
            <w:hideMark/>
          </w:tcPr>
          <w:p w:rsidR="007306CA" w:rsidRDefault="00576025">
            <w:pPr>
              <w:spacing w:after="0"/>
              <w:jc w:val="left"/>
              <w:rPr>
                <w:noProof/>
                <w:color w:val="000000"/>
                <w:sz w:val="18"/>
                <w:szCs w:val="18"/>
              </w:rPr>
            </w:pPr>
            <w:r>
              <w:rPr>
                <w:noProof/>
                <w:color w:val="000000"/>
                <w:sz w:val="18"/>
                <w:szCs w:val="18"/>
              </w:rPr>
              <w:t>Baseline</w:t>
            </w:r>
          </w:p>
        </w:tc>
        <w:tc>
          <w:tcPr>
            <w:tcW w:w="1463" w:type="dxa"/>
            <w:tcBorders>
              <w:top w:val="single" w:sz="4" w:space="0" w:color="auto"/>
              <w:left w:val="nil"/>
              <w:bottom w:val="single" w:sz="12" w:space="0" w:color="auto"/>
              <w:right w:val="single" w:sz="4" w:space="0" w:color="auto"/>
            </w:tcBorders>
            <w:shd w:val="clear" w:color="auto" w:fill="auto"/>
            <w:vAlign w:val="center"/>
            <w:hideMark/>
          </w:tcPr>
          <w:p w:rsidR="007306CA" w:rsidRDefault="00576025">
            <w:pPr>
              <w:spacing w:after="0"/>
              <w:jc w:val="left"/>
              <w:rPr>
                <w:noProof/>
                <w:color w:val="000000"/>
                <w:sz w:val="18"/>
                <w:szCs w:val="18"/>
              </w:rPr>
            </w:pPr>
            <w:r>
              <w:rPr>
                <w:noProof/>
                <w:color w:val="000000"/>
                <w:sz w:val="18"/>
                <w:szCs w:val="18"/>
              </w:rPr>
              <w:t xml:space="preserve">More extensive: after 12 months, several conditions waived (labour market test, qualifications for unreg. prof.) but maintaining salary </w:t>
            </w:r>
            <w:r>
              <w:rPr>
                <w:noProof/>
                <w:color w:val="000000"/>
                <w:sz w:val="18"/>
                <w:szCs w:val="18"/>
              </w:rPr>
              <w:t>threshold. Shorter max. processing time (30 days) and may work already before decision taken</w:t>
            </w:r>
          </w:p>
        </w:tc>
        <w:tc>
          <w:tcPr>
            <w:tcW w:w="1164" w:type="dxa"/>
            <w:tcBorders>
              <w:top w:val="single" w:sz="4" w:space="0" w:color="auto"/>
              <w:left w:val="nil"/>
              <w:bottom w:val="single" w:sz="12" w:space="0" w:color="auto"/>
              <w:right w:val="single" w:sz="4" w:space="0" w:color="auto"/>
            </w:tcBorders>
            <w:shd w:val="clear" w:color="auto" w:fill="auto"/>
            <w:vAlign w:val="center"/>
            <w:hideMark/>
          </w:tcPr>
          <w:p w:rsidR="007306CA" w:rsidRDefault="00576025">
            <w:pPr>
              <w:spacing w:after="0"/>
              <w:jc w:val="left"/>
              <w:rPr>
                <w:noProof/>
                <w:color w:val="000000"/>
                <w:sz w:val="18"/>
                <w:szCs w:val="18"/>
              </w:rPr>
            </w:pPr>
            <w:r>
              <w:rPr>
                <w:noProof/>
                <w:color w:val="000000"/>
                <w:sz w:val="18"/>
                <w:szCs w:val="18"/>
              </w:rPr>
              <w:t>Even more extensive: after 12 months, only check that salary meets regular level in that labour market. Rest as in POP2(a).</w:t>
            </w:r>
          </w:p>
        </w:tc>
        <w:tc>
          <w:tcPr>
            <w:tcW w:w="1466" w:type="dxa"/>
            <w:tcBorders>
              <w:top w:val="single" w:sz="4" w:space="0" w:color="auto"/>
              <w:left w:val="nil"/>
              <w:bottom w:val="single" w:sz="12" w:space="0" w:color="auto"/>
              <w:right w:val="single" w:sz="4" w:space="0" w:color="auto"/>
            </w:tcBorders>
            <w:shd w:val="clear" w:color="auto" w:fill="auto"/>
            <w:vAlign w:val="center"/>
            <w:hideMark/>
          </w:tcPr>
          <w:p w:rsidR="007306CA" w:rsidRDefault="00576025">
            <w:pPr>
              <w:spacing w:after="0"/>
              <w:jc w:val="left"/>
              <w:rPr>
                <w:noProof/>
                <w:color w:val="000000"/>
                <w:sz w:val="18"/>
                <w:szCs w:val="18"/>
              </w:rPr>
            </w:pPr>
            <w:r>
              <w:rPr>
                <w:noProof/>
                <w:color w:val="000000"/>
                <w:sz w:val="18"/>
                <w:szCs w:val="18"/>
              </w:rPr>
              <w:t>After 12 months. More facilitated for l</w:t>
            </w:r>
            <w:r>
              <w:rPr>
                <w:noProof/>
                <w:color w:val="000000"/>
                <w:sz w:val="18"/>
                <w:szCs w:val="18"/>
              </w:rPr>
              <w:t>evel 2 (POP2(b)) than for level 1 BC holders (same as POP2(a)).</w:t>
            </w:r>
          </w:p>
        </w:tc>
        <w:tc>
          <w:tcPr>
            <w:tcW w:w="1358" w:type="dxa"/>
            <w:tcBorders>
              <w:top w:val="single" w:sz="4" w:space="0" w:color="auto"/>
              <w:left w:val="nil"/>
              <w:bottom w:val="single" w:sz="12" w:space="0" w:color="auto"/>
              <w:right w:val="single" w:sz="12" w:space="0" w:color="auto"/>
            </w:tcBorders>
            <w:shd w:val="clear" w:color="auto" w:fill="auto"/>
            <w:vAlign w:val="center"/>
            <w:hideMark/>
          </w:tcPr>
          <w:p w:rsidR="007306CA" w:rsidRDefault="00576025">
            <w:pPr>
              <w:spacing w:after="0"/>
              <w:jc w:val="left"/>
              <w:rPr>
                <w:noProof/>
                <w:color w:val="000000"/>
                <w:sz w:val="18"/>
                <w:szCs w:val="18"/>
              </w:rPr>
            </w:pPr>
            <w:r>
              <w:rPr>
                <w:noProof/>
                <w:color w:val="000000"/>
                <w:sz w:val="18"/>
                <w:szCs w:val="18"/>
              </w:rPr>
              <w:t>Comparable to the free movement of EU citizens: single BC enables HSW to reside and work under the BC conditions in any MS</w:t>
            </w:r>
          </w:p>
        </w:tc>
      </w:tr>
      <w:tr w:rsidR="007306CA">
        <w:trPr>
          <w:trHeight w:val="63"/>
          <w:jc w:val="center"/>
        </w:trPr>
        <w:tc>
          <w:tcPr>
            <w:tcW w:w="9317" w:type="dxa"/>
            <w:gridSpan w:val="8"/>
            <w:tcBorders>
              <w:top w:val="single" w:sz="12" w:space="0" w:color="auto"/>
              <w:left w:val="single" w:sz="12" w:space="0" w:color="auto"/>
              <w:bottom w:val="single" w:sz="4" w:space="0" w:color="auto"/>
              <w:right w:val="single" w:sz="12" w:space="0" w:color="auto"/>
            </w:tcBorders>
            <w:shd w:val="clear" w:color="000000" w:fill="C5D9F1"/>
            <w:vAlign w:val="center"/>
            <w:hideMark/>
          </w:tcPr>
          <w:p w:rsidR="007306CA" w:rsidRDefault="00576025">
            <w:pPr>
              <w:spacing w:after="0"/>
              <w:jc w:val="center"/>
              <w:rPr>
                <w:b/>
                <w:bCs/>
                <w:noProof/>
                <w:color w:val="000000"/>
                <w:sz w:val="18"/>
                <w:szCs w:val="18"/>
                <w:u w:val="single"/>
              </w:rPr>
            </w:pPr>
            <w:r>
              <w:rPr>
                <w:b/>
                <w:iCs/>
                <w:noProof/>
                <w:color w:val="000000"/>
                <w:sz w:val="22"/>
                <w:szCs w:val="22"/>
              </w:rPr>
              <w:t>Relation with parallel national schemes</w:t>
            </w:r>
          </w:p>
        </w:tc>
      </w:tr>
      <w:tr w:rsidR="007306CA">
        <w:trPr>
          <w:gridAfter w:val="1"/>
          <w:wAfter w:w="7" w:type="dxa"/>
          <w:trHeight w:val="63"/>
          <w:jc w:val="center"/>
        </w:trPr>
        <w:tc>
          <w:tcPr>
            <w:tcW w:w="1059" w:type="dxa"/>
            <w:tcBorders>
              <w:top w:val="nil"/>
              <w:left w:val="single" w:sz="12" w:space="0" w:color="auto"/>
              <w:bottom w:val="single" w:sz="4" w:space="0" w:color="auto"/>
              <w:right w:val="single" w:sz="4" w:space="0" w:color="auto"/>
            </w:tcBorders>
            <w:shd w:val="clear" w:color="000000" w:fill="8DB4E2"/>
            <w:vAlign w:val="center"/>
            <w:hideMark/>
          </w:tcPr>
          <w:p w:rsidR="007306CA" w:rsidRDefault="00576025">
            <w:pPr>
              <w:spacing w:after="0"/>
              <w:jc w:val="left"/>
              <w:rPr>
                <w:noProof/>
                <w:color w:val="000000"/>
                <w:sz w:val="18"/>
                <w:szCs w:val="18"/>
              </w:rPr>
            </w:pPr>
            <w:r>
              <w:rPr>
                <w:noProof/>
                <w:color w:val="000000"/>
                <w:sz w:val="18"/>
                <w:szCs w:val="18"/>
              </w:rPr>
              <w:t>Parallel schemes</w:t>
            </w:r>
          </w:p>
        </w:tc>
        <w:tc>
          <w:tcPr>
            <w:tcW w:w="1297" w:type="dxa"/>
            <w:tcBorders>
              <w:top w:val="nil"/>
              <w:left w:val="nil"/>
              <w:bottom w:val="single" w:sz="4" w:space="0" w:color="auto"/>
              <w:right w:val="single" w:sz="4" w:space="0" w:color="auto"/>
            </w:tcBorders>
            <w:shd w:val="clear" w:color="auto" w:fill="auto"/>
            <w:vAlign w:val="center"/>
            <w:hideMark/>
          </w:tcPr>
          <w:p w:rsidR="007306CA" w:rsidRDefault="00576025">
            <w:pPr>
              <w:spacing w:after="0"/>
              <w:jc w:val="left"/>
              <w:rPr>
                <w:noProof/>
                <w:color w:val="000000"/>
                <w:sz w:val="18"/>
                <w:szCs w:val="18"/>
              </w:rPr>
            </w:pPr>
            <w:r>
              <w:rPr>
                <w:noProof/>
                <w:color w:val="000000"/>
                <w:sz w:val="18"/>
                <w:szCs w:val="18"/>
              </w:rPr>
              <w:t xml:space="preserve">Allowed </w:t>
            </w:r>
            <w:r>
              <w:rPr>
                <w:noProof/>
                <w:color w:val="000000"/>
                <w:sz w:val="18"/>
                <w:szCs w:val="18"/>
              </w:rPr>
              <w:t>for same group of HSW</w:t>
            </w:r>
          </w:p>
        </w:tc>
        <w:tc>
          <w:tcPr>
            <w:tcW w:w="1503" w:type="dxa"/>
            <w:tcBorders>
              <w:top w:val="nil"/>
              <w:left w:val="nil"/>
              <w:bottom w:val="single" w:sz="4" w:space="0" w:color="auto"/>
              <w:right w:val="single" w:sz="4" w:space="0" w:color="auto"/>
            </w:tcBorders>
            <w:shd w:val="clear" w:color="auto" w:fill="auto"/>
            <w:vAlign w:val="center"/>
            <w:hideMark/>
          </w:tcPr>
          <w:p w:rsidR="007306CA" w:rsidRDefault="00576025">
            <w:pPr>
              <w:spacing w:after="0"/>
              <w:jc w:val="left"/>
              <w:rPr>
                <w:noProof/>
                <w:color w:val="000000"/>
                <w:sz w:val="18"/>
                <w:szCs w:val="18"/>
              </w:rPr>
            </w:pPr>
            <w:r>
              <w:rPr>
                <w:noProof/>
                <w:color w:val="000000"/>
                <w:sz w:val="18"/>
                <w:szCs w:val="18"/>
              </w:rPr>
              <w:t>Not allowed: all applicants who qualify get BC (allowed outside scope)</w:t>
            </w:r>
          </w:p>
        </w:tc>
        <w:tc>
          <w:tcPr>
            <w:tcW w:w="1463" w:type="dxa"/>
            <w:tcBorders>
              <w:top w:val="nil"/>
              <w:left w:val="nil"/>
              <w:bottom w:val="single" w:sz="4" w:space="0" w:color="auto"/>
              <w:right w:val="single" w:sz="4" w:space="0" w:color="auto"/>
            </w:tcBorders>
            <w:shd w:val="clear" w:color="auto" w:fill="auto"/>
            <w:vAlign w:val="center"/>
            <w:hideMark/>
          </w:tcPr>
          <w:p w:rsidR="007306CA" w:rsidRDefault="00576025">
            <w:pPr>
              <w:spacing w:after="0"/>
              <w:jc w:val="left"/>
              <w:rPr>
                <w:noProof/>
                <w:color w:val="000000"/>
                <w:sz w:val="18"/>
                <w:szCs w:val="18"/>
              </w:rPr>
            </w:pPr>
            <w:r>
              <w:rPr>
                <w:noProof/>
                <w:color w:val="000000"/>
                <w:sz w:val="18"/>
                <w:szCs w:val="18"/>
              </w:rPr>
              <w:t>Not allowed: all applicants who qualify get BC (allowed outside scope)</w:t>
            </w:r>
          </w:p>
        </w:tc>
        <w:tc>
          <w:tcPr>
            <w:tcW w:w="1164" w:type="dxa"/>
            <w:tcBorders>
              <w:top w:val="nil"/>
              <w:left w:val="nil"/>
              <w:bottom w:val="single" w:sz="4" w:space="0" w:color="auto"/>
              <w:right w:val="single" w:sz="4" w:space="0" w:color="auto"/>
            </w:tcBorders>
            <w:shd w:val="clear" w:color="auto" w:fill="auto"/>
            <w:vAlign w:val="center"/>
            <w:hideMark/>
          </w:tcPr>
          <w:p w:rsidR="007306CA" w:rsidRDefault="00576025">
            <w:pPr>
              <w:spacing w:after="0"/>
              <w:jc w:val="left"/>
              <w:rPr>
                <w:noProof/>
                <w:color w:val="000000"/>
                <w:sz w:val="18"/>
                <w:szCs w:val="18"/>
              </w:rPr>
            </w:pPr>
            <w:r>
              <w:rPr>
                <w:noProof/>
                <w:color w:val="000000"/>
                <w:sz w:val="18"/>
                <w:szCs w:val="18"/>
              </w:rPr>
              <w:t>Allowed for same group of HSW</w:t>
            </w:r>
          </w:p>
        </w:tc>
        <w:tc>
          <w:tcPr>
            <w:tcW w:w="1466" w:type="dxa"/>
            <w:tcBorders>
              <w:top w:val="nil"/>
              <w:left w:val="nil"/>
              <w:bottom w:val="single" w:sz="4" w:space="0" w:color="auto"/>
              <w:right w:val="single" w:sz="4" w:space="0" w:color="auto"/>
            </w:tcBorders>
            <w:shd w:val="clear" w:color="auto" w:fill="auto"/>
            <w:vAlign w:val="center"/>
            <w:hideMark/>
          </w:tcPr>
          <w:p w:rsidR="007306CA" w:rsidRDefault="00576025">
            <w:pPr>
              <w:spacing w:after="0"/>
              <w:jc w:val="left"/>
              <w:rPr>
                <w:noProof/>
                <w:color w:val="000000"/>
                <w:sz w:val="18"/>
                <w:szCs w:val="18"/>
              </w:rPr>
            </w:pPr>
            <w:r>
              <w:rPr>
                <w:noProof/>
                <w:color w:val="000000"/>
                <w:sz w:val="18"/>
                <w:szCs w:val="18"/>
              </w:rPr>
              <w:t>Not allowed: all applicants who qualify get BC (allowed outsid</w:t>
            </w:r>
            <w:r>
              <w:rPr>
                <w:noProof/>
                <w:color w:val="000000"/>
                <w:sz w:val="18"/>
                <w:szCs w:val="18"/>
              </w:rPr>
              <w:t>e scope)</w:t>
            </w:r>
          </w:p>
        </w:tc>
        <w:tc>
          <w:tcPr>
            <w:tcW w:w="1358" w:type="dxa"/>
            <w:tcBorders>
              <w:top w:val="nil"/>
              <w:left w:val="nil"/>
              <w:bottom w:val="single" w:sz="4" w:space="0" w:color="auto"/>
              <w:right w:val="single" w:sz="12" w:space="0" w:color="auto"/>
            </w:tcBorders>
            <w:shd w:val="clear" w:color="auto" w:fill="auto"/>
            <w:vAlign w:val="center"/>
            <w:hideMark/>
          </w:tcPr>
          <w:p w:rsidR="007306CA" w:rsidRDefault="00576025">
            <w:pPr>
              <w:spacing w:after="0"/>
              <w:jc w:val="left"/>
              <w:rPr>
                <w:noProof/>
                <w:color w:val="000000"/>
                <w:sz w:val="18"/>
                <w:szCs w:val="18"/>
              </w:rPr>
            </w:pPr>
            <w:r>
              <w:rPr>
                <w:noProof/>
                <w:color w:val="000000"/>
                <w:sz w:val="18"/>
                <w:szCs w:val="18"/>
              </w:rPr>
              <w:t>Not allowed: all applicants who qualify get BC (allowed outside scope)POP1</w:t>
            </w:r>
          </w:p>
        </w:tc>
      </w:tr>
      <w:tr w:rsidR="007306CA">
        <w:trPr>
          <w:gridAfter w:val="1"/>
          <w:wAfter w:w="7" w:type="dxa"/>
          <w:trHeight w:val="63"/>
          <w:jc w:val="center"/>
        </w:trPr>
        <w:tc>
          <w:tcPr>
            <w:tcW w:w="1059" w:type="dxa"/>
            <w:tcBorders>
              <w:top w:val="nil"/>
              <w:left w:val="single" w:sz="12" w:space="0" w:color="auto"/>
              <w:bottom w:val="single" w:sz="4" w:space="0" w:color="auto"/>
              <w:right w:val="single" w:sz="4" w:space="0" w:color="auto"/>
            </w:tcBorders>
            <w:shd w:val="clear" w:color="000000" w:fill="8DB4E2"/>
            <w:vAlign w:val="center"/>
            <w:hideMark/>
          </w:tcPr>
          <w:p w:rsidR="007306CA" w:rsidRDefault="00576025">
            <w:pPr>
              <w:spacing w:after="0"/>
              <w:jc w:val="center"/>
              <w:rPr>
                <w:b/>
                <w:noProof/>
                <w:color w:val="000000"/>
                <w:sz w:val="18"/>
                <w:szCs w:val="18"/>
              </w:rPr>
            </w:pPr>
            <w:r>
              <w:rPr>
                <w:b/>
                <w:noProof/>
                <w:color w:val="000000"/>
                <w:sz w:val="18"/>
                <w:szCs w:val="18"/>
              </w:rPr>
              <w:t>Inclusive</w:t>
            </w:r>
          </w:p>
        </w:tc>
        <w:tc>
          <w:tcPr>
            <w:tcW w:w="1297" w:type="dxa"/>
            <w:tcBorders>
              <w:top w:val="nil"/>
              <w:left w:val="nil"/>
              <w:bottom w:val="single" w:sz="4" w:space="0" w:color="auto"/>
              <w:right w:val="single" w:sz="4" w:space="0" w:color="auto"/>
            </w:tcBorders>
            <w:shd w:val="clear" w:color="000000" w:fill="C5D9F1"/>
            <w:vAlign w:val="center"/>
          </w:tcPr>
          <w:p w:rsidR="007306CA" w:rsidRDefault="00576025">
            <w:pPr>
              <w:spacing w:after="0"/>
              <w:jc w:val="center"/>
              <w:rPr>
                <w:noProof/>
                <w:color w:val="000000"/>
                <w:sz w:val="18"/>
                <w:szCs w:val="18"/>
              </w:rPr>
            </w:pPr>
            <w:r>
              <w:rPr>
                <w:i/>
                <w:noProof/>
                <w:color w:val="000000"/>
                <w:sz w:val="18"/>
                <w:szCs w:val="18"/>
              </w:rPr>
              <w:t>Baseline</w:t>
            </w:r>
          </w:p>
        </w:tc>
        <w:tc>
          <w:tcPr>
            <w:tcW w:w="1503" w:type="dxa"/>
            <w:tcBorders>
              <w:top w:val="nil"/>
              <w:left w:val="nil"/>
              <w:bottom w:val="single" w:sz="4" w:space="0" w:color="auto"/>
              <w:right w:val="single" w:sz="4" w:space="0" w:color="auto"/>
            </w:tcBorders>
            <w:shd w:val="clear" w:color="000000" w:fill="C5D9F1"/>
            <w:vAlign w:val="center"/>
            <w:hideMark/>
          </w:tcPr>
          <w:p w:rsidR="007306CA" w:rsidRDefault="00576025">
            <w:pPr>
              <w:spacing w:after="0"/>
              <w:jc w:val="center"/>
              <w:rPr>
                <w:i/>
                <w:iCs/>
                <w:noProof/>
                <w:color w:val="000000"/>
                <w:sz w:val="18"/>
                <w:szCs w:val="18"/>
              </w:rPr>
            </w:pPr>
            <w:r>
              <w:rPr>
                <w:i/>
                <w:iCs/>
                <w:noProof/>
                <w:color w:val="000000"/>
                <w:sz w:val="18"/>
                <w:szCs w:val="18"/>
              </w:rPr>
              <w:t>Very high</w:t>
            </w:r>
          </w:p>
        </w:tc>
        <w:tc>
          <w:tcPr>
            <w:tcW w:w="1463" w:type="dxa"/>
            <w:tcBorders>
              <w:top w:val="nil"/>
              <w:left w:val="nil"/>
              <w:bottom w:val="single" w:sz="4" w:space="0" w:color="auto"/>
              <w:right w:val="single" w:sz="4" w:space="0" w:color="auto"/>
            </w:tcBorders>
            <w:shd w:val="clear" w:color="000000" w:fill="C5D9F1"/>
            <w:vAlign w:val="center"/>
            <w:hideMark/>
          </w:tcPr>
          <w:p w:rsidR="007306CA" w:rsidRDefault="00576025">
            <w:pPr>
              <w:spacing w:after="0"/>
              <w:jc w:val="center"/>
              <w:rPr>
                <w:i/>
                <w:iCs/>
                <w:noProof/>
                <w:color w:val="000000"/>
                <w:sz w:val="18"/>
                <w:szCs w:val="18"/>
              </w:rPr>
            </w:pPr>
            <w:r>
              <w:rPr>
                <w:i/>
                <w:iCs/>
                <w:noProof/>
                <w:color w:val="000000"/>
                <w:sz w:val="18"/>
                <w:szCs w:val="18"/>
              </w:rPr>
              <w:t>High</w:t>
            </w:r>
          </w:p>
        </w:tc>
        <w:tc>
          <w:tcPr>
            <w:tcW w:w="1164" w:type="dxa"/>
            <w:tcBorders>
              <w:top w:val="nil"/>
              <w:left w:val="nil"/>
              <w:bottom w:val="single" w:sz="4" w:space="0" w:color="auto"/>
              <w:right w:val="single" w:sz="4" w:space="0" w:color="auto"/>
            </w:tcBorders>
            <w:shd w:val="clear" w:color="000000" w:fill="C5D9F1"/>
            <w:vAlign w:val="center"/>
            <w:hideMark/>
          </w:tcPr>
          <w:p w:rsidR="007306CA" w:rsidRDefault="00576025">
            <w:pPr>
              <w:spacing w:after="0"/>
              <w:jc w:val="center"/>
              <w:rPr>
                <w:i/>
                <w:iCs/>
                <w:noProof/>
                <w:color w:val="000000"/>
                <w:sz w:val="18"/>
                <w:szCs w:val="18"/>
              </w:rPr>
            </w:pPr>
            <w:r>
              <w:rPr>
                <w:i/>
                <w:iCs/>
                <w:noProof/>
                <w:color w:val="000000"/>
                <w:sz w:val="18"/>
                <w:szCs w:val="18"/>
              </w:rPr>
              <w:t>Low</w:t>
            </w:r>
          </w:p>
        </w:tc>
        <w:tc>
          <w:tcPr>
            <w:tcW w:w="1466" w:type="dxa"/>
            <w:tcBorders>
              <w:top w:val="nil"/>
              <w:left w:val="nil"/>
              <w:bottom w:val="single" w:sz="4" w:space="0" w:color="auto"/>
              <w:right w:val="single" w:sz="4" w:space="0" w:color="auto"/>
            </w:tcBorders>
            <w:shd w:val="clear" w:color="000000" w:fill="C5D9F1"/>
            <w:vAlign w:val="center"/>
            <w:hideMark/>
          </w:tcPr>
          <w:p w:rsidR="007306CA" w:rsidRDefault="00576025">
            <w:pPr>
              <w:spacing w:after="0"/>
              <w:jc w:val="center"/>
              <w:rPr>
                <w:i/>
                <w:iCs/>
                <w:noProof/>
                <w:color w:val="000000"/>
                <w:sz w:val="18"/>
                <w:szCs w:val="18"/>
              </w:rPr>
            </w:pPr>
            <w:r>
              <w:rPr>
                <w:i/>
                <w:iCs/>
                <w:noProof/>
                <w:color w:val="000000"/>
                <w:sz w:val="18"/>
                <w:szCs w:val="18"/>
              </w:rPr>
              <w:t>High</w:t>
            </w:r>
          </w:p>
        </w:tc>
        <w:tc>
          <w:tcPr>
            <w:tcW w:w="1358" w:type="dxa"/>
            <w:tcBorders>
              <w:top w:val="nil"/>
              <w:left w:val="nil"/>
              <w:bottom w:val="single" w:sz="4" w:space="0" w:color="auto"/>
              <w:right w:val="single" w:sz="12" w:space="0" w:color="auto"/>
            </w:tcBorders>
            <w:shd w:val="clear" w:color="000000" w:fill="C5D9F1"/>
            <w:vAlign w:val="center"/>
            <w:hideMark/>
          </w:tcPr>
          <w:p w:rsidR="007306CA" w:rsidRDefault="00576025">
            <w:pPr>
              <w:spacing w:after="0"/>
              <w:jc w:val="center"/>
              <w:rPr>
                <w:i/>
                <w:iCs/>
                <w:noProof/>
                <w:color w:val="000000"/>
                <w:sz w:val="18"/>
                <w:szCs w:val="18"/>
              </w:rPr>
            </w:pPr>
            <w:r>
              <w:rPr>
                <w:i/>
                <w:iCs/>
                <w:noProof/>
                <w:color w:val="000000"/>
                <w:sz w:val="18"/>
                <w:szCs w:val="18"/>
              </w:rPr>
              <w:t>Low</w:t>
            </w:r>
          </w:p>
        </w:tc>
      </w:tr>
      <w:tr w:rsidR="007306CA">
        <w:trPr>
          <w:gridAfter w:val="1"/>
          <w:wAfter w:w="7" w:type="dxa"/>
          <w:trHeight w:val="64"/>
          <w:jc w:val="center"/>
        </w:trPr>
        <w:tc>
          <w:tcPr>
            <w:tcW w:w="1059" w:type="dxa"/>
            <w:tcBorders>
              <w:top w:val="nil"/>
              <w:left w:val="single" w:sz="12" w:space="0" w:color="auto"/>
              <w:bottom w:val="single" w:sz="12" w:space="0" w:color="auto"/>
              <w:right w:val="single" w:sz="4" w:space="0" w:color="auto"/>
            </w:tcBorders>
            <w:shd w:val="clear" w:color="000000" w:fill="8DB4E2"/>
            <w:vAlign w:val="center"/>
            <w:hideMark/>
          </w:tcPr>
          <w:p w:rsidR="007306CA" w:rsidRDefault="00576025">
            <w:pPr>
              <w:spacing w:after="0"/>
              <w:jc w:val="center"/>
              <w:rPr>
                <w:b/>
                <w:noProof/>
                <w:color w:val="000000"/>
                <w:sz w:val="18"/>
                <w:szCs w:val="18"/>
              </w:rPr>
            </w:pPr>
            <w:r>
              <w:rPr>
                <w:b/>
                <w:noProof/>
                <w:color w:val="000000"/>
                <w:sz w:val="18"/>
                <w:szCs w:val="18"/>
              </w:rPr>
              <w:t>Harmonise</w:t>
            </w:r>
          </w:p>
        </w:tc>
        <w:tc>
          <w:tcPr>
            <w:tcW w:w="1297" w:type="dxa"/>
            <w:tcBorders>
              <w:top w:val="nil"/>
              <w:left w:val="nil"/>
              <w:bottom w:val="single" w:sz="12" w:space="0" w:color="auto"/>
              <w:right w:val="single" w:sz="4" w:space="0" w:color="auto"/>
            </w:tcBorders>
            <w:shd w:val="clear" w:color="000000" w:fill="C5D9F1"/>
            <w:vAlign w:val="center"/>
          </w:tcPr>
          <w:p w:rsidR="007306CA" w:rsidRDefault="00576025">
            <w:pPr>
              <w:spacing w:after="0"/>
              <w:jc w:val="center"/>
              <w:rPr>
                <w:noProof/>
                <w:color w:val="000000"/>
                <w:sz w:val="18"/>
                <w:szCs w:val="18"/>
              </w:rPr>
            </w:pPr>
            <w:r>
              <w:rPr>
                <w:i/>
                <w:noProof/>
                <w:color w:val="000000"/>
                <w:sz w:val="18"/>
                <w:szCs w:val="18"/>
              </w:rPr>
              <w:t>Baseline</w:t>
            </w:r>
          </w:p>
        </w:tc>
        <w:tc>
          <w:tcPr>
            <w:tcW w:w="1503" w:type="dxa"/>
            <w:tcBorders>
              <w:top w:val="nil"/>
              <w:left w:val="nil"/>
              <w:bottom w:val="single" w:sz="12" w:space="0" w:color="auto"/>
              <w:right w:val="single" w:sz="4" w:space="0" w:color="auto"/>
            </w:tcBorders>
            <w:shd w:val="clear" w:color="000000" w:fill="C5D9F1"/>
            <w:vAlign w:val="center"/>
            <w:hideMark/>
          </w:tcPr>
          <w:p w:rsidR="007306CA" w:rsidRDefault="00576025">
            <w:pPr>
              <w:spacing w:after="0"/>
              <w:jc w:val="center"/>
              <w:rPr>
                <w:i/>
                <w:iCs/>
                <w:noProof/>
                <w:color w:val="000000"/>
                <w:sz w:val="18"/>
                <w:szCs w:val="18"/>
              </w:rPr>
            </w:pPr>
            <w:r>
              <w:rPr>
                <w:i/>
                <w:iCs/>
                <w:noProof/>
                <w:color w:val="000000"/>
                <w:sz w:val="18"/>
                <w:szCs w:val="18"/>
              </w:rPr>
              <w:t>Medium</w:t>
            </w:r>
          </w:p>
        </w:tc>
        <w:tc>
          <w:tcPr>
            <w:tcW w:w="1463" w:type="dxa"/>
            <w:tcBorders>
              <w:top w:val="nil"/>
              <w:left w:val="nil"/>
              <w:bottom w:val="single" w:sz="12" w:space="0" w:color="auto"/>
              <w:right w:val="single" w:sz="4" w:space="0" w:color="auto"/>
            </w:tcBorders>
            <w:shd w:val="clear" w:color="000000" w:fill="C5D9F1"/>
            <w:vAlign w:val="center"/>
            <w:hideMark/>
          </w:tcPr>
          <w:p w:rsidR="007306CA" w:rsidRDefault="00576025">
            <w:pPr>
              <w:spacing w:after="0"/>
              <w:jc w:val="center"/>
              <w:rPr>
                <w:i/>
                <w:iCs/>
                <w:noProof/>
                <w:color w:val="000000"/>
                <w:sz w:val="18"/>
                <w:szCs w:val="18"/>
              </w:rPr>
            </w:pPr>
            <w:r>
              <w:rPr>
                <w:i/>
                <w:iCs/>
                <w:noProof/>
                <w:color w:val="000000"/>
                <w:sz w:val="18"/>
                <w:szCs w:val="18"/>
              </w:rPr>
              <w:t>High</w:t>
            </w:r>
          </w:p>
        </w:tc>
        <w:tc>
          <w:tcPr>
            <w:tcW w:w="1164" w:type="dxa"/>
            <w:tcBorders>
              <w:top w:val="nil"/>
              <w:left w:val="nil"/>
              <w:bottom w:val="single" w:sz="12" w:space="0" w:color="auto"/>
              <w:right w:val="single" w:sz="4" w:space="0" w:color="auto"/>
            </w:tcBorders>
            <w:shd w:val="clear" w:color="000000" w:fill="C5D9F1"/>
            <w:vAlign w:val="center"/>
            <w:hideMark/>
          </w:tcPr>
          <w:p w:rsidR="007306CA" w:rsidRDefault="00576025">
            <w:pPr>
              <w:spacing w:after="0"/>
              <w:jc w:val="center"/>
              <w:rPr>
                <w:i/>
                <w:iCs/>
                <w:noProof/>
                <w:color w:val="000000"/>
                <w:sz w:val="18"/>
                <w:szCs w:val="18"/>
              </w:rPr>
            </w:pPr>
            <w:r>
              <w:rPr>
                <w:i/>
                <w:iCs/>
                <w:noProof/>
                <w:color w:val="000000"/>
                <w:sz w:val="18"/>
                <w:szCs w:val="18"/>
              </w:rPr>
              <w:t>Low</w:t>
            </w:r>
          </w:p>
        </w:tc>
        <w:tc>
          <w:tcPr>
            <w:tcW w:w="1466" w:type="dxa"/>
            <w:tcBorders>
              <w:top w:val="nil"/>
              <w:left w:val="nil"/>
              <w:bottom w:val="single" w:sz="12" w:space="0" w:color="auto"/>
              <w:right w:val="single" w:sz="4" w:space="0" w:color="auto"/>
            </w:tcBorders>
            <w:shd w:val="clear" w:color="000000" w:fill="C5D9F1"/>
            <w:vAlign w:val="center"/>
            <w:hideMark/>
          </w:tcPr>
          <w:p w:rsidR="007306CA" w:rsidRDefault="00576025">
            <w:pPr>
              <w:spacing w:after="0"/>
              <w:jc w:val="center"/>
              <w:rPr>
                <w:i/>
                <w:iCs/>
                <w:noProof/>
                <w:color w:val="000000"/>
                <w:sz w:val="18"/>
                <w:szCs w:val="18"/>
              </w:rPr>
            </w:pPr>
            <w:r>
              <w:rPr>
                <w:i/>
                <w:iCs/>
                <w:noProof/>
                <w:color w:val="000000"/>
                <w:sz w:val="18"/>
                <w:szCs w:val="18"/>
              </w:rPr>
              <w:t>High</w:t>
            </w:r>
          </w:p>
        </w:tc>
        <w:tc>
          <w:tcPr>
            <w:tcW w:w="1358" w:type="dxa"/>
            <w:tcBorders>
              <w:top w:val="nil"/>
              <w:left w:val="nil"/>
              <w:bottom w:val="single" w:sz="12" w:space="0" w:color="auto"/>
              <w:right w:val="single" w:sz="12" w:space="0" w:color="auto"/>
            </w:tcBorders>
            <w:shd w:val="clear" w:color="000000" w:fill="C5D9F1"/>
            <w:vAlign w:val="center"/>
            <w:hideMark/>
          </w:tcPr>
          <w:p w:rsidR="007306CA" w:rsidRDefault="00576025">
            <w:pPr>
              <w:spacing w:after="0"/>
              <w:jc w:val="center"/>
              <w:rPr>
                <w:i/>
                <w:iCs/>
                <w:noProof/>
                <w:color w:val="000000"/>
                <w:sz w:val="18"/>
                <w:szCs w:val="18"/>
              </w:rPr>
            </w:pPr>
            <w:r>
              <w:rPr>
                <w:i/>
                <w:iCs/>
                <w:noProof/>
                <w:color w:val="000000"/>
                <w:sz w:val="18"/>
                <w:szCs w:val="18"/>
              </w:rPr>
              <w:t>Very high</w:t>
            </w:r>
          </w:p>
        </w:tc>
      </w:tr>
    </w:tbl>
    <w:p w:rsidR="007306CA" w:rsidRDefault="007306CA">
      <w:pPr>
        <w:spacing w:after="120"/>
        <w:rPr>
          <w:rFonts w:eastAsiaTheme="minorHAnsi"/>
          <w:noProof/>
        </w:rPr>
      </w:pPr>
    </w:p>
    <w:p w:rsidR="007306CA" w:rsidRDefault="00576025">
      <w:pPr>
        <w:pStyle w:val="Heading3"/>
        <w:rPr>
          <w:rFonts w:eastAsiaTheme="majorEastAsia" w:cstheme="majorBidi"/>
          <w:bCs/>
          <w:noProof/>
        </w:rPr>
      </w:pPr>
      <w:r>
        <w:rPr>
          <w:rFonts w:eastAsiaTheme="minorHAnsi"/>
          <w:noProof/>
        </w:rPr>
        <w:t>Horizontal options</w:t>
      </w:r>
    </w:p>
    <w:p w:rsidR="007306CA" w:rsidRDefault="00576025">
      <w:pPr>
        <w:spacing w:after="120" w:line="240" w:lineRule="atLeast"/>
        <w:rPr>
          <w:rFonts w:eastAsiaTheme="majorEastAsia"/>
          <w:bCs/>
          <w:noProof/>
        </w:rPr>
      </w:pPr>
      <w:r>
        <w:rPr>
          <w:rFonts w:eastAsiaTheme="majorEastAsia"/>
          <w:bCs/>
          <w:noProof/>
        </w:rPr>
        <w:t xml:space="preserve">These </w:t>
      </w:r>
      <w:r>
        <w:rPr>
          <w:rFonts w:eastAsiaTheme="minorHAnsi"/>
          <w:noProof/>
        </w:rPr>
        <w:t>policy</w:t>
      </w:r>
      <w:r>
        <w:rPr>
          <w:rFonts w:eastAsiaTheme="majorEastAsia"/>
          <w:bCs/>
          <w:noProof/>
        </w:rPr>
        <w:t xml:space="preserve"> options (POs) are horizontal, to the extent that they can be combined with any of the legislative packages. The non-legislative option (PO-A) could also be self-standing on top of the baseline situation.</w:t>
      </w:r>
    </w:p>
    <w:p w:rsidR="007306CA" w:rsidRDefault="00576025">
      <w:pPr>
        <w:spacing w:after="120" w:line="240" w:lineRule="atLeast"/>
        <w:rPr>
          <w:rFonts w:eastAsiaTheme="minorHAnsi"/>
          <w:b/>
          <w:noProof/>
        </w:rPr>
      </w:pPr>
      <w:r>
        <w:rPr>
          <w:rFonts w:eastAsiaTheme="minorHAnsi"/>
          <w:b/>
          <w:noProof/>
        </w:rPr>
        <w:t>PO-A: Non-legislative option: actions to improve th</w:t>
      </w:r>
      <w:r>
        <w:rPr>
          <w:rFonts w:eastAsiaTheme="minorHAnsi"/>
          <w:b/>
          <w:noProof/>
        </w:rPr>
        <w:t>e effectiveness of the Blue Card</w:t>
      </w:r>
    </w:p>
    <w:p w:rsidR="007306CA" w:rsidRDefault="00576025">
      <w:pPr>
        <w:spacing w:after="120" w:line="240" w:lineRule="atLeast"/>
        <w:rPr>
          <w:rFonts w:eastAsiaTheme="minorHAnsi"/>
          <w:noProof/>
        </w:rPr>
      </w:pPr>
      <w:r>
        <w:rPr>
          <w:rFonts w:eastAsiaTheme="minorHAnsi"/>
          <w:noProof/>
        </w:rPr>
        <w:t>This policy option package would involve non-legislative actions aimed at enhancing the implementation of the EU Blue Card and the promotion of the brand.</w:t>
      </w:r>
      <w:r>
        <w:rPr>
          <w:noProof/>
        </w:rPr>
        <w:t xml:space="preserve"> Key elements:</w:t>
      </w:r>
    </w:p>
    <w:p w:rsidR="007306CA" w:rsidRDefault="00576025">
      <w:pPr>
        <w:pStyle w:val="ListParagraph"/>
        <w:numPr>
          <w:ilvl w:val="0"/>
          <w:numId w:val="21"/>
        </w:numPr>
        <w:spacing w:after="120" w:line="240" w:lineRule="atLeast"/>
        <w:ind w:left="360"/>
        <w:rPr>
          <w:rFonts w:eastAsiaTheme="minorHAnsi"/>
          <w:noProof/>
        </w:rPr>
      </w:pPr>
      <w:r>
        <w:rPr>
          <w:rFonts w:eastAsiaTheme="minorHAnsi"/>
          <w:noProof/>
        </w:rPr>
        <w:t>The Commission enhances the implementation of the Blue</w:t>
      </w:r>
      <w:r>
        <w:rPr>
          <w:rFonts w:eastAsiaTheme="minorHAnsi"/>
          <w:noProof/>
        </w:rPr>
        <w:t xml:space="preserve"> Card Directive and supports further practical cooperation between Member States. Member State experts exchange information on best practices and perceived trends, as well as on possible fraud and abuse of the Blue Card system.</w:t>
      </w:r>
    </w:p>
    <w:p w:rsidR="007306CA" w:rsidRDefault="00576025">
      <w:pPr>
        <w:pStyle w:val="ListParagraph"/>
        <w:numPr>
          <w:ilvl w:val="0"/>
          <w:numId w:val="21"/>
        </w:numPr>
        <w:spacing w:after="120" w:line="240" w:lineRule="atLeast"/>
        <w:ind w:left="360"/>
        <w:rPr>
          <w:rFonts w:eastAsiaTheme="minorHAnsi"/>
          <w:noProof/>
        </w:rPr>
      </w:pPr>
      <w:r>
        <w:rPr>
          <w:rFonts w:eastAsiaTheme="minorHAnsi"/>
          <w:noProof/>
        </w:rPr>
        <w:t xml:space="preserve">The use of the EU Blue Card </w:t>
      </w:r>
      <w:r>
        <w:rPr>
          <w:rFonts w:eastAsiaTheme="minorHAnsi"/>
          <w:noProof/>
        </w:rPr>
        <w:t>scheme is made easier by improving – with practical measures - the recognition of foreign qualifications between Member States and in cooperation with third countries</w:t>
      </w:r>
      <w:r>
        <w:rPr>
          <w:rStyle w:val="FootnoteReference"/>
          <w:rFonts w:eastAsiaTheme="minorHAnsi"/>
          <w:noProof/>
        </w:rPr>
        <w:footnoteReference w:id="148"/>
      </w:r>
      <w:r>
        <w:rPr>
          <w:rFonts w:eastAsiaTheme="minorHAnsi"/>
          <w:noProof/>
        </w:rPr>
        <w:t>.</w:t>
      </w:r>
    </w:p>
    <w:p w:rsidR="007306CA" w:rsidRDefault="00576025">
      <w:pPr>
        <w:pStyle w:val="ListParagraph"/>
        <w:numPr>
          <w:ilvl w:val="0"/>
          <w:numId w:val="21"/>
        </w:numPr>
        <w:spacing w:after="120" w:line="240" w:lineRule="atLeast"/>
        <w:ind w:left="360"/>
        <w:rPr>
          <w:rFonts w:eastAsiaTheme="minorHAnsi"/>
          <w:noProof/>
        </w:rPr>
      </w:pPr>
      <w:r>
        <w:rPr>
          <w:rFonts w:eastAsiaTheme="minorHAnsi"/>
          <w:noProof/>
        </w:rPr>
        <w:t>EU and Member States increase the visibility and attractiveness of the EU Blue Card bra</w:t>
      </w:r>
      <w:r>
        <w:rPr>
          <w:rFonts w:eastAsiaTheme="minorHAnsi"/>
          <w:noProof/>
        </w:rPr>
        <w:t>nd through information sharing, promotion, and advertisement activities. The Commission launches a dedicated, user-friendly website on the EU Blue Card within the EU Immigration Portal. Possible promotion tours in third countries can be organised in cooper</w:t>
      </w:r>
      <w:r>
        <w:rPr>
          <w:rFonts w:eastAsiaTheme="minorHAnsi"/>
          <w:noProof/>
        </w:rPr>
        <w:t>ation with different stakeholders.</w:t>
      </w:r>
    </w:p>
    <w:p w:rsidR="007306CA" w:rsidRDefault="00576025">
      <w:pPr>
        <w:pStyle w:val="ListParagraph"/>
        <w:numPr>
          <w:ilvl w:val="0"/>
          <w:numId w:val="21"/>
        </w:numPr>
        <w:spacing w:after="120" w:line="240" w:lineRule="atLeast"/>
        <w:ind w:left="360"/>
        <w:rPr>
          <w:rFonts w:eastAsiaTheme="majorEastAsia" w:cstheme="majorBidi"/>
          <w:bCs/>
          <w:noProof/>
        </w:rPr>
      </w:pPr>
      <w:r>
        <w:rPr>
          <w:rFonts w:eastAsiaTheme="minorHAnsi"/>
          <w:noProof/>
        </w:rPr>
        <w:t>Practical measures are developed to improve skills and job matching to make EU employers and TCN HSW more attainable to each other.</w:t>
      </w:r>
    </w:p>
    <w:p w:rsidR="007306CA" w:rsidRDefault="00576025">
      <w:pPr>
        <w:spacing w:after="120" w:line="240" w:lineRule="atLeast"/>
        <w:rPr>
          <w:rFonts w:eastAsiaTheme="minorHAnsi"/>
          <w:b/>
          <w:noProof/>
        </w:rPr>
      </w:pPr>
      <w:r>
        <w:rPr>
          <w:rFonts w:eastAsiaTheme="minorHAnsi"/>
          <w:b/>
          <w:noProof/>
        </w:rPr>
        <w:t>PO-B: Extending the Blue Card to innovative entrepreneurs</w:t>
      </w:r>
    </w:p>
    <w:p w:rsidR="007306CA" w:rsidRDefault="00576025">
      <w:pPr>
        <w:spacing w:after="120"/>
        <w:rPr>
          <w:rFonts w:eastAsiaTheme="minorHAnsi"/>
          <w:noProof/>
        </w:rPr>
      </w:pPr>
      <w:r>
        <w:rPr>
          <w:rFonts w:eastAsiaTheme="minorHAnsi"/>
          <w:noProof/>
        </w:rPr>
        <w:t>This option would extend the sc</w:t>
      </w:r>
      <w:r>
        <w:rPr>
          <w:rFonts w:eastAsiaTheme="minorHAnsi"/>
          <w:noProof/>
        </w:rPr>
        <w:t xml:space="preserve">ope of the Blue Card from highly skilled </w:t>
      </w:r>
      <w:r>
        <w:rPr>
          <w:rFonts w:eastAsiaTheme="minorHAnsi"/>
          <w:i/>
          <w:noProof/>
        </w:rPr>
        <w:t xml:space="preserve">employed </w:t>
      </w:r>
      <w:r>
        <w:rPr>
          <w:rFonts w:eastAsiaTheme="minorHAnsi"/>
          <w:noProof/>
        </w:rPr>
        <w:t xml:space="preserve">workers to innovative entrepreneurs (thus </w:t>
      </w:r>
      <w:r>
        <w:rPr>
          <w:rFonts w:eastAsiaTheme="minorHAnsi"/>
          <w:i/>
          <w:noProof/>
        </w:rPr>
        <w:t>self-employed</w:t>
      </w:r>
      <w:r>
        <w:rPr>
          <w:rFonts w:eastAsiaTheme="minorHAnsi"/>
          <w:noProof/>
        </w:rPr>
        <w:t xml:space="preserve"> workers), and a separate set of admission conditions and rights (including possibly intra-EU mobility) for this group would be created within the Dire</w:t>
      </w:r>
      <w:r>
        <w:rPr>
          <w:rFonts w:eastAsiaTheme="minorHAnsi"/>
          <w:noProof/>
        </w:rPr>
        <w:t>ctive</w:t>
      </w:r>
      <w:r>
        <w:rPr>
          <w:rStyle w:val="FootnoteReference"/>
          <w:noProof/>
        </w:rPr>
        <w:footnoteReference w:id="149"/>
      </w:r>
      <w:r>
        <w:rPr>
          <w:rFonts w:eastAsiaTheme="minorHAnsi"/>
          <w:noProof/>
        </w:rPr>
        <w:t xml:space="preserve">. </w:t>
      </w:r>
    </w:p>
    <w:p w:rsidR="007306CA" w:rsidRDefault="00576025">
      <w:pPr>
        <w:spacing w:after="120" w:line="240" w:lineRule="atLeast"/>
        <w:rPr>
          <w:rFonts w:eastAsiaTheme="minorHAnsi"/>
          <w:b/>
          <w:noProof/>
        </w:rPr>
      </w:pPr>
      <w:r>
        <w:rPr>
          <w:rFonts w:eastAsiaTheme="minorHAnsi"/>
          <w:b/>
          <w:noProof/>
        </w:rPr>
        <w:t>PO-C: Extending the Blue Card to highly skilled beneficiaries of international protection and asylum applicants</w:t>
      </w:r>
    </w:p>
    <w:p w:rsidR="007306CA" w:rsidRDefault="00576025">
      <w:pPr>
        <w:spacing w:after="120"/>
        <w:rPr>
          <w:rFonts w:eastAsiaTheme="minorHAnsi"/>
          <w:noProof/>
        </w:rPr>
      </w:pPr>
      <w:r>
        <w:rPr>
          <w:rFonts w:eastAsiaTheme="minorHAnsi"/>
          <w:noProof/>
        </w:rPr>
        <w:t>This option would open access to the EU Blue Card to categories of migrants who have applied for or have received international protect</w:t>
      </w:r>
      <w:r>
        <w:rPr>
          <w:rFonts w:eastAsiaTheme="minorHAnsi"/>
          <w:noProof/>
        </w:rPr>
        <w:t>ion. Two main sub-categories and sub-options can be distinguished</w:t>
      </w:r>
      <w:r>
        <w:rPr>
          <w:rStyle w:val="FootnoteReference"/>
          <w:rFonts w:eastAsiaTheme="minorHAnsi"/>
          <w:noProof/>
        </w:rPr>
        <w:footnoteReference w:id="150"/>
      </w:r>
      <w:r>
        <w:rPr>
          <w:rFonts w:eastAsiaTheme="minorHAnsi"/>
          <w:noProof/>
        </w:rPr>
        <w:t>: (i) including only beneficiaries of international protection (refugees, persons granted subsidiary protection); (ii) including also asylum seekers.</w:t>
      </w:r>
    </w:p>
    <w:p w:rsidR="007306CA" w:rsidRDefault="00576025">
      <w:pPr>
        <w:pStyle w:val="Heading1"/>
        <w:spacing w:after="120"/>
        <w:ind w:left="482" w:hanging="482"/>
        <w:rPr>
          <w:noProof/>
        </w:rPr>
      </w:pPr>
      <w:bookmarkStart w:id="47" w:name="_Toc452679060"/>
      <w:bookmarkEnd w:id="32"/>
      <w:r>
        <w:rPr>
          <w:noProof/>
        </w:rPr>
        <w:t>Analysis of feasibility and impacts of t</w:t>
      </w:r>
      <w:r>
        <w:rPr>
          <w:noProof/>
        </w:rPr>
        <w:t>he policy options</w:t>
      </w:r>
      <w:bookmarkEnd w:id="47"/>
    </w:p>
    <w:p w:rsidR="007306CA" w:rsidRDefault="00576025">
      <w:pPr>
        <w:spacing w:after="120"/>
        <w:rPr>
          <w:noProof/>
          <w:lang w:eastAsia="en-GB"/>
        </w:rPr>
      </w:pPr>
      <w:bookmarkStart w:id="48" w:name="_Toc428451199"/>
      <w:r>
        <w:rPr>
          <w:noProof/>
          <w:lang w:eastAsia="en-GB"/>
        </w:rPr>
        <w:t xml:space="preserve">This section analyses the various policy option packages (POPs) and horizontal policy options (POs) of the previous chapter against a series of assessment criteria. </w:t>
      </w:r>
    </w:p>
    <w:p w:rsidR="007306CA" w:rsidRDefault="00576025">
      <w:pPr>
        <w:pStyle w:val="Heading2"/>
        <w:tabs>
          <w:tab w:val="clear" w:pos="720"/>
          <w:tab w:val="num" w:pos="851"/>
        </w:tabs>
        <w:spacing w:after="120"/>
        <w:ind w:left="709"/>
        <w:rPr>
          <w:rFonts w:eastAsiaTheme="majorEastAsia"/>
          <w:bCs/>
          <w:noProof/>
        </w:rPr>
      </w:pPr>
      <w:bookmarkStart w:id="49" w:name="_Toc445713225"/>
      <w:bookmarkStart w:id="50" w:name="_Toc445713388"/>
      <w:bookmarkStart w:id="51" w:name="_Toc452679061"/>
      <w:bookmarkEnd w:id="49"/>
      <w:bookmarkEnd w:id="50"/>
      <w:r>
        <w:rPr>
          <w:rFonts w:eastAsiaTheme="majorEastAsia"/>
          <w:bCs/>
          <w:noProof/>
        </w:rPr>
        <w:t>Assessment of the legal feasibility</w:t>
      </w:r>
      <w:bookmarkEnd w:id="51"/>
      <w:r>
        <w:rPr>
          <w:rFonts w:eastAsiaTheme="majorEastAsia"/>
          <w:bCs/>
          <w:noProof/>
        </w:rPr>
        <w:t xml:space="preserve"> </w:t>
      </w:r>
    </w:p>
    <w:p w:rsidR="007306CA" w:rsidRDefault="00576025">
      <w:pPr>
        <w:rPr>
          <w:rFonts w:eastAsiaTheme="majorEastAsia"/>
          <w:noProof/>
        </w:rPr>
      </w:pPr>
      <w:r>
        <w:rPr>
          <w:rFonts w:eastAsiaTheme="majorEastAsia"/>
          <w:noProof/>
        </w:rPr>
        <w:t>The feasibility of the options that</w:t>
      </w:r>
      <w:r>
        <w:rPr>
          <w:rFonts w:eastAsiaTheme="majorEastAsia"/>
          <w:noProof/>
        </w:rPr>
        <w:t xml:space="preserve"> have been retained for further in-depth assessment was first screened for legal constraints such as issues of subsidiarity and proportionality. The legal feasibility is scored with positive (+) or negative (-).</w:t>
      </w:r>
    </w:p>
    <w:tbl>
      <w:tblPr>
        <w:tblW w:w="9371" w:type="dxa"/>
        <w:tblInd w:w="93" w:type="dxa"/>
        <w:tblLook w:val="04A0" w:firstRow="1" w:lastRow="0" w:firstColumn="1" w:lastColumn="0" w:noHBand="0" w:noVBand="1"/>
      </w:tblPr>
      <w:tblGrid>
        <w:gridCol w:w="3680"/>
        <w:gridCol w:w="451"/>
        <w:gridCol w:w="5240"/>
      </w:tblGrid>
      <w:tr w:rsidR="007306CA">
        <w:trPr>
          <w:trHeight w:val="300"/>
        </w:trPr>
        <w:tc>
          <w:tcPr>
            <w:tcW w:w="3680" w:type="dxa"/>
            <w:tcBorders>
              <w:top w:val="single" w:sz="4" w:space="0" w:color="auto"/>
              <w:left w:val="single" w:sz="4" w:space="0" w:color="auto"/>
              <w:bottom w:val="single" w:sz="4" w:space="0" w:color="auto"/>
              <w:right w:val="single" w:sz="4" w:space="0" w:color="auto"/>
            </w:tcBorders>
            <w:shd w:val="clear" w:color="000000" w:fill="C5D9F1"/>
            <w:vAlign w:val="center"/>
            <w:hideMark/>
          </w:tcPr>
          <w:p w:rsidR="007306CA" w:rsidRDefault="00576025">
            <w:pPr>
              <w:spacing w:after="0"/>
              <w:rPr>
                <w:b/>
                <w:bCs/>
                <w:noProof/>
                <w:color w:val="000000"/>
                <w:sz w:val="20"/>
                <w:szCs w:val="20"/>
                <w:lang w:eastAsia="en-GB"/>
              </w:rPr>
            </w:pPr>
            <w:r>
              <w:rPr>
                <w:b/>
                <w:bCs/>
                <w:noProof/>
                <w:color w:val="000000"/>
                <w:sz w:val="20"/>
                <w:szCs w:val="20"/>
                <w:lang w:eastAsia="en-GB"/>
              </w:rPr>
              <w:t>Legislative options</w:t>
            </w:r>
          </w:p>
        </w:tc>
        <w:tc>
          <w:tcPr>
            <w:tcW w:w="451" w:type="dxa"/>
            <w:tcBorders>
              <w:top w:val="single" w:sz="4" w:space="0" w:color="auto"/>
              <w:left w:val="nil"/>
              <w:bottom w:val="single" w:sz="4" w:space="0" w:color="auto"/>
              <w:right w:val="single" w:sz="4" w:space="0" w:color="auto"/>
            </w:tcBorders>
            <w:shd w:val="clear" w:color="000000" w:fill="C5D9F1"/>
            <w:vAlign w:val="center"/>
            <w:hideMark/>
          </w:tcPr>
          <w:p w:rsidR="007306CA" w:rsidRDefault="007306CA">
            <w:pPr>
              <w:spacing w:after="0"/>
              <w:jc w:val="center"/>
              <w:rPr>
                <w:b/>
                <w:bCs/>
                <w:noProof/>
                <w:color w:val="000000"/>
                <w:sz w:val="20"/>
                <w:szCs w:val="20"/>
                <w:lang w:eastAsia="en-GB"/>
              </w:rPr>
            </w:pPr>
          </w:p>
        </w:tc>
        <w:tc>
          <w:tcPr>
            <w:tcW w:w="5240" w:type="dxa"/>
            <w:tcBorders>
              <w:top w:val="single" w:sz="4" w:space="0" w:color="auto"/>
              <w:left w:val="nil"/>
              <w:bottom w:val="single" w:sz="4" w:space="0" w:color="auto"/>
              <w:right w:val="single" w:sz="4" w:space="0" w:color="auto"/>
            </w:tcBorders>
            <w:shd w:val="clear" w:color="000000" w:fill="C5D9F1"/>
            <w:vAlign w:val="center"/>
            <w:hideMark/>
          </w:tcPr>
          <w:p w:rsidR="007306CA" w:rsidRDefault="00576025">
            <w:pPr>
              <w:spacing w:after="0"/>
              <w:rPr>
                <w:b/>
                <w:bCs/>
                <w:noProof/>
                <w:color w:val="000000"/>
                <w:sz w:val="20"/>
                <w:szCs w:val="20"/>
                <w:lang w:eastAsia="en-GB"/>
              </w:rPr>
            </w:pPr>
            <w:r>
              <w:rPr>
                <w:b/>
                <w:bCs/>
                <w:noProof/>
                <w:color w:val="000000"/>
                <w:sz w:val="20"/>
                <w:szCs w:val="20"/>
                <w:lang w:eastAsia="en-GB"/>
              </w:rPr>
              <w:t> </w:t>
            </w:r>
          </w:p>
        </w:tc>
      </w:tr>
      <w:tr w:rsidR="007306CA">
        <w:trPr>
          <w:trHeight w:val="108"/>
        </w:trPr>
        <w:tc>
          <w:tcPr>
            <w:tcW w:w="3680" w:type="dxa"/>
            <w:tcBorders>
              <w:top w:val="nil"/>
              <w:left w:val="single" w:sz="4" w:space="0" w:color="auto"/>
              <w:bottom w:val="single" w:sz="4" w:space="0" w:color="auto"/>
              <w:right w:val="single" w:sz="4" w:space="0" w:color="auto"/>
            </w:tcBorders>
            <w:shd w:val="clear" w:color="auto" w:fill="auto"/>
            <w:vAlign w:val="center"/>
            <w:hideMark/>
          </w:tcPr>
          <w:p w:rsidR="007306CA" w:rsidRDefault="00576025">
            <w:pPr>
              <w:spacing w:after="0"/>
              <w:rPr>
                <w:noProof/>
                <w:color w:val="000000"/>
                <w:sz w:val="20"/>
                <w:szCs w:val="20"/>
                <w:lang w:eastAsia="en-GB"/>
              </w:rPr>
            </w:pPr>
            <w:r>
              <w:rPr>
                <w:noProof/>
                <w:color w:val="000000"/>
                <w:sz w:val="20"/>
                <w:szCs w:val="20"/>
                <w:lang w:eastAsia="en-GB"/>
              </w:rPr>
              <w:t xml:space="preserve">POP1: Extending the </w:t>
            </w:r>
            <w:r>
              <w:rPr>
                <w:noProof/>
                <w:color w:val="000000"/>
                <w:sz w:val="20"/>
                <w:szCs w:val="20"/>
                <w:lang w:eastAsia="en-GB"/>
              </w:rPr>
              <w:t>scope by making it accessible to a significantly wider group of workers, including (some) medium-skilled</w:t>
            </w:r>
          </w:p>
        </w:tc>
        <w:tc>
          <w:tcPr>
            <w:tcW w:w="451" w:type="dxa"/>
            <w:tcBorders>
              <w:top w:val="nil"/>
              <w:left w:val="nil"/>
              <w:bottom w:val="single" w:sz="4" w:space="0" w:color="auto"/>
              <w:right w:val="single" w:sz="4" w:space="0" w:color="auto"/>
            </w:tcBorders>
            <w:shd w:val="clear" w:color="auto" w:fill="auto"/>
            <w:vAlign w:val="center"/>
            <w:hideMark/>
          </w:tcPr>
          <w:p w:rsidR="007306CA" w:rsidRDefault="00576025">
            <w:pPr>
              <w:spacing w:after="0"/>
              <w:jc w:val="center"/>
              <w:rPr>
                <w:noProof/>
                <w:color w:val="000000"/>
                <w:sz w:val="20"/>
                <w:szCs w:val="20"/>
                <w:lang w:eastAsia="en-GB"/>
              </w:rPr>
            </w:pPr>
            <w:r>
              <w:rPr>
                <w:noProof/>
                <w:color w:val="000000"/>
                <w:sz w:val="20"/>
                <w:szCs w:val="20"/>
                <w:lang w:eastAsia="en-GB"/>
              </w:rPr>
              <w:t>+</w:t>
            </w:r>
          </w:p>
        </w:tc>
        <w:tc>
          <w:tcPr>
            <w:tcW w:w="5240" w:type="dxa"/>
            <w:tcBorders>
              <w:top w:val="nil"/>
              <w:left w:val="nil"/>
              <w:bottom w:val="single" w:sz="4" w:space="0" w:color="auto"/>
              <w:right w:val="single" w:sz="4" w:space="0" w:color="auto"/>
            </w:tcBorders>
            <w:shd w:val="clear" w:color="auto" w:fill="auto"/>
            <w:vAlign w:val="center"/>
            <w:hideMark/>
          </w:tcPr>
          <w:p w:rsidR="007306CA" w:rsidRDefault="00576025">
            <w:pPr>
              <w:spacing w:after="0"/>
              <w:rPr>
                <w:noProof/>
                <w:color w:val="000000"/>
                <w:sz w:val="20"/>
                <w:szCs w:val="20"/>
                <w:u w:val="single"/>
                <w:lang w:eastAsia="en-GB"/>
              </w:rPr>
            </w:pPr>
            <w:r>
              <w:rPr>
                <w:noProof/>
                <w:color w:val="000000"/>
                <w:sz w:val="20"/>
                <w:szCs w:val="20"/>
                <w:lang w:eastAsia="en-GB"/>
              </w:rPr>
              <w:t>No issue as this option strengthens the elements already included in the existing Directive.</w:t>
            </w:r>
          </w:p>
        </w:tc>
      </w:tr>
      <w:tr w:rsidR="007306CA">
        <w:trPr>
          <w:trHeight w:val="510"/>
        </w:trPr>
        <w:tc>
          <w:tcPr>
            <w:tcW w:w="3680" w:type="dxa"/>
            <w:tcBorders>
              <w:top w:val="nil"/>
              <w:left w:val="single" w:sz="4" w:space="0" w:color="auto"/>
              <w:bottom w:val="single" w:sz="4" w:space="0" w:color="auto"/>
              <w:right w:val="single" w:sz="4" w:space="0" w:color="auto"/>
            </w:tcBorders>
            <w:shd w:val="clear" w:color="auto" w:fill="auto"/>
            <w:vAlign w:val="center"/>
            <w:hideMark/>
          </w:tcPr>
          <w:p w:rsidR="007306CA" w:rsidRDefault="00576025">
            <w:pPr>
              <w:spacing w:after="0"/>
              <w:rPr>
                <w:noProof/>
                <w:color w:val="000000"/>
                <w:sz w:val="20"/>
                <w:szCs w:val="20"/>
                <w:lang w:eastAsia="en-GB"/>
              </w:rPr>
            </w:pPr>
            <w:r>
              <w:rPr>
                <w:noProof/>
                <w:color w:val="000000"/>
                <w:sz w:val="20"/>
                <w:szCs w:val="20"/>
                <w:lang w:eastAsia="en-GB"/>
              </w:rPr>
              <w:t xml:space="preserve">POP2(a): Making the Blue Card accessible to a wider </w:t>
            </w:r>
            <w:r>
              <w:rPr>
                <w:noProof/>
                <w:color w:val="000000"/>
                <w:sz w:val="20"/>
                <w:szCs w:val="20"/>
                <w:lang w:eastAsia="en-GB"/>
              </w:rPr>
              <w:t>group of HSW</w:t>
            </w:r>
          </w:p>
        </w:tc>
        <w:tc>
          <w:tcPr>
            <w:tcW w:w="451" w:type="dxa"/>
            <w:tcBorders>
              <w:top w:val="nil"/>
              <w:left w:val="nil"/>
              <w:bottom w:val="single" w:sz="4" w:space="0" w:color="auto"/>
              <w:right w:val="single" w:sz="4" w:space="0" w:color="auto"/>
            </w:tcBorders>
            <w:shd w:val="clear" w:color="auto" w:fill="auto"/>
            <w:vAlign w:val="center"/>
            <w:hideMark/>
          </w:tcPr>
          <w:p w:rsidR="007306CA" w:rsidRDefault="00576025">
            <w:pPr>
              <w:spacing w:after="0"/>
              <w:jc w:val="center"/>
              <w:rPr>
                <w:noProof/>
                <w:color w:val="000000"/>
                <w:sz w:val="20"/>
                <w:szCs w:val="20"/>
                <w:lang w:eastAsia="en-GB"/>
              </w:rPr>
            </w:pPr>
            <w:r>
              <w:rPr>
                <w:noProof/>
                <w:color w:val="000000"/>
                <w:sz w:val="20"/>
                <w:szCs w:val="20"/>
                <w:lang w:eastAsia="en-GB"/>
              </w:rPr>
              <w:t>+</w:t>
            </w:r>
          </w:p>
        </w:tc>
        <w:tc>
          <w:tcPr>
            <w:tcW w:w="5240" w:type="dxa"/>
            <w:tcBorders>
              <w:top w:val="nil"/>
              <w:left w:val="nil"/>
              <w:bottom w:val="single" w:sz="4" w:space="0" w:color="auto"/>
              <w:right w:val="single" w:sz="4" w:space="0" w:color="auto"/>
            </w:tcBorders>
            <w:shd w:val="clear" w:color="auto" w:fill="auto"/>
            <w:vAlign w:val="center"/>
            <w:hideMark/>
          </w:tcPr>
          <w:p w:rsidR="007306CA" w:rsidRDefault="00576025">
            <w:pPr>
              <w:spacing w:after="0"/>
              <w:rPr>
                <w:noProof/>
                <w:color w:val="000000"/>
                <w:sz w:val="20"/>
                <w:szCs w:val="20"/>
                <w:u w:val="single"/>
                <w:lang w:eastAsia="en-GB"/>
              </w:rPr>
            </w:pPr>
            <w:r>
              <w:rPr>
                <w:noProof/>
                <w:color w:val="000000"/>
                <w:sz w:val="20"/>
                <w:szCs w:val="20"/>
                <w:lang w:eastAsia="en-GB"/>
              </w:rPr>
              <w:t xml:space="preserve">No issue as this option strengthens the elements already included in the existing Directive. </w:t>
            </w:r>
          </w:p>
        </w:tc>
      </w:tr>
      <w:tr w:rsidR="007306CA">
        <w:trPr>
          <w:trHeight w:val="103"/>
        </w:trPr>
        <w:tc>
          <w:tcPr>
            <w:tcW w:w="3680" w:type="dxa"/>
            <w:tcBorders>
              <w:top w:val="nil"/>
              <w:left w:val="single" w:sz="4" w:space="0" w:color="auto"/>
              <w:bottom w:val="single" w:sz="4" w:space="0" w:color="auto"/>
              <w:right w:val="single" w:sz="4" w:space="0" w:color="auto"/>
            </w:tcBorders>
            <w:shd w:val="clear" w:color="auto" w:fill="auto"/>
            <w:vAlign w:val="center"/>
            <w:hideMark/>
          </w:tcPr>
          <w:p w:rsidR="007306CA" w:rsidRDefault="00576025">
            <w:pPr>
              <w:spacing w:after="0"/>
              <w:rPr>
                <w:noProof/>
                <w:color w:val="000000"/>
                <w:sz w:val="20"/>
                <w:szCs w:val="20"/>
                <w:lang w:eastAsia="en-GB"/>
              </w:rPr>
            </w:pPr>
            <w:r>
              <w:rPr>
                <w:noProof/>
                <w:color w:val="000000"/>
                <w:sz w:val="20"/>
                <w:szCs w:val="20"/>
                <w:lang w:eastAsia="en-GB"/>
              </w:rPr>
              <w:t>POP2(b): Making the Blue Card a tool to attract a selected group of the most HSW</w:t>
            </w:r>
          </w:p>
        </w:tc>
        <w:tc>
          <w:tcPr>
            <w:tcW w:w="451" w:type="dxa"/>
            <w:tcBorders>
              <w:top w:val="nil"/>
              <w:left w:val="nil"/>
              <w:bottom w:val="single" w:sz="4" w:space="0" w:color="auto"/>
              <w:right w:val="single" w:sz="4" w:space="0" w:color="auto"/>
            </w:tcBorders>
            <w:shd w:val="clear" w:color="auto" w:fill="auto"/>
            <w:vAlign w:val="center"/>
            <w:hideMark/>
          </w:tcPr>
          <w:p w:rsidR="007306CA" w:rsidRDefault="00576025">
            <w:pPr>
              <w:spacing w:after="0"/>
              <w:jc w:val="center"/>
              <w:rPr>
                <w:noProof/>
                <w:color w:val="000000"/>
                <w:sz w:val="20"/>
                <w:szCs w:val="20"/>
                <w:lang w:eastAsia="en-GB"/>
              </w:rPr>
            </w:pPr>
            <w:r>
              <w:rPr>
                <w:noProof/>
                <w:color w:val="000000"/>
                <w:sz w:val="20"/>
                <w:szCs w:val="20"/>
                <w:lang w:eastAsia="en-GB"/>
              </w:rPr>
              <w:t>+</w:t>
            </w:r>
          </w:p>
        </w:tc>
        <w:tc>
          <w:tcPr>
            <w:tcW w:w="5240" w:type="dxa"/>
            <w:tcBorders>
              <w:top w:val="nil"/>
              <w:left w:val="nil"/>
              <w:bottom w:val="single" w:sz="4" w:space="0" w:color="auto"/>
              <w:right w:val="single" w:sz="4" w:space="0" w:color="auto"/>
            </w:tcBorders>
            <w:shd w:val="clear" w:color="auto" w:fill="auto"/>
            <w:vAlign w:val="center"/>
            <w:hideMark/>
          </w:tcPr>
          <w:p w:rsidR="007306CA" w:rsidRDefault="00576025">
            <w:pPr>
              <w:spacing w:after="0"/>
              <w:rPr>
                <w:noProof/>
                <w:color w:val="000000"/>
                <w:sz w:val="20"/>
                <w:szCs w:val="20"/>
                <w:lang w:eastAsia="en-GB"/>
              </w:rPr>
            </w:pPr>
            <w:r>
              <w:rPr>
                <w:noProof/>
                <w:color w:val="000000"/>
                <w:sz w:val="20"/>
                <w:szCs w:val="20"/>
                <w:lang w:eastAsia="en-GB"/>
              </w:rPr>
              <w:t xml:space="preserve">No issue as this option strengthens the elements already </w:t>
            </w:r>
            <w:r>
              <w:rPr>
                <w:noProof/>
                <w:color w:val="000000"/>
                <w:sz w:val="20"/>
                <w:szCs w:val="20"/>
                <w:lang w:eastAsia="en-GB"/>
              </w:rPr>
              <w:t>included in the existing Directive.</w:t>
            </w:r>
          </w:p>
        </w:tc>
      </w:tr>
      <w:tr w:rsidR="007306CA">
        <w:trPr>
          <w:trHeight w:val="510"/>
        </w:trPr>
        <w:tc>
          <w:tcPr>
            <w:tcW w:w="3680" w:type="dxa"/>
            <w:tcBorders>
              <w:top w:val="nil"/>
              <w:left w:val="single" w:sz="4" w:space="0" w:color="auto"/>
              <w:bottom w:val="single" w:sz="4" w:space="0" w:color="auto"/>
              <w:right w:val="single" w:sz="4" w:space="0" w:color="auto"/>
            </w:tcBorders>
            <w:shd w:val="clear" w:color="auto" w:fill="auto"/>
            <w:vAlign w:val="center"/>
            <w:hideMark/>
          </w:tcPr>
          <w:p w:rsidR="007306CA" w:rsidRDefault="00576025">
            <w:pPr>
              <w:spacing w:after="0"/>
              <w:rPr>
                <w:noProof/>
                <w:color w:val="000000"/>
                <w:sz w:val="20"/>
                <w:szCs w:val="20"/>
                <w:lang w:eastAsia="en-GB"/>
              </w:rPr>
            </w:pPr>
            <w:r>
              <w:rPr>
                <w:noProof/>
                <w:color w:val="000000"/>
                <w:sz w:val="20"/>
                <w:szCs w:val="20"/>
                <w:lang w:eastAsia="en-GB"/>
              </w:rPr>
              <w:t>POP2(c): Creating a two-tiered Blue Card targeted at different skill levels of HSW</w:t>
            </w:r>
          </w:p>
        </w:tc>
        <w:tc>
          <w:tcPr>
            <w:tcW w:w="451" w:type="dxa"/>
            <w:tcBorders>
              <w:top w:val="nil"/>
              <w:left w:val="nil"/>
              <w:bottom w:val="single" w:sz="4" w:space="0" w:color="auto"/>
              <w:right w:val="single" w:sz="4" w:space="0" w:color="auto"/>
            </w:tcBorders>
            <w:shd w:val="clear" w:color="auto" w:fill="auto"/>
            <w:vAlign w:val="center"/>
            <w:hideMark/>
          </w:tcPr>
          <w:p w:rsidR="007306CA" w:rsidRDefault="00576025">
            <w:pPr>
              <w:spacing w:after="0"/>
              <w:jc w:val="center"/>
              <w:rPr>
                <w:noProof/>
                <w:color w:val="000000"/>
                <w:sz w:val="20"/>
                <w:szCs w:val="20"/>
                <w:lang w:eastAsia="en-GB"/>
              </w:rPr>
            </w:pPr>
            <w:r>
              <w:rPr>
                <w:noProof/>
                <w:color w:val="000000"/>
                <w:sz w:val="20"/>
                <w:szCs w:val="20"/>
                <w:lang w:eastAsia="en-GB"/>
              </w:rPr>
              <w:t>+</w:t>
            </w:r>
          </w:p>
        </w:tc>
        <w:tc>
          <w:tcPr>
            <w:tcW w:w="5240" w:type="dxa"/>
            <w:tcBorders>
              <w:top w:val="nil"/>
              <w:left w:val="nil"/>
              <w:bottom w:val="single" w:sz="4" w:space="0" w:color="auto"/>
              <w:right w:val="single" w:sz="4" w:space="0" w:color="auto"/>
            </w:tcBorders>
            <w:shd w:val="clear" w:color="auto" w:fill="auto"/>
            <w:vAlign w:val="center"/>
            <w:hideMark/>
          </w:tcPr>
          <w:p w:rsidR="007306CA" w:rsidRDefault="00576025">
            <w:pPr>
              <w:spacing w:after="0"/>
              <w:rPr>
                <w:noProof/>
                <w:color w:val="000000"/>
                <w:sz w:val="20"/>
                <w:szCs w:val="20"/>
                <w:u w:val="single"/>
                <w:lang w:eastAsia="en-GB"/>
              </w:rPr>
            </w:pPr>
            <w:r>
              <w:rPr>
                <w:noProof/>
                <w:color w:val="000000"/>
                <w:sz w:val="20"/>
                <w:szCs w:val="20"/>
                <w:lang w:eastAsia="en-GB"/>
              </w:rPr>
              <w:t>No issue as this option strengthens the elements already included in the existing Directive.</w:t>
            </w:r>
          </w:p>
        </w:tc>
      </w:tr>
      <w:tr w:rsidR="007306CA">
        <w:trPr>
          <w:trHeight w:val="80"/>
        </w:trPr>
        <w:tc>
          <w:tcPr>
            <w:tcW w:w="3680" w:type="dxa"/>
            <w:tcBorders>
              <w:top w:val="nil"/>
              <w:left w:val="single" w:sz="4" w:space="0" w:color="auto"/>
              <w:bottom w:val="single" w:sz="4" w:space="0" w:color="auto"/>
              <w:right w:val="single" w:sz="4" w:space="0" w:color="auto"/>
            </w:tcBorders>
            <w:shd w:val="clear" w:color="auto" w:fill="auto"/>
            <w:vAlign w:val="center"/>
            <w:hideMark/>
          </w:tcPr>
          <w:p w:rsidR="007306CA" w:rsidRDefault="00576025">
            <w:pPr>
              <w:spacing w:after="0"/>
              <w:rPr>
                <w:noProof/>
                <w:color w:val="000000"/>
                <w:sz w:val="20"/>
                <w:szCs w:val="20"/>
                <w:lang w:eastAsia="en-GB"/>
              </w:rPr>
            </w:pPr>
            <w:r>
              <w:rPr>
                <w:noProof/>
                <w:color w:val="000000"/>
                <w:sz w:val="20"/>
                <w:szCs w:val="20"/>
                <w:lang w:eastAsia="en-GB"/>
              </w:rPr>
              <w:t xml:space="preserve">POP3: A unified standard EU-wide Blue </w:t>
            </w:r>
            <w:r>
              <w:rPr>
                <w:noProof/>
                <w:color w:val="000000"/>
                <w:sz w:val="20"/>
                <w:szCs w:val="20"/>
                <w:lang w:eastAsia="en-GB"/>
              </w:rPr>
              <w:t>Card</w:t>
            </w:r>
          </w:p>
        </w:tc>
        <w:tc>
          <w:tcPr>
            <w:tcW w:w="451" w:type="dxa"/>
            <w:tcBorders>
              <w:top w:val="nil"/>
              <w:left w:val="nil"/>
              <w:bottom w:val="single" w:sz="4" w:space="0" w:color="auto"/>
              <w:right w:val="single" w:sz="4" w:space="0" w:color="auto"/>
            </w:tcBorders>
            <w:shd w:val="clear" w:color="auto" w:fill="auto"/>
            <w:vAlign w:val="center"/>
            <w:hideMark/>
          </w:tcPr>
          <w:p w:rsidR="007306CA" w:rsidRDefault="00576025">
            <w:pPr>
              <w:spacing w:after="0"/>
              <w:jc w:val="center"/>
              <w:rPr>
                <w:noProof/>
                <w:color w:val="000000"/>
                <w:sz w:val="20"/>
                <w:szCs w:val="20"/>
                <w:lang w:eastAsia="en-GB"/>
              </w:rPr>
            </w:pPr>
            <w:r>
              <w:rPr>
                <w:noProof/>
                <w:color w:val="000000"/>
                <w:sz w:val="20"/>
                <w:szCs w:val="20"/>
                <w:lang w:eastAsia="en-GB"/>
              </w:rPr>
              <w:t>-</w:t>
            </w:r>
          </w:p>
        </w:tc>
        <w:tc>
          <w:tcPr>
            <w:tcW w:w="5240" w:type="dxa"/>
            <w:tcBorders>
              <w:top w:val="nil"/>
              <w:left w:val="nil"/>
              <w:bottom w:val="single" w:sz="4" w:space="0" w:color="auto"/>
              <w:right w:val="single" w:sz="4" w:space="0" w:color="auto"/>
            </w:tcBorders>
            <w:shd w:val="clear" w:color="auto" w:fill="auto"/>
            <w:vAlign w:val="center"/>
            <w:hideMark/>
          </w:tcPr>
          <w:p w:rsidR="007306CA" w:rsidRDefault="00576025">
            <w:pPr>
              <w:spacing w:after="0"/>
              <w:rPr>
                <w:noProof/>
                <w:color w:val="000000"/>
                <w:sz w:val="20"/>
                <w:szCs w:val="20"/>
                <w:u w:val="single"/>
                <w:lang w:eastAsia="en-GB"/>
              </w:rPr>
            </w:pPr>
            <w:r>
              <w:rPr>
                <w:noProof/>
                <w:color w:val="000000"/>
                <w:sz w:val="20"/>
                <w:szCs w:val="20"/>
                <w:lang w:eastAsia="en-GB"/>
              </w:rPr>
              <w:t>Many elements of this option would raise serious issues in terms of both subsidiarity and proportionality.</w:t>
            </w:r>
          </w:p>
        </w:tc>
      </w:tr>
      <w:tr w:rsidR="007306CA">
        <w:trPr>
          <w:trHeight w:val="300"/>
        </w:trPr>
        <w:tc>
          <w:tcPr>
            <w:tcW w:w="3680" w:type="dxa"/>
            <w:tcBorders>
              <w:top w:val="nil"/>
              <w:left w:val="single" w:sz="4" w:space="0" w:color="auto"/>
              <w:bottom w:val="single" w:sz="4" w:space="0" w:color="auto"/>
              <w:right w:val="single" w:sz="4" w:space="0" w:color="auto"/>
            </w:tcBorders>
            <w:shd w:val="clear" w:color="000000" w:fill="C5D9F1"/>
            <w:vAlign w:val="center"/>
            <w:hideMark/>
          </w:tcPr>
          <w:p w:rsidR="007306CA" w:rsidRDefault="00576025">
            <w:pPr>
              <w:spacing w:after="0"/>
              <w:rPr>
                <w:b/>
                <w:bCs/>
                <w:noProof/>
                <w:color w:val="000000"/>
                <w:sz w:val="20"/>
                <w:szCs w:val="20"/>
                <w:lang w:eastAsia="en-GB"/>
              </w:rPr>
            </w:pPr>
            <w:r>
              <w:rPr>
                <w:b/>
                <w:bCs/>
                <w:noProof/>
                <w:color w:val="000000"/>
                <w:sz w:val="20"/>
                <w:szCs w:val="20"/>
                <w:lang w:eastAsia="en-GB"/>
              </w:rPr>
              <w:t>Horizontal options</w:t>
            </w:r>
          </w:p>
        </w:tc>
        <w:tc>
          <w:tcPr>
            <w:tcW w:w="451" w:type="dxa"/>
            <w:tcBorders>
              <w:top w:val="nil"/>
              <w:left w:val="nil"/>
              <w:bottom w:val="single" w:sz="4" w:space="0" w:color="auto"/>
              <w:right w:val="single" w:sz="4" w:space="0" w:color="auto"/>
            </w:tcBorders>
            <w:shd w:val="clear" w:color="000000" w:fill="C5D9F1"/>
            <w:vAlign w:val="center"/>
            <w:hideMark/>
          </w:tcPr>
          <w:p w:rsidR="007306CA" w:rsidRDefault="007306CA">
            <w:pPr>
              <w:spacing w:after="0"/>
              <w:jc w:val="center"/>
              <w:rPr>
                <w:b/>
                <w:bCs/>
                <w:noProof/>
                <w:color w:val="000000"/>
                <w:sz w:val="20"/>
                <w:szCs w:val="20"/>
                <w:lang w:eastAsia="en-GB"/>
              </w:rPr>
            </w:pPr>
          </w:p>
        </w:tc>
        <w:tc>
          <w:tcPr>
            <w:tcW w:w="5240" w:type="dxa"/>
            <w:tcBorders>
              <w:top w:val="nil"/>
              <w:left w:val="nil"/>
              <w:bottom w:val="single" w:sz="4" w:space="0" w:color="auto"/>
              <w:right w:val="single" w:sz="4" w:space="0" w:color="auto"/>
            </w:tcBorders>
            <w:shd w:val="clear" w:color="000000" w:fill="C5D9F1"/>
            <w:vAlign w:val="center"/>
            <w:hideMark/>
          </w:tcPr>
          <w:p w:rsidR="007306CA" w:rsidRDefault="00576025">
            <w:pPr>
              <w:spacing w:after="0"/>
              <w:rPr>
                <w:b/>
                <w:bCs/>
                <w:noProof/>
                <w:color w:val="000000"/>
                <w:sz w:val="20"/>
                <w:szCs w:val="20"/>
                <w:lang w:eastAsia="en-GB"/>
              </w:rPr>
            </w:pPr>
            <w:r>
              <w:rPr>
                <w:b/>
                <w:bCs/>
                <w:noProof/>
                <w:color w:val="000000"/>
                <w:sz w:val="20"/>
                <w:szCs w:val="20"/>
                <w:lang w:eastAsia="en-GB"/>
              </w:rPr>
              <w:t> </w:t>
            </w:r>
          </w:p>
        </w:tc>
      </w:tr>
      <w:tr w:rsidR="007306CA">
        <w:trPr>
          <w:trHeight w:val="80"/>
        </w:trPr>
        <w:tc>
          <w:tcPr>
            <w:tcW w:w="3680" w:type="dxa"/>
            <w:tcBorders>
              <w:top w:val="nil"/>
              <w:left w:val="single" w:sz="4" w:space="0" w:color="auto"/>
              <w:bottom w:val="single" w:sz="4" w:space="0" w:color="auto"/>
              <w:right w:val="single" w:sz="4" w:space="0" w:color="auto"/>
            </w:tcBorders>
            <w:shd w:val="clear" w:color="auto" w:fill="auto"/>
            <w:vAlign w:val="center"/>
            <w:hideMark/>
          </w:tcPr>
          <w:p w:rsidR="007306CA" w:rsidRDefault="00576025">
            <w:pPr>
              <w:spacing w:after="0"/>
              <w:rPr>
                <w:noProof/>
                <w:color w:val="000000"/>
                <w:sz w:val="20"/>
                <w:szCs w:val="20"/>
                <w:lang w:eastAsia="en-GB"/>
              </w:rPr>
            </w:pPr>
            <w:r>
              <w:rPr>
                <w:noProof/>
                <w:color w:val="000000"/>
                <w:sz w:val="20"/>
                <w:szCs w:val="20"/>
                <w:lang w:eastAsia="en-GB"/>
              </w:rPr>
              <w:t>PO-A: Non-legislative option: actions to improve the effectiveness of the Blue Card</w:t>
            </w:r>
          </w:p>
        </w:tc>
        <w:tc>
          <w:tcPr>
            <w:tcW w:w="451" w:type="dxa"/>
            <w:tcBorders>
              <w:top w:val="nil"/>
              <w:left w:val="nil"/>
              <w:bottom w:val="single" w:sz="4" w:space="0" w:color="auto"/>
              <w:right w:val="single" w:sz="4" w:space="0" w:color="auto"/>
            </w:tcBorders>
            <w:shd w:val="clear" w:color="auto" w:fill="auto"/>
            <w:vAlign w:val="center"/>
            <w:hideMark/>
          </w:tcPr>
          <w:p w:rsidR="007306CA" w:rsidRDefault="00576025">
            <w:pPr>
              <w:spacing w:after="0"/>
              <w:jc w:val="center"/>
              <w:rPr>
                <w:noProof/>
                <w:color w:val="000000"/>
                <w:sz w:val="20"/>
                <w:szCs w:val="20"/>
                <w:lang w:eastAsia="en-GB"/>
              </w:rPr>
            </w:pPr>
            <w:r>
              <w:rPr>
                <w:noProof/>
                <w:color w:val="000000"/>
                <w:sz w:val="20"/>
                <w:szCs w:val="20"/>
                <w:lang w:eastAsia="en-GB"/>
              </w:rPr>
              <w:t>+</w:t>
            </w:r>
          </w:p>
        </w:tc>
        <w:tc>
          <w:tcPr>
            <w:tcW w:w="5240" w:type="dxa"/>
            <w:tcBorders>
              <w:top w:val="nil"/>
              <w:left w:val="nil"/>
              <w:bottom w:val="single" w:sz="4" w:space="0" w:color="auto"/>
              <w:right w:val="single" w:sz="4" w:space="0" w:color="auto"/>
            </w:tcBorders>
            <w:shd w:val="clear" w:color="auto" w:fill="auto"/>
            <w:vAlign w:val="center"/>
            <w:hideMark/>
          </w:tcPr>
          <w:p w:rsidR="007306CA" w:rsidRDefault="00576025">
            <w:pPr>
              <w:spacing w:after="0"/>
              <w:rPr>
                <w:noProof/>
                <w:color w:val="000000"/>
                <w:sz w:val="20"/>
                <w:szCs w:val="20"/>
                <w:u w:val="single"/>
                <w:lang w:eastAsia="en-GB"/>
              </w:rPr>
            </w:pPr>
            <w:r>
              <w:rPr>
                <w:noProof/>
                <w:color w:val="000000"/>
                <w:sz w:val="20"/>
                <w:szCs w:val="20"/>
                <w:lang w:eastAsia="en-GB"/>
              </w:rPr>
              <w:t xml:space="preserve">No issue, as this option is </w:t>
            </w:r>
            <w:r>
              <w:rPr>
                <w:noProof/>
                <w:color w:val="000000"/>
                <w:sz w:val="20"/>
                <w:szCs w:val="20"/>
                <w:lang w:eastAsia="en-GB"/>
              </w:rPr>
              <w:t>non-regulatory.</w:t>
            </w:r>
          </w:p>
        </w:tc>
      </w:tr>
      <w:tr w:rsidR="007306CA">
        <w:trPr>
          <w:trHeight w:val="510"/>
        </w:trPr>
        <w:tc>
          <w:tcPr>
            <w:tcW w:w="3680" w:type="dxa"/>
            <w:tcBorders>
              <w:top w:val="nil"/>
              <w:left w:val="single" w:sz="4" w:space="0" w:color="auto"/>
              <w:bottom w:val="single" w:sz="4" w:space="0" w:color="auto"/>
              <w:right w:val="single" w:sz="4" w:space="0" w:color="auto"/>
            </w:tcBorders>
            <w:shd w:val="clear" w:color="auto" w:fill="auto"/>
            <w:vAlign w:val="center"/>
            <w:hideMark/>
          </w:tcPr>
          <w:p w:rsidR="007306CA" w:rsidRDefault="00576025">
            <w:pPr>
              <w:spacing w:after="0"/>
              <w:rPr>
                <w:noProof/>
                <w:color w:val="000000"/>
                <w:sz w:val="20"/>
                <w:szCs w:val="20"/>
                <w:lang w:eastAsia="en-GB"/>
              </w:rPr>
            </w:pPr>
            <w:r>
              <w:rPr>
                <w:noProof/>
                <w:color w:val="000000"/>
                <w:sz w:val="20"/>
                <w:szCs w:val="20"/>
                <w:lang w:eastAsia="en-GB"/>
              </w:rPr>
              <w:t>PO-B  Extending the Blue Card to innovative entrepreneurs</w:t>
            </w:r>
          </w:p>
        </w:tc>
        <w:tc>
          <w:tcPr>
            <w:tcW w:w="451" w:type="dxa"/>
            <w:tcBorders>
              <w:top w:val="nil"/>
              <w:left w:val="nil"/>
              <w:bottom w:val="single" w:sz="4" w:space="0" w:color="auto"/>
              <w:right w:val="single" w:sz="4" w:space="0" w:color="auto"/>
            </w:tcBorders>
            <w:shd w:val="clear" w:color="auto" w:fill="auto"/>
            <w:vAlign w:val="center"/>
            <w:hideMark/>
          </w:tcPr>
          <w:p w:rsidR="007306CA" w:rsidRDefault="00576025">
            <w:pPr>
              <w:spacing w:after="0"/>
              <w:jc w:val="center"/>
              <w:rPr>
                <w:noProof/>
                <w:color w:val="000000"/>
                <w:sz w:val="20"/>
                <w:szCs w:val="20"/>
                <w:lang w:eastAsia="en-GB"/>
              </w:rPr>
            </w:pPr>
            <w:r>
              <w:rPr>
                <w:noProof/>
                <w:color w:val="000000"/>
                <w:sz w:val="20"/>
                <w:szCs w:val="20"/>
                <w:lang w:eastAsia="en-GB"/>
              </w:rPr>
              <w:t>+/-</w:t>
            </w:r>
          </w:p>
        </w:tc>
        <w:tc>
          <w:tcPr>
            <w:tcW w:w="5240" w:type="dxa"/>
            <w:tcBorders>
              <w:top w:val="nil"/>
              <w:left w:val="nil"/>
              <w:bottom w:val="single" w:sz="4" w:space="0" w:color="auto"/>
              <w:right w:val="single" w:sz="4" w:space="0" w:color="auto"/>
            </w:tcBorders>
            <w:shd w:val="clear" w:color="auto" w:fill="auto"/>
            <w:vAlign w:val="center"/>
            <w:hideMark/>
          </w:tcPr>
          <w:p w:rsidR="007306CA" w:rsidRDefault="00576025">
            <w:pPr>
              <w:spacing w:after="0"/>
              <w:rPr>
                <w:noProof/>
                <w:color w:val="000000"/>
                <w:sz w:val="20"/>
                <w:szCs w:val="20"/>
                <w:u w:val="single"/>
                <w:lang w:eastAsia="en-GB"/>
              </w:rPr>
            </w:pPr>
            <w:r>
              <w:rPr>
                <w:noProof/>
                <w:color w:val="000000"/>
                <w:sz w:val="20"/>
                <w:szCs w:val="20"/>
                <w:lang w:eastAsia="en-GB"/>
              </w:rPr>
              <w:t xml:space="preserve">Regulating different categories in one single instrument would affect legal clarity as a completely new set of entry conditions, procedures and rights would be needed but, as </w:t>
            </w:r>
            <w:r>
              <w:rPr>
                <w:noProof/>
                <w:color w:val="000000"/>
                <w:sz w:val="20"/>
                <w:szCs w:val="20"/>
                <w:lang w:eastAsia="en-GB"/>
              </w:rPr>
              <w:t>such, would not raise any issues of subsidiarity and proportionality.</w:t>
            </w:r>
          </w:p>
        </w:tc>
      </w:tr>
      <w:tr w:rsidR="007306CA">
        <w:trPr>
          <w:trHeight w:val="80"/>
        </w:trPr>
        <w:tc>
          <w:tcPr>
            <w:tcW w:w="3680" w:type="dxa"/>
            <w:tcBorders>
              <w:top w:val="nil"/>
              <w:left w:val="single" w:sz="4" w:space="0" w:color="auto"/>
              <w:bottom w:val="single" w:sz="4" w:space="0" w:color="auto"/>
              <w:right w:val="single" w:sz="4" w:space="0" w:color="auto"/>
            </w:tcBorders>
            <w:shd w:val="clear" w:color="auto" w:fill="auto"/>
            <w:vAlign w:val="center"/>
            <w:hideMark/>
          </w:tcPr>
          <w:p w:rsidR="007306CA" w:rsidRDefault="00576025">
            <w:pPr>
              <w:spacing w:after="0"/>
              <w:rPr>
                <w:noProof/>
                <w:color w:val="000000"/>
                <w:sz w:val="20"/>
                <w:szCs w:val="20"/>
                <w:lang w:eastAsia="en-GB"/>
              </w:rPr>
            </w:pPr>
            <w:r>
              <w:rPr>
                <w:noProof/>
                <w:color w:val="000000"/>
                <w:sz w:val="20"/>
                <w:szCs w:val="20"/>
                <w:lang w:eastAsia="en-GB"/>
              </w:rPr>
              <w:t>PO-C Extending the Blue Card to highly skilled beneficiaries of international protection and asylum applicants</w:t>
            </w:r>
          </w:p>
        </w:tc>
        <w:tc>
          <w:tcPr>
            <w:tcW w:w="451" w:type="dxa"/>
            <w:tcBorders>
              <w:top w:val="nil"/>
              <w:left w:val="nil"/>
              <w:bottom w:val="single" w:sz="4" w:space="0" w:color="auto"/>
              <w:right w:val="single" w:sz="4" w:space="0" w:color="auto"/>
            </w:tcBorders>
            <w:shd w:val="clear" w:color="auto" w:fill="auto"/>
            <w:vAlign w:val="center"/>
            <w:hideMark/>
          </w:tcPr>
          <w:p w:rsidR="007306CA" w:rsidRDefault="00576025">
            <w:pPr>
              <w:spacing w:after="0"/>
              <w:jc w:val="center"/>
              <w:rPr>
                <w:noProof/>
                <w:color w:val="000000"/>
                <w:sz w:val="20"/>
                <w:szCs w:val="20"/>
                <w:lang w:eastAsia="en-GB"/>
              </w:rPr>
            </w:pPr>
            <w:r>
              <w:rPr>
                <w:noProof/>
                <w:color w:val="000000"/>
                <w:sz w:val="20"/>
                <w:szCs w:val="20"/>
                <w:lang w:eastAsia="en-GB"/>
              </w:rPr>
              <w:t>+</w:t>
            </w:r>
          </w:p>
        </w:tc>
        <w:tc>
          <w:tcPr>
            <w:tcW w:w="5240" w:type="dxa"/>
            <w:tcBorders>
              <w:top w:val="nil"/>
              <w:left w:val="nil"/>
              <w:bottom w:val="single" w:sz="4" w:space="0" w:color="auto"/>
              <w:right w:val="single" w:sz="4" w:space="0" w:color="auto"/>
            </w:tcBorders>
            <w:shd w:val="clear" w:color="auto" w:fill="auto"/>
            <w:vAlign w:val="center"/>
            <w:hideMark/>
          </w:tcPr>
          <w:p w:rsidR="007306CA" w:rsidRDefault="00576025">
            <w:pPr>
              <w:spacing w:after="0"/>
              <w:rPr>
                <w:noProof/>
                <w:color w:val="000000"/>
                <w:sz w:val="20"/>
                <w:szCs w:val="20"/>
                <w:u w:val="single"/>
                <w:lang w:eastAsia="en-GB"/>
              </w:rPr>
            </w:pPr>
            <w:r>
              <w:rPr>
                <w:noProof/>
                <w:color w:val="000000"/>
                <w:sz w:val="20"/>
                <w:szCs w:val="20"/>
                <w:lang w:eastAsia="en-GB"/>
              </w:rPr>
              <w:t xml:space="preserve">As regards asylum seekers it would create legal complexity because it </w:t>
            </w:r>
            <w:r>
              <w:rPr>
                <w:noProof/>
                <w:color w:val="000000"/>
                <w:sz w:val="20"/>
                <w:szCs w:val="20"/>
                <w:lang w:eastAsia="en-GB"/>
              </w:rPr>
              <w:t>would have to be determined what happens with the two separate procedures (in parallel or put the asylum one on hold). As regards beneficiaries a specific status would have to be created to guarantee the necessary elements of the protection status in the B</w:t>
            </w:r>
            <w:r>
              <w:rPr>
                <w:noProof/>
                <w:color w:val="000000"/>
                <w:sz w:val="20"/>
                <w:szCs w:val="20"/>
                <w:lang w:eastAsia="en-GB"/>
              </w:rPr>
              <w:t>lue Card status. However, this would not raise any subsidiarity or proportionality issues.</w:t>
            </w:r>
          </w:p>
        </w:tc>
      </w:tr>
    </w:tbl>
    <w:p w:rsidR="007306CA" w:rsidRDefault="007306CA">
      <w:pPr>
        <w:spacing w:after="120"/>
        <w:rPr>
          <w:rFonts w:eastAsiaTheme="minorHAnsi"/>
          <w:noProof/>
          <w:highlight w:val="yellow"/>
        </w:rPr>
      </w:pPr>
    </w:p>
    <w:p w:rsidR="007306CA" w:rsidRDefault="00576025">
      <w:pPr>
        <w:spacing w:after="120"/>
        <w:rPr>
          <w:rFonts w:eastAsiaTheme="minorHAnsi"/>
          <w:noProof/>
        </w:rPr>
      </w:pPr>
      <w:r>
        <w:rPr>
          <w:rFonts w:eastAsiaTheme="minorHAnsi"/>
          <w:noProof/>
        </w:rPr>
        <w:t>The retained options do not pose major problems in terms of subsidiarity and legal feasibility, except POP3. However, given that this is an option with potentially</w:t>
      </w:r>
      <w:r>
        <w:rPr>
          <w:rFonts w:eastAsiaTheme="minorHAnsi"/>
          <w:noProof/>
        </w:rPr>
        <w:t xml:space="preserve"> high harmonising valued and effectiveness, it has been decided not to discard it at this stage and assess it further.</w:t>
      </w:r>
    </w:p>
    <w:p w:rsidR="007306CA" w:rsidRDefault="00576025">
      <w:pPr>
        <w:pStyle w:val="Heading2"/>
        <w:tabs>
          <w:tab w:val="clear" w:pos="720"/>
          <w:tab w:val="num" w:pos="851"/>
        </w:tabs>
        <w:spacing w:after="120"/>
        <w:ind w:left="709"/>
        <w:rPr>
          <w:rFonts w:eastAsiaTheme="majorEastAsia"/>
          <w:bCs/>
          <w:noProof/>
        </w:rPr>
      </w:pPr>
      <w:bookmarkStart w:id="52" w:name="_Toc452679062"/>
      <w:r>
        <w:rPr>
          <w:rFonts w:eastAsiaTheme="majorEastAsia"/>
          <w:bCs/>
          <w:noProof/>
        </w:rPr>
        <w:t>Assessment of the impact</w:t>
      </w:r>
      <w:bookmarkEnd w:id="52"/>
    </w:p>
    <w:p w:rsidR="007306CA" w:rsidRDefault="00576025">
      <w:pPr>
        <w:spacing w:after="120"/>
        <w:rPr>
          <w:noProof/>
          <w:lang w:eastAsia="en-GB"/>
        </w:rPr>
      </w:pPr>
      <w:r>
        <w:rPr>
          <w:noProof/>
          <w:lang w:eastAsia="en-GB"/>
        </w:rPr>
        <w:t>A wider range of impact categories was then screened in order to identify the key impact categories for detailed</w:t>
      </w:r>
      <w:r>
        <w:rPr>
          <w:noProof/>
          <w:lang w:eastAsia="en-GB"/>
        </w:rPr>
        <w:t xml:space="preserve"> assessment taking into account the nature of the policy area, the identified problems, the objectives to be achieved, and the views of stakeholders and experts. In making the selection, the expected magnitude, the relative impact on specific stakeholders,</w:t>
      </w:r>
      <w:r>
        <w:rPr>
          <w:noProof/>
          <w:lang w:eastAsia="en-GB"/>
        </w:rPr>
        <w:t xml:space="preserve"> and the Commission’s horizontal objectives and policies were also considered.</w:t>
      </w:r>
    </w:p>
    <w:p w:rsidR="007306CA" w:rsidRDefault="00576025">
      <w:pPr>
        <w:spacing w:after="120"/>
        <w:rPr>
          <w:noProof/>
          <w:lang w:eastAsia="en-GB"/>
        </w:rPr>
      </w:pPr>
      <w:r>
        <w:rPr>
          <w:noProof/>
          <w:lang w:eastAsia="en-GB"/>
        </w:rPr>
        <w:t xml:space="preserve">The impact categories retained are economic impacts (e.g. impact on growth, investment and competitiveness, on SMEs, on innovation and research), social impacts (on EU citizens </w:t>
      </w:r>
      <w:r>
        <w:rPr>
          <w:noProof/>
          <w:lang w:eastAsia="en-GB"/>
        </w:rPr>
        <w:t>and TCN, e.g. impact on employment, working conditions, social protection), and impact on third countries. No significant environmental impact is expected from the initiative and has thus not been assessed further</w:t>
      </w:r>
      <w:r>
        <w:rPr>
          <w:rStyle w:val="FootnoteReference"/>
          <w:noProof/>
          <w:lang w:eastAsia="en-GB"/>
        </w:rPr>
        <w:footnoteReference w:id="151"/>
      </w:r>
      <w:r>
        <w:rPr>
          <w:noProof/>
          <w:lang w:eastAsia="en-GB"/>
        </w:rPr>
        <w:t xml:space="preserve">. </w:t>
      </w:r>
    </w:p>
    <w:p w:rsidR="007306CA" w:rsidRDefault="00576025">
      <w:pPr>
        <w:spacing w:after="120"/>
        <w:rPr>
          <w:noProof/>
          <w:lang w:eastAsia="en-GB"/>
        </w:rPr>
      </w:pPr>
      <w:r>
        <w:rPr>
          <w:noProof/>
          <w:lang w:eastAsia="en-GB"/>
        </w:rPr>
        <w:t>The selected impacts are assessed quali</w:t>
      </w:r>
      <w:r>
        <w:rPr>
          <w:noProof/>
          <w:lang w:eastAsia="en-GB"/>
        </w:rPr>
        <w:t xml:space="preserve">tatively and, where possible, quantitative analysis has been done based on a number of key assumptions (see Annexes 14 and 15 in particular). Furthermore, the policy options have been assessed in terms of their relevance and effectiveness in achieving the </w:t>
      </w:r>
      <w:r>
        <w:rPr>
          <w:noProof/>
          <w:lang w:eastAsia="en-GB"/>
        </w:rPr>
        <w:t>objectives, efficiency (cost/benefit ratio, administrative cost/burden and practical feasibility), and coherence with other EU policies.</w:t>
      </w:r>
    </w:p>
    <w:p w:rsidR="007306CA" w:rsidRDefault="00576025">
      <w:pPr>
        <w:spacing w:after="120"/>
        <w:rPr>
          <w:noProof/>
        </w:rPr>
      </w:pPr>
      <w:r>
        <w:rPr>
          <w:noProof/>
        </w:rPr>
        <w:t>For the purpose of assessing the impact, and its intensity, of the POPs and POs compared with the</w:t>
      </w:r>
      <w:r>
        <w:rPr>
          <w:noProof/>
          <w:lang w:eastAsia="en-GB"/>
        </w:rPr>
        <w:t xml:space="preserve"> </w:t>
      </w:r>
      <w:r>
        <w:rPr>
          <w:noProof/>
        </w:rPr>
        <w:t xml:space="preserve">status quo (baseline </w:t>
      </w:r>
      <w:r>
        <w:rPr>
          <w:noProof/>
        </w:rPr>
        <w:t>scenario</w:t>
      </w:r>
      <w:r>
        <w:rPr>
          <w:rStyle w:val="FootnoteReference"/>
          <w:noProof/>
        </w:rPr>
        <w:footnoteReference w:id="152"/>
      </w:r>
      <w:r>
        <w:rPr>
          <w:noProof/>
        </w:rPr>
        <w:t>), the following scale is used:</w:t>
      </w: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7"/>
        <w:gridCol w:w="4680"/>
      </w:tblGrid>
      <w:tr w:rsidR="007306CA">
        <w:trPr>
          <w:trHeight w:val="174"/>
        </w:trPr>
        <w:tc>
          <w:tcPr>
            <w:tcW w:w="1237" w:type="dxa"/>
          </w:tcPr>
          <w:p w:rsidR="007306CA" w:rsidRDefault="00576025">
            <w:pPr>
              <w:spacing w:before="40" w:after="40"/>
              <w:jc w:val="left"/>
              <w:rPr>
                <w:i/>
                <w:noProof/>
                <w:sz w:val="20"/>
                <w:u w:val="single"/>
                <w:lang w:eastAsia="en-GB"/>
              </w:rPr>
            </w:pPr>
            <w:r>
              <w:rPr>
                <w:noProof/>
                <w:sz w:val="20"/>
                <w:lang w:eastAsia="en-GB"/>
              </w:rPr>
              <w:t>-3</w:t>
            </w:r>
          </w:p>
        </w:tc>
        <w:tc>
          <w:tcPr>
            <w:tcW w:w="4680" w:type="dxa"/>
          </w:tcPr>
          <w:p w:rsidR="007306CA" w:rsidRDefault="00576025">
            <w:pPr>
              <w:spacing w:before="40" w:after="40"/>
              <w:rPr>
                <w:i/>
                <w:noProof/>
                <w:sz w:val="20"/>
                <w:u w:val="single"/>
                <w:lang w:eastAsia="en-GB"/>
              </w:rPr>
            </w:pPr>
            <w:r>
              <w:rPr>
                <w:noProof/>
                <w:sz w:val="20"/>
                <w:lang w:eastAsia="en-GB"/>
              </w:rPr>
              <w:t>Significant negative impact/cost/loss</w:t>
            </w:r>
          </w:p>
        </w:tc>
      </w:tr>
      <w:tr w:rsidR="007306CA">
        <w:trPr>
          <w:trHeight w:val="70"/>
        </w:trPr>
        <w:tc>
          <w:tcPr>
            <w:tcW w:w="1237" w:type="dxa"/>
          </w:tcPr>
          <w:p w:rsidR="007306CA" w:rsidRDefault="00576025">
            <w:pPr>
              <w:spacing w:before="40" w:after="40"/>
              <w:jc w:val="left"/>
              <w:rPr>
                <w:i/>
                <w:noProof/>
                <w:sz w:val="20"/>
                <w:u w:val="single"/>
                <w:lang w:eastAsia="en-GB"/>
              </w:rPr>
            </w:pPr>
            <w:r>
              <w:rPr>
                <w:noProof/>
                <w:sz w:val="20"/>
                <w:lang w:eastAsia="en-GB"/>
              </w:rPr>
              <w:t>-2</w:t>
            </w:r>
          </w:p>
        </w:tc>
        <w:tc>
          <w:tcPr>
            <w:tcW w:w="4680" w:type="dxa"/>
          </w:tcPr>
          <w:p w:rsidR="007306CA" w:rsidRDefault="00576025">
            <w:pPr>
              <w:spacing w:before="40" w:after="40"/>
              <w:rPr>
                <w:i/>
                <w:noProof/>
                <w:sz w:val="20"/>
                <w:u w:val="single"/>
                <w:lang w:eastAsia="en-GB"/>
              </w:rPr>
            </w:pPr>
            <w:r>
              <w:rPr>
                <w:noProof/>
                <w:sz w:val="20"/>
                <w:lang w:eastAsia="en-GB"/>
              </w:rPr>
              <w:t>Medium negative impact/cost/loss</w:t>
            </w:r>
          </w:p>
        </w:tc>
      </w:tr>
      <w:tr w:rsidR="007306CA">
        <w:tc>
          <w:tcPr>
            <w:tcW w:w="1237" w:type="dxa"/>
          </w:tcPr>
          <w:p w:rsidR="007306CA" w:rsidRDefault="00576025">
            <w:pPr>
              <w:spacing w:before="40" w:after="40"/>
              <w:jc w:val="left"/>
              <w:rPr>
                <w:i/>
                <w:noProof/>
                <w:sz w:val="20"/>
                <w:u w:val="single"/>
                <w:lang w:eastAsia="en-GB"/>
              </w:rPr>
            </w:pPr>
            <w:r>
              <w:rPr>
                <w:noProof/>
                <w:sz w:val="20"/>
                <w:lang w:eastAsia="en-GB"/>
              </w:rPr>
              <w:t>-1</w:t>
            </w:r>
          </w:p>
        </w:tc>
        <w:tc>
          <w:tcPr>
            <w:tcW w:w="4680" w:type="dxa"/>
          </w:tcPr>
          <w:p w:rsidR="007306CA" w:rsidRDefault="00576025">
            <w:pPr>
              <w:spacing w:before="40" w:after="40"/>
              <w:rPr>
                <w:i/>
                <w:noProof/>
                <w:sz w:val="20"/>
                <w:u w:val="single"/>
                <w:lang w:eastAsia="en-GB"/>
              </w:rPr>
            </w:pPr>
            <w:r>
              <w:rPr>
                <w:noProof/>
                <w:sz w:val="20"/>
                <w:lang w:eastAsia="en-GB"/>
              </w:rPr>
              <w:t>Small negative impact/cost/loss</w:t>
            </w:r>
          </w:p>
        </w:tc>
      </w:tr>
      <w:tr w:rsidR="007306CA">
        <w:tc>
          <w:tcPr>
            <w:tcW w:w="1237" w:type="dxa"/>
          </w:tcPr>
          <w:p w:rsidR="007306CA" w:rsidRDefault="00576025">
            <w:pPr>
              <w:spacing w:before="40" w:after="40"/>
              <w:jc w:val="left"/>
              <w:rPr>
                <w:noProof/>
                <w:sz w:val="20"/>
                <w:lang w:eastAsia="en-GB"/>
              </w:rPr>
            </w:pPr>
            <w:r>
              <w:rPr>
                <w:noProof/>
                <w:sz w:val="20"/>
                <w:lang w:eastAsia="en-GB"/>
              </w:rPr>
              <w:t xml:space="preserve"> 0</w:t>
            </w:r>
          </w:p>
        </w:tc>
        <w:tc>
          <w:tcPr>
            <w:tcW w:w="4680" w:type="dxa"/>
          </w:tcPr>
          <w:p w:rsidR="007306CA" w:rsidRDefault="00576025">
            <w:pPr>
              <w:spacing w:before="40" w:after="40"/>
              <w:rPr>
                <w:i/>
                <w:noProof/>
                <w:sz w:val="20"/>
                <w:u w:val="single"/>
                <w:lang w:eastAsia="en-GB"/>
              </w:rPr>
            </w:pPr>
            <w:r>
              <w:rPr>
                <w:noProof/>
                <w:sz w:val="20"/>
                <w:lang w:eastAsia="en-GB"/>
              </w:rPr>
              <w:t>No impact</w:t>
            </w:r>
          </w:p>
        </w:tc>
      </w:tr>
      <w:tr w:rsidR="007306CA">
        <w:trPr>
          <w:trHeight w:val="116"/>
        </w:trPr>
        <w:tc>
          <w:tcPr>
            <w:tcW w:w="1237" w:type="dxa"/>
          </w:tcPr>
          <w:p w:rsidR="007306CA" w:rsidRDefault="00576025">
            <w:pPr>
              <w:spacing w:before="40" w:after="40"/>
              <w:jc w:val="left"/>
              <w:rPr>
                <w:i/>
                <w:noProof/>
                <w:sz w:val="20"/>
                <w:u w:val="single"/>
                <w:lang w:eastAsia="en-GB"/>
              </w:rPr>
            </w:pPr>
            <w:r>
              <w:rPr>
                <w:noProof/>
                <w:sz w:val="20"/>
                <w:lang w:eastAsia="en-GB"/>
              </w:rPr>
              <w:t>+1</w:t>
            </w:r>
          </w:p>
        </w:tc>
        <w:tc>
          <w:tcPr>
            <w:tcW w:w="4680" w:type="dxa"/>
          </w:tcPr>
          <w:p w:rsidR="007306CA" w:rsidRDefault="00576025">
            <w:pPr>
              <w:spacing w:before="40" w:after="40"/>
              <w:rPr>
                <w:i/>
                <w:noProof/>
                <w:sz w:val="20"/>
                <w:u w:val="single"/>
                <w:lang w:eastAsia="en-GB"/>
              </w:rPr>
            </w:pPr>
            <w:r>
              <w:rPr>
                <w:noProof/>
                <w:sz w:val="20"/>
                <w:lang w:eastAsia="en-GB"/>
              </w:rPr>
              <w:t>Small positive impact/savings/gains</w:t>
            </w:r>
          </w:p>
        </w:tc>
      </w:tr>
      <w:tr w:rsidR="007306CA">
        <w:trPr>
          <w:trHeight w:val="73"/>
        </w:trPr>
        <w:tc>
          <w:tcPr>
            <w:tcW w:w="1237" w:type="dxa"/>
          </w:tcPr>
          <w:p w:rsidR="007306CA" w:rsidRDefault="00576025">
            <w:pPr>
              <w:spacing w:before="40" w:after="40"/>
              <w:jc w:val="left"/>
              <w:rPr>
                <w:i/>
                <w:noProof/>
                <w:sz w:val="20"/>
                <w:u w:val="single"/>
                <w:lang w:eastAsia="en-GB"/>
              </w:rPr>
            </w:pPr>
            <w:r>
              <w:rPr>
                <w:noProof/>
                <w:sz w:val="20"/>
                <w:lang w:eastAsia="en-GB"/>
              </w:rPr>
              <w:t>+2</w:t>
            </w:r>
          </w:p>
        </w:tc>
        <w:tc>
          <w:tcPr>
            <w:tcW w:w="4680" w:type="dxa"/>
          </w:tcPr>
          <w:p w:rsidR="007306CA" w:rsidRDefault="00576025">
            <w:pPr>
              <w:spacing w:before="40" w:after="40"/>
              <w:rPr>
                <w:i/>
                <w:noProof/>
                <w:sz w:val="20"/>
                <w:u w:val="single"/>
                <w:lang w:eastAsia="en-GB"/>
              </w:rPr>
            </w:pPr>
            <w:r>
              <w:rPr>
                <w:noProof/>
                <w:sz w:val="20"/>
                <w:lang w:eastAsia="en-GB"/>
              </w:rPr>
              <w:t>Medium positive impact/savings/gains</w:t>
            </w:r>
          </w:p>
        </w:tc>
      </w:tr>
      <w:tr w:rsidR="007306CA">
        <w:tc>
          <w:tcPr>
            <w:tcW w:w="1237" w:type="dxa"/>
          </w:tcPr>
          <w:p w:rsidR="007306CA" w:rsidRDefault="00576025">
            <w:pPr>
              <w:spacing w:before="40" w:after="40"/>
              <w:jc w:val="left"/>
              <w:rPr>
                <w:i/>
                <w:noProof/>
                <w:sz w:val="20"/>
                <w:u w:val="single"/>
                <w:lang w:eastAsia="en-GB"/>
              </w:rPr>
            </w:pPr>
            <w:r>
              <w:rPr>
                <w:noProof/>
                <w:sz w:val="20"/>
                <w:lang w:eastAsia="en-GB"/>
              </w:rPr>
              <w:t>+3</w:t>
            </w:r>
          </w:p>
        </w:tc>
        <w:tc>
          <w:tcPr>
            <w:tcW w:w="4680" w:type="dxa"/>
          </w:tcPr>
          <w:p w:rsidR="007306CA" w:rsidRDefault="00576025">
            <w:pPr>
              <w:spacing w:before="40" w:after="40"/>
              <w:rPr>
                <w:i/>
                <w:noProof/>
                <w:sz w:val="20"/>
                <w:u w:val="single"/>
                <w:lang w:eastAsia="en-GB"/>
              </w:rPr>
            </w:pPr>
            <w:r>
              <w:rPr>
                <w:noProof/>
                <w:sz w:val="20"/>
                <w:lang w:eastAsia="en-GB"/>
              </w:rPr>
              <w:t>Significant positive impact/savings/gains</w:t>
            </w:r>
          </w:p>
        </w:tc>
      </w:tr>
    </w:tbl>
    <w:p w:rsidR="007306CA" w:rsidRDefault="007306CA">
      <w:pPr>
        <w:rPr>
          <w:rFonts w:eastAsiaTheme="majorEastAsia"/>
          <w:noProof/>
        </w:rPr>
      </w:pPr>
    </w:p>
    <w:p w:rsidR="007306CA" w:rsidRDefault="007306CA">
      <w:pPr>
        <w:rPr>
          <w:rFonts w:eastAsiaTheme="majorEastAsia"/>
          <w:noProof/>
        </w:rPr>
      </w:pPr>
    </w:p>
    <w:p w:rsidR="007306CA" w:rsidRDefault="007306CA">
      <w:pPr>
        <w:rPr>
          <w:rFonts w:eastAsiaTheme="majorEastAsia"/>
          <w:noProof/>
        </w:rPr>
      </w:pPr>
    </w:p>
    <w:p w:rsidR="007306CA" w:rsidRDefault="007306CA">
      <w:pPr>
        <w:rPr>
          <w:rFonts w:eastAsiaTheme="majorEastAsia"/>
          <w:noProof/>
        </w:rPr>
      </w:pPr>
    </w:p>
    <w:p w:rsidR="007306CA" w:rsidRDefault="007306CA">
      <w:pPr>
        <w:rPr>
          <w:rFonts w:eastAsiaTheme="majorEastAsia"/>
          <w:noProof/>
        </w:rPr>
      </w:pPr>
    </w:p>
    <w:p w:rsidR="007306CA" w:rsidRDefault="00576025">
      <w:pPr>
        <w:pStyle w:val="Heading3"/>
        <w:spacing w:after="120"/>
        <w:rPr>
          <w:rFonts w:eastAsiaTheme="majorEastAsia" w:cstheme="majorBidi"/>
          <w:bCs/>
          <w:noProof/>
        </w:rPr>
      </w:pPr>
      <w:r>
        <w:rPr>
          <w:rFonts w:eastAsiaTheme="minorHAnsi"/>
          <w:noProof/>
        </w:rPr>
        <w:t>Legislative options</w:t>
      </w:r>
    </w:p>
    <w:p w:rsidR="007306CA" w:rsidRDefault="00576025">
      <w:pPr>
        <w:spacing w:after="120" w:line="240" w:lineRule="atLeast"/>
        <w:rPr>
          <w:b/>
          <w:noProof/>
        </w:rPr>
      </w:pPr>
      <w:r>
        <w:rPr>
          <w:b/>
          <w:noProof/>
        </w:rPr>
        <w:t>POP1: Extending the scope by making it accessible to a significantly wider group of workers, including (some) medium-skilled</w:t>
      </w:r>
    </w:p>
    <w:tbl>
      <w:tblPr>
        <w:tblW w:w="9924" w:type="dxa"/>
        <w:tblInd w:w="-318" w:type="dxa"/>
        <w:tblLayout w:type="fixed"/>
        <w:tblLook w:val="04A0" w:firstRow="1" w:lastRow="0" w:firstColumn="1" w:lastColumn="0" w:noHBand="0" w:noVBand="1"/>
      </w:tblPr>
      <w:tblGrid>
        <w:gridCol w:w="2836"/>
        <w:gridCol w:w="32"/>
        <w:gridCol w:w="535"/>
        <w:gridCol w:w="6521"/>
      </w:tblGrid>
      <w:tr w:rsidR="007306CA">
        <w:trPr>
          <w:trHeight w:val="300"/>
        </w:trPr>
        <w:tc>
          <w:tcPr>
            <w:tcW w:w="2836" w:type="dxa"/>
            <w:tcBorders>
              <w:top w:val="single" w:sz="4" w:space="0" w:color="auto"/>
              <w:left w:val="single" w:sz="4" w:space="0" w:color="auto"/>
              <w:bottom w:val="single" w:sz="4" w:space="0" w:color="auto"/>
              <w:right w:val="single" w:sz="4" w:space="0" w:color="auto"/>
            </w:tcBorders>
            <w:shd w:val="clear" w:color="000000" w:fill="8DB4E2"/>
            <w:vAlign w:val="center"/>
            <w:hideMark/>
          </w:tcPr>
          <w:p w:rsidR="007306CA" w:rsidRDefault="00576025">
            <w:pPr>
              <w:spacing w:after="0"/>
              <w:jc w:val="left"/>
              <w:rPr>
                <w:b/>
                <w:bCs/>
                <w:noProof/>
                <w:color w:val="000000"/>
                <w:sz w:val="18"/>
                <w:szCs w:val="18"/>
                <w:lang w:eastAsia="en-GB"/>
              </w:rPr>
            </w:pPr>
            <w:r>
              <w:rPr>
                <w:b/>
                <w:bCs/>
                <w:noProof/>
                <w:color w:val="000000"/>
                <w:sz w:val="18"/>
                <w:szCs w:val="18"/>
                <w:lang w:eastAsia="en-GB"/>
              </w:rPr>
              <w:t>Assessment Criteria</w:t>
            </w:r>
          </w:p>
        </w:tc>
        <w:tc>
          <w:tcPr>
            <w:tcW w:w="567" w:type="dxa"/>
            <w:gridSpan w:val="2"/>
            <w:tcBorders>
              <w:top w:val="single" w:sz="4" w:space="0" w:color="auto"/>
              <w:left w:val="nil"/>
              <w:bottom w:val="single" w:sz="4" w:space="0" w:color="auto"/>
              <w:right w:val="single" w:sz="4" w:space="0" w:color="auto"/>
            </w:tcBorders>
            <w:shd w:val="clear" w:color="000000" w:fill="8DB4E2"/>
            <w:vAlign w:val="center"/>
            <w:hideMark/>
          </w:tcPr>
          <w:p w:rsidR="007306CA" w:rsidRDefault="00576025">
            <w:pPr>
              <w:spacing w:after="0"/>
              <w:jc w:val="center"/>
              <w:rPr>
                <w:bCs/>
                <w:noProof/>
                <w:color w:val="000000"/>
                <w:sz w:val="18"/>
                <w:szCs w:val="18"/>
                <w:lang w:eastAsia="en-GB"/>
              </w:rPr>
            </w:pPr>
            <w:r>
              <w:rPr>
                <w:bCs/>
                <w:noProof/>
                <w:color w:val="000000"/>
                <w:sz w:val="18"/>
                <w:szCs w:val="18"/>
                <w:lang w:eastAsia="en-GB"/>
              </w:rPr>
              <w:t>Rate</w:t>
            </w:r>
          </w:p>
        </w:tc>
        <w:tc>
          <w:tcPr>
            <w:tcW w:w="6521" w:type="dxa"/>
            <w:tcBorders>
              <w:top w:val="single" w:sz="4" w:space="0" w:color="auto"/>
              <w:left w:val="nil"/>
              <w:bottom w:val="single" w:sz="4" w:space="0" w:color="auto"/>
              <w:right w:val="single" w:sz="4" w:space="0" w:color="auto"/>
            </w:tcBorders>
            <w:shd w:val="clear" w:color="000000" w:fill="8DB4E2"/>
            <w:vAlign w:val="center"/>
            <w:hideMark/>
          </w:tcPr>
          <w:p w:rsidR="007306CA" w:rsidRDefault="00576025">
            <w:pPr>
              <w:spacing w:after="0"/>
              <w:jc w:val="left"/>
              <w:rPr>
                <w:b/>
                <w:bCs/>
                <w:noProof/>
                <w:color w:val="000000"/>
                <w:sz w:val="18"/>
                <w:szCs w:val="18"/>
                <w:lang w:eastAsia="en-GB"/>
              </w:rPr>
            </w:pPr>
            <w:r>
              <w:rPr>
                <w:b/>
                <w:bCs/>
                <w:noProof/>
                <w:color w:val="000000"/>
                <w:sz w:val="18"/>
                <w:szCs w:val="18"/>
                <w:lang w:eastAsia="en-GB"/>
              </w:rPr>
              <w:t>Motivation</w:t>
            </w:r>
          </w:p>
        </w:tc>
      </w:tr>
      <w:tr w:rsidR="007306CA">
        <w:trPr>
          <w:trHeight w:val="300"/>
        </w:trPr>
        <w:tc>
          <w:tcPr>
            <w:tcW w:w="9924" w:type="dxa"/>
            <w:gridSpan w:val="4"/>
            <w:tcBorders>
              <w:top w:val="single" w:sz="4" w:space="0" w:color="auto"/>
              <w:left w:val="single" w:sz="4" w:space="0" w:color="auto"/>
              <w:bottom w:val="single" w:sz="4" w:space="0" w:color="auto"/>
              <w:right w:val="single" w:sz="4" w:space="0" w:color="auto"/>
            </w:tcBorders>
            <w:shd w:val="clear" w:color="000000" w:fill="C5D9F1"/>
            <w:vAlign w:val="center"/>
            <w:hideMark/>
          </w:tcPr>
          <w:p w:rsidR="007306CA" w:rsidRDefault="00576025">
            <w:pPr>
              <w:spacing w:after="0"/>
              <w:jc w:val="left"/>
              <w:rPr>
                <w:b/>
                <w:bCs/>
                <w:noProof/>
                <w:color w:val="000000"/>
                <w:sz w:val="18"/>
                <w:szCs w:val="18"/>
                <w:lang w:eastAsia="en-GB"/>
              </w:rPr>
            </w:pPr>
            <w:r>
              <w:rPr>
                <w:b/>
                <w:bCs/>
                <w:noProof/>
                <w:color w:val="000000"/>
                <w:sz w:val="18"/>
                <w:szCs w:val="18"/>
                <w:lang w:eastAsia="en-GB"/>
              </w:rPr>
              <w:t xml:space="preserve">Relevance and </w:t>
            </w:r>
            <w:r>
              <w:rPr>
                <w:b/>
                <w:bCs/>
                <w:noProof/>
                <w:color w:val="000000"/>
                <w:sz w:val="18"/>
                <w:szCs w:val="18"/>
                <w:lang w:eastAsia="en-GB"/>
              </w:rPr>
              <w:t>effectiveness in achieving the objectives</w:t>
            </w:r>
          </w:p>
        </w:tc>
      </w:tr>
      <w:tr w:rsidR="007306CA">
        <w:trPr>
          <w:trHeight w:val="5303"/>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7306CA" w:rsidRDefault="00576025">
            <w:pPr>
              <w:spacing w:after="0"/>
              <w:rPr>
                <w:noProof/>
                <w:color w:val="000000"/>
                <w:sz w:val="18"/>
                <w:szCs w:val="18"/>
                <w:lang w:eastAsia="en-GB"/>
              </w:rPr>
            </w:pPr>
            <w:r>
              <w:rPr>
                <w:noProof/>
                <w:color w:val="000000"/>
                <w:sz w:val="18"/>
                <w:szCs w:val="18"/>
                <w:lang w:eastAsia="en-GB"/>
              </w:rPr>
              <w:t xml:space="preserve">GO1: improve ability to attract and retain to enhance competitiveness and demographic ageing; SO2: increase the numbers of highly skilled TCNs; SO3: lower barriers to entry, simplify and harmonise the admission </w:t>
            </w:r>
            <w:r>
              <w:rPr>
                <w:noProof/>
                <w:color w:val="000000"/>
                <w:sz w:val="18"/>
                <w:szCs w:val="18"/>
                <w:lang w:eastAsia="en-GB"/>
              </w:rPr>
              <w:t>procedures; SO4: promote social and economic integration of highly skilled TCNs and their family members, via favourable residence conditions and rights; SO6: ensure ‘EU Blue Card’ brand to improve image of attractive EU</w:t>
            </w:r>
          </w:p>
        </w:tc>
        <w:tc>
          <w:tcPr>
            <w:tcW w:w="567" w:type="dxa"/>
            <w:gridSpan w:val="2"/>
            <w:tcBorders>
              <w:top w:val="nil"/>
              <w:left w:val="nil"/>
              <w:bottom w:val="single" w:sz="4" w:space="0" w:color="auto"/>
              <w:right w:val="single" w:sz="4" w:space="0" w:color="auto"/>
            </w:tcBorders>
            <w:shd w:val="clear" w:color="auto" w:fill="auto"/>
            <w:vAlign w:val="center"/>
            <w:hideMark/>
          </w:tcPr>
          <w:p w:rsidR="007306CA" w:rsidRDefault="00576025">
            <w:pPr>
              <w:spacing w:after="0"/>
              <w:jc w:val="center"/>
              <w:rPr>
                <w:noProof/>
                <w:color w:val="000000"/>
                <w:sz w:val="18"/>
                <w:szCs w:val="18"/>
                <w:lang w:eastAsia="en-GB"/>
              </w:rPr>
            </w:pPr>
            <w:r>
              <w:rPr>
                <w:noProof/>
                <w:color w:val="000000"/>
                <w:sz w:val="18"/>
                <w:szCs w:val="18"/>
                <w:lang w:eastAsia="en-GB"/>
              </w:rPr>
              <w:t>+3</w:t>
            </w:r>
          </w:p>
        </w:tc>
        <w:tc>
          <w:tcPr>
            <w:tcW w:w="6521" w:type="dxa"/>
            <w:tcBorders>
              <w:top w:val="nil"/>
              <w:left w:val="nil"/>
              <w:bottom w:val="single" w:sz="4" w:space="0" w:color="auto"/>
              <w:right w:val="single" w:sz="4" w:space="0" w:color="auto"/>
            </w:tcBorders>
            <w:shd w:val="clear" w:color="auto" w:fill="auto"/>
            <w:hideMark/>
          </w:tcPr>
          <w:p w:rsidR="007306CA" w:rsidRDefault="00576025">
            <w:pPr>
              <w:spacing w:after="120"/>
              <w:rPr>
                <w:noProof/>
                <w:color w:val="000000"/>
                <w:sz w:val="18"/>
                <w:szCs w:val="18"/>
                <w:lang w:eastAsia="en-GB"/>
              </w:rPr>
            </w:pPr>
            <w:r>
              <w:rPr>
                <w:b/>
                <w:bCs/>
                <w:noProof/>
                <w:color w:val="000000"/>
                <w:sz w:val="18"/>
                <w:szCs w:val="18"/>
                <w:lang w:eastAsia="en-GB"/>
              </w:rPr>
              <w:t>Estimated additional permits: mi</w:t>
            </w:r>
            <w:r>
              <w:rPr>
                <w:b/>
                <w:bCs/>
                <w:noProof/>
                <w:color w:val="000000"/>
                <w:sz w:val="18"/>
                <w:szCs w:val="18"/>
                <w:lang w:eastAsia="en-GB"/>
              </w:rPr>
              <w:t>n. 142 610 HSW (qualifications without salary threshold to meet; EU25 aggregate); no estimation could be made for medium skilled workers.</w:t>
            </w:r>
          </w:p>
          <w:p w:rsidR="007306CA" w:rsidRDefault="00576025">
            <w:pPr>
              <w:spacing w:after="120"/>
              <w:rPr>
                <w:noProof/>
                <w:color w:val="000000"/>
                <w:sz w:val="18"/>
                <w:szCs w:val="18"/>
                <w:lang w:eastAsia="en-GB"/>
              </w:rPr>
            </w:pPr>
            <w:r>
              <w:rPr>
                <w:noProof/>
                <w:color w:val="000000"/>
                <w:sz w:val="18"/>
                <w:szCs w:val="18"/>
                <w:lang w:eastAsia="en-GB"/>
              </w:rPr>
              <w:t xml:space="preserve">By making the Blue Card accessible to a significantly wider group of HSW  and (some) medium skilled this option would </w:t>
            </w:r>
            <w:r>
              <w:rPr>
                <w:noProof/>
                <w:color w:val="000000"/>
                <w:sz w:val="18"/>
                <w:szCs w:val="18"/>
                <w:lang w:eastAsia="en-GB"/>
              </w:rPr>
              <w:t xml:space="preserve">have the </w:t>
            </w:r>
            <w:r>
              <w:rPr>
                <w:b/>
                <w:noProof/>
                <w:color w:val="000000"/>
                <w:sz w:val="18"/>
                <w:szCs w:val="18"/>
                <w:lang w:eastAsia="en-GB"/>
              </w:rPr>
              <w:t>highest reach in terms of numbers of TCN workers</w:t>
            </w:r>
            <w:r>
              <w:rPr>
                <w:noProof/>
                <w:color w:val="000000"/>
                <w:sz w:val="18"/>
                <w:szCs w:val="18"/>
                <w:lang w:eastAsia="en-GB"/>
              </w:rPr>
              <w:t xml:space="preserve"> of all POPs. </w:t>
            </w:r>
          </w:p>
          <w:p w:rsidR="007306CA" w:rsidRDefault="00576025">
            <w:pPr>
              <w:spacing w:after="120"/>
              <w:ind w:firstLine="113"/>
              <w:rPr>
                <w:noProof/>
                <w:color w:val="000000"/>
                <w:sz w:val="18"/>
                <w:szCs w:val="18"/>
                <w:lang w:eastAsia="en-GB"/>
              </w:rPr>
            </w:pPr>
            <w:r>
              <w:rPr>
                <w:noProof/>
                <w:color w:val="000000"/>
                <w:sz w:val="18"/>
                <w:szCs w:val="18"/>
                <w:lang w:eastAsia="en-GB"/>
              </w:rPr>
              <w:t xml:space="preserve">The </w:t>
            </w:r>
            <w:r>
              <w:rPr>
                <w:b/>
                <w:noProof/>
                <w:color w:val="000000"/>
                <w:sz w:val="18"/>
                <w:szCs w:val="18"/>
                <w:lang w:eastAsia="en-GB"/>
              </w:rPr>
              <w:t>impact</w:t>
            </w:r>
            <w:r>
              <w:rPr>
                <w:noProof/>
                <w:color w:val="000000"/>
                <w:sz w:val="18"/>
                <w:szCs w:val="18"/>
                <w:lang w:eastAsia="en-GB"/>
              </w:rPr>
              <w:t xml:space="preserve"> on individual Member States would be </w:t>
            </w:r>
            <w:r>
              <w:rPr>
                <w:b/>
                <w:noProof/>
                <w:color w:val="000000"/>
                <w:sz w:val="18"/>
                <w:szCs w:val="18"/>
                <w:lang w:eastAsia="en-GB"/>
              </w:rPr>
              <w:t>evenly spread across low and high income Member States</w:t>
            </w:r>
            <w:r>
              <w:rPr>
                <w:noProof/>
                <w:color w:val="000000"/>
                <w:sz w:val="18"/>
                <w:szCs w:val="18"/>
                <w:lang w:eastAsia="en-GB"/>
              </w:rPr>
              <w:t xml:space="preserve"> as the salary threshold is nationally set, lower and very flexibly adaptable to n</w:t>
            </w:r>
            <w:r>
              <w:rPr>
                <w:noProof/>
                <w:color w:val="000000"/>
                <w:sz w:val="18"/>
                <w:szCs w:val="18"/>
                <w:lang w:eastAsia="en-GB"/>
              </w:rPr>
              <w:t xml:space="preserve">ational circumstances, while Member States still keep control over the volumes of admission (Treaty-based). </w:t>
            </w:r>
          </w:p>
          <w:p w:rsidR="007306CA" w:rsidRDefault="00576025">
            <w:pPr>
              <w:spacing w:after="120"/>
              <w:ind w:firstLine="113"/>
              <w:rPr>
                <w:noProof/>
                <w:color w:val="000000"/>
                <w:sz w:val="18"/>
                <w:szCs w:val="18"/>
                <w:lang w:eastAsia="en-GB"/>
              </w:rPr>
            </w:pPr>
            <w:r>
              <w:rPr>
                <w:noProof/>
                <w:color w:val="000000"/>
                <w:sz w:val="18"/>
                <w:szCs w:val="18"/>
                <w:lang w:eastAsia="en-GB"/>
              </w:rPr>
              <w:t xml:space="preserve">This option makes the Blue Card </w:t>
            </w:r>
            <w:r>
              <w:rPr>
                <w:b/>
                <w:noProof/>
                <w:color w:val="000000"/>
                <w:sz w:val="18"/>
                <w:szCs w:val="18"/>
                <w:lang w:eastAsia="en-GB"/>
              </w:rPr>
              <w:t>very “inclusive</w:t>
            </w:r>
            <w:r>
              <w:rPr>
                <w:noProof/>
                <w:color w:val="000000"/>
                <w:sz w:val="18"/>
                <w:szCs w:val="18"/>
                <w:lang w:eastAsia="en-GB"/>
              </w:rPr>
              <w:t xml:space="preserve">” and is </w:t>
            </w:r>
            <w:r>
              <w:rPr>
                <w:b/>
                <w:noProof/>
                <w:color w:val="000000"/>
                <w:sz w:val="18"/>
                <w:szCs w:val="18"/>
                <w:lang w:eastAsia="en-GB"/>
              </w:rPr>
              <w:t>highly adaptable to national situations.</w:t>
            </w:r>
            <w:r>
              <w:rPr>
                <w:noProof/>
                <w:color w:val="000000"/>
                <w:sz w:val="18"/>
                <w:szCs w:val="18"/>
                <w:lang w:eastAsia="en-GB"/>
              </w:rPr>
              <w:t xml:space="preserve"> Consequently, it has a very high potential to subs</w:t>
            </w:r>
            <w:r>
              <w:rPr>
                <w:noProof/>
                <w:color w:val="000000"/>
                <w:sz w:val="18"/>
                <w:szCs w:val="18"/>
                <w:lang w:eastAsia="en-GB"/>
              </w:rPr>
              <w:t>titute parallel national schemes covering the same category of people.</w:t>
            </w:r>
          </w:p>
          <w:p w:rsidR="007306CA" w:rsidRDefault="00576025">
            <w:pPr>
              <w:spacing w:after="120"/>
              <w:ind w:firstLine="113"/>
              <w:rPr>
                <w:noProof/>
                <w:color w:val="000000"/>
                <w:sz w:val="18"/>
                <w:szCs w:val="18"/>
                <w:lang w:eastAsia="en-GB"/>
              </w:rPr>
            </w:pPr>
            <w:r>
              <w:rPr>
                <w:noProof/>
                <w:color w:val="000000"/>
                <w:sz w:val="18"/>
                <w:szCs w:val="18"/>
                <w:lang w:eastAsia="en-GB"/>
              </w:rPr>
              <w:t xml:space="preserve">The </w:t>
            </w:r>
            <w:r>
              <w:rPr>
                <w:b/>
                <w:noProof/>
                <w:color w:val="000000"/>
                <w:sz w:val="18"/>
                <w:szCs w:val="18"/>
                <w:lang w:eastAsia="en-GB"/>
              </w:rPr>
              <w:t xml:space="preserve">personal scope is significantly widened </w:t>
            </w:r>
            <w:r>
              <w:rPr>
                <w:noProof/>
                <w:color w:val="000000"/>
                <w:sz w:val="18"/>
                <w:szCs w:val="18"/>
                <w:lang w:eastAsia="en-GB"/>
              </w:rPr>
              <w:t>due to the alternative instead of cumulative entry conditions (salary or qualifications), the possibility of creating national shortage lists</w:t>
            </w:r>
            <w:r>
              <w:rPr>
                <w:noProof/>
                <w:color w:val="000000"/>
                <w:sz w:val="18"/>
                <w:szCs w:val="18"/>
                <w:lang w:eastAsia="en-GB"/>
              </w:rPr>
              <w:t xml:space="preserve"> with a lower salary threshold, easier access for young professionals with EU qualifications, and the possibility of contracts with a shorter duration (e.g. trial periods). While still limited, this policy option would have the highest contribution to addr</w:t>
            </w:r>
            <w:r>
              <w:rPr>
                <w:noProof/>
                <w:color w:val="000000"/>
                <w:sz w:val="18"/>
                <w:szCs w:val="18"/>
                <w:lang w:eastAsia="en-GB"/>
              </w:rPr>
              <w:t>essing demographic ageing of all POPs.</w:t>
            </w:r>
          </w:p>
          <w:p w:rsidR="007306CA" w:rsidRDefault="00576025">
            <w:pPr>
              <w:spacing w:after="120"/>
              <w:ind w:firstLine="113"/>
              <w:rPr>
                <w:noProof/>
                <w:color w:val="000000"/>
                <w:sz w:val="18"/>
                <w:szCs w:val="18"/>
                <w:lang w:eastAsia="en-GB"/>
              </w:rPr>
            </w:pPr>
            <w:r>
              <w:rPr>
                <w:noProof/>
                <w:color w:val="000000"/>
                <w:sz w:val="18"/>
                <w:szCs w:val="18"/>
                <w:lang w:eastAsia="en-GB"/>
              </w:rPr>
              <w:t xml:space="preserve">However, given the trade-off between (a) more facilitated entry conditions and (b) rights and procedures, there would be </w:t>
            </w:r>
            <w:r>
              <w:rPr>
                <w:b/>
                <w:noProof/>
                <w:color w:val="000000"/>
                <w:sz w:val="18"/>
                <w:szCs w:val="18"/>
                <w:lang w:eastAsia="en-GB"/>
              </w:rPr>
              <w:t xml:space="preserve">no further facilitation of intra-EU mobility </w:t>
            </w:r>
            <w:r>
              <w:rPr>
                <w:noProof/>
                <w:color w:val="000000"/>
                <w:sz w:val="18"/>
                <w:szCs w:val="18"/>
                <w:lang w:eastAsia="en-GB"/>
              </w:rPr>
              <w:t>compared to the baseline, nor of EU long-term resid</w:t>
            </w:r>
            <w:r>
              <w:rPr>
                <w:noProof/>
                <w:color w:val="000000"/>
                <w:sz w:val="18"/>
                <w:szCs w:val="18"/>
                <w:lang w:eastAsia="en-GB"/>
              </w:rPr>
              <w:t>ence or family reunification possibilities, which would not enhance the attractiveness and retention potential of the Blue Card.</w:t>
            </w:r>
          </w:p>
        </w:tc>
      </w:tr>
      <w:tr w:rsidR="007306CA">
        <w:trPr>
          <w:trHeight w:val="58"/>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7306CA" w:rsidRDefault="00576025">
            <w:pPr>
              <w:spacing w:after="0"/>
              <w:rPr>
                <w:i/>
                <w:noProof/>
                <w:color w:val="000000"/>
                <w:sz w:val="18"/>
                <w:szCs w:val="18"/>
                <w:u w:val="single"/>
                <w:lang w:val="en-IE" w:eastAsia="en-GB"/>
              </w:rPr>
            </w:pPr>
            <w:r>
              <w:rPr>
                <w:noProof/>
                <w:color w:val="000000"/>
                <w:sz w:val="18"/>
                <w:szCs w:val="18"/>
                <w:lang w:eastAsia="en-GB"/>
              </w:rPr>
              <w:t xml:space="preserve">GO2: improve ability to respond to demands for highly skilled TCNs and offset skill shortages by enhancing the inflows, </w:t>
            </w:r>
            <w:r>
              <w:rPr>
                <w:noProof/>
                <w:color w:val="000000"/>
                <w:sz w:val="18"/>
                <w:szCs w:val="18"/>
                <w:lang w:eastAsia="en-GB"/>
              </w:rPr>
              <w:t>occupational and geographical (intra-EU) mobility), and to promote efficient (re)allocation on EU labour market; SO5: ensure more flexible intra-EU mobility, removing unnecessary barriers, more efficient allocation of highly skilled TCNs in EU</w:t>
            </w:r>
          </w:p>
        </w:tc>
        <w:tc>
          <w:tcPr>
            <w:tcW w:w="567" w:type="dxa"/>
            <w:gridSpan w:val="2"/>
            <w:tcBorders>
              <w:top w:val="nil"/>
              <w:left w:val="nil"/>
              <w:bottom w:val="single" w:sz="4" w:space="0" w:color="auto"/>
              <w:right w:val="single" w:sz="4" w:space="0" w:color="auto"/>
            </w:tcBorders>
            <w:shd w:val="clear" w:color="auto" w:fill="auto"/>
            <w:vAlign w:val="center"/>
            <w:hideMark/>
          </w:tcPr>
          <w:p w:rsidR="007306CA" w:rsidRDefault="00576025">
            <w:pPr>
              <w:spacing w:after="0"/>
              <w:jc w:val="center"/>
              <w:rPr>
                <w:noProof/>
                <w:color w:val="000000"/>
                <w:sz w:val="18"/>
                <w:szCs w:val="18"/>
                <w:lang w:eastAsia="en-GB"/>
              </w:rPr>
            </w:pPr>
            <w:r>
              <w:rPr>
                <w:noProof/>
                <w:color w:val="000000"/>
                <w:sz w:val="18"/>
                <w:szCs w:val="18"/>
                <w:lang w:eastAsia="en-GB"/>
              </w:rPr>
              <w:t>+2</w:t>
            </w:r>
          </w:p>
        </w:tc>
        <w:tc>
          <w:tcPr>
            <w:tcW w:w="6521" w:type="dxa"/>
            <w:tcBorders>
              <w:top w:val="nil"/>
              <w:left w:val="nil"/>
              <w:bottom w:val="single" w:sz="4" w:space="0" w:color="auto"/>
              <w:right w:val="single" w:sz="4" w:space="0" w:color="auto"/>
            </w:tcBorders>
            <w:shd w:val="clear" w:color="auto" w:fill="auto"/>
            <w:hideMark/>
          </w:tcPr>
          <w:p w:rsidR="007306CA" w:rsidRDefault="00576025">
            <w:pPr>
              <w:spacing w:after="120"/>
              <w:ind w:firstLine="113"/>
              <w:rPr>
                <w:noProof/>
                <w:color w:val="000000"/>
                <w:sz w:val="18"/>
                <w:szCs w:val="18"/>
                <w:lang w:eastAsia="en-GB"/>
              </w:rPr>
            </w:pPr>
            <w:r>
              <w:rPr>
                <w:noProof/>
                <w:color w:val="000000"/>
                <w:sz w:val="18"/>
                <w:szCs w:val="18"/>
                <w:lang w:eastAsia="en-GB"/>
              </w:rPr>
              <w:t>Through i</w:t>
            </w:r>
            <w:r>
              <w:rPr>
                <w:noProof/>
                <w:color w:val="000000"/>
                <w:sz w:val="18"/>
                <w:szCs w:val="18"/>
                <w:lang w:eastAsia="en-GB"/>
              </w:rPr>
              <w:t>ncreased inflows via the alternative conditions and somewhat facilitated procedures, this option would allow Member States to better respond to demands for skilled work and address shortages in highly and (some) medium skilled occupations. Consequently, it</w:t>
            </w:r>
            <w:r>
              <w:rPr>
                <w:noProof/>
                <w:color w:val="000000"/>
                <w:sz w:val="18"/>
                <w:szCs w:val="18"/>
                <w:lang w:eastAsia="en-GB"/>
              </w:rPr>
              <w:t xml:space="preserve"> would have a </w:t>
            </w:r>
            <w:r>
              <w:rPr>
                <w:b/>
                <w:noProof/>
                <w:color w:val="000000"/>
                <w:sz w:val="18"/>
                <w:szCs w:val="18"/>
                <w:lang w:eastAsia="en-GB"/>
              </w:rPr>
              <w:t xml:space="preserve">significantly positive impact on labour and skills shortages, </w:t>
            </w:r>
            <w:r>
              <w:rPr>
                <w:noProof/>
                <w:color w:val="000000"/>
                <w:sz w:val="18"/>
                <w:szCs w:val="18"/>
                <w:lang w:eastAsia="en-GB"/>
              </w:rPr>
              <w:t xml:space="preserve">also in the medium skilled range, as well as on the EU's </w:t>
            </w:r>
            <w:r>
              <w:rPr>
                <w:b/>
                <w:noProof/>
                <w:color w:val="000000"/>
                <w:sz w:val="18"/>
                <w:szCs w:val="18"/>
                <w:lang w:eastAsia="en-GB"/>
              </w:rPr>
              <w:t>competitiveness</w:t>
            </w:r>
            <w:r>
              <w:rPr>
                <w:noProof/>
                <w:color w:val="000000"/>
                <w:sz w:val="18"/>
                <w:szCs w:val="18"/>
                <w:lang w:eastAsia="en-GB"/>
              </w:rPr>
              <w:t xml:space="preserve">. </w:t>
            </w:r>
          </w:p>
          <w:p w:rsidR="007306CA" w:rsidRDefault="00576025">
            <w:pPr>
              <w:spacing w:after="120"/>
              <w:ind w:firstLine="113"/>
              <w:rPr>
                <w:noProof/>
                <w:color w:val="000000"/>
                <w:sz w:val="18"/>
                <w:szCs w:val="18"/>
                <w:lang w:eastAsia="en-GB"/>
              </w:rPr>
            </w:pPr>
            <w:r>
              <w:rPr>
                <w:noProof/>
                <w:color w:val="000000"/>
                <w:sz w:val="18"/>
                <w:szCs w:val="18"/>
                <w:lang w:eastAsia="en-GB"/>
              </w:rPr>
              <w:t>However, given there would be no further facilitation of intra-EU mobility because of necessary safeguard</w:t>
            </w:r>
            <w:r>
              <w:rPr>
                <w:noProof/>
                <w:color w:val="000000"/>
                <w:sz w:val="18"/>
                <w:szCs w:val="18"/>
                <w:lang w:eastAsia="en-GB"/>
              </w:rPr>
              <w:t xml:space="preserve">s against displacement, social dumping and abuse, there would be </w:t>
            </w:r>
            <w:r>
              <w:rPr>
                <w:b/>
                <w:noProof/>
                <w:color w:val="000000"/>
                <w:sz w:val="18"/>
                <w:szCs w:val="18"/>
                <w:lang w:eastAsia="en-GB"/>
              </w:rPr>
              <w:t xml:space="preserve">no improvement in the ability for efficient (re)allocation of labour force </w:t>
            </w:r>
            <w:r>
              <w:rPr>
                <w:noProof/>
                <w:color w:val="000000"/>
                <w:sz w:val="18"/>
                <w:szCs w:val="18"/>
                <w:lang w:eastAsia="en-GB"/>
              </w:rPr>
              <w:t>across the EU labour market.</w:t>
            </w:r>
          </w:p>
        </w:tc>
      </w:tr>
      <w:tr w:rsidR="007306CA">
        <w:trPr>
          <w:trHeight w:val="1383"/>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7306CA" w:rsidRDefault="00576025">
            <w:pPr>
              <w:spacing w:after="0"/>
              <w:rPr>
                <w:i/>
                <w:noProof/>
                <w:color w:val="000000"/>
                <w:sz w:val="18"/>
                <w:szCs w:val="18"/>
                <w:u w:val="single"/>
                <w:lang w:val="en-IE" w:eastAsia="en-GB"/>
              </w:rPr>
            </w:pPr>
            <w:r>
              <w:rPr>
                <w:noProof/>
                <w:color w:val="000000"/>
                <w:sz w:val="18"/>
                <w:szCs w:val="18"/>
                <w:lang w:eastAsia="en-GB"/>
              </w:rPr>
              <w:t xml:space="preserve">SO1: create coherent, effective and efficient common EU immigration system for highly </w:t>
            </w:r>
            <w:r>
              <w:rPr>
                <w:noProof/>
                <w:color w:val="000000"/>
                <w:sz w:val="18"/>
                <w:szCs w:val="18"/>
                <w:lang w:eastAsia="en-GB"/>
              </w:rPr>
              <w:t>skilled TCNs</w:t>
            </w:r>
          </w:p>
        </w:tc>
        <w:tc>
          <w:tcPr>
            <w:tcW w:w="567" w:type="dxa"/>
            <w:gridSpan w:val="2"/>
            <w:tcBorders>
              <w:top w:val="nil"/>
              <w:left w:val="nil"/>
              <w:bottom w:val="single" w:sz="4" w:space="0" w:color="auto"/>
              <w:right w:val="single" w:sz="4" w:space="0" w:color="auto"/>
            </w:tcBorders>
            <w:shd w:val="clear" w:color="auto" w:fill="auto"/>
            <w:vAlign w:val="center"/>
            <w:hideMark/>
          </w:tcPr>
          <w:p w:rsidR="007306CA" w:rsidRDefault="00576025">
            <w:pPr>
              <w:spacing w:after="0"/>
              <w:jc w:val="center"/>
              <w:rPr>
                <w:noProof/>
                <w:color w:val="000000"/>
                <w:sz w:val="18"/>
                <w:szCs w:val="18"/>
                <w:lang w:eastAsia="en-GB"/>
              </w:rPr>
            </w:pPr>
            <w:r>
              <w:rPr>
                <w:noProof/>
                <w:color w:val="000000"/>
                <w:sz w:val="18"/>
                <w:szCs w:val="18"/>
                <w:lang w:eastAsia="en-GB"/>
              </w:rPr>
              <w:t>-1</w:t>
            </w:r>
          </w:p>
        </w:tc>
        <w:tc>
          <w:tcPr>
            <w:tcW w:w="6521" w:type="dxa"/>
            <w:tcBorders>
              <w:top w:val="nil"/>
              <w:left w:val="nil"/>
              <w:bottom w:val="single" w:sz="4" w:space="0" w:color="auto"/>
              <w:right w:val="single" w:sz="4" w:space="0" w:color="auto"/>
            </w:tcBorders>
            <w:shd w:val="clear" w:color="auto" w:fill="auto"/>
            <w:hideMark/>
          </w:tcPr>
          <w:p w:rsidR="007306CA" w:rsidRDefault="00576025">
            <w:pPr>
              <w:spacing w:after="120"/>
              <w:ind w:firstLine="113"/>
              <w:rPr>
                <w:noProof/>
                <w:color w:val="000000"/>
                <w:sz w:val="18"/>
                <w:szCs w:val="18"/>
                <w:lang w:eastAsia="en-GB"/>
              </w:rPr>
            </w:pPr>
            <w:r>
              <w:rPr>
                <w:noProof/>
                <w:color w:val="000000"/>
                <w:sz w:val="18"/>
                <w:szCs w:val="18"/>
                <w:lang w:eastAsia="en-GB"/>
              </w:rPr>
              <w:t xml:space="preserve">There would be a </w:t>
            </w:r>
            <w:r>
              <w:rPr>
                <w:b/>
                <w:noProof/>
                <w:color w:val="000000"/>
                <w:sz w:val="18"/>
                <w:szCs w:val="18"/>
                <w:lang w:eastAsia="en-GB"/>
              </w:rPr>
              <w:t>gain in harmonisation</w:t>
            </w:r>
            <w:r>
              <w:rPr>
                <w:noProof/>
                <w:color w:val="000000"/>
                <w:sz w:val="18"/>
                <w:szCs w:val="18"/>
                <w:lang w:eastAsia="en-GB"/>
              </w:rPr>
              <w:t xml:space="preserve"> through the elimination of national parallel schemes but the </w:t>
            </w:r>
            <w:r>
              <w:rPr>
                <w:b/>
                <w:noProof/>
                <w:color w:val="000000"/>
                <w:sz w:val="18"/>
                <w:szCs w:val="18"/>
                <w:lang w:eastAsia="en-GB"/>
              </w:rPr>
              <w:t xml:space="preserve">efficiency and effectiveness would be diminished </w:t>
            </w:r>
            <w:r>
              <w:rPr>
                <w:noProof/>
                <w:color w:val="000000"/>
                <w:sz w:val="18"/>
                <w:szCs w:val="18"/>
                <w:lang w:eastAsia="en-GB"/>
              </w:rPr>
              <w:t>by a</w:t>
            </w:r>
            <w:r>
              <w:rPr>
                <w:b/>
                <w:noProof/>
                <w:color w:val="000000"/>
                <w:sz w:val="18"/>
                <w:szCs w:val="18"/>
                <w:lang w:eastAsia="en-GB"/>
              </w:rPr>
              <w:t xml:space="preserve"> one-size-fits-all approach</w:t>
            </w:r>
            <w:r>
              <w:rPr>
                <w:noProof/>
                <w:color w:val="000000"/>
                <w:sz w:val="18"/>
                <w:szCs w:val="18"/>
                <w:lang w:eastAsia="en-GB"/>
              </w:rPr>
              <w:t xml:space="preserve"> focussing on highly and (some) medium skilled workers who a</w:t>
            </w:r>
            <w:r>
              <w:rPr>
                <w:noProof/>
                <w:color w:val="000000"/>
                <w:sz w:val="18"/>
                <w:szCs w:val="18"/>
                <w:lang w:eastAsia="en-GB"/>
              </w:rPr>
              <w:t xml:space="preserve">re likely to have different needs. </w:t>
            </w:r>
          </w:p>
          <w:p w:rsidR="007306CA" w:rsidRDefault="00576025">
            <w:pPr>
              <w:spacing w:after="120"/>
              <w:ind w:firstLine="113"/>
              <w:rPr>
                <w:noProof/>
                <w:color w:val="000000"/>
                <w:sz w:val="18"/>
                <w:szCs w:val="18"/>
                <w:lang w:eastAsia="en-GB"/>
              </w:rPr>
            </w:pPr>
            <w:r>
              <w:rPr>
                <w:noProof/>
                <w:color w:val="000000"/>
                <w:sz w:val="18"/>
                <w:szCs w:val="18"/>
                <w:lang w:eastAsia="en-GB"/>
              </w:rPr>
              <w:t>Extending the scope undermines the effectiveness of the Blue Card for being a targeted instrument for attracting highly skilled and limits the possibility for facilitating procedures, providing more rights, including int</w:t>
            </w:r>
            <w:r>
              <w:rPr>
                <w:noProof/>
                <w:color w:val="000000"/>
                <w:sz w:val="18"/>
                <w:szCs w:val="18"/>
                <w:lang w:eastAsia="en-GB"/>
              </w:rPr>
              <w:t xml:space="preserve">ra-EU mobility, labour market access and access to long-term residence. The </w:t>
            </w:r>
            <w:r>
              <w:rPr>
                <w:b/>
                <w:noProof/>
                <w:color w:val="000000"/>
                <w:sz w:val="18"/>
                <w:szCs w:val="18"/>
                <w:lang w:eastAsia="en-GB"/>
              </w:rPr>
              <w:t>attractiveness</w:t>
            </w:r>
            <w:r>
              <w:rPr>
                <w:noProof/>
                <w:color w:val="000000"/>
                <w:sz w:val="18"/>
                <w:szCs w:val="18"/>
                <w:lang w:eastAsia="en-GB"/>
              </w:rPr>
              <w:t xml:space="preserve"> of the Blue Card for the highly skilled would be </w:t>
            </w:r>
            <w:r>
              <w:rPr>
                <w:b/>
                <w:noProof/>
                <w:color w:val="000000"/>
                <w:sz w:val="18"/>
                <w:szCs w:val="18"/>
                <w:lang w:eastAsia="en-GB"/>
              </w:rPr>
              <w:t>watered-down.</w:t>
            </w:r>
          </w:p>
        </w:tc>
      </w:tr>
      <w:tr w:rsidR="007306CA">
        <w:trPr>
          <w:trHeight w:val="300"/>
        </w:trPr>
        <w:tc>
          <w:tcPr>
            <w:tcW w:w="992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306CA" w:rsidRDefault="00576025">
            <w:pPr>
              <w:spacing w:after="0"/>
              <w:rPr>
                <w:b/>
                <w:bCs/>
                <w:i/>
                <w:noProof/>
                <w:color w:val="000000"/>
                <w:sz w:val="18"/>
                <w:szCs w:val="18"/>
                <w:u w:val="single"/>
                <w:lang w:val="en-IE" w:eastAsia="en-GB"/>
              </w:rPr>
            </w:pPr>
            <w:r>
              <w:rPr>
                <w:b/>
                <w:bCs/>
                <w:noProof/>
                <w:color w:val="000000"/>
                <w:sz w:val="18"/>
                <w:szCs w:val="18"/>
                <w:lang w:eastAsia="en-GB"/>
              </w:rPr>
              <w:t>Economic impacts</w:t>
            </w:r>
          </w:p>
        </w:tc>
      </w:tr>
      <w:tr w:rsidR="007306CA">
        <w:trPr>
          <w:trHeight w:val="74"/>
        </w:trPr>
        <w:tc>
          <w:tcPr>
            <w:tcW w:w="2868" w:type="dxa"/>
            <w:gridSpan w:val="2"/>
            <w:tcBorders>
              <w:top w:val="nil"/>
              <w:left w:val="single" w:sz="4" w:space="0" w:color="auto"/>
              <w:bottom w:val="single" w:sz="4" w:space="0" w:color="auto"/>
              <w:right w:val="single" w:sz="4" w:space="0" w:color="auto"/>
            </w:tcBorders>
            <w:shd w:val="clear" w:color="auto" w:fill="auto"/>
            <w:vAlign w:val="center"/>
            <w:hideMark/>
          </w:tcPr>
          <w:p w:rsidR="007306CA" w:rsidRDefault="00576025">
            <w:pPr>
              <w:spacing w:after="0"/>
              <w:rPr>
                <w:i/>
                <w:noProof/>
                <w:color w:val="000000"/>
                <w:sz w:val="18"/>
                <w:szCs w:val="18"/>
                <w:u w:val="single"/>
                <w:lang w:val="en-IE" w:eastAsia="en-GB"/>
              </w:rPr>
            </w:pPr>
            <w:r>
              <w:rPr>
                <w:noProof/>
                <w:color w:val="000000"/>
                <w:sz w:val="18"/>
                <w:szCs w:val="18"/>
                <w:lang w:eastAsia="en-GB"/>
              </w:rPr>
              <w:t>- Impact on growth and competitiveness</w:t>
            </w:r>
          </w:p>
        </w:tc>
        <w:tc>
          <w:tcPr>
            <w:tcW w:w="535" w:type="dxa"/>
            <w:tcBorders>
              <w:top w:val="nil"/>
              <w:left w:val="nil"/>
              <w:bottom w:val="single" w:sz="4" w:space="0" w:color="auto"/>
              <w:right w:val="single" w:sz="4" w:space="0" w:color="auto"/>
            </w:tcBorders>
            <w:shd w:val="clear" w:color="auto" w:fill="auto"/>
            <w:vAlign w:val="center"/>
            <w:hideMark/>
          </w:tcPr>
          <w:p w:rsidR="007306CA" w:rsidRDefault="00576025">
            <w:pPr>
              <w:spacing w:after="0"/>
              <w:jc w:val="center"/>
              <w:rPr>
                <w:noProof/>
                <w:color w:val="000000"/>
                <w:sz w:val="18"/>
                <w:szCs w:val="18"/>
                <w:lang w:eastAsia="en-GB"/>
              </w:rPr>
            </w:pPr>
            <w:r>
              <w:rPr>
                <w:noProof/>
                <w:color w:val="000000"/>
                <w:sz w:val="18"/>
                <w:szCs w:val="18"/>
                <w:lang w:eastAsia="en-GB"/>
              </w:rPr>
              <w:t>+3</w:t>
            </w:r>
          </w:p>
        </w:tc>
        <w:tc>
          <w:tcPr>
            <w:tcW w:w="6521" w:type="dxa"/>
            <w:tcBorders>
              <w:top w:val="nil"/>
              <w:left w:val="nil"/>
              <w:bottom w:val="single" w:sz="4" w:space="0" w:color="auto"/>
              <w:right w:val="single" w:sz="4" w:space="0" w:color="auto"/>
            </w:tcBorders>
            <w:shd w:val="clear" w:color="auto" w:fill="auto"/>
            <w:hideMark/>
          </w:tcPr>
          <w:p w:rsidR="007306CA" w:rsidRDefault="00576025">
            <w:pPr>
              <w:spacing w:after="120"/>
              <w:jc w:val="left"/>
              <w:rPr>
                <w:b/>
                <w:bCs/>
                <w:noProof/>
                <w:color w:val="000000"/>
                <w:sz w:val="18"/>
                <w:szCs w:val="18"/>
                <w:lang w:eastAsia="en-GB"/>
              </w:rPr>
            </w:pPr>
            <w:r>
              <w:rPr>
                <w:b/>
                <w:bCs/>
                <w:noProof/>
                <w:color w:val="000000"/>
                <w:sz w:val="18"/>
                <w:szCs w:val="18"/>
                <w:lang w:eastAsia="en-GB"/>
              </w:rPr>
              <w:t xml:space="preserve">Estimated economic impact: min. € 6.8 </w:t>
            </w:r>
            <w:r>
              <w:rPr>
                <w:b/>
                <w:bCs/>
                <w:noProof/>
                <w:color w:val="000000"/>
                <w:sz w:val="18"/>
                <w:szCs w:val="18"/>
                <w:lang w:eastAsia="en-GB"/>
              </w:rPr>
              <w:t>billion (not including estimation for impact of medium skilled workers; not possible to estimate max.)</w:t>
            </w:r>
          </w:p>
          <w:p w:rsidR="007306CA" w:rsidRDefault="00576025">
            <w:pPr>
              <w:spacing w:after="120"/>
              <w:ind w:firstLine="113"/>
              <w:rPr>
                <w:noProof/>
                <w:color w:val="000000"/>
                <w:sz w:val="18"/>
                <w:szCs w:val="18"/>
                <w:lang w:eastAsia="en-GB"/>
              </w:rPr>
            </w:pPr>
            <w:r>
              <w:rPr>
                <w:noProof/>
                <w:color w:val="000000"/>
                <w:sz w:val="18"/>
                <w:szCs w:val="18"/>
                <w:lang w:eastAsia="en-GB"/>
              </w:rPr>
              <w:t xml:space="preserve">A </w:t>
            </w:r>
            <w:r>
              <w:rPr>
                <w:b/>
                <w:noProof/>
                <w:color w:val="000000"/>
                <w:sz w:val="18"/>
                <w:szCs w:val="18"/>
                <w:lang w:eastAsia="en-GB"/>
              </w:rPr>
              <w:t>significant positive economic impact</w:t>
            </w:r>
            <w:r>
              <w:rPr>
                <w:noProof/>
                <w:color w:val="000000"/>
                <w:sz w:val="18"/>
                <w:szCs w:val="18"/>
                <w:lang w:eastAsia="en-GB"/>
              </w:rPr>
              <w:t xml:space="preserve"> would accrue from a significant number of additional HSW, and some medium skilled workers, coming to and working within the EU. Overall higher numbers of admitted highly and medium skilled workers, and an increased retention of recent graduates trained in</w:t>
            </w:r>
            <w:r>
              <w:rPr>
                <w:noProof/>
                <w:color w:val="000000"/>
                <w:sz w:val="18"/>
                <w:szCs w:val="18"/>
                <w:lang w:eastAsia="en-GB"/>
              </w:rPr>
              <w:t xml:space="preserve"> the EU, would create </w:t>
            </w:r>
            <w:r>
              <w:rPr>
                <w:b/>
                <w:noProof/>
                <w:color w:val="000000"/>
                <w:sz w:val="18"/>
                <w:szCs w:val="18"/>
                <w:lang w:eastAsia="en-GB"/>
              </w:rPr>
              <w:t>a larger pool of HSW</w:t>
            </w:r>
            <w:r>
              <w:rPr>
                <w:noProof/>
                <w:color w:val="000000"/>
                <w:sz w:val="18"/>
                <w:szCs w:val="18"/>
                <w:lang w:eastAsia="en-GB"/>
              </w:rPr>
              <w:t xml:space="preserve"> from which employers can draw to fill shortages which would positively impact growth and the EU’s competitiveness.</w:t>
            </w:r>
          </w:p>
          <w:p w:rsidR="007306CA" w:rsidRDefault="00576025">
            <w:pPr>
              <w:spacing w:after="120"/>
              <w:ind w:firstLine="113"/>
              <w:rPr>
                <w:noProof/>
                <w:color w:val="000000"/>
                <w:sz w:val="18"/>
                <w:szCs w:val="18"/>
                <w:lang w:eastAsia="en-GB"/>
              </w:rPr>
            </w:pPr>
            <w:r>
              <w:rPr>
                <w:noProof/>
                <w:color w:val="000000"/>
                <w:sz w:val="18"/>
                <w:szCs w:val="18"/>
                <w:lang w:eastAsia="en-GB"/>
              </w:rPr>
              <w:t>Facilitated access for young professionals with EU qualifications has the potential of making stud</w:t>
            </w:r>
            <w:r>
              <w:rPr>
                <w:noProof/>
                <w:color w:val="000000"/>
                <w:sz w:val="18"/>
                <w:szCs w:val="18"/>
                <w:lang w:eastAsia="en-GB"/>
              </w:rPr>
              <w:t>ying in the EU more attractive because of the increased possibility of securing employment afterwards. The fees and expenditure on living costs of students during their studies generate income to the EU.</w:t>
            </w:r>
          </w:p>
          <w:p w:rsidR="007306CA" w:rsidRDefault="00576025">
            <w:pPr>
              <w:spacing w:after="120"/>
              <w:ind w:firstLine="113"/>
              <w:rPr>
                <w:noProof/>
                <w:color w:val="000000"/>
                <w:sz w:val="18"/>
                <w:szCs w:val="18"/>
                <w:lang w:eastAsia="en-GB"/>
              </w:rPr>
            </w:pPr>
            <w:r>
              <w:rPr>
                <w:noProof/>
                <w:color w:val="000000"/>
                <w:sz w:val="18"/>
                <w:szCs w:val="18"/>
                <w:lang w:eastAsia="en-GB"/>
              </w:rPr>
              <w:t>On the other hand, the positive economic impact coul</w:t>
            </w:r>
            <w:r>
              <w:rPr>
                <w:noProof/>
                <w:color w:val="000000"/>
                <w:sz w:val="18"/>
                <w:szCs w:val="18"/>
                <w:lang w:eastAsia="en-GB"/>
              </w:rPr>
              <w:t xml:space="preserve">d be reduced due to an increased – though limited - </w:t>
            </w:r>
            <w:r>
              <w:rPr>
                <w:b/>
                <w:noProof/>
                <w:color w:val="000000"/>
                <w:sz w:val="18"/>
                <w:szCs w:val="18"/>
                <w:lang w:eastAsia="en-GB"/>
              </w:rPr>
              <w:t>risk for displacement of EU workers</w:t>
            </w:r>
            <w:r>
              <w:rPr>
                <w:noProof/>
                <w:color w:val="000000"/>
                <w:sz w:val="18"/>
                <w:szCs w:val="18"/>
                <w:lang w:eastAsia="en-GB"/>
              </w:rPr>
              <w:t xml:space="preserve">, particularly in the medium skilled section. </w:t>
            </w:r>
          </w:p>
        </w:tc>
      </w:tr>
      <w:tr w:rsidR="007306CA">
        <w:trPr>
          <w:trHeight w:val="1409"/>
        </w:trPr>
        <w:tc>
          <w:tcPr>
            <w:tcW w:w="2868" w:type="dxa"/>
            <w:gridSpan w:val="2"/>
            <w:tcBorders>
              <w:top w:val="nil"/>
              <w:left w:val="single" w:sz="4" w:space="0" w:color="auto"/>
              <w:bottom w:val="single" w:sz="4" w:space="0" w:color="auto"/>
              <w:right w:val="single" w:sz="4" w:space="0" w:color="auto"/>
            </w:tcBorders>
            <w:shd w:val="clear" w:color="auto" w:fill="auto"/>
            <w:vAlign w:val="center"/>
            <w:hideMark/>
          </w:tcPr>
          <w:p w:rsidR="007306CA" w:rsidRDefault="00576025">
            <w:pPr>
              <w:spacing w:after="0"/>
              <w:rPr>
                <w:i/>
                <w:noProof/>
                <w:color w:val="000000"/>
                <w:sz w:val="18"/>
                <w:szCs w:val="18"/>
                <w:u w:val="single"/>
                <w:lang w:val="en-IE" w:eastAsia="en-GB"/>
              </w:rPr>
            </w:pPr>
            <w:r>
              <w:rPr>
                <w:noProof/>
                <w:color w:val="000000"/>
                <w:sz w:val="18"/>
                <w:szCs w:val="18"/>
                <w:lang w:eastAsia="en-GB"/>
              </w:rPr>
              <w:t>- Impact on SMEs</w:t>
            </w:r>
          </w:p>
        </w:tc>
        <w:tc>
          <w:tcPr>
            <w:tcW w:w="535" w:type="dxa"/>
            <w:tcBorders>
              <w:top w:val="nil"/>
              <w:left w:val="nil"/>
              <w:bottom w:val="single" w:sz="4" w:space="0" w:color="auto"/>
              <w:right w:val="single" w:sz="4" w:space="0" w:color="auto"/>
            </w:tcBorders>
            <w:shd w:val="clear" w:color="auto" w:fill="auto"/>
            <w:vAlign w:val="center"/>
            <w:hideMark/>
          </w:tcPr>
          <w:p w:rsidR="007306CA" w:rsidRDefault="00576025">
            <w:pPr>
              <w:spacing w:after="0"/>
              <w:jc w:val="center"/>
              <w:rPr>
                <w:noProof/>
                <w:color w:val="000000"/>
                <w:sz w:val="18"/>
                <w:szCs w:val="18"/>
                <w:lang w:eastAsia="en-GB"/>
              </w:rPr>
            </w:pPr>
            <w:r>
              <w:rPr>
                <w:noProof/>
                <w:color w:val="000000"/>
                <w:sz w:val="18"/>
                <w:szCs w:val="18"/>
                <w:lang w:eastAsia="en-GB"/>
              </w:rPr>
              <w:t>+3</w:t>
            </w:r>
          </w:p>
        </w:tc>
        <w:tc>
          <w:tcPr>
            <w:tcW w:w="6521" w:type="dxa"/>
            <w:tcBorders>
              <w:top w:val="nil"/>
              <w:left w:val="nil"/>
              <w:bottom w:val="single" w:sz="4" w:space="0" w:color="auto"/>
              <w:right w:val="single" w:sz="4" w:space="0" w:color="auto"/>
            </w:tcBorders>
            <w:shd w:val="clear" w:color="auto" w:fill="auto"/>
            <w:hideMark/>
          </w:tcPr>
          <w:p w:rsidR="007306CA" w:rsidRDefault="00576025">
            <w:pPr>
              <w:spacing w:after="120"/>
              <w:rPr>
                <w:noProof/>
                <w:color w:val="000000"/>
                <w:sz w:val="18"/>
                <w:szCs w:val="18"/>
                <w:lang w:eastAsia="en-GB"/>
              </w:rPr>
            </w:pPr>
            <w:r>
              <w:rPr>
                <w:noProof/>
                <w:color w:val="000000"/>
                <w:sz w:val="18"/>
                <w:szCs w:val="18"/>
                <w:lang w:eastAsia="en-GB"/>
              </w:rPr>
              <w:t>The increased numbers of TCN workers able to fill shortage occupations, also in the medium skilled ra</w:t>
            </w:r>
            <w:r>
              <w:rPr>
                <w:noProof/>
                <w:color w:val="000000"/>
                <w:sz w:val="18"/>
                <w:szCs w:val="18"/>
                <w:lang w:eastAsia="en-GB"/>
              </w:rPr>
              <w:t xml:space="preserve">nge, would be </w:t>
            </w:r>
            <w:r>
              <w:rPr>
                <w:b/>
                <w:noProof/>
                <w:color w:val="000000"/>
                <w:sz w:val="18"/>
                <w:szCs w:val="18"/>
                <w:lang w:eastAsia="en-GB"/>
              </w:rPr>
              <w:t xml:space="preserve">beneficial for SMEs to fill labour shortages </w:t>
            </w:r>
            <w:r>
              <w:rPr>
                <w:noProof/>
                <w:color w:val="000000"/>
                <w:sz w:val="18"/>
                <w:szCs w:val="18"/>
                <w:lang w:eastAsia="en-GB"/>
              </w:rPr>
              <w:t xml:space="preserve">and boost their growth perspectives. Compared to the baseline, the </w:t>
            </w:r>
            <w:r>
              <w:rPr>
                <w:b/>
                <w:noProof/>
                <w:color w:val="000000"/>
                <w:sz w:val="18"/>
                <w:szCs w:val="18"/>
                <w:lang w:eastAsia="en-GB"/>
              </w:rPr>
              <w:t>cost of recruitment</w:t>
            </w:r>
            <w:r>
              <w:rPr>
                <w:noProof/>
                <w:color w:val="000000"/>
                <w:sz w:val="18"/>
                <w:szCs w:val="18"/>
                <w:lang w:eastAsia="en-GB"/>
              </w:rPr>
              <w:t xml:space="preserve"> for SMEs would be </w:t>
            </w:r>
            <w:r>
              <w:rPr>
                <w:b/>
                <w:noProof/>
                <w:color w:val="000000"/>
                <w:sz w:val="18"/>
                <w:szCs w:val="18"/>
                <w:lang w:eastAsia="en-GB"/>
              </w:rPr>
              <w:t xml:space="preserve">lower </w:t>
            </w:r>
            <w:r>
              <w:rPr>
                <w:noProof/>
                <w:color w:val="000000"/>
                <w:sz w:val="18"/>
                <w:szCs w:val="18"/>
                <w:lang w:eastAsia="en-GB"/>
              </w:rPr>
              <w:t>due to an enlarged pool of potential candidates already in the EU, since SMEs have les</w:t>
            </w:r>
            <w:r>
              <w:rPr>
                <w:noProof/>
                <w:color w:val="000000"/>
                <w:sz w:val="18"/>
                <w:szCs w:val="18"/>
                <w:lang w:eastAsia="en-GB"/>
              </w:rPr>
              <w:t xml:space="preserve">s capacities and resources to recruit internationally. </w:t>
            </w:r>
          </w:p>
          <w:p w:rsidR="007306CA" w:rsidRDefault="00576025">
            <w:pPr>
              <w:spacing w:after="120"/>
              <w:ind w:firstLine="113"/>
              <w:rPr>
                <w:noProof/>
                <w:color w:val="000000"/>
                <w:sz w:val="18"/>
                <w:szCs w:val="18"/>
                <w:lang w:eastAsia="en-GB"/>
              </w:rPr>
            </w:pPr>
            <w:r>
              <w:rPr>
                <w:noProof/>
                <w:color w:val="000000"/>
                <w:sz w:val="18"/>
                <w:szCs w:val="18"/>
                <w:lang w:eastAsia="en-GB"/>
              </w:rPr>
              <w:t xml:space="preserve">However, compared to the baseline scenario, there would be no further facilitation of intra-EU and occupational mobility, which could reduce the positive impact for SMEs. </w:t>
            </w:r>
          </w:p>
        </w:tc>
      </w:tr>
      <w:tr w:rsidR="007306CA">
        <w:trPr>
          <w:trHeight w:val="74"/>
        </w:trPr>
        <w:tc>
          <w:tcPr>
            <w:tcW w:w="2868" w:type="dxa"/>
            <w:gridSpan w:val="2"/>
            <w:tcBorders>
              <w:top w:val="nil"/>
              <w:left w:val="single" w:sz="4" w:space="0" w:color="auto"/>
              <w:bottom w:val="single" w:sz="4" w:space="0" w:color="auto"/>
              <w:right w:val="single" w:sz="4" w:space="0" w:color="auto"/>
            </w:tcBorders>
            <w:shd w:val="clear" w:color="auto" w:fill="auto"/>
            <w:vAlign w:val="center"/>
            <w:hideMark/>
          </w:tcPr>
          <w:p w:rsidR="007306CA" w:rsidRDefault="00576025">
            <w:pPr>
              <w:spacing w:after="0"/>
              <w:rPr>
                <w:i/>
                <w:noProof/>
                <w:color w:val="000000"/>
                <w:sz w:val="18"/>
                <w:szCs w:val="18"/>
                <w:u w:val="single"/>
                <w:lang w:val="en-IE" w:eastAsia="en-GB"/>
              </w:rPr>
            </w:pPr>
            <w:r>
              <w:rPr>
                <w:noProof/>
                <w:color w:val="000000"/>
                <w:sz w:val="18"/>
                <w:szCs w:val="18"/>
                <w:lang w:eastAsia="en-GB"/>
              </w:rPr>
              <w:t xml:space="preserve">- Impact on innovation and research </w:t>
            </w:r>
          </w:p>
        </w:tc>
        <w:tc>
          <w:tcPr>
            <w:tcW w:w="535" w:type="dxa"/>
            <w:tcBorders>
              <w:top w:val="nil"/>
              <w:left w:val="nil"/>
              <w:bottom w:val="single" w:sz="4" w:space="0" w:color="auto"/>
              <w:right w:val="single" w:sz="4" w:space="0" w:color="auto"/>
            </w:tcBorders>
            <w:shd w:val="clear" w:color="auto" w:fill="auto"/>
            <w:vAlign w:val="center"/>
            <w:hideMark/>
          </w:tcPr>
          <w:p w:rsidR="007306CA" w:rsidRDefault="00576025">
            <w:pPr>
              <w:spacing w:after="0"/>
              <w:jc w:val="center"/>
              <w:rPr>
                <w:noProof/>
                <w:color w:val="000000"/>
                <w:sz w:val="18"/>
                <w:szCs w:val="18"/>
                <w:lang w:eastAsia="en-GB"/>
              </w:rPr>
            </w:pPr>
            <w:r>
              <w:rPr>
                <w:noProof/>
                <w:color w:val="000000"/>
                <w:sz w:val="18"/>
                <w:szCs w:val="18"/>
                <w:lang w:eastAsia="en-GB"/>
              </w:rPr>
              <w:t>+2</w:t>
            </w:r>
          </w:p>
        </w:tc>
        <w:tc>
          <w:tcPr>
            <w:tcW w:w="6521" w:type="dxa"/>
            <w:tcBorders>
              <w:top w:val="nil"/>
              <w:left w:val="nil"/>
              <w:bottom w:val="single" w:sz="4" w:space="0" w:color="auto"/>
              <w:right w:val="single" w:sz="4" w:space="0" w:color="auto"/>
            </w:tcBorders>
            <w:shd w:val="clear" w:color="auto" w:fill="auto"/>
            <w:hideMark/>
          </w:tcPr>
          <w:p w:rsidR="007306CA" w:rsidRDefault="00576025">
            <w:pPr>
              <w:spacing w:after="120"/>
              <w:ind w:firstLine="113"/>
              <w:rPr>
                <w:noProof/>
                <w:color w:val="000000"/>
                <w:sz w:val="18"/>
                <w:szCs w:val="18"/>
                <w:lang w:eastAsia="en-GB"/>
              </w:rPr>
            </w:pPr>
            <w:r>
              <w:rPr>
                <w:noProof/>
                <w:color w:val="000000"/>
                <w:sz w:val="18"/>
                <w:szCs w:val="18"/>
                <w:lang w:eastAsia="en-GB"/>
              </w:rPr>
              <w:t xml:space="preserve">Significantly increased numbers would have a positive impact on companies’ capacity to conduct R&amp;D and would </w:t>
            </w:r>
            <w:r>
              <w:rPr>
                <w:b/>
                <w:noProof/>
                <w:color w:val="000000"/>
                <w:sz w:val="18"/>
                <w:szCs w:val="18"/>
                <w:lang w:eastAsia="en-GB"/>
              </w:rPr>
              <w:t>benefit the EU’s overall capacity for innovation and research.</w:t>
            </w:r>
            <w:r>
              <w:rPr>
                <w:noProof/>
                <w:color w:val="000000"/>
                <w:sz w:val="18"/>
                <w:szCs w:val="18"/>
                <w:lang w:eastAsia="en-GB"/>
              </w:rPr>
              <w:t xml:space="preserve"> Especially for companies in highly innovativ</w:t>
            </w:r>
            <w:r>
              <w:rPr>
                <w:noProof/>
                <w:color w:val="000000"/>
                <w:sz w:val="18"/>
                <w:szCs w:val="18"/>
                <w:lang w:eastAsia="en-GB"/>
              </w:rPr>
              <w:t>e sectors the capacity for recruiting HSW would increase, concerning namely for recent foreign graduates with an EU degree in much-in-demand STEM (science, technology, engineering and mathematics) fields.</w:t>
            </w:r>
          </w:p>
          <w:p w:rsidR="007306CA" w:rsidRDefault="00576025">
            <w:pPr>
              <w:spacing w:after="120"/>
              <w:ind w:firstLine="113"/>
              <w:rPr>
                <w:noProof/>
                <w:color w:val="000000"/>
                <w:sz w:val="18"/>
                <w:szCs w:val="18"/>
                <w:lang w:eastAsia="en-GB"/>
              </w:rPr>
            </w:pPr>
            <w:r>
              <w:rPr>
                <w:noProof/>
                <w:color w:val="000000"/>
                <w:sz w:val="18"/>
                <w:szCs w:val="18"/>
                <w:lang w:eastAsia="en-GB"/>
              </w:rPr>
              <w:t xml:space="preserve">However, while the overall impact would be larger due to higher overall numbers, </w:t>
            </w:r>
            <w:r>
              <w:rPr>
                <w:b/>
                <w:noProof/>
                <w:color w:val="000000"/>
                <w:sz w:val="18"/>
                <w:szCs w:val="18"/>
                <w:lang w:eastAsia="en-GB"/>
              </w:rPr>
              <w:t xml:space="preserve">the per unit gain </w:t>
            </w:r>
            <w:r>
              <w:rPr>
                <w:noProof/>
                <w:color w:val="000000"/>
                <w:sz w:val="18"/>
                <w:szCs w:val="18"/>
                <w:lang w:eastAsia="en-GB"/>
              </w:rPr>
              <w:t xml:space="preserve">of additional highly and medium skilled would </w:t>
            </w:r>
            <w:r>
              <w:rPr>
                <w:b/>
                <w:noProof/>
                <w:color w:val="000000"/>
                <w:sz w:val="18"/>
                <w:szCs w:val="18"/>
                <w:lang w:eastAsia="en-GB"/>
              </w:rPr>
              <w:t>diminish</w:t>
            </w:r>
            <w:r>
              <w:rPr>
                <w:noProof/>
                <w:color w:val="000000"/>
                <w:sz w:val="18"/>
                <w:szCs w:val="18"/>
                <w:lang w:eastAsia="en-GB"/>
              </w:rPr>
              <w:t xml:space="preserve"> as the average skill level would go down.</w:t>
            </w:r>
          </w:p>
          <w:p w:rsidR="007306CA" w:rsidRDefault="007306CA">
            <w:pPr>
              <w:spacing w:after="120"/>
              <w:ind w:firstLine="113"/>
              <w:rPr>
                <w:noProof/>
                <w:color w:val="000000"/>
                <w:sz w:val="18"/>
                <w:szCs w:val="18"/>
                <w:lang w:eastAsia="en-GB"/>
              </w:rPr>
            </w:pPr>
          </w:p>
        </w:tc>
      </w:tr>
      <w:tr w:rsidR="007306CA">
        <w:trPr>
          <w:trHeight w:val="300"/>
        </w:trPr>
        <w:tc>
          <w:tcPr>
            <w:tcW w:w="992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306CA" w:rsidRDefault="00576025">
            <w:pPr>
              <w:spacing w:after="0"/>
              <w:rPr>
                <w:b/>
                <w:bCs/>
                <w:i/>
                <w:noProof/>
                <w:color w:val="000000"/>
                <w:sz w:val="18"/>
                <w:szCs w:val="18"/>
                <w:u w:val="single"/>
                <w:lang w:val="en-IE" w:eastAsia="en-GB"/>
              </w:rPr>
            </w:pPr>
            <w:r>
              <w:rPr>
                <w:b/>
                <w:bCs/>
                <w:noProof/>
                <w:color w:val="000000"/>
                <w:sz w:val="18"/>
                <w:szCs w:val="18"/>
                <w:lang w:eastAsia="en-GB"/>
              </w:rPr>
              <w:t>Social impacts</w:t>
            </w:r>
          </w:p>
        </w:tc>
      </w:tr>
      <w:tr w:rsidR="007306CA">
        <w:trPr>
          <w:trHeight w:val="58"/>
        </w:trPr>
        <w:tc>
          <w:tcPr>
            <w:tcW w:w="2868" w:type="dxa"/>
            <w:gridSpan w:val="2"/>
            <w:tcBorders>
              <w:top w:val="nil"/>
              <w:left w:val="single" w:sz="4" w:space="0" w:color="auto"/>
              <w:bottom w:val="single" w:sz="4" w:space="0" w:color="auto"/>
              <w:right w:val="single" w:sz="4" w:space="0" w:color="auto"/>
            </w:tcBorders>
            <w:shd w:val="clear" w:color="auto" w:fill="auto"/>
            <w:vAlign w:val="center"/>
            <w:hideMark/>
          </w:tcPr>
          <w:p w:rsidR="007306CA" w:rsidRDefault="00576025">
            <w:pPr>
              <w:spacing w:after="0"/>
              <w:rPr>
                <w:rFonts w:ascii="Cambria" w:hAnsi="Cambria" w:cs="Calibri"/>
                <w:i/>
                <w:noProof/>
                <w:color w:val="000000"/>
                <w:sz w:val="18"/>
                <w:szCs w:val="18"/>
                <w:u w:val="single"/>
                <w:lang w:val="en-IE" w:eastAsia="en-GB"/>
              </w:rPr>
            </w:pPr>
            <w:r>
              <w:rPr>
                <w:rFonts w:ascii="Cambria" w:hAnsi="Cambria" w:cs="Calibri"/>
                <w:noProof/>
                <w:color w:val="000000"/>
                <w:sz w:val="18"/>
                <w:szCs w:val="18"/>
                <w:lang w:eastAsia="en-GB"/>
              </w:rPr>
              <w:t>-</w:t>
            </w:r>
            <w:r>
              <w:rPr>
                <w:noProof/>
                <w:color w:val="000000"/>
                <w:sz w:val="14"/>
                <w:szCs w:val="14"/>
                <w:lang w:eastAsia="en-GB"/>
              </w:rPr>
              <w:t> </w:t>
            </w:r>
            <w:r>
              <w:rPr>
                <w:noProof/>
                <w:color w:val="000000"/>
                <w:sz w:val="18"/>
                <w:szCs w:val="18"/>
                <w:lang w:eastAsia="en-GB"/>
              </w:rPr>
              <w:t>Impact on EU citizens</w:t>
            </w:r>
          </w:p>
        </w:tc>
        <w:tc>
          <w:tcPr>
            <w:tcW w:w="535" w:type="dxa"/>
            <w:tcBorders>
              <w:top w:val="nil"/>
              <w:left w:val="nil"/>
              <w:bottom w:val="single" w:sz="4" w:space="0" w:color="auto"/>
              <w:right w:val="single" w:sz="4" w:space="0" w:color="auto"/>
            </w:tcBorders>
            <w:shd w:val="clear" w:color="auto" w:fill="auto"/>
            <w:vAlign w:val="center"/>
            <w:hideMark/>
          </w:tcPr>
          <w:p w:rsidR="007306CA" w:rsidRDefault="00576025">
            <w:pPr>
              <w:spacing w:after="0"/>
              <w:jc w:val="center"/>
              <w:rPr>
                <w:noProof/>
                <w:color w:val="000000"/>
                <w:sz w:val="18"/>
                <w:szCs w:val="18"/>
                <w:lang w:eastAsia="en-GB"/>
              </w:rPr>
            </w:pPr>
            <w:r>
              <w:rPr>
                <w:noProof/>
                <w:color w:val="000000"/>
                <w:sz w:val="18"/>
                <w:szCs w:val="18"/>
                <w:lang w:eastAsia="en-GB"/>
              </w:rPr>
              <w:t>-1/</w:t>
            </w:r>
            <w:r>
              <w:rPr>
                <w:noProof/>
                <w:color w:val="000000"/>
                <w:sz w:val="18"/>
                <w:szCs w:val="18"/>
                <w:lang w:eastAsia="en-GB"/>
              </w:rPr>
              <w:br/>
              <w:t>-2</w:t>
            </w:r>
          </w:p>
        </w:tc>
        <w:tc>
          <w:tcPr>
            <w:tcW w:w="6521" w:type="dxa"/>
            <w:tcBorders>
              <w:top w:val="nil"/>
              <w:left w:val="nil"/>
              <w:bottom w:val="single" w:sz="4" w:space="0" w:color="auto"/>
              <w:right w:val="single" w:sz="4" w:space="0" w:color="auto"/>
            </w:tcBorders>
            <w:shd w:val="clear" w:color="000000" w:fill="FFFFFF"/>
            <w:hideMark/>
          </w:tcPr>
          <w:p w:rsidR="007306CA" w:rsidRDefault="00576025">
            <w:pPr>
              <w:spacing w:after="120"/>
              <w:rPr>
                <w:noProof/>
                <w:color w:val="000000"/>
                <w:sz w:val="18"/>
                <w:szCs w:val="18"/>
                <w:lang w:eastAsia="en-GB"/>
              </w:rPr>
            </w:pPr>
            <w:r>
              <w:rPr>
                <w:noProof/>
                <w:color w:val="000000"/>
                <w:sz w:val="18"/>
                <w:szCs w:val="18"/>
                <w:lang w:eastAsia="en-GB"/>
              </w:rPr>
              <w:t xml:space="preserve">Significantly more flexible admission conditions would open up the Blue Card to a significantly higher number of highly skilled and (some) medium skilled. </w:t>
            </w:r>
          </w:p>
          <w:p w:rsidR="007306CA" w:rsidRDefault="00576025">
            <w:pPr>
              <w:spacing w:after="120"/>
              <w:rPr>
                <w:noProof/>
                <w:color w:val="000000"/>
                <w:sz w:val="18"/>
                <w:szCs w:val="18"/>
                <w:lang w:eastAsia="en-GB"/>
              </w:rPr>
            </w:pPr>
            <w:r>
              <w:rPr>
                <w:noProof/>
                <w:color w:val="000000"/>
                <w:sz w:val="18"/>
                <w:szCs w:val="18"/>
                <w:lang w:eastAsia="en-GB"/>
              </w:rPr>
              <w:t>However, while several safeguards are built in to avoid pressure on labour conditions, wages and the</w:t>
            </w:r>
            <w:r>
              <w:rPr>
                <w:noProof/>
                <w:color w:val="000000"/>
                <w:sz w:val="18"/>
                <w:szCs w:val="18"/>
                <w:lang w:eastAsia="en-GB"/>
              </w:rPr>
              <w:t xml:space="preserve"> displacement of EU workers, this option entails the </w:t>
            </w:r>
            <w:r>
              <w:rPr>
                <w:b/>
                <w:noProof/>
                <w:color w:val="000000"/>
                <w:sz w:val="18"/>
                <w:szCs w:val="18"/>
                <w:lang w:eastAsia="en-GB"/>
              </w:rPr>
              <w:t xml:space="preserve">highest risk for negative effects on EU workers, </w:t>
            </w:r>
            <w:r>
              <w:rPr>
                <w:noProof/>
                <w:color w:val="000000"/>
                <w:sz w:val="18"/>
                <w:szCs w:val="18"/>
                <w:lang w:eastAsia="en-GB"/>
              </w:rPr>
              <w:t>particularly in Member States</w:t>
            </w:r>
            <w:r>
              <w:rPr>
                <w:b/>
                <w:noProof/>
                <w:color w:val="000000"/>
                <w:sz w:val="18"/>
                <w:szCs w:val="18"/>
                <w:lang w:eastAsia="en-GB"/>
              </w:rPr>
              <w:t xml:space="preserve"> </w:t>
            </w:r>
            <w:r>
              <w:rPr>
                <w:noProof/>
                <w:color w:val="000000"/>
                <w:sz w:val="18"/>
                <w:szCs w:val="18"/>
                <w:lang w:eastAsia="en-GB"/>
              </w:rPr>
              <w:t xml:space="preserve">with high unemployment levels. This could also negatively impact on the EU’s welfare system. </w:t>
            </w:r>
          </w:p>
          <w:p w:rsidR="007306CA" w:rsidRDefault="00576025">
            <w:pPr>
              <w:spacing w:after="120"/>
              <w:rPr>
                <w:noProof/>
                <w:color w:val="000000"/>
                <w:sz w:val="18"/>
                <w:szCs w:val="18"/>
                <w:lang w:eastAsia="en-GB"/>
              </w:rPr>
            </w:pPr>
            <w:r>
              <w:rPr>
                <w:noProof/>
                <w:color w:val="000000"/>
                <w:sz w:val="18"/>
                <w:szCs w:val="18"/>
                <w:lang w:eastAsia="en-GB"/>
              </w:rPr>
              <w:t xml:space="preserve">The </w:t>
            </w:r>
            <w:r>
              <w:rPr>
                <w:b/>
                <w:noProof/>
                <w:color w:val="000000"/>
                <w:sz w:val="18"/>
                <w:szCs w:val="18"/>
                <w:lang w:eastAsia="en-GB"/>
              </w:rPr>
              <w:t xml:space="preserve">displacement effect </w:t>
            </w:r>
            <w:r>
              <w:rPr>
                <w:noProof/>
                <w:color w:val="000000"/>
                <w:sz w:val="18"/>
                <w:szCs w:val="18"/>
                <w:lang w:eastAsia="en-GB"/>
              </w:rPr>
              <w:t xml:space="preserve">is expected to be very limited for the highly skilled, but </w:t>
            </w:r>
            <w:r>
              <w:rPr>
                <w:b/>
                <w:noProof/>
                <w:color w:val="000000"/>
                <w:sz w:val="18"/>
                <w:szCs w:val="18"/>
                <w:lang w:eastAsia="en-GB"/>
              </w:rPr>
              <w:t>moderate for medium skilled</w:t>
            </w:r>
            <w:r>
              <w:rPr>
                <w:noProof/>
                <w:color w:val="000000"/>
                <w:sz w:val="18"/>
                <w:szCs w:val="18"/>
                <w:lang w:eastAsia="en-GB"/>
              </w:rPr>
              <w:t xml:space="preserve">. Research suggest that increases in numbers of immigrants towards the lower end of the salary distribution and working in semi/unskilled services results to some extent </w:t>
            </w:r>
            <w:r>
              <w:rPr>
                <w:noProof/>
                <w:color w:val="000000"/>
                <w:sz w:val="18"/>
                <w:szCs w:val="18"/>
                <w:lang w:eastAsia="en-GB"/>
              </w:rPr>
              <w:t>to increasing salary competition and pressure. While the Blue Card would still be out of reach for the lower end of the salary distribution and semi/unskilled workers, some displacement effect in the mid-salary and medium-skilled range cannot be fully excl</w:t>
            </w:r>
            <w:r>
              <w:rPr>
                <w:noProof/>
                <w:color w:val="000000"/>
                <w:sz w:val="18"/>
                <w:szCs w:val="18"/>
                <w:lang w:eastAsia="en-GB"/>
              </w:rPr>
              <w:t>uded.</w:t>
            </w:r>
          </w:p>
          <w:p w:rsidR="007306CA" w:rsidRDefault="00576025">
            <w:pPr>
              <w:spacing w:after="120"/>
              <w:ind w:firstLine="113"/>
              <w:rPr>
                <w:noProof/>
                <w:color w:val="000000"/>
                <w:sz w:val="18"/>
                <w:szCs w:val="18"/>
                <w:lang w:eastAsia="en-GB"/>
              </w:rPr>
            </w:pPr>
            <w:r>
              <w:rPr>
                <w:noProof/>
                <w:color w:val="000000"/>
                <w:sz w:val="18"/>
                <w:szCs w:val="18"/>
                <w:lang w:eastAsia="en-GB"/>
              </w:rPr>
              <w:t xml:space="preserve">This option grants only </w:t>
            </w:r>
            <w:r>
              <w:rPr>
                <w:b/>
                <w:noProof/>
                <w:color w:val="000000"/>
                <w:sz w:val="18"/>
                <w:szCs w:val="18"/>
                <w:lang w:eastAsia="en-GB"/>
              </w:rPr>
              <w:t>limited additional rights</w:t>
            </w:r>
            <w:r>
              <w:rPr>
                <w:noProof/>
                <w:color w:val="000000"/>
                <w:sz w:val="18"/>
                <w:szCs w:val="18"/>
                <w:lang w:eastAsia="en-GB"/>
              </w:rPr>
              <w:t xml:space="preserve"> and would not risk placing TCN workers in a more favourable position than EU workers. </w:t>
            </w:r>
          </w:p>
        </w:tc>
      </w:tr>
      <w:tr w:rsidR="007306CA">
        <w:trPr>
          <w:trHeight w:val="1488"/>
        </w:trPr>
        <w:tc>
          <w:tcPr>
            <w:tcW w:w="2868" w:type="dxa"/>
            <w:gridSpan w:val="2"/>
            <w:tcBorders>
              <w:top w:val="nil"/>
              <w:left w:val="single" w:sz="4" w:space="0" w:color="auto"/>
              <w:bottom w:val="single" w:sz="4" w:space="0" w:color="auto"/>
              <w:right w:val="single" w:sz="4" w:space="0" w:color="auto"/>
            </w:tcBorders>
            <w:shd w:val="clear" w:color="auto" w:fill="auto"/>
            <w:vAlign w:val="center"/>
            <w:hideMark/>
          </w:tcPr>
          <w:p w:rsidR="007306CA" w:rsidRDefault="00576025">
            <w:pPr>
              <w:spacing w:after="0"/>
              <w:rPr>
                <w:i/>
                <w:noProof/>
                <w:color w:val="000000"/>
                <w:sz w:val="18"/>
                <w:szCs w:val="18"/>
                <w:u w:val="single"/>
                <w:lang w:val="en-IE" w:eastAsia="en-GB"/>
              </w:rPr>
            </w:pPr>
            <w:r>
              <w:rPr>
                <w:noProof/>
                <w:color w:val="000000"/>
                <w:sz w:val="18"/>
                <w:szCs w:val="18"/>
                <w:lang w:eastAsia="en-GB"/>
              </w:rPr>
              <w:t>- Impact on third country national HSW</w:t>
            </w:r>
          </w:p>
          <w:p w:rsidR="007306CA" w:rsidRDefault="007306CA">
            <w:pPr>
              <w:spacing w:after="0"/>
              <w:rPr>
                <w:noProof/>
                <w:color w:val="000000"/>
                <w:sz w:val="18"/>
                <w:szCs w:val="18"/>
                <w:lang w:eastAsia="en-GB"/>
              </w:rPr>
            </w:pPr>
          </w:p>
          <w:p w:rsidR="007306CA" w:rsidRDefault="00576025">
            <w:pPr>
              <w:spacing w:after="0"/>
              <w:rPr>
                <w:noProof/>
                <w:color w:val="000000"/>
                <w:sz w:val="18"/>
                <w:szCs w:val="18"/>
                <w:lang w:eastAsia="en-GB"/>
              </w:rPr>
            </w:pPr>
            <w:r>
              <w:rPr>
                <w:noProof/>
                <w:color w:val="000000"/>
                <w:sz w:val="18"/>
                <w:szCs w:val="18"/>
                <w:lang w:eastAsia="en-GB"/>
              </w:rPr>
              <w:t xml:space="preserve">- Impact on fundamental rights (Charter: art. 7, private and family </w:t>
            </w:r>
            <w:r>
              <w:rPr>
                <w:noProof/>
                <w:color w:val="000000"/>
                <w:sz w:val="18"/>
                <w:szCs w:val="18"/>
                <w:lang w:eastAsia="en-GB"/>
              </w:rPr>
              <w:t>life; art. 45(2), freedom of movement and of residence)</w:t>
            </w:r>
          </w:p>
        </w:tc>
        <w:tc>
          <w:tcPr>
            <w:tcW w:w="535" w:type="dxa"/>
            <w:tcBorders>
              <w:top w:val="nil"/>
              <w:left w:val="nil"/>
              <w:bottom w:val="single" w:sz="4" w:space="0" w:color="auto"/>
              <w:right w:val="single" w:sz="4" w:space="0" w:color="auto"/>
            </w:tcBorders>
            <w:shd w:val="clear" w:color="auto" w:fill="auto"/>
            <w:vAlign w:val="center"/>
            <w:hideMark/>
          </w:tcPr>
          <w:p w:rsidR="007306CA" w:rsidRDefault="00576025">
            <w:pPr>
              <w:spacing w:after="0"/>
              <w:jc w:val="center"/>
              <w:rPr>
                <w:noProof/>
                <w:color w:val="000000"/>
                <w:sz w:val="18"/>
                <w:szCs w:val="18"/>
                <w:lang w:eastAsia="en-GB"/>
              </w:rPr>
            </w:pPr>
            <w:r>
              <w:rPr>
                <w:noProof/>
                <w:color w:val="000000"/>
                <w:sz w:val="18"/>
                <w:szCs w:val="18"/>
                <w:lang w:eastAsia="en-GB"/>
              </w:rPr>
              <w:t>+2/+3</w:t>
            </w:r>
          </w:p>
        </w:tc>
        <w:tc>
          <w:tcPr>
            <w:tcW w:w="6521" w:type="dxa"/>
            <w:tcBorders>
              <w:top w:val="nil"/>
              <w:left w:val="nil"/>
              <w:bottom w:val="single" w:sz="4" w:space="0" w:color="auto"/>
              <w:right w:val="single" w:sz="4" w:space="0" w:color="auto"/>
            </w:tcBorders>
            <w:shd w:val="clear" w:color="auto" w:fill="auto"/>
            <w:hideMark/>
          </w:tcPr>
          <w:p w:rsidR="007306CA" w:rsidRDefault="00576025">
            <w:pPr>
              <w:spacing w:after="120"/>
              <w:ind w:firstLine="113"/>
              <w:rPr>
                <w:noProof/>
                <w:color w:val="000000"/>
                <w:sz w:val="18"/>
                <w:szCs w:val="18"/>
                <w:lang w:eastAsia="en-GB"/>
              </w:rPr>
            </w:pPr>
            <w:r>
              <w:rPr>
                <w:noProof/>
                <w:color w:val="000000"/>
                <w:sz w:val="18"/>
                <w:szCs w:val="18"/>
                <w:lang w:eastAsia="en-GB"/>
              </w:rPr>
              <w:t xml:space="preserve">There would be a </w:t>
            </w:r>
            <w:r>
              <w:rPr>
                <w:b/>
                <w:noProof/>
                <w:color w:val="000000"/>
                <w:sz w:val="18"/>
                <w:szCs w:val="18"/>
                <w:lang w:eastAsia="en-GB"/>
              </w:rPr>
              <w:t>significant quantitative positive impact for TC</w:t>
            </w:r>
            <w:r>
              <w:rPr>
                <w:noProof/>
                <w:color w:val="000000"/>
                <w:sz w:val="18"/>
                <w:szCs w:val="18"/>
                <w:lang w:eastAsia="en-GB"/>
              </w:rPr>
              <w:t>N, especially from low income countries, because of improved career opportunities for HSW, and some medium skilled workers, as the</w:t>
            </w:r>
            <w:r>
              <w:rPr>
                <w:noProof/>
                <w:color w:val="000000"/>
                <w:sz w:val="18"/>
                <w:szCs w:val="18"/>
                <w:lang w:eastAsia="en-GB"/>
              </w:rPr>
              <w:t xml:space="preserve">ir possibilities to be admitted to the EU would increase. The growth in numbers of TCN workers would widen the target group and some medium-skilled workers would be given a more extensive set of rights than what they would currently enjoy. </w:t>
            </w:r>
          </w:p>
          <w:p w:rsidR="007306CA" w:rsidRDefault="00576025">
            <w:pPr>
              <w:spacing w:after="120"/>
              <w:ind w:firstLine="113"/>
              <w:rPr>
                <w:noProof/>
                <w:color w:val="000000"/>
                <w:sz w:val="18"/>
                <w:szCs w:val="18"/>
                <w:lang w:eastAsia="en-GB"/>
              </w:rPr>
            </w:pPr>
            <w:r>
              <w:rPr>
                <w:noProof/>
                <w:color w:val="000000"/>
                <w:sz w:val="18"/>
                <w:szCs w:val="18"/>
                <w:lang w:eastAsia="en-GB"/>
              </w:rPr>
              <w:t xml:space="preserve">However, </w:t>
            </w:r>
            <w:r>
              <w:rPr>
                <w:b/>
                <w:noProof/>
                <w:color w:val="000000"/>
                <w:sz w:val="18"/>
                <w:szCs w:val="18"/>
                <w:lang w:eastAsia="en-GB"/>
              </w:rPr>
              <w:t>qualit</w:t>
            </w:r>
            <w:r>
              <w:rPr>
                <w:b/>
                <w:noProof/>
                <w:color w:val="000000"/>
                <w:sz w:val="18"/>
                <w:szCs w:val="18"/>
                <w:lang w:eastAsia="en-GB"/>
              </w:rPr>
              <w:t>atively</w:t>
            </w:r>
            <w:r>
              <w:rPr>
                <w:noProof/>
                <w:color w:val="000000"/>
                <w:sz w:val="18"/>
                <w:szCs w:val="18"/>
                <w:lang w:eastAsia="en-GB"/>
              </w:rPr>
              <w:t xml:space="preserve">, this option grants </w:t>
            </w:r>
            <w:r>
              <w:rPr>
                <w:b/>
                <w:noProof/>
                <w:color w:val="000000"/>
                <w:sz w:val="18"/>
                <w:szCs w:val="18"/>
                <w:lang w:eastAsia="en-GB"/>
              </w:rPr>
              <w:t>limited to no additional rights</w:t>
            </w:r>
            <w:r>
              <w:rPr>
                <w:noProof/>
                <w:color w:val="000000"/>
                <w:sz w:val="18"/>
                <w:szCs w:val="18"/>
                <w:lang w:eastAsia="en-GB"/>
              </w:rPr>
              <w:t xml:space="preserve"> compared to the baseline situation. No changes to family reunification rules compared to baseline scenario. There would be no to a slight positive effect on freedom of movement and residence, due </w:t>
            </w:r>
            <w:r>
              <w:rPr>
                <w:noProof/>
                <w:color w:val="000000"/>
                <w:sz w:val="18"/>
                <w:szCs w:val="18"/>
                <w:lang w:eastAsia="en-GB"/>
              </w:rPr>
              <w:t xml:space="preserve">to increased harmonisation and elimination of national schemes. </w:t>
            </w:r>
          </w:p>
        </w:tc>
      </w:tr>
      <w:tr w:rsidR="007306CA">
        <w:trPr>
          <w:trHeight w:val="480"/>
        </w:trPr>
        <w:tc>
          <w:tcPr>
            <w:tcW w:w="2868" w:type="dxa"/>
            <w:gridSpan w:val="2"/>
            <w:tcBorders>
              <w:top w:val="nil"/>
              <w:left w:val="single" w:sz="4" w:space="0" w:color="auto"/>
              <w:bottom w:val="single" w:sz="4" w:space="0" w:color="auto"/>
              <w:right w:val="single" w:sz="4" w:space="0" w:color="auto"/>
            </w:tcBorders>
            <w:shd w:val="clear" w:color="auto" w:fill="auto"/>
            <w:vAlign w:val="center"/>
            <w:hideMark/>
          </w:tcPr>
          <w:p w:rsidR="007306CA" w:rsidRDefault="00576025">
            <w:pPr>
              <w:spacing w:after="0"/>
              <w:rPr>
                <w:i/>
                <w:noProof/>
                <w:color w:val="000000"/>
                <w:sz w:val="18"/>
                <w:szCs w:val="18"/>
                <w:u w:val="single"/>
                <w:lang w:val="en-IE" w:eastAsia="en-GB"/>
              </w:rPr>
            </w:pPr>
            <w:r>
              <w:rPr>
                <w:noProof/>
                <w:color w:val="000000"/>
                <w:sz w:val="18"/>
                <w:szCs w:val="18"/>
                <w:lang w:eastAsia="en-GB"/>
              </w:rPr>
              <w:t>-  Impacts on third countries</w:t>
            </w:r>
          </w:p>
        </w:tc>
        <w:tc>
          <w:tcPr>
            <w:tcW w:w="535" w:type="dxa"/>
            <w:tcBorders>
              <w:top w:val="nil"/>
              <w:left w:val="nil"/>
              <w:bottom w:val="single" w:sz="4" w:space="0" w:color="auto"/>
              <w:right w:val="single" w:sz="4" w:space="0" w:color="auto"/>
            </w:tcBorders>
            <w:shd w:val="clear" w:color="auto" w:fill="auto"/>
            <w:vAlign w:val="center"/>
            <w:hideMark/>
          </w:tcPr>
          <w:p w:rsidR="007306CA" w:rsidRDefault="00576025">
            <w:pPr>
              <w:spacing w:after="0"/>
              <w:jc w:val="center"/>
              <w:rPr>
                <w:noProof/>
                <w:color w:val="000000"/>
                <w:sz w:val="18"/>
                <w:szCs w:val="18"/>
                <w:lang w:eastAsia="en-GB"/>
              </w:rPr>
            </w:pPr>
            <w:r>
              <w:rPr>
                <w:noProof/>
                <w:color w:val="000000"/>
                <w:sz w:val="18"/>
                <w:szCs w:val="18"/>
                <w:lang w:eastAsia="en-GB"/>
              </w:rPr>
              <w:t> +2</w:t>
            </w:r>
          </w:p>
        </w:tc>
        <w:tc>
          <w:tcPr>
            <w:tcW w:w="6521" w:type="dxa"/>
            <w:tcBorders>
              <w:top w:val="nil"/>
              <w:left w:val="nil"/>
              <w:bottom w:val="single" w:sz="4" w:space="0" w:color="auto"/>
              <w:right w:val="single" w:sz="4" w:space="0" w:color="auto"/>
            </w:tcBorders>
            <w:shd w:val="clear" w:color="auto" w:fill="auto"/>
            <w:hideMark/>
          </w:tcPr>
          <w:p w:rsidR="007306CA" w:rsidRDefault="00576025">
            <w:pPr>
              <w:spacing w:after="0"/>
              <w:rPr>
                <w:noProof/>
                <w:color w:val="000000"/>
                <w:sz w:val="18"/>
                <w:szCs w:val="18"/>
                <w:lang w:eastAsia="en-GB"/>
              </w:rPr>
            </w:pPr>
            <w:r>
              <w:rPr>
                <w:noProof/>
                <w:color w:val="000000"/>
                <w:sz w:val="18"/>
                <w:szCs w:val="18"/>
                <w:lang w:eastAsia="en-GB"/>
              </w:rPr>
              <w:t xml:space="preserve">The quantitative benefits for developing countries from </w:t>
            </w:r>
            <w:r>
              <w:rPr>
                <w:b/>
                <w:noProof/>
                <w:color w:val="000000"/>
                <w:sz w:val="18"/>
                <w:szCs w:val="18"/>
                <w:lang w:eastAsia="en-GB"/>
              </w:rPr>
              <w:t>remittances,</w:t>
            </w:r>
            <w:r>
              <w:rPr>
                <w:noProof/>
                <w:color w:val="000000"/>
                <w:sz w:val="18"/>
                <w:szCs w:val="18"/>
                <w:lang w:eastAsia="en-GB"/>
              </w:rPr>
              <w:t xml:space="preserve"> ‘brain gain’, and circular migration, set off against costs of ‘brain drain’ in sectors that require skilled workers, would be </w:t>
            </w:r>
            <w:r>
              <w:rPr>
                <w:b/>
                <w:noProof/>
                <w:color w:val="000000"/>
                <w:sz w:val="18"/>
                <w:szCs w:val="18"/>
                <w:lang w:eastAsia="en-GB"/>
              </w:rPr>
              <w:t>the highest in this option</w:t>
            </w:r>
            <w:r>
              <w:rPr>
                <w:noProof/>
                <w:color w:val="000000"/>
                <w:sz w:val="18"/>
                <w:szCs w:val="18"/>
                <w:lang w:eastAsia="en-GB"/>
              </w:rPr>
              <w:t xml:space="preserve"> due to the higher numbers, including (some) medium skilled.</w:t>
            </w:r>
          </w:p>
        </w:tc>
      </w:tr>
      <w:tr w:rsidR="007306CA">
        <w:trPr>
          <w:trHeight w:val="300"/>
        </w:trPr>
        <w:tc>
          <w:tcPr>
            <w:tcW w:w="9924" w:type="dxa"/>
            <w:gridSpan w:val="4"/>
            <w:tcBorders>
              <w:top w:val="single" w:sz="4" w:space="0" w:color="auto"/>
              <w:left w:val="single" w:sz="4" w:space="0" w:color="auto"/>
              <w:bottom w:val="single" w:sz="4" w:space="0" w:color="auto"/>
              <w:right w:val="single" w:sz="4" w:space="0" w:color="auto"/>
            </w:tcBorders>
            <w:shd w:val="clear" w:color="000000" w:fill="C5D9F1"/>
            <w:vAlign w:val="center"/>
            <w:hideMark/>
          </w:tcPr>
          <w:p w:rsidR="007306CA" w:rsidRDefault="00576025">
            <w:pPr>
              <w:spacing w:after="0"/>
              <w:rPr>
                <w:b/>
                <w:bCs/>
                <w:i/>
                <w:noProof/>
                <w:color w:val="000000"/>
                <w:sz w:val="18"/>
                <w:szCs w:val="18"/>
                <w:u w:val="single"/>
                <w:lang w:val="en-IE" w:eastAsia="en-GB"/>
              </w:rPr>
            </w:pPr>
            <w:r>
              <w:rPr>
                <w:b/>
                <w:bCs/>
                <w:noProof/>
                <w:color w:val="000000"/>
                <w:sz w:val="18"/>
                <w:szCs w:val="18"/>
                <w:lang w:eastAsia="en-GB"/>
              </w:rPr>
              <w:t>Efficiency</w:t>
            </w:r>
          </w:p>
        </w:tc>
      </w:tr>
      <w:tr w:rsidR="007306CA">
        <w:trPr>
          <w:trHeight w:val="58"/>
        </w:trPr>
        <w:tc>
          <w:tcPr>
            <w:tcW w:w="2868" w:type="dxa"/>
            <w:gridSpan w:val="2"/>
            <w:tcBorders>
              <w:top w:val="nil"/>
              <w:left w:val="single" w:sz="4" w:space="0" w:color="auto"/>
              <w:bottom w:val="single" w:sz="4" w:space="0" w:color="auto"/>
              <w:right w:val="single" w:sz="4" w:space="0" w:color="auto"/>
            </w:tcBorders>
            <w:shd w:val="clear" w:color="auto" w:fill="auto"/>
            <w:vAlign w:val="center"/>
            <w:hideMark/>
          </w:tcPr>
          <w:p w:rsidR="007306CA" w:rsidRDefault="00576025">
            <w:pPr>
              <w:spacing w:after="0"/>
              <w:rPr>
                <w:i/>
                <w:noProof/>
                <w:color w:val="000000"/>
                <w:sz w:val="18"/>
                <w:szCs w:val="18"/>
                <w:u w:val="single"/>
                <w:lang w:val="en-IE" w:eastAsia="en-GB"/>
              </w:rPr>
            </w:pPr>
            <w:r>
              <w:rPr>
                <w:noProof/>
                <w:color w:val="000000"/>
                <w:sz w:val="18"/>
                <w:szCs w:val="18"/>
                <w:lang w:eastAsia="en-GB"/>
              </w:rPr>
              <w:t xml:space="preserve">- Administrative costs and </w:t>
            </w:r>
            <w:r>
              <w:rPr>
                <w:noProof/>
                <w:color w:val="000000"/>
                <w:sz w:val="18"/>
                <w:szCs w:val="18"/>
                <w:lang w:eastAsia="en-GB"/>
              </w:rPr>
              <w:t>cost/benefit effectiveness</w:t>
            </w:r>
          </w:p>
          <w:p w:rsidR="007306CA" w:rsidRDefault="007306CA">
            <w:pPr>
              <w:spacing w:after="0"/>
              <w:rPr>
                <w:noProof/>
                <w:color w:val="000000"/>
                <w:sz w:val="18"/>
                <w:szCs w:val="18"/>
                <w:lang w:eastAsia="en-GB"/>
              </w:rPr>
            </w:pPr>
          </w:p>
          <w:p w:rsidR="007306CA" w:rsidRDefault="00576025">
            <w:pPr>
              <w:spacing w:after="0"/>
              <w:rPr>
                <w:noProof/>
                <w:color w:val="000000"/>
                <w:sz w:val="18"/>
                <w:szCs w:val="18"/>
                <w:lang w:eastAsia="en-GB"/>
              </w:rPr>
            </w:pPr>
            <w:r>
              <w:rPr>
                <w:noProof/>
                <w:color w:val="000000"/>
                <w:sz w:val="18"/>
                <w:szCs w:val="18"/>
                <w:lang w:eastAsia="en-GB"/>
              </w:rPr>
              <w:t>- Practical or technical feasibility (difficulty/risks for transposition and implementation)</w:t>
            </w:r>
          </w:p>
          <w:p w:rsidR="007306CA" w:rsidRDefault="007306CA">
            <w:pPr>
              <w:spacing w:after="0"/>
              <w:rPr>
                <w:noProof/>
                <w:color w:val="000000"/>
                <w:sz w:val="18"/>
                <w:szCs w:val="18"/>
                <w:lang w:eastAsia="en-GB"/>
              </w:rPr>
            </w:pPr>
          </w:p>
        </w:tc>
        <w:tc>
          <w:tcPr>
            <w:tcW w:w="535" w:type="dxa"/>
            <w:tcBorders>
              <w:top w:val="nil"/>
              <w:left w:val="nil"/>
              <w:bottom w:val="single" w:sz="4" w:space="0" w:color="auto"/>
              <w:right w:val="single" w:sz="4" w:space="0" w:color="auto"/>
            </w:tcBorders>
            <w:shd w:val="clear" w:color="auto" w:fill="auto"/>
            <w:vAlign w:val="center"/>
            <w:hideMark/>
          </w:tcPr>
          <w:p w:rsidR="007306CA" w:rsidRDefault="00576025">
            <w:pPr>
              <w:spacing w:after="0"/>
              <w:jc w:val="center"/>
              <w:rPr>
                <w:noProof/>
                <w:color w:val="000000"/>
                <w:sz w:val="18"/>
                <w:szCs w:val="18"/>
                <w:lang w:eastAsia="en-GB"/>
              </w:rPr>
            </w:pPr>
            <w:r>
              <w:rPr>
                <w:noProof/>
                <w:color w:val="000000"/>
                <w:sz w:val="18"/>
                <w:szCs w:val="18"/>
                <w:lang w:eastAsia="en-GB"/>
              </w:rPr>
              <w:t>+1</w:t>
            </w:r>
          </w:p>
        </w:tc>
        <w:tc>
          <w:tcPr>
            <w:tcW w:w="6521" w:type="dxa"/>
            <w:tcBorders>
              <w:top w:val="nil"/>
              <w:left w:val="nil"/>
              <w:bottom w:val="single" w:sz="4" w:space="0" w:color="auto"/>
              <w:right w:val="single" w:sz="4" w:space="0" w:color="auto"/>
            </w:tcBorders>
            <w:shd w:val="clear" w:color="auto" w:fill="auto"/>
            <w:hideMark/>
          </w:tcPr>
          <w:p w:rsidR="007306CA" w:rsidRDefault="00576025">
            <w:pPr>
              <w:spacing w:after="120"/>
              <w:ind w:firstLine="113"/>
              <w:rPr>
                <w:b/>
                <w:noProof/>
                <w:color w:val="000000"/>
                <w:sz w:val="18"/>
                <w:szCs w:val="18"/>
                <w:lang w:eastAsia="en-GB"/>
              </w:rPr>
            </w:pPr>
            <w:r>
              <w:rPr>
                <w:b/>
                <w:noProof/>
                <w:color w:val="000000"/>
                <w:sz w:val="18"/>
                <w:szCs w:val="18"/>
                <w:lang w:eastAsia="en-GB"/>
              </w:rPr>
              <w:t xml:space="preserve">Administrative impact on Member States: cost of € 28.7 million (EU25 aggregate). </w:t>
            </w:r>
          </w:p>
          <w:p w:rsidR="007306CA" w:rsidRDefault="00576025">
            <w:pPr>
              <w:spacing w:after="120"/>
              <w:ind w:firstLine="113"/>
              <w:rPr>
                <w:b/>
                <w:noProof/>
                <w:color w:val="000000"/>
                <w:sz w:val="18"/>
                <w:szCs w:val="18"/>
                <w:lang w:eastAsia="en-GB"/>
              </w:rPr>
            </w:pPr>
            <w:r>
              <w:rPr>
                <w:b/>
                <w:noProof/>
                <w:color w:val="000000"/>
                <w:sz w:val="18"/>
                <w:szCs w:val="18"/>
                <w:lang w:eastAsia="en-GB"/>
              </w:rPr>
              <w:t>Offset by fees and an estimated additional income</w:t>
            </w:r>
            <w:r>
              <w:rPr>
                <w:b/>
                <w:noProof/>
                <w:color w:val="000000"/>
                <w:sz w:val="18"/>
                <w:szCs w:val="18"/>
                <w:lang w:eastAsia="en-GB"/>
              </w:rPr>
              <w:t xml:space="preserve"> tax revenue of € 1.5 billion</w:t>
            </w:r>
          </w:p>
          <w:p w:rsidR="007306CA" w:rsidRDefault="00576025">
            <w:pPr>
              <w:spacing w:after="120"/>
              <w:ind w:firstLine="113"/>
              <w:rPr>
                <w:noProof/>
                <w:color w:val="000000"/>
                <w:sz w:val="18"/>
                <w:szCs w:val="18"/>
                <w:lang w:eastAsia="en-GB"/>
              </w:rPr>
            </w:pPr>
            <w:r>
              <w:rPr>
                <w:noProof/>
                <w:color w:val="000000"/>
                <w:sz w:val="18"/>
                <w:szCs w:val="18"/>
                <w:lang w:eastAsia="en-GB"/>
              </w:rPr>
              <w:t xml:space="preserve">This option would have the highest reach in terms of numbers of TCN workers who would fall under its personal scope. The absorption of the national HSW schemes into the EU Blue Card scheme would not lead to additional overall </w:t>
            </w:r>
            <w:r>
              <w:rPr>
                <w:noProof/>
                <w:color w:val="000000"/>
                <w:sz w:val="18"/>
                <w:szCs w:val="18"/>
                <w:lang w:eastAsia="en-GB"/>
              </w:rPr>
              <w:t xml:space="preserve">costs for </w:t>
            </w:r>
            <w:r>
              <w:rPr>
                <w:b/>
                <w:noProof/>
                <w:color w:val="000000"/>
                <w:sz w:val="18"/>
                <w:szCs w:val="18"/>
                <w:lang w:eastAsia="en-GB"/>
              </w:rPr>
              <w:t>public administrations</w:t>
            </w:r>
            <w:r>
              <w:rPr>
                <w:noProof/>
                <w:color w:val="000000"/>
                <w:sz w:val="18"/>
                <w:szCs w:val="18"/>
                <w:lang w:eastAsia="en-GB"/>
              </w:rPr>
              <w:t xml:space="preserve"> as the scheme would replace all existing schemes for HSW and (some) medium-skilled workers. Some initial costs would be incurred for information for companies, training of immigration officials on the new rules, etc. but ov</w:t>
            </w:r>
            <w:r>
              <w:rPr>
                <w:noProof/>
                <w:color w:val="000000"/>
                <w:sz w:val="18"/>
                <w:szCs w:val="18"/>
                <w:lang w:eastAsia="en-GB"/>
              </w:rPr>
              <w:t xml:space="preserve">erall this option would constitute an </w:t>
            </w:r>
            <w:r>
              <w:rPr>
                <w:b/>
                <w:noProof/>
                <w:color w:val="000000"/>
                <w:sz w:val="18"/>
                <w:szCs w:val="18"/>
                <w:lang w:eastAsia="en-GB"/>
              </w:rPr>
              <w:t>increase in efficiency</w:t>
            </w:r>
            <w:r>
              <w:rPr>
                <w:noProof/>
                <w:color w:val="000000"/>
                <w:sz w:val="18"/>
                <w:szCs w:val="18"/>
                <w:lang w:eastAsia="en-GB"/>
              </w:rPr>
              <w:t xml:space="preserve"> due to increased coherence and harmonisation. Higher numbers of applicants would increase the overall administrative costs but the per-unit cost would decrease due to </w:t>
            </w:r>
            <w:r>
              <w:rPr>
                <w:b/>
                <w:noProof/>
                <w:color w:val="000000"/>
                <w:sz w:val="18"/>
                <w:szCs w:val="18"/>
                <w:lang w:eastAsia="en-GB"/>
              </w:rPr>
              <w:t>economies of scale</w:t>
            </w:r>
            <w:r>
              <w:rPr>
                <w:noProof/>
                <w:color w:val="000000"/>
                <w:sz w:val="18"/>
                <w:szCs w:val="18"/>
                <w:lang w:eastAsia="en-GB"/>
              </w:rPr>
              <w:t xml:space="preserve"> and efficiency gains due to a simplified system. The costs can be offset by fees and, indirectly, by the economic gains for the host society and increased tax revenue.</w:t>
            </w:r>
          </w:p>
          <w:p w:rsidR="007306CA" w:rsidRDefault="00576025">
            <w:pPr>
              <w:spacing w:after="120"/>
              <w:ind w:firstLine="113"/>
              <w:rPr>
                <w:noProof/>
                <w:color w:val="000000"/>
                <w:sz w:val="18"/>
                <w:szCs w:val="18"/>
                <w:lang w:eastAsia="en-GB"/>
              </w:rPr>
            </w:pPr>
            <w:r>
              <w:rPr>
                <w:noProof/>
                <w:color w:val="000000"/>
                <w:sz w:val="18"/>
                <w:szCs w:val="18"/>
                <w:lang w:eastAsia="en-GB"/>
              </w:rPr>
              <w:t xml:space="preserve">For the first permit, the administrative burden for </w:t>
            </w:r>
            <w:r>
              <w:rPr>
                <w:b/>
                <w:noProof/>
                <w:color w:val="000000"/>
                <w:sz w:val="18"/>
                <w:szCs w:val="18"/>
                <w:lang w:eastAsia="en-GB"/>
              </w:rPr>
              <w:t>HSW and businesses</w:t>
            </w:r>
            <w:r>
              <w:rPr>
                <w:noProof/>
                <w:color w:val="000000"/>
                <w:sz w:val="18"/>
                <w:szCs w:val="18"/>
                <w:lang w:eastAsia="en-GB"/>
              </w:rPr>
              <w:t xml:space="preserve"> would be lower d</w:t>
            </w:r>
            <w:r>
              <w:rPr>
                <w:noProof/>
                <w:color w:val="000000"/>
                <w:sz w:val="18"/>
                <w:szCs w:val="18"/>
                <w:lang w:eastAsia="en-GB"/>
              </w:rPr>
              <w:t xml:space="preserve">ue to a streamlined scheme across the EU. However, in case of intra-EU mobility, this scheme would bring limited advantages in reducing costs for an application in a second Member State, both for </w:t>
            </w:r>
            <w:r>
              <w:rPr>
                <w:b/>
                <w:noProof/>
                <w:color w:val="000000"/>
                <w:sz w:val="18"/>
                <w:szCs w:val="18"/>
                <w:lang w:eastAsia="en-GB"/>
              </w:rPr>
              <w:t>public administrations and for HSW and businesses</w:t>
            </w:r>
            <w:r>
              <w:rPr>
                <w:noProof/>
                <w:color w:val="000000"/>
                <w:sz w:val="18"/>
                <w:szCs w:val="18"/>
                <w:lang w:eastAsia="en-GB"/>
              </w:rPr>
              <w:t>. Neverthel</w:t>
            </w:r>
            <w:r>
              <w:rPr>
                <w:noProof/>
                <w:color w:val="000000"/>
                <w:sz w:val="18"/>
                <w:szCs w:val="18"/>
                <w:lang w:eastAsia="en-GB"/>
              </w:rPr>
              <w:t>ess, for both first and second permits, the costs of navigating separate and diverging migration systems (e.g. lawyer fees) for businesses and HSW would lower.</w:t>
            </w:r>
          </w:p>
          <w:p w:rsidR="007306CA" w:rsidRDefault="00576025">
            <w:pPr>
              <w:spacing w:after="120"/>
              <w:ind w:firstLine="113"/>
              <w:rPr>
                <w:noProof/>
                <w:color w:val="000000"/>
                <w:sz w:val="18"/>
                <w:szCs w:val="18"/>
                <w:lang w:eastAsia="en-GB"/>
              </w:rPr>
            </w:pPr>
            <w:r>
              <w:rPr>
                <w:noProof/>
                <w:color w:val="000000"/>
                <w:sz w:val="18"/>
                <w:szCs w:val="18"/>
                <w:lang w:eastAsia="en-GB"/>
              </w:rPr>
              <w:t xml:space="preserve">However, this option would result in a </w:t>
            </w:r>
            <w:r>
              <w:rPr>
                <w:b/>
                <w:noProof/>
                <w:color w:val="000000"/>
                <w:sz w:val="18"/>
                <w:szCs w:val="18"/>
                <w:lang w:eastAsia="en-GB"/>
              </w:rPr>
              <w:t xml:space="preserve">sub-optimal management of the migration flows </w:t>
            </w:r>
            <w:r>
              <w:rPr>
                <w:noProof/>
                <w:color w:val="000000"/>
                <w:sz w:val="18"/>
                <w:szCs w:val="18"/>
                <w:lang w:eastAsia="en-GB"/>
              </w:rPr>
              <w:t>as a one-si</w:t>
            </w:r>
            <w:r>
              <w:rPr>
                <w:noProof/>
                <w:color w:val="000000"/>
                <w:sz w:val="18"/>
                <w:szCs w:val="18"/>
                <w:lang w:eastAsia="en-GB"/>
              </w:rPr>
              <w:t xml:space="preserve">ze-fits-all approach would not be targeted at specific needs of different categories. The effectiveness of the Blue Card as an instrument for highly skilled would be undermined as the measures would be less far-reaching than a targeted instrument in terms </w:t>
            </w:r>
            <w:r>
              <w:rPr>
                <w:noProof/>
                <w:color w:val="000000"/>
                <w:sz w:val="18"/>
                <w:szCs w:val="18"/>
                <w:lang w:eastAsia="en-GB"/>
              </w:rPr>
              <w:t>of simplification, streamlining of the procedures, and providing attractive rights (including intra-EU mobility, labour market access and access to long-term residence).</w:t>
            </w:r>
          </w:p>
          <w:p w:rsidR="007306CA" w:rsidRDefault="00576025">
            <w:pPr>
              <w:spacing w:after="120"/>
              <w:ind w:firstLine="113"/>
              <w:rPr>
                <w:noProof/>
                <w:color w:val="000000"/>
                <w:sz w:val="18"/>
                <w:szCs w:val="18"/>
                <w:lang w:eastAsia="en-GB"/>
              </w:rPr>
            </w:pPr>
            <w:r>
              <w:rPr>
                <w:b/>
                <w:noProof/>
                <w:color w:val="000000"/>
                <w:sz w:val="18"/>
                <w:szCs w:val="18"/>
                <w:lang w:eastAsia="en-GB"/>
              </w:rPr>
              <w:t>No practical or technical difficulty</w:t>
            </w:r>
            <w:r>
              <w:rPr>
                <w:noProof/>
                <w:color w:val="000000"/>
                <w:sz w:val="18"/>
                <w:szCs w:val="18"/>
                <w:lang w:eastAsia="en-GB"/>
              </w:rPr>
              <w:t xml:space="preserve"> is to be expected. It would ensure more uniform i</w:t>
            </w:r>
            <w:r>
              <w:rPr>
                <w:noProof/>
                <w:color w:val="000000"/>
                <w:sz w:val="18"/>
                <w:szCs w:val="18"/>
                <w:lang w:eastAsia="en-GB"/>
              </w:rPr>
              <w:t>mplementation but would require adaptation of Member States’ legislation.</w:t>
            </w:r>
          </w:p>
        </w:tc>
      </w:tr>
      <w:tr w:rsidR="007306CA">
        <w:trPr>
          <w:trHeight w:val="300"/>
        </w:trPr>
        <w:tc>
          <w:tcPr>
            <w:tcW w:w="9924" w:type="dxa"/>
            <w:gridSpan w:val="4"/>
            <w:tcBorders>
              <w:top w:val="single" w:sz="4" w:space="0" w:color="auto"/>
              <w:left w:val="single" w:sz="4" w:space="0" w:color="auto"/>
              <w:bottom w:val="single" w:sz="4" w:space="0" w:color="auto"/>
              <w:right w:val="single" w:sz="4" w:space="0" w:color="auto"/>
            </w:tcBorders>
            <w:shd w:val="clear" w:color="000000" w:fill="C5D9F1"/>
            <w:hideMark/>
          </w:tcPr>
          <w:p w:rsidR="007306CA" w:rsidRDefault="00576025">
            <w:pPr>
              <w:spacing w:after="0"/>
              <w:ind w:left="482"/>
              <w:jc w:val="left"/>
              <w:rPr>
                <w:b/>
                <w:bCs/>
                <w:noProof/>
                <w:color w:val="000000"/>
                <w:sz w:val="18"/>
                <w:szCs w:val="18"/>
                <w:lang w:eastAsia="en-GB"/>
              </w:rPr>
            </w:pPr>
            <w:r>
              <w:rPr>
                <w:b/>
                <w:bCs/>
                <w:noProof/>
                <w:color w:val="000000"/>
                <w:sz w:val="18"/>
                <w:szCs w:val="18"/>
                <w:lang w:eastAsia="en-GB"/>
              </w:rPr>
              <w:t>Coherence with other EU policies</w:t>
            </w:r>
          </w:p>
        </w:tc>
      </w:tr>
      <w:tr w:rsidR="007306CA">
        <w:trPr>
          <w:trHeight w:val="300"/>
        </w:trPr>
        <w:tc>
          <w:tcPr>
            <w:tcW w:w="9924" w:type="dxa"/>
            <w:gridSpan w:val="4"/>
            <w:tcBorders>
              <w:top w:val="single" w:sz="4" w:space="0" w:color="auto"/>
              <w:left w:val="single" w:sz="4" w:space="0" w:color="auto"/>
              <w:bottom w:val="single" w:sz="4" w:space="0" w:color="auto"/>
              <w:right w:val="single" w:sz="4" w:space="0" w:color="auto"/>
            </w:tcBorders>
            <w:shd w:val="clear" w:color="auto" w:fill="auto"/>
            <w:hideMark/>
          </w:tcPr>
          <w:p w:rsidR="007306CA" w:rsidRDefault="00576025">
            <w:pPr>
              <w:spacing w:after="0"/>
              <w:rPr>
                <w:noProof/>
                <w:color w:val="000000"/>
                <w:sz w:val="18"/>
                <w:szCs w:val="18"/>
                <w:lang w:eastAsia="en-GB"/>
              </w:rPr>
            </w:pPr>
            <w:r>
              <w:rPr>
                <w:noProof/>
                <w:color w:val="000000"/>
                <w:sz w:val="18"/>
                <w:szCs w:val="18"/>
                <w:lang w:eastAsia="en-GB"/>
              </w:rPr>
              <w:t>In line with, and contributes to, EU Growth Strategy. Broadly consistent with EU economic and social policies, including on mobility of EU workers,</w:t>
            </w:r>
            <w:r>
              <w:rPr>
                <w:noProof/>
                <w:color w:val="000000"/>
                <w:sz w:val="18"/>
                <w:szCs w:val="18"/>
                <w:lang w:eastAsia="en-GB"/>
              </w:rPr>
              <w:t xml:space="preserve"> although some risks for a displacement effect exist.</w:t>
            </w:r>
          </w:p>
        </w:tc>
      </w:tr>
      <w:tr w:rsidR="007306CA">
        <w:trPr>
          <w:trHeight w:val="300"/>
        </w:trPr>
        <w:tc>
          <w:tcPr>
            <w:tcW w:w="9924" w:type="dxa"/>
            <w:gridSpan w:val="4"/>
            <w:tcBorders>
              <w:top w:val="single" w:sz="4" w:space="0" w:color="auto"/>
              <w:left w:val="single" w:sz="4" w:space="0" w:color="auto"/>
              <w:bottom w:val="single" w:sz="4" w:space="0" w:color="auto"/>
              <w:right w:val="single" w:sz="4" w:space="0" w:color="auto"/>
            </w:tcBorders>
            <w:shd w:val="clear" w:color="000000" w:fill="C5D9F1"/>
            <w:vAlign w:val="center"/>
            <w:hideMark/>
          </w:tcPr>
          <w:p w:rsidR="007306CA" w:rsidRDefault="00576025">
            <w:pPr>
              <w:spacing w:after="0"/>
              <w:jc w:val="left"/>
              <w:rPr>
                <w:b/>
                <w:bCs/>
                <w:noProof/>
                <w:color w:val="000000"/>
                <w:sz w:val="18"/>
                <w:szCs w:val="18"/>
                <w:lang w:eastAsia="en-GB"/>
              </w:rPr>
            </w:pPr>
            <w:r>
              <w:rPr>
                <w:b/>
                <w:bCs/>
                <w:noProof/>
                <w:color w:val="000000"/>
                <w:sz w:val="18"/>
                <w:szCs w:val="18"/>
                <w:lang w:eastAsia="en-GB"/>
              </w:rPr>
              <w:t>Stakeholders and experts’ view</w:t>
            </w:r>
          </w:p>
        </w:tc>
      </w:tr>
      <w:tr w:rsidR="007306CA">
        <w:trPr>
          <w:trHeight w:val="495"/>
        </w:trPr>
        <w:tc>
          <w:tcPr>
            <w:tcW w:w="992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306CA" w:rsidRDefault="00576025">
            <w:pPr>
              <w:spacing w:after="0"/>
              <w:rPr>
                <w:noProof/>
                <w:color w:val="000000"/>
                <w:sz w:val="18"/>
                <w:szCs w:val="18"/>
                <w:lang w:eastAsia="en-GB"/>
              </w:rPr>
            </w:pPr>
            <w:r>
              <w:rPr>
                <w:noProof/>
                <w:color w:val="000000"/>
                <w:sz w:val="18"/>
                <w:szCs w:val="18"/>
                <w:lang w:eastAsia="en-GB"/>
              </w:rPr>
              <w:t xml:space="preserve">Some stakeholders support expanding the Blue Card to medium skilled (SME representatives, e.g UAPME). However, most of them consider that this would undermine the value </w:t>
            </w:r>
            <w:r>
              <w:rPr>
                <w:noProof/>
                <w:color w:val="000000"/>
                <w:sz w:val="18"/>
                <w:szCs w:val="18"/>
                <w:lang w:eastAsia="en-GB"/>
              </w:rPr>
              <w:t>of the Blue Card as an instrument to attract talents and HSW and consider that a separate instrument would be more appropriate to cover other skills levels. Diverging views also exist on maintaining vs. abolishing the salary threshold (as alternative to qu</w:t>
            </w:r>
            <w:r>
              <w:rPr>
                <w:noProof/>
                <w:color w:val="000000"/>
                <w:sz w:val="18"/>
                <w:szCs w:val="18"/>
                <w:lang w:eastAsia="en-GB"/>
              </w:rPr>
              <w:t>alifications).  Mixed views exist also on the value and usefulness of national schemes compared to the Blue Card.</w:t>
            </w:r>
          </w:p>
        </w:tc>
      </w:tr>
    </w:tbl>
    <w:p w:rsidR="007306CA" w:rsidRDefault="007306CA">
      <w:pPr>
        <w:spacing w:after="120" w:line="240" w:lineRule="atLeast"/>
        <w:rPr>
          <w:b/>
          <w:noProof/>
        </w:rPr>
      </w:pPr>
    </w:p>
    <w:p w:rsidR="007306CA" w:rsidRDefault="00576025">
      <w:pPr>
        <w:spacing w:after="120" w:line="240" w:lineRule="atLeast"/>
        <w:rPr>
          <w:b/>
          <w:noProof/>
        </w:rPr>
      </w:pPr>
      <w:r>
        <w:rPr>
          <w:b/>
          <w:noProof/>
        </w:rPr>
        <w:t>POP2(a): Making the Blue Card accessible to a wider group of HSW</w:t>
      </w:r>
    </w:p>
    <w:tbl>
      <w:tblPr>
        <w:tblW w:w="9924" w:type="dxa"/>
        <w:tblInd w:w="-318" w:type="dxa"/>
        <w:tblLayout w:type="fixed"/>
        <w:tblLook w:val="04A0" w:firstRow="1" w:lastRow="0" w:firstColumn="1" w:lastColumn="0" w:noHBand="0" w:noVBand="1"/>
      </w:tblPr>
      <w:tblGrid>
        <w:gridCol w:w="2836"/>
        <w:gridCol w:w="567"/>
        <w:gridCol w:w="6521"/>
      </w:tblGrid>
      <w:tr w:rsidR="007306CA">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8DB4E2"/>
            <w:vAlign w:val="center"/>
            <w:hideMark/>
          </w:tcPr>
          <w:p w:rsidR="007306CA" w:rsidRDefault="00576025">
            <w:pPr>
              <w:spacing w:after="0"/>
              <w:jc w:val="left"/>
              <w:rPr>
                <w:b/>
                <w:bCs/>
                <w:noProof/>
                <w:color w:val="000000"/>
                <w:sz w:val="18"/>
                <w:szCs w:val="18"/>
                <w:lang w:eastAsia="en-GB"/>
              </w:rPr>
            </w:pPr>
            <w:r>
              <w:rPr>
                <w:b/>
                <w:bCs/>
                <w:noProof/>
                <w:color w:val="000000"/>
                <w:sz w:val="18"/>
                <w:szCs w:val="18"/>
                <w:lang w:eastAsia="en-GB"/>
              </w:rPr>
              <w:t>Assessment Criteria</w:t>
            </w:r>
          </w:p>
        </w:tc>
        <w:tc>
          <w:tcPr>
            <w:tcW w:w="567" w:type="dxa"/>
            <w:tcBorders>
              <w:top w:val="nil"/>
              <w:left w:val="nil"/>
              <w:bottom w:val="single" w:sz="4" w:space="0" w:color="auto"/>
              <w:right w:val="single" w:sz="4" w:space="0" w:color="auto"/>
            </w:tcBorders>
            <w:shd w:val="clear" w:color="000000" w:fill="8DB4E2"/>
            <w:vAlign w:val="center"/>
            <w:hideMark/>
          </w:tcPr>
          <w:p w:rsidR="007306CA" w:rsidRDefault="00576025">
            <w:pPr>
              <w:spacing w:after="0"/>
              <w:jc w:val="left"/>
              <w:rPr>
                <w:bCs/>
                <w:noProof/>
                <w:color w:val="000000"/>
                <w:sz w:val="18"/>
                <w:szCs w:val="18"/>
                <w:lang w:eastAsia="en-GB"/>
              </w:rPr>
            </w:pPr>
            <w:r>
              <w:rPr>
                <w:bCs/>
                <w:noProof/>
                <w:color w:val="000000"/>
                <w:sz w:val="18"/>
                <w:szCs w:val="18"/>
                <w:lang w:eastAsia="en-GB"/>
              </w:rPr>
              <w:t>Rate</w:t>
            </w:r>
          </w:p>
        </w:tc>
        <w:tc>
          <w:tcPr>
            <w:tcW w:w="6521" w:type="dxa"/>
            <w:tcBorders>
              <w:top w:val="nil"/>
              <w:left w:val="nil"/>
              <w:bottom w:val="single" w:sz="4" w:space="0" w:color="auto"/>
              <w:right w:val="single" w:sz="4" w:space="0" w:color="auto"/>
            </w:tcBorders>
            <w:shd w:val="clear" w:color="000000" w:fill="8DB4E2"/>
            <w:vAlign w:val="center"/>
            <w:hideMark/>
          </w:tcPr>
          <w:p w:rsidR="007306CA" w:rsidRDefault="00576025">
            <w:pPr>
              <w:spacing w:after="0"/>
              <w:jc w:val="left"/>
              <w:rPr>
                <w:b/>
                <w:bCs/>
                <w:noProof/>
                <w:color w:val="000000"/>
                <w:sz w:val="18"/>
                <w:szCs w:val="18"/>
                <w:lang w:eastAsia="en-GB"/>
              </w:rPr>
            </w:pPr>
            <w:r>
              <w:rPr>
                <w:b/>
                <w:bCs/>
                <w:noProof/>
                <w:color w:val="000000"/>
                <w:sz w:val="18"/>
                <w:szCs w:val="18"/>
                <w:lang w:eastAsia="en-GB"/>
              </w:rPr>
              <w:t>Motivation</w:t>
            </w:r>
          </w:p>
        </w:tc>
      </w:tr>
      <w:tr w:rsidR="007306CA">
        <w:trPr>
          <w:trHeight w:val="300"/>
        </w:trPr>
        <w:tc>
          <w:tcPr>
            <w:tcW w:w="9924" w:type="dxa"/>
            <w:gridSpan w:val="3"/>
            <w:tcBorders>
              <w:top w:val="single" w:sz="4" w:space="0" w:color="auto"/>
              <w:left w:val="single" w:sz="4" w:space="0" w:color="auto"/>
              <w:bottom w:val="single" w:sz="4" w:space="0" w:color="auto"/>
              <w:right w:val="single" w:sz="4" w:space="0" w:color="auto"/>
            </w:tcBorders>
            <w:shd w:val="clear" w:color="000000" w:fill="C5D9F1"/>
            <w:vAlign w:val="center"/>
            <w:hideMark/>
          </w:tcPr>
          <w:p w:rsidR="007306CA" w:rsidRDefault="00576025">
            <w:pPr>
              <w:spacing w:after="0"/>
              <w:jc w:val="left"/>
              <w:rPr>
                <w:b/>
                <w:bCs/>
                <w:noProof/>
                <w:color w:val="000000"/>
                <w:sz w:val="18"/>
                <w:szCs w:val="18"/>
                <w:lang w:eastAsia="en-GB"/>
              </w:rPr>
            </w:pPr>
            <w:r>
              <w:rPr>
                <w:b/>
                <w:bCs/>
                <w:noProof/>
                <w:color w:val="000000"/>
                <w:sz w:val="18"/>
                <w:szCs w:val="18"/>
                <w:lang w:eastAsia="en-GB"/>
              </w:rPr>
              <w:t xml:space="preserve">Relevance and effectiveness in </w:t>
            </w:r>
            <w:r>
              <w:rPr>
                <w:b/>
                <w:bCs/>
                <w:noProof/>
                <w:color w:val="000000"/>
                <w:sz w:val="18"/>
                <w:szCs w:val="18"/>
                <w:lang w:eastAsia="en-GB"/>
              </w:rPr>
              <w:t>achieving the objectives</w:t>
            </w:r>
          </w:p>
        </w:tc>
      </w:tr>
      <w:tr w:rsidR="007306CA">
        <w:trPr>
          <w:trHeight w:val="1763"/>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7306CA" w:rsidRDefault="00576025">
            <w:pPr>
              <w:spacing w:after="120"/>
              <w:rPr>
                <w:noProof/>
                <w:color w:val="000000"/>
                <w:sz w:val="18"/>
                <w:szCs w:val="18"/>
                <w:lang w:eastAsia="en-GB"/>
              </w:rPr>
            </w:pPr>
            <w:r>
              <w:rPr>
                <w:noProof/>
                <w:color w:val="000000"/>
                <w:sz w:val="18"/>
                <w:szCs w:val="18"/>
                <w:lang w:eastAsia="en-GB"/>
              </w:rPr>
              <w:t xml:space="preserve">GO1: improve ability to attract and retain to enhance competitiveness and demographic ageing; SO2: increase the numbers of highly skilled TCNs; SO3: lower barriers to entry, simplify and harmonise the admission procedures; SO4: </w:t>
            </w:r>
            <w:r>
              <w:rPr>
                <w:noProof/>
                <w:color w:val="000000"/>
                <w:sz w:val="18"/>
                <w:szCs w:val="18"/>
                <w:lang w:eastAsia="en-GB"/>
              </w:rPr>
              <w:t>promote social and economic integration of highly skilled TCNs and their family members, via favourable residence conditions and rights; SO6: ensure ‘EU Blue Card’ brand to improve image of attractive EU</w:t>
            </w:r>
          </w:p>
        </w:tc>
        <w:tc>
          <w:tcPr>
            <w:tcW w:w="567" w:type="dxa"/>
            <w:tcBorders>
              <w:top w:val="nil"/>
              <w:left w:val="nil"/>
              <w:bottom w:val="single" w:sz="4" w:space="0" w:color="auto"/>
              <w:right w:val="single" w:sz="4" w:space="0" w:color="auto"/>
            </w:tcBorders>
            <w:shd w:val="clear" w:color="auto" w:fill="auto"/>
            <w:vAlign w:val="center"/>
            <w:hideMark/>
          </w:tcPr>
          <w:p w:rsidR="007306CA" w:rsidRDefault="00576025">
            <w:pPr>
              <w:spacing w:after="120"/>
              <w:rPr>
                <w:noProof/>
                <w:color w:val="000000"/>
                <w:sz w:val="18"/>
                <w:szCs w:val="18"/>
                <w:lang w:eastAsia="en-GB"/>
              </w:rPr>
            </w:pPr>
            <w:r>
              <w:rPr>
                <w:noProof/>
                <w:color w:val="000000"/>
                <w:sz w:val="18"/>
                <w:szCs w:val="18"/>
                <w:lang w:eastAsia="en-GB"/>
              </w:rPr>
              <w:t>+2</w:t>
            </w:r>
          </w:p>
        </w:tc>
        <w:tc>
          <w:tcPr>
            <w:tcW w:w="6521" w:type="dxa"/>
            <w:tcBorders>
              <w:top w:val="nil"/>
              <w:left w:val="nil"/>
              <w:bottom w:val="single" w:sz="4" w:space="0" w:color="auto"/>
              <w:right w:val="single" w:sz="4" w:space="0" w:color="auto"/>
            </w:tcBorders>
            <w:shd w:val="clear" w:color="auto" w:fill="auto"/>
            <w:vAlign w:val="center"/>
            <w:hideMark/>
          </w:tcPr>
          <w:p w:rsidR="007306CA" w:rsidRDefault="00576025">
            <w:pPr>
              <w:spacing w:after="120"/>
              <w:ind w:firstLine="113"/>
              <w:rPr>
                <w:b/>
                <w:bCs/>
                <w:noProof/>
                <w:color w:val="000000"/>
                <w:sz w:val="18"/>
                <w:szCs w:val="18"/>
                <w:lang w:eastAsia="en-GB"/>
              </w:rPr>
            </w:pPr>
            <w:r>
              <w:rPr>
                <w:b/>
                <w:bCs/>
                <w:noProof/>
                <w:color w:val="000000"/>
                <w:sz w:val="18"/>
                <w:szCs w:val="18"/>
                <w:lang w:eastAsia="en-GB"/>
              </w:rPr>
              <w:t>Estimated additional permits: min. 32 484 to max.</w:t>
            </w:r>
            <w:r>
              <w:rPr>
                <w:b/>
                <w:bCs/>
                <w:noProof/>
                <w:color w:val="000000"/>
                <w:sz w:val="18"/>
                <w:szCs w:val="18"/>
                <w:lang w:eastAsia="en-GB"/>
              </w:rPr>
              <w:t xml:space="preserve"> 137 690 HSW (EU25 aggregate, variation depending on the salary threshold set by individual Member States)</w:t>
            </w:r>
          </w:p>
          <w:p w:rsidR="007306CA" w:rsidRDefault="00576025">
            <w:pPr>
              <w:spacing w:after="120"/>
              <w:ind w:firstLine="113"/>
              <w:rPr>
                <w:noProof/>
                <w:color w:val="000000"/>
                <w:sz w:val="18"/>
                <w:szCs w:val="18"/>
                <w:lang w:eastAsia="en-GB"/>
              </w:rPr>
            </w:pPr>
            <w:r>
              <w:rPr>
                <w:noProof/>
                <w:color w:val="000000"/>
                <w:sz w:val="18"/>
                <w:szCs w:val="18"/>
                <w:lang w:eastAsia="en-GB"/>
              </w:rPr>
              <w:t xml:space="preserve">By making the Blue Card accessible to a significantly wider group of HSW  this option would be </w:t>
            </w:r>
            <w:r>
              <w:rPr>
                <w:b/>
                <w:noProof/>
                <w:color w:val="000000"/>
                <w:sz w:val="18"/>
                <w:szCs w:val="18"/>
                <w:lang w:eastAsia="en-GB"/>
              </w:rPr>
              <w:t>more inclusive than the current Blue Card Directive</w:t>
            </w:r>
            <w:r>
              <w:rPr>
                <w:noProof/>
                <w:color w:val="000000"/>
                <w:sz w:val="18"/>
                <w:szCs w:val="18"/>
                <w:lang w:eastAsia="en-GB"/>
              </w:rPr>
              <w:t>, w</w:t>
            </w:r>
            <w:r>
              <w:rPr>
                <w:noProof/>
                <w:color w:val="000000"/>
                <w:sz w:val="18"/>
                <w:szCs w:val="18"/>
                <w:lang w:eastAsia="en-GB"/>
              </w:rPr>
              <w:t>hile still remaining an instrument targeted at HSW. HSW who are currently excluded due to the restrictive admission conditions, including young professionals, would be better reached and result in an increased retention potential of young talent trained in</w:t>
            </w:r>
            <w:r>
              <w:rPr>
                <w:noProof/>
                <w:color w:val="000000"/>
                <w:sz w:val="18"/>
                <w:szCs w:val="18"/>
                <w:lang w:eastAsia="en-GB"/>
              </w:rPr>
              <w:t xml:space="preserve"> the EU.</w:t>
            </w:r>
          </w:p>
          <w:p w:rsidR="007306CA" w:rsidRDefault="00576025">
            <w:pPr>
              <w:spacing w:after="120"/>
              <w:ind w:firstLine="113"/>
              <w:rPr>
                <w:noProof/>
                <w:color w:val="000000"/>
                <w:sz w:val="18"/>
                <w:szCs w:val="18"/>
                <w:lang w:eastAsia="en-GB"/>
              </w:rPr>
            </w:pPr>
            <w:r>
              <w:rPr>
                <w:noProof/>
                <w:color w:val="000000"/>
                <w:sz w:val="18"/>
                <w:szCs w:val="18"/>
                <w:lang w:eastAsia="en-GB"/>
              </w:rPr>
              <w:t xml:space="preserve">A </w:t>
            </w:r>
            <w:r>
              <w:rPr>
                <w:b/>
                <w:noProof/>
                <w:color w:val="000000"/>
                <w:sz w:val="18"/>
                <w:szCs w:val="18"/>
                <w:lang w:eastAsia="en-GB"/>
              </w:rPr>
              <w:t xml:space="preserve">lower and </w:t>
            </w:r>
            <w:r>
              <w:rPr>
                <w:b/>
                <w:noProof/>
                <w:color w:val="000000"/>
                <w:sz w:val="18"/>
                <w:szCs w:val="18"/>
              </w:rPr>
              <w:t xml:space="preserve">adaptable </w:t>
            </w:r>
            <w:r>
              <w:rPr>
                <w:b/>
                <w:noProof/>
                <w:color w:val="000000"/>
                <w:sz w:val="18"/>
                <w:szCs w:val="18"/>
                <w:lang w:eastAsia="en-GB"/>
              </w:rPr>
              <w:t>general salary threshold</w:t>
            </w:r>
            <w:r>
              <w:rPr>
                <w:noProof/>
                <w:color w:val="000000"/>
                <w:sz w:val="18"/>
                <w:szCs w:val="18"/>
              </w:rPr>
              <w:t>, set by Member States</w:t>
            </w:r>
            <w:r>
              <w:rPr>
                <w:noProof/>
                <w:color w:val="000000"/>
                <w:sz w:val="18"/>
                <w:szCs w:val="18"/>
                <w:lang w:eastAsia="en-GB"/>
              </w:rPr>
              <w:t xml:space="preserve"> within a fixed range but calculated on a national average</w:t>
            </w:r>
            <w:r>
              <w:rPr>
                <w:noProof/>
                <w:color w:val="000000"/>
                <w:sz w:val="18"/>
                <w:szCs w:val="18"/>
              </w:rPr>
              <w:t xml:space="preserve">, would significantly </w:t>
            </w:r>
            <w:r>
              <w:rPr>
                <w:b/>
                <w:noProof/>
                <w:color w:val="000000"/>
                <w:sz w:val="18"/>
                <w:szCs w:val="18"/>
              </w:rPr>
              <w:t>increase inclusiveness</w:t>
            </w:r>
            <w:r>
              <w:rPr>
                <w:noProof/>
                <w:color w:val="000000"/>
                <w:sz w:val="18"/>
                <w:szCs w:val="18"/>
              </w:rPr>
              <w:t xml:space="preserve"> and </w:t>
            </w:r>
            <w:r>
              <w:rPr>
                <w:b/>
                <w:noProof/>
                <w:color w:val="000000"/>
                <w:sz w:val="18"/>
                <w:szCs w:val="18"/>
              </w:rPr>
              <w:t>add</w:t>
            </w:r>
            <w:r>
              <w:rPr>
                <w:b/>
                <w:noProof/>
                <w:color w:val="000000"/>
                <w:sz w:val="18"/>
                <w:szCs w:val="18"/>
                <w:lang w:eastAsia="en-GB"/>
              </w:rPr>
              <w:t xml:space="preserve"> flexibility</w:t>
            </w:r>
            <w:r>
              <w:rPr>
                <w:noProof/>
                <w:color w:val="000000"/>
                <w:sz w:val="18"/>
                <w:szCs w:val="18"/>
                <w:lang w:eastAsia="en-GB"/>
              </w:rPr>
              <w:t xml:space="preserve"> for Member States to adapt to their national labour mark</w:t>
            </w:r>
            <w:r>
              <w:rPr>
                <w:noProof/>
                <w:color w:val="000000"/>
                <w:sz w:val="18"/>
                <w:szCs w:val="18"/>
                <w:lang w:eastAsia="en-GB"/>
              </w:rPr>
              <w:t xml:space="preserve">ets. This would be further enhanced by a mandatory </w:t>
            </w:r>
            <w:r>
              <w:rPr>
                <w:b/>
                <w:noProof/>
                <w:color w:val="000000"/>
                <w:sz w:val="18"/>
                <w:szCs w:val="18"/>
                <w:lang w:eastAsia="en-GB"/>
              </w:rPr>
              <w:t>lower threshold</w:t>
            </w:r>
            <w:r>
              <w:rPr>
                <w:noProof/>
                <w:color w:val="000000"/>
                <w:sz w:val="18"/>
                <w:szCs w:val="18"/>
                <w:lang w:eastAsia="en-GB"/>
              </w:rPr>
              <w:t xml:space="preserve"> for </w:t>
            </w:r>
            <w:r>
              <w:rPr>
                <w:b/>
                <w:noProof/>
                <w:color w:val="000000"/>
                <w:sz w:val="18"/>
                <w:szCs w:val="18"/>
                <w:lang w:eastAsia="en-GB"/>
              </w:rPr>
              <w:t>shortage occupations</w:t>
            </w:r>
            <w:r>
              <w:rPr>
                <w:noProof/>
                <w:color w:val="000000"/>
                <w:sz w:val="18"/>
                <w:szCs w:val="18"/>
                <w:lang w:eastAsia="en-GB"/>
              </w:rPr>
              <w:t xml:space="preserve"> (currently optional, so only applied by some Member States) and for </w:t>
            </w:r>
            <w:r>
              <w:rPr>
                <w:b/>
                <w:noProof/>
                <w:color w:val="000000"/>
                <w:sz w:val="18"/>
                <w:szCs w:val="18"/>
                <w:lang w:eastAsia="en-GB"/>
              </w:rPr>
              <w:t>young graduates</w:t>
            </w:r>
            <w:r>
              <w:rPr>
                <w:noProof/>
                <w:color w:val="000000"/>
                <w:sz w:val="18"/>
                <w:szCs w:val="18"/>
                <w:lang w:eastAsia="en-GB"/>
              </w:rPr>
              <w:t xml:space="preserve">, as well as by the possibility of contracts with a shorter duration (e.g. trial </w:t>
            </w:r>
            <w:r>
              <w:rPr>
                <w:noProof/>
                <w:color w:val="000000"/>
                <w:sz w:val="18"/>
                <w:szCs w:val="18"/>
                <w:lang w:eastAsia="en-GB"/>
              </w:rPr>
              <w:t xml:space="preserve">periods). </w:t>
            </w:r>
          </w:p>
          <w:p w:rsidR="007306CA" w:rsidRDefault="00576025">
            <w:pPr>
              <w:spacing w:after="120"/>
              <w:ind w:firstLine="113"/>
              <w:rPr>
                <w:noProof/>
                <w:color w:val="000000"/>
                <w:sz w:val="18"/>
                <w:szCs w:val="18"/>
                <w:lang w:eastAsia="en-GB"/>
              </w:rPr>
            </w:pPr>
            <w:r>
              <w:rPr>
                <w:noProof/>
                <w:color w:val="000000"/>
                <w:sz w:val="18"/>
                <w:szCs w:val="18"/>
                <w:lang w:eastAsia="en-GB"/>
              </w:rPr>
              <w:t xml:space="preserve">The impact on individual Member States would be </w:t>
            </w:r>
            <w:r>
              <w:rPr>
                <w:b/>
                <w:noProof/>
                <w:color w:val="000000"/>
                <w:sz w:val="18"/>
                <w:szCs w:val="18"/>
                <w:lang w:eastAsia="en-GB"/>
              </w:rPr>
              <w:t>evenly spread across low and high income Member States</w:t>
            </w:r>
            <w:r>
              <w:rPr>
                <w:noProof/>
                <w:color w:val="000000"/>
                <w:sz w:val="18"/>
                <w:szCs w:val="18"/>
                <w:lang w:eastAsia="en-GB"/>
              </w:rPr>
              <w:t xml:space="preserve"> as the salary threshold  is calculated on a national average, lower and adaptable to national circumstances, while Member States still keep co</w:t>
            </w:r>
            <w:r>
              <w:rPr>
                <w:noProof/>
                <w:color w:val="000000"/>
                <w:sz w:val="18"/>
                <w:szCs w:val="18"/>
                <w:lang w:eastAsia="en-GB"/>
              </w:rPr>
              <w:t xml:space="preserve">ntrol over the volumes of admission (Treaty-based). This option makes the Blue Card </w:t>
            </w:r>
            <w:r>
              <w:rPr>
                <w:b/>
                <w:noProof/>
                <w:color w:val="000000"/>
                <w:sz w:val="18"/>
                <w:szCs w:val="18"/>
                <w:lang w:eastAsia="en-GB"/>
              </w:rPr>
              <w:t>more inclusive</w:t>
            </w:r>
            <w:r>
              <w:rPr>
                <w:noProof/>
                <w:color w:val="000000"/>
                <w:sz w:val="18"/>
                <w:szCs w:val="18"/>
                <w:lang w:eastAsia="en-GB"/>
              </w:rPr>
              <w:t xml:space="preserve"> and is highly adaptable to national situations. Consequently, it has a very high potential to substitute parallel national schemes covering the same category</w:t>
            </w:r>
            <w:r>
              <w:rPr>
                <w:noProof/>
                <w:color w:val="000000"/>
                <w:sz w:val="18"/>
                <w:szCs w:val="18"/>
                <w:lang w:eastAsia="en-GB"/>
              </w:rPr>
              <w:t xml:space="preserve"> of people.</w:t>
            </w:r>
          </w:p>
          <w:p w:rsidR="007306CA" w:rsidRDefault="00576025">
            <w:pPr>
              <w:spacing w:after="120"/>
              <w:ind w:firstLine="113"/>
              <w:rPr>
                <w:noProof/>
                <w:color w:val="000000"/>
                <w:sz w:val="18"/>
                <w:szCs w:val="18"/>
                <w:lang w:eastAsia="en-GB"/>
              </w:rPr>
            </w:pPr>
            <w:r>
              <w:rPr>
                <w:noProof/>
                <w:color w:val="000000"/>
                <w:sz w:val="18"/>
                <w:szCs w:val="18"/>
                <w:lang w:eastAsia="en-GB"/>
              </w:rPr>
              <w:t xml:space="preserve">This policy option is </w:t>
            </w:r>
            <w:r>
              <w:rPr>
                <w:b/>
                <w:noProof/>
                <w:color w:val="000000"/>
                <w:sz w:val="18"/>
                <w:szCs w:val="18"/>
                <w:lang w:eastAsia="en-GB"/>
              </w:rPr>
              <w:t>targeted at HSW</w:t>
            </w:r>
            <w:r>
              <w:rPr>
                <w:noProof/>
                <w:color w:val="000000"/>
                <w:sz w:val="18"/>
                <w:szCs w:val="18"/>
                <w:lang w:eastAsia="en-GB"/>
              </w:rPr>
              <w:t xml:space="preserve"> and would have a </w:t>
            </w:r>
            <w:r>
              <w:rPr>
                <w:b/>
                <w:noProof/>
                <w:color w:val="000000"/>
                <w:sz w:val="18"/>
                <w:szCs w:val="18"/>
                <w:lang w:eastAsia="en-GB"/>
              </w:rPr>
              <w:t>high effectiveness in attracting and retaining them</w:t>
            </w:r>
            <w:r>
              <w:rPr>
                <w:noProof/>
                <w:color w:val="000000"/>
                <w:sz w:val="18"/>
                <w:szCs w:val="18"/>
                <w:lang w:eastAsia="en-GB"/>
              </w:rPr>
              <w:t xml:space="preserve"> due to several provisions such as: the possibility to introduce of fast track schemes for trusted employers; the labour market test only </w:t>
            </w:r>
            <w:r>
              <w:rPr>
                <w:noProof/>
                <w:color w:val="000000"/>
                <w:sz w:val="18"/>
                <w:szCs w:val="18"/>
                <w:lang w:eastAsia="en-GB"/>
              </w:rPr>
              <w:t>in exceptional circumstances, a lower maximum processing time for applications, facilitated intra-EU mobility; easier access to EU long-term residence and family reunification. The increased numbers and more inclusive nature would also contribute to a cert</w:t>
            </w:r>
            <w:r>
              <w:rPr>
                <w:noProof/>
                <w:color w:val="000000"/>
                <w:sz w:val="18"/>
                <w:szCs w:val="18"/>
                <w:lang w:eastAsia="en-GB"/>
              </w:rPr>
              <w:t>ain extent to addressing demographic ageing.</w:t>
            </w:r>
          </w:p>
          <w:p w:rsidR="007306CA" w:rsidRDefault="00576025">
            <w:pPr>
              <w:spacing w:after="120"/>
              <w:ind w:firstLine="113"/>
              <w:rPr>
                <w:noProof/>
                <w:color w:val="000000"/>
                <w:sz w:val="18"/>
                <w:szCs w:val="18"/>
                <w:lang w:eastAsia="en-GB"/>
              </w:rPr>
            </w:pPr>
            <w:r>
              <w:rPr>
                <w:noProof/>
                <w:color w:val="000000"/>
                <w:sz w:val="18"/>
                <w:szCs w:val="18"/>
                <w:lang w:eastAsia="en-GB"/>
              </w:rPr>
              <w:t>On the whole, the trade-off between (a) more facilitated entry conditions and (b) more rights and facilitated procedures, as well as between further harmonisation and need for national flexibility, is well balan</w:t>
            </w:r>
            <w:r>
              <w:rPr>
                <w:noProof/>
                <w:color w:val="000000"/>
                <w:sz w:val="18"/>
                <w:szCs w:val="18"/>
                <w:lang w:eastAsia="en-GB"/>
              </w:rPr>
              <w:t xml:space="preserve">ced in this option, thus increasing the EU attractiveness. By improving the attractiveness of the Blue Card this option would also </w:t>
            </w:r>
            <w:r>
              <w:rPr>
                <w:b/>
                <w:noProof/>
                <w:color w:val="000000"/>
                <w:sz w:val="18"/>
                <w:szCs w:val="18"/>
                <w:lang w:eastAsia="en-GB"/>
              </w:rPr>
              <w:t>enhance its branding potential</w:t>
            </w:r>
            <w:r>
              <w:rPr>
                <w:noProof/>
                <w:color w:val="000000"/>
                <w:sz w:val="18"/>
                <w:szCs w:val="18"/>
                <w:lang w:eastAsia="en-GB"/>
              </w:rPr>
              <w:t>.</w:t>
            </w:r>
          </w:p>
        </w:tc>
      </w:tr>
      <w:tr w:rsidR="007306CA">
        <w:trPr>
          <w:trHeight w:val="2277"/>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7306CA" w:rsidRDefault="00576025">
            <w:pPr>
              <w:spacing w:after="120"/>
              <w:rPr>
                <w:noProof/>
                <w:color w:val="000000"/>
                <w:sz w:val="18"/>
                <w:szCs w:val="18"/>
                <w:lang w:eastAsia="en-GB"/>
              </w:rPr>
            </w:pPr>
            <w:r>
              <w:rPr>
                <w:noProof/>
                <w:color w:val="000000"/>
                <w:sz w:val="18"/>
                <w:szCs w:val="18"/>
                <w:lang w:eastAsia="en-GB"/>
              </w:rPr>
              <w:t xml:space="preserve">GO2: improve ability to respond to demands for highly skilled TCNs and offset skill </w:t>
            </w:r>
            <w:r>
              <w:rPr>
                <w:noProof/>
                <w:color w:val="000000"/>
                <w:sz w:val="18"/>
                <w:szCs w:val="18"/>
                <w:lang w:eastAsia="en-GB"/>
              </w:rPr>
              <w:t>shortages by enhancing the inflows, occupational and geographical (intra-EU) mobility), and to promote efficient (re)allocation on EU labour market; SO5: ensure more flexible intra-EU mobility, removing unnecessary barriers, more efficient allocation of hi</w:t>
            </w:r>
            <w:r>
              <w:rPr>
                <w:noProof/>
                <w:color w:val="000000"/>
                <w:sz w:val="18"/>
                <w:szCs w:val="18"/>
                <w:lang w:eastAsia="en-GB"/>
              </w:rPr>
              <w:t>ghly skilled TCNs in EU</w:t>
            </w:r>
          </w:p>
        </w:tc>
        <w:tc>
          <w:tcPr>
            <w:tcW w:w="567" w:type="dxa"/>
            <w:tcBorders>
              <w:top w:val="nil"/>
              <w:left w:val="nil"/>
              <w:bottom w:val="single" w:sz="4" w:space="0" w:color="auto"/>
              <w:right w:val="single" w:sz="4" w:space="0" w:color="auto"/>
            </w:tcBorders>
            <w:shd w:val="clear" w:color="auto" w:fill="auto"/>
            <w:vAlign w:val="center"/>
            <w:hideMark/>
          </w:tcPr>
          <w:p w:rsidR="007306CA" w:rsidRDefault="00576025">
            <w:pPr>
              <w:spacing w:after="120"/>
              <w:rPr>
                <w:noProof/>
                <w:color w:val="000000"/>
                <w:sz w:val="18"/>
                <w:szCs w:val="18"/>
                <w:lang w:eastAsia="en-GB"/>
              </w:rPr>
            </w:pPr>
            <w:r>
              <w:rPr>
                <w:noProof/>
                <w:color w:val="000000"/>
                <w:sz w:val="18"/>
                <w:szCs w:val="18"/>
                <w:lang w:eastAsia="en-GB"/>
              </w:rPr>
              <w:t>+2</w:t>
            </w:r>
          </w:p>
        </w:tc>
        <w:tc>
          <w:tcPr>
            <w:tcW w:w="6521" w:type="dxa"/>
            <w:tcBorders>
              <w:top w:val="nil"/>
              <w:left w:val="nil"/>
              <w:bottom w:val="single" w:sz="4" w:space="0" w:color="auto"/>
              <w:right w:val="single" w:sz="4" w:space="0" w:color="auto"/>
            </w:tcBorders>
            <w:shd w:val="clear" w:color="000000" w:fill="FFFFFF"/>
            <w:vAlign w:val="center"/>
            <w:hideMark/>
          </w:tcPr>
          <w:p w:rsidR="007306CA" w:rsidRDefault="00576025">
            <w:pPr>
              <w:spacing w:after="120"/>
              <w:ind w:firstLine="113"/>
              <w:rPr>
                <w:noProof/>
                <w:color w:val="000000"/>
                <w:sz w:val="18"/>
                <w:szCs w:val="18"/>
                <w:lang w:eastAsia="en-GB"/>
              </w:rPr>
            </w:pPr>
            <w:r>
              <w:rPr>
                <w:noProof/>
                <w:color w:val="000000"/>
                <w:sz w:val="18"/>
                <w:szCs w:val="18"/>
                <w:lang w:eastAsia="en-GB"/>
              </w:rPr>
              <w:t xml:space="preserve">This option would significantly </w:t>
            </w:r>
            <w:r>
              <w:rPr>
                <w:b/>
                <w:noProof/>
                <w:color w:val="000000"/>
                <w:sz w:val="18"/>
                <w:szCs w:val="18"/>
                <w:lang w:eastAsia="en-GB"/>
              </w:rPr>
              <w:t>improve the Member States’ ability</w:t>
            </w:r>
            <w:r>
              <w:rPr>
                <w:noProof/>
                <w:color w:val="000000"/>
                <w:sz w:val="18"/>
                <w:szCs w:val="18"/>
                <w:lang w:eastAsia="en-GB"/>
              </w:rPr>
              <w:t xml:space="preserve"> to effectively and promptly respond to demands for HSW and </w:t>
            </w:r>
            <w:r>
              <w:rPr>
                <w:b/>
                <w:noProof/>
                <w:color w:val="000000"/>
                <w:sz w:val="18"/>
                <w:szCs w:val="18"/>
                <w:lang w:eastAsia="en-GB"/>
              </w:rPr>
              <w:t>address labour and skill shortages</w:t>
            </w:r>
            <w:r>
              <w:rPr>
                <w:noProof/>
                <w:color w:val="000000"/>
                <w:sz w:val="18"/>
                <w:szCs w:val="18"/>
                <w:lang w:eastAsia="en-GB"/>
              </w:rPr>
              <w:t>. By making the Blue Card accessible to a wider group of talent overa</w:t>
            </w:r>
            <w:r>
              <w:rPr>
                <w:noProof/>
                <w:color w:val="000000"/>
                <w:sz w:val="18"/>
                <w:szCs w:val="18"/>
                <w:lang w:eastAsia="en-GB"/>
              </w:rPr>
              <w:t xml:space="preserve">ll numbers of HSWs would increase and there is an </w:t>
            </w:r>
            <w:r>
              <w:rPr>
                <w:b/>
                <w:noProof/>
                <w:color w:val="000000"/>
                <w:sz w:val="18"/>
                <w:szCs w:val="18"/>
                <w:lang w:eastAsia="en-GB"/>
              </w:rPr>
              <w:t>increased retention of EU trained young talent</w:t>
            </w:r>
            <w:r>
              <w:rPr>
                <w:noProof/>
                <w:color w:val="000000"/>
                <w:sz w:val="18"/>
                <w:szCs w:val="18"/>
                <w:lang w:eastAsia="en-GB"/>
              </w:rPr>
              <w:t>. This would create a larger pool of HSW from which employers can draw to fill shortages.</w:t>
            </w:r>
          </w:p>
          <w:p w:rsidR="007306CA" w:rsidRDefault="00576025">
            <w:pPr>
              <w:spacing w:after="120"/>
              <w:ind w:firstLine="113"/>
              <w:rPr>
                <w:noProof/>
                <w:color w:val="000000"/>
                <w:sz w:val="18"/>
                <w:szCs w:val="18"/>
                <w:lang w:eastAsia="en-GB"/>
              </w:rPr>
            </w:pPr>
            <w:r>
              <w:rPr>
                <w:b/>
                <w:noProof/>
                <w:color w:val="000000"/>
                <w:sz w:val="18"/>
                <w:szCs w:val="18"/>
                <w:lang w:eastAsia="en-GB"/>
              </w:rPr>
              <w:t xml:space="preserve">More extensive intra-EU mobility </w:t>
            </w:r>
            <w:r>
              <w:rPr>
                <w:noProof/>
                <w:color w:val="000000"/>
                <w:sz w:val="18"/>
                <w:szCs w:val="18"/>
                <w:lang w:eastAsia="en-GB"/>
              </w:rPr>
              <w:t>possibilities would allow for an improved ability to flexibly circulate between Member States according to changed labour market circumstances and skill shortages. Full labour market access to highly skilled employment in the Member State concerned would a</w:t>
            </w:r>
            <w:r>
              <w:rPr>
                <w:noProof/>
                <w:color w:val="000000"/>
                <w:sz w:val="18"/>
                <w:szCs w:val="18"/>
                <w:lang w:eastAsia="en-GB"/>
              </w:rPr>
              <w:t xml:space="preserve">llow for a </w:t>
            </w:r>
            <w:r>
              <w:rPr>
                <w:b/>
                <w:noProof/>
                <w:color w:val="000000"/>
                <w:sz w:val="18"/>
                <w:szCs w:val="18"/>
                <w:lang w:eastAsia="en-GB"/>
              </w:rPr>
              <w:t>significant improvement in the occupational mobility of HSW</w:t>
            </w:r>
            <w:r>
              <w:rPr>
                <w:noProof/>
                <w:color w:val="000000"/>
                <w:sz w:val="18"/>
                <w:szCs w:val="18"/>
                <w:lang w:eastAsia="en-GB"/>
              </w:rPr>
              <w:t xml:space="preserve"> (currently limited for the first two years of legal employment). This would allow for a more efficient (re)allocation on the EU labour market.</w:t>
            </w:r>
          </w:p>
        </w:tc>
      </w:tr>
      <w:tr w:rsidR="007306CA">
        <w:trPr>
          <w:trHeight w:val="759"/>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7306CA" w:rsidRDefault="00576025">
            <w:pPr>
              <w:spacing w:after="120"/>
              <w:rPr>
                <w:noProof/>
                <w:color w:val="000000"/>
                <w:sz w:val="18"/>
                <w:szCs w:val="18"/>
                <w:lang w:eastAsia="en-GB"/>
              </w:rPr>
            </w:pPr>
            <w:r>
              <w:rPr>
                <w:noProof/>
                <w:color w:val="000000"/>
                <w:sz w:val="18"/>
                <w:szCs w:val="18"/>
                <w:lang w:eastAsia="en-GB"/>
              </w:rPr>
              <w:t xml:space="preserve">SO1: create a coherent, efficient and </w:t>
            </w:r>
            <w:r>
              <w:rPr>
                <w:noProof/>
                <w:color w:val="000000"/>
                <w:sz w:val="18"/>
                <w:szCs w:val="18"/>
                <w:lang w:eastAsia="en-GB"/>
              </w:rPr>
              <w:t>effective common immigration system for highly skilled TCNs</w:t>
            </w:r>
          </w:p>
        </w:tc>
        <w:tc>
          <w:tcPr>
            <w:tcW w:w="567" w:type="dxa"/>
            <w:tcBorders>
              <w:top w:val="nil"/>
              <w:left w:val="nil"/>
              <w:bottom w:val="single" w:sz="4" w:space="0" w:color="auto"/>
              <w:right w:val="single" w:sz="4" w:space="0" w:color="auto"/>
            </w:tcBorders>
            <w:shd w:val="clear" w:color="auto" w:fill="auto"/>
            <w:vAlign w:val="center"/>
            <w:hideMark/>
          </w:tcPr>
          <w:p w:rsidR="007306CA" w:rsidRDefault="00576025">
            <w:pPr>
              <w:spacing w:after="120"/>
              <w:rPr>
                <w:noProof/>
                <w:color w:val="000000"/>
                <w:sz w:val="18"/>
                <w:szCs w:val="18"/>
                <w:lang w:eastAsia="en-GB"/>
              </w:rPr>
            </w:pPr>
            <w:r>
              <w:rPr>
                <w:noProof/>
                <w:color w:val="000000"/>
                <w:sz w:val="18"/>
                <w:szCs w:val="18"/>
                <w:lang w:eastAsia="en-GB"/>
              </w:rPr>
              <w:t>+3</w:t>
            </w:r>
          </w:p>
        </w:tc>
        <w:tc>
          <w:tcPr>
            <w:tcW w:w="6521" w:type="dxa"/>
            <w:tcBorders>
              <w:top w:val="nil"/>
              <w:left w:val="nil"/>
              <w:bottom w:val="single" w:sz="4" w:space="0" w:color="auto"/>
              <w:right w:val="single" w:sz="4" w:space="0" w:color="auto"/>
            </w:tcBorders>
            <w:shd w:val="clear" w:color="000000" w:fill="FFFFFF"/>
            <w:vAlign w:val="center"/>
            <w:hideMark/>
          </w:tcPr>
          <w:p w:rsidR="007306CA" w:rsidRDefault="00576025">
            <w:pPr>
              <w:spacing w:after="120"/>
              <w:ind w:firstLine="113"/>
              <w:rPr>
                <w:noProof/>
                <w:color w:val="000000"/>
                <w:sz w:val="18"/>
                <w:szCs w:val="18"/>
                <w:lang w:eastAsia="en-GB"/>
              </w:rPr>
            </w:pPr>
            <w:r>
              <w:rPr>
                <w:noProof/>
                <w:color w:val="000000"/>
                <w:sz w:val="18"/>
                <w:szCs w:val="18"/>
                <w:lang w:eastAsia="en-GB"/>
              </w:rPr>
              <w:t xml:space="preserve">The effectiveness and coherence would be improved by </w:t>
            </w:r>
            <w:r>
              <w:rPr>
                <w:b/>
                <w:noProof/>
                <w:color w:val="000000"/>
                <w:sz w:val="18"/>
                <w:szCs w:val="18"/>
                <w:lang w:eastAsia="en-GB"/>
              </w:rPr>
              <w:t>further harmonising the HSW systems across the Member States</w:t>
            </w:r>
            <w:r>
              <w:rPr>
                <w:noProof/>
                <w:color w:val="000000"/>
                <w:sz w:val="18"/>
                <w:szCs w:val="18"/>
                <w:lang w:eastAsia="en-GB"/>
              </w:rPr>
              <w:t>, simplifying and streamlining the procedures in each Member State, decreasing t</w:t>
            </w:r>
            <w:r>
              <w:rPr>
                <w:noProof/>
                <w:color w:val="000000"/>
                <w:sz w:val="18"/>
                <w:szCs w:val="18"/>
                <w:lang w:eastAsia="en-GB"/>
              </w:rPr>
              <w:t xml:space="preserve">he processing time, allowing for simultaneous processing of family permits and introducing a system of recognised employers. There would be a significant gain in harmonisation through the elimination of national parallel schemes covering the same category </w:t>
            </w:r>
            <w:r>
              <w:rPr>
                <w:noProof/>
                <w:color w:val="000000"/>
                <w:sz w:val="18"/>
                <w:szCs w:val="18"/>
                <w:lang w:eastAsia="en-GB"/>
              </w:rPr>
              <w:t>of people while the substitution potential is very high.</w:t>
            </w:r>
          </w:p>
          <w:p w:rsidR="007306CA" w:rsidRDefault="00576025">
            <w:pPr>
              <w:spacing w:after="120"/>
              <w:ind w:firstLine="113"/>
              <w:rPr>
                <w:noProof/>
                <w:color w:val="000000"/>
                <w:sz w:val="18"/>
                <w:szCs w:val="18"/>
                <w:lang w:eastAsia="en-GB"/>
              </w:rPr>
            </w:pPr>
            <w:r>
              <w:rPr>
                <w:noProof/>
                <w:color w:val="000000"/>
                <w:sz w:val="18"/>
                <w:szCs w:val="18"/>
                <w:lang w:eastAsia="en-GB"/>
              </w:rPr>
              <w:t>Streamlining, simplifying and harmonising the EU’s schemes for HSW into a common scheme, while leaving a considerable flexibility to Member States to adapt entry conditions to their national labour m</w:t>
            </w:r>
            <w:r>
              <w:rPr>
                <w:noProof/>
                <w:color w:val="000000"/>
                <w:sz w:val="18"/>
                <w:szCs w:val="18"/>
                <w:lang w:eastAsia="en-GB"/>
              </w:rPr>
              <w:t>arkets, would significantly improve the clarity and efficiency of the migration management of HSW.</w:t>
            </w:r>
          </w:p>
        </w:tc>
      </w:tr>
      <w:tr w:rsidR="007306CA">
        <w:trPr>
          <w:trHeight w:val="300"/>
        </w:trPr>
        <w:tc>
          <w:tcPr>
            <w:tcW w:w="9924" w:type="dxa"/>
            <w:gridSpan w:val="3"/>
            <w:tcBorders>
              <w:top w:val="single" w:sz="4" w:space="0" w:color="auto"/>
              <w:left w:val="single" w:sz="4" w:space="0" w:color="auto"/>
              <w:bottom w:val="single" w:sz="4" w:space="0" w:color="auto"/>
              <w:right w:val="single" w:sz="4" w:space="0" w:color="auto"/>
            </w:tcBorders>
            <w:shd w:val="clear" w:color="000000" w:fill="C5D9F1"/>
            <w:vAlign w:val="center"/>
            <w:hideMark/>
          </w:tcPr>
          <w:p w:rsidR="007306CA" w:rsidRDefault="00576025">
            <w:pPr>
              <w:spacing w:after="0"/>
              <w:jc w:val="left"/>
              <w:rPr>
                <w:b/>
                <w:bCs/>
                <w:noProof/>
                <w:color w:val="000000"/>
                <w:sz w:val="18"/>
                <w:szCs w:val="18"/>
                <w:lang w:eastAsia="en-GB"/>
              </w:rPr>
            </w:pPr>
            <w:r>
              <w:rPr>
                <w:b/>
                <w:bCs/>
                <w:noProof/>
                <w:color w:val="000000"/>
                <w:sz w:val="18"/>
                <w:szCs w:val="18"/>
                <w:lang w:eastAsia="en-GB"/>
              </w:rPr>
              <w:t>Expected impacts</w:t>
            </w:r>
          </w:p>
        </w:tc>
      </w:tr>
      <w:tr w:rsidR="007306CA">
        <w:trPr>
          <w:trHeight w:val="300"/>
        </w:trPr>
        <w:tc>
          <w:tcPr>
            <w:tcW w:w="992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306CA" w:rsidRDefault="00576025">
            <w:pPr>
              <w:spacing w:after="0"/>
              <w:ind w:firstLine="113"/>
              <w:jc w:val="left"/>
              <w:rPr>
                <w:b/>
                <w:bCs/>
                <w:noProof/>
                <w:color w:val="000000"/>
                <w:sz w:val="18"/>
                <w:szCs w:val="18"/>
                <w:lang w:eastAsia="en-GB"/>
              </w:rPr>
            </w:pPr>
            <w:r>
              <w:rPr>
                <w:b/>
                <w:bCs/>
                <w:noProof/>
                <w:color w:val="000000"/>
                <w:sz w:val="18"/>
                <w:szCs w:val="18"/>
                <w:lang w:eastAsia="en-GB"/>
              </w:rPr>
              <w:t>Economic impacts</w:t>
            </w:r>
          </w:p>
        </w:tc>
      </w:tr>
      <w:tr w:rsidR="007306CA">
        <w:trPr>
          <w:trHeight w:val="2827"/>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7306CA" w:rsidRDefault="00576025">
            <w:pPr>
              <w:spacing w:after="0"/>
              <w:rPr>
                <w:noProof/>
                <w:color w:val="000000"/>
                <w:sz w:val="18"/>
                <w:szCs w:val="18"/>
                <w:lang w:eastAsia="en-GB"/>
              </w:rPr>
            </w:pPr>
            <w:r>
              <w:rPr>
                <w:noProof/>
                <w:color w:val="000000"/>
                <w:sz w:val="18"/>
                <w:szCs w:val="18"/>
                <w:lang w:eastAsia="en-GB"/>
              </w:rPr>
              <w:t>- Impact on growth and competitiveness</w:t>
            </w:r>
          </w:p>
        </w:tc>
        <w:tc>
          <w:tcPr>
            <w:tcW w:w="567" w:type="dxa"/>
            <w:tcBorders>
              <w:top w:val="nil"/>
              <w:left w:val="nil"/>
              <w:bottom w:val="single" w:sz="4" w:space="0" w:color="auto"/>
              <w:right w:val="single" w:sz="4" w:space="0" w:color="auto"/>
            </w:tcBorders>
            <w:shd w:val="clear" w:color="auto" w:fill="auto"/>
            <w:vAlign w:val="center"/>
            <w:hideMark/>
          </w:tcPr>
          <w:p w:rsidR="007306CA" w:rsidRDefault="00576025">
            <w:pPr>
              <w:spacing w:after="0"/>
              <w:rPr>
                <w:noProof/>
                <w:color w:val="000000"/>
                <w:sz w:val="18"/>
                <w:szCs w:val="18"/>
                <w:lang w:eastAsia="en-GB"/>
              </w:rPr>
            </w:pPr>
            <w:r>
              <w:rPr>
                <w:noProof/>
                <w:color w:val="000000"/>
                <w:sz w:val="18"/>
                <w:szCs w:val="18"/>
                <w:lang w:eastAsia="en-GB"/>
              </w:rPr>
              <w:t>+2</w:t>
            </w:r>
          </w:p>
        </w:tc>
        <w:tc>
          <w:tcPr>
            <w:tcW w:w="6521" w:type="dxa"/>
            <w:tcBorders>
              <w:top w:val="nil"/>
              <w:left w:val="nil"/>
              <w:bottom w:val="single" w:sz="4" w:space="0" w:color="auto"/>
              <w:right w:val="single" w:sz="4" w:space="0" w:color="auto"/>
            </w:tcBorders>
            <w:shd w:val="clear" w:color="auto" w:fill="auto"/>
            <w:vAlign w:val="center"/>
            <w:hideMark/>
          </w:tcPr>
          <w:p w:rsidR="007306CA" w:rsidRDefault="00576025">
            <w:pPr>
              <w:spacing w:after="120"/>
              <w:rPr>
                <w:b/>
                <w:bCs/>
                <w:noProof/>
                <w:color w:val="000000"/>
                <w:sz w:val="18"/>
                <w:szCs w:val="18"/>
                <w:lang w:eastAsia="en-GB"/>
              </w:rPr>
            </w:pPr>
            <w:r>
              <w:rPr>
                <w:b/>
                <w:bCs/>
                <w:noProof/>
                <w:color w:val="000000"/>
                <w:sz w:val="18"/>
                <w:szCs w:val="18"/>
                <w:lang w:eastAsia="en-GB"/>
              </w:rPr>
              <w:t>Estimated economic impact: min. € 1.4 billion to max. € 6.2 billion</w:t>
            </w:r>
          </w:p>
          <w:p w:rsidR="007306CA" w:rsidRDefault="00576025">
            <w:pPr>
              <w:spacing w:after="120"/>
              <w:ind w:firstLine="113"/>
              <w:rPr>
                <w:noProof/>
                <w:color w:val="000000"/>
                <w:sz w:val="18"/>
                <w:szCs w:val="18"/>
                <w:lang w:eastAsia="en-GB"/>
              </w:rPr>
            </w:pPr>
            <w:r>
              <w:rPr>
                <w:noProof/>
                <w:color w:val="000000"/>
                <w:sz w:val="18"/>
                <w:szCs w:val="18"/>
                <w:lang w:eastAsia="en-GB"/>
              </w:rPr>
              <w:t xml:space="preserve">A </w:t>
            </w:r>
            <w:r>
              <w:rPr>
                <w:b/>
                <w:noProof/>
                <w:color w:val="000000"/>
                <w:sz w:val="18"/>
                <w:szCs w:val="18"/>
                <w:lang w:eastAsia="en-GB"/>
              </w:rPr>
              <w:t>positive</w:t>
            </w:r>
            <w:r>
              <w:rPr>
                <w:b/>
                <w:noProof/>
                <w:color w:val="000000"/>
                <w:sz w:val="18"/>
                <w:szCs w:val="18"/>
                <w:lang w:eastAsia="en-GB"/>
              </w:rPr>
              <w:t xml:space="preserve"> economic impact</w:t>
            </w:r>
            <w:r>
              <w:rPr>
                <w:noProof/>
                <w:color w:val="000000"/>
                <w:sz w:val="18"/>
                <w:szCs w:val="18"/>
                <w:lang w:eastAsia="en-GB"/>
              </w:rPr>
              <w:t xml:space="preserve"> would accrue from additional HSW coming to and working within the EU. Overall higher numbers of admitted HSW, and an increased retention potential of young talent trained in the EU, would create a </w:t>
            </w:r>
            <w:r>
              <w:rPr>
                <w:b/>
                <w:noProof/>
                <w:color w:val="000000"/>
                <w:sz w:val="18"/>
                <w:szCs w:val="18"/>
                <w:lang w:eastAsia="en-GB"/>
              </w:rPr>
              <w:t>larger pool of HSW</w:t>
            </w:r>
            <w:r>
              <w:rPr>
                <w:noProof/>
                <w:color w:val="000000"/>
                <w:sz w:val="18"/>
                <w:szCs w:val="18"/>
                <w:lang w:eastAsia="en-GB"/>
              </w:rPr>
              <w:t xml:space="preserve"> from which employers ca</w:t>
            </w:r>
            <w:r>
              <w:rPr>
                <w:noProof/>
                <w:color w:val="000000"/>
                <w:sz w:val="18"/>
                <w:szCs w:val="18"/>
                <w:lang w:eastAsia="en-GB"/>
              </w:rPr>
              <w:t>n draw to fill shortages which would positively impact growth and the EU’s competitiveness.</w:t>
            </w:r>
          </w:p>
          <w:p w:rsidR="007306CA" w:rsidRDefault="00576025">
            <w:pPr>
              <w:spacing w:after="120"/>
              <w:ind w:firstLine="113"/>
              <w:rPr>
                <w:noProof/>
                <w:color w:val="000000"/>
                <w:sz w:val="18"/>
                <w:szCs w:val="18"/>
                <w:lang w:eastAsia="en-GB"/>
              </w:rPr>
            </w:pPr>
            <w:r>
              <w:rPr>
                <w:noProof/>
                <w:color w:val="000000"/>
                <w:sz w:val="18"/>
                <w:szCs w:val="18"/>
                <w:lang w:eastAsia="en-GB"/>
              </w:rPr>
              <w:t>Given that this scheme would be targeted at HSW, demand-driven and still be fairly selective, the displacement effect is expected to be low and thus not to have any</w:t>
            </w:r>
            <w:r>
              <w:rPr>
                <w:noProof/>
                <w:color w:val="000000"/>
                <w:sz w:val="18"/>
                <w:szCs w:val="18"/>
                <w:lang w:eastAsia="en-GB"/>
              </w:rPr>
              <w:t xml:space="preserve"> negative economic impact.</w:t>
            </w:r>
          </w:p>
          <w:p w:rsidR="007306CA" w:rsidRDefault="00576025">
            <w:pPr>
              <w:spacing w:after="120"/>
              <w:ind w:firstLine="113"/>
              <w:rPr>
                <w:noProof/>
                <w:color w:val="000000"/>
                <w:sz w:val="18"/>
                <w:szCs w:val="18"/>
                <w:lang w:eastAsia="en-GB"/>
              </w:rPr>
            </w:pPr>
            <w:r>
              <w:rPr>
                <w:noProof/>
                <w:color w:val="000000"/>
                <w:sz w:val="18"/>
                <w:szCs w:val="18"/>
                <w:lang w:eastAsia="en-GB"/>
              </w:rPr>
              <w:t xml:space="preserve">Facilitated access for young professionals with EU qualifications has the potential of making studying in the EU more attractive because of the increased possibility of securing employment afterwards. The fees and expenditure on </w:t>
            </w:r>
            <w:r>
              <w:rPr>
                <w:noProof/>
                <w:color w:val="000000"/>
                <w:sz w:val="18"/>
                <w:szCs w:val="18"/>
                <w:lang w:eastAsia="en-GB"/>
              </w:rPr>
              <w:t>living costs of students during their studies generate income to the EU.</w:t>
            </w:r>
          </w:p>
        </w:tc>
      </w:tr>
      <w:tr w:rsidR="007306CA">
        <w:trPr>
          <w:trHeight w:val="54"/>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7306CA" w:rsidRDefault="00576025">
            <w:pPr>
              <w:spacing w:after="0"/>
              <w:rPr>
                <w:noProof/>
                <w:color w:val="000000"/>
                <w:sz w:val="18"/>
                <w:szCs w:val="18"/>
                <w:lang w:eastAsia="en-GB"/>
              </w:rPr>
            </w:pPr>
            <w:r>
              <w:rPr>
                <w:noProof/>
                <w:color w:val="000000"/>
                <w:sz w:val="18"/>
                <w:szCs w:val="18"/>
                <w:lang w:eastAsia="en-GB"/>
              </w:rPr>
              <w:t>- Impact on SMEs</w:t>
            </w:r>
          </w:p>
        </w:tc>
        <w:tc>
          <w:tcPr>
            <w:tcW w:w="567" w:type="dxa"/>
            <w:tcBorders>
              <w:top w:val="nil"/>
              <w:left w:val="nil"/>
              <w:bottom w:val="single" w:sz="4" w:space="0" w:color="auto"/>
              <w:right w:val="single" w:sz="4" w:space="0" w:color="auto"/>
            </w:tcBorders>
            <w:shd w:val="clear" w:color="auto" w:fill="auto"/>
            <w:vAlign w:val="center"/>
            <w:hideMark/>
          </w:tcPr>
          <w:p w:rsidR="007306CA" w:rsidRDefault="00576025">
            <w:pPr>
              <w:spacing w:after="0"/>
              <w:rPr>
                <w:noProof/>
                <w:color w:val="000000"/>
                <w:sz w:val="18"/>
                <w:szCs w:val="18"/>
                <w:lang w:eastAsia="en-GB"/>
              </w:rPr>
            </w:pPr>
            <w:r>
              <w:rPr>
                <w:noProof/>
                <w:color w:val="000000"/>
                <w:sz w:val="18"/>
                <w:szCs w:val="18"/>
                <w:lang w:eastAsia="en-GB"/>
              </w:rPr>
              <w:t>+2</w:t>
            </w:r>
          </w:p>
        </w:tc>
        <w:tc>
          <w:tcPr>
            <w:tcW w:w="6521" w:type="dxa"/>
            <w:tcBorders>
              <w:top w:val="nil"/>
              <w:left w:val="nil"/>
              <w:bottom w:val="single" w:sz="4" w:space="0" w:color="auto"/>
              <w:right w:val="single" w:sz="4" w:space="0" w:color="auto"/>
            </w:tcBorders>
            <w:shd w:val="clear" w:color="auto" w:fill="auto"/>
            <w:vAlign w:val="center"/>
            <w:hideMark/>
          </w:tcPr>
          <w:p w:rsidR="007306CA" w:rsidRDefault="00576025">
            <w:pPr>
              <w:spacing w:after="120"/>
              <w:ind w:firstLine="113"/>
              <w:rPr>
                <w:noProof/>
                <w:color w:val="000000"/>
                <w:sz w:val="18"/>
                <w:szCs w:val="18"/>
                <w:lang w:eastAsia="en-GB"/>
              </w:rPr>
            </w:pPr>
            <w:r>
              <w:rPr>
                <w:noProof/>
                <w:color w:val="000000"/>
                <w:sz w:val="18"/>
                <w:szCs w:val="18"/>
                <w:lang w:eastAsia="en-GB"/>
              </w:rPr>
              <w:t xml:space="preserve">This policy option would facilitate and </w:t>
            </w:r>
            <w:r>
              <w:rPr>
                <w:b/>
                <w:noProof/>
                <w:color w:val="000000"/>
                <w:sz w:val="18"/>
                <w:szCs w:val="18"/>
                <w:lang w:eastAsia="en-GB"/>
              </w:rPr>
              <w:t>lower the cost of recruitment of HSW for SMEs</w:t>
            </w:r>
            <w:r>
              <w:rPr>
                <w:noProof/>
                <w:color w:val="000000"/>
                <w:sz w:val="18"/>
                <w:szCs w:val="18"/>
                <w:lang w:eastAsia="en-GB"/>
              </w:rPr>
              <w:t xml:space="preserve">. Notably, a lower general threshold, the lower threshold for filling shortage occupations, and the possibility of a shorter contract (e.g. for a trial period) would make it easier for SMEs to fill labour shortages and boost their growth perspectives. </w:t>
            </w:r>
          </w:p>
          <w:p w:rsidR="007306CA" w:rsidRDefault="00576025">
            <w:pPr>
              <w:spacing w:after="120"/>
              <w:ind w:firstLine="113"/>
              <w:rPr>
                <w:noProof/>
                <w:color w:val="000000"/>
                <w:sz w:val="18"/>
                <w:szCs w:val="18"/>
                <w:lang w:eastAsia="en-GB"/>
              </w:rPr>
            </w:pPr>
            <w:r>
              <w:rPr>
                <w:noProof/>
                <w:color w:val="000000"/>
                <w:sz w:val="18"/>
                <w:szCs w:val="18"/>
                <w:lang w:eastAsia="en-GB"/>
              </w:rPr>
              <w:t xml:space="preserve">In </w:t>
            </w:r>
            <w:r>
              <w:rPr>
                <w:noProof/>
                <w:color w:val="000000"/>
                <w:sz w:val="18"/>
                <w:szCs w:val="18"/>
                <w:lang w:eastAsia="en-GB"/>
              </w:rPr>
              <w:t xml:space="preserve">addition, a larger pool of HSW in the EU with increased possibilities for occupational mobility between jobs and </w:t>
            </w:r>
            <w:r>
              <w:rPr>
                <w:b/>
                <w:noProof/>
                <w:color w:val="000000"/>
                <w:sz w:val="18"/>
                <w:szCs w:val="18"/>
                <w:lang w:eastAsia="en-GB"/>
              </w:rPr>
              <w:t>intra-EU mobility would benefit SMEs</w:t>
            </w:r>
            <w:r>
              <w:rPr>
                <w:noProof/>
                <w:color w:val="000000"/>
                <w:sz w:val="18"/>
                <w:szCs w:val="18"/>
                <w:lang w:eastAsia="en-GB"/>
              </w:rPr>
              <w:t xml:space="preserve"> as they would have access to a larger highly skilled labour force already in the EU. This would offset SME</w:t>
            </w:r>
            <w:r>
              <w:rPr>
                <w:noProof/>
                <w:color w:val="000000"/>
                <w:sz w:val="18"/>
                <w:szCs w:val="18"/>
                <w:lang w:eastAsia="en-GB"/>
              </w:rPr>
              <w:t>’s challenges in recruiting from third countries compared to larger companies because SMEs cannot benefit from the same economies of scale, access to information and intermediary services. For SMEs ‘one off’ recruitment costs are proportionally higher than</w:t>
            </w:r>
            <w:r>
              <w:rPr>
                <w:noProof/>
                <w:color w:val="000000"/>
                <w:sz w:val="18"/>
                <w:szCs w:val="18"/>
                <w:lang w:eastAsia="en-GB"/>
              </w:rPr>
              <w:t xml:space="preserve"> for larger companies and the risks are higher. </w:t>
            </w:r>
          </w:p>
          <w:p w:rsidR="007306CA" w:rsidRDefault="00576025">
            <w:pPr>
              <w:spacing w:after="120"/>
              <w:ind w:firstLine="113"/>
              <w:rPr>
                <w:noProof/>
                <w:color w:val="000000"/>
                <w:sz w:val="18"/>
                <w:szCs w:val="18"/>
                <w:lang w:eastAsia="en-GB"/>
              </w:rPr>
            </w:pPr>
            <w:r>
              <w:rPr>
                <w:noProof/>
                <w:color w:val="000000"/>
                <w:sz w:val="18"/>
                <w:szCs w:val="18"/>
                <w:lang w:eastAsia="en-GB"/>
              </w:rPr>
              <w:t>A "</w:t>
            </w:r>
            <w:r>
              <w:rPr>
                <w:b/>
                <w:noProof/>
                <w:color w:val="000000"/>
                <w:sz w:val="18"/>
                <w:szCs w:val="18"/>
                <w:lang w:eastAsia="en-GB"/>
              </w:rPr>
              <w:t>trusted employer scheme</w:t>
            </w:r>
            <w:r>
              <w:rPr>
                <w:noProof/>
                <w:color w:val="000000"/>
                <w:sz w:val="18"/>
                <w:szCs w:val="18"/>
                <w:lang w:eastAsia="en-GB"/>
              </w:rPr>
              <w:t>" would in principle be more favourable to large companies than to SMEs. However, SMEs are very diverse and many EU medium-sized companies (50-250 employees) already operate interna</w:t>
            </w:r>
            <w:r>
              <w:rPr>
                <w:noProof/>
                <w:color w:val="000000"/>
                <w:sz w:val="18"/>
                <w:szCs w:val="18"/>
                <w:lang w:eastAsia="en-GB"/>
              </w:rPr>
              <w:t>tionally. These should not have difficulties in becoming trusted employers if they regularly recruit abroad and the normal Blue Card procedure would still remain available to SMEs.</w:t>
            </w:r>
          </w:p>
        </w:tc>
      </w:tr>
      <w:tr w:rsidR="007306CA">
        <w:trPr>
          <w:trHeight w:val="74"/>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7306CA" w:rsidRDefault="00576025">
            <w:pPr>
              <w:spacing w:after="0"/>
              <w:rPr>
                <w:noProof/>
                <w:color w:val="000000"/>
                <w:sz w:val="18"/>
                <w:szCs w:val="18"/>
                <w:lang w:eastAsia="en-GB"/>
              </w:rPr>
            </w:pPr>
            <w:r>
              <w:rPr>
                <w:noProof/>
                <w:color w:val="000000"/>
                <w:sz w:val="18"/>
                <w:szCs w:val="18"/>
                <w:lang w:eastAsia="en-GB"/>
              </w:rPr>
              <w:t xml:space="preserve">- Impact on innovation and research </w:t>
            </w:r>
          </w:p>
        </w:tc>
        <w:tc>
          <w:tcPr>
            <w:tcW w:w="567" w:type="dxa"/>
            <w:tcBorders>
              <w:top w:val="nil"/>
              <w:left w:val="nil"/>
              <w:bottom w:val="single" w:sz="4" w:space="0" w:color="auto"/>
              <w:right w:val="single" w:sz="4" w:space="0" w:color="auto"/>
            </w:tcBorders>
            <w:shd w:val="clear" w:color="auto" w:fill="auto"/>
            <w:vAlign w:val="center"/>
            <w:hideMark/>
          </w:tcPr>
          <w:p w:rsidR="007306CA" w:rsidRDefault="00576025">
            <w:pPr>
              <w:spacing w:after="0"/>
              <w:rPr>
                <w:noProof/>
                <w:color w:val="000000"/>
                <w:sz w:val="18"/>
                <w:szCs w:val="18"/>
                <w:lang w:eastAsia="en-GB"/>
              </w:rPr>
            </w:pPr>
            <w:r>
              <w:rPr>
                <w:noProof/>
                <w:color w:val="000000"/>
                <w:sz w:val="18"/>
                <w:szCs w:val="18"/>
                <w:lang w:eastAsia="en-GB"/>
              </w:rPr>
              <w:t>+2</w:t>
            </w:r>
          </w:p>
        </w:tc>
        <w:tc>
          <w:tcPr>
            <w:tcW w:w="6521" w:type="dxa"/>
            <w:tcBorders>
              <w:top w:val="nil"/>
              <w:left w:val="nil"/>
              <w:bottom w:val="single" w:sz="4" w:space="0" w:color="auto"/>
              <w:right w:val="single" w:sz="4" w:space="0" w:color="auto"/>
            </w:tcBorders>
            <w:shd w:val="clear" w:color="auto" w:fill="auto"/>
            <w:vAlign w:val="center"/>
            <w:hideMark/>
          </w:tcPr>
          <w:p w:rsidR="007306CA" w:rsidRDefault="00576025">
            <w:pPr>
              <w:spacing w:after="120"/>
              <w:ind w:firstLine="113"/>
              <w:rPr>
                <w:noProof/>
                <w:color w:val="000000"/>
                <w:sz w:val="18"/>
                <w:szCs w:val="18"/>
                <w:lang w:eastAsia="en-GB"/>
              </w:rPr>
            </w:pPr>
            <w:r>
              <w:rPr>
                <w:noProof/>
                <w:sz w:val="18"/>
                <w:szCs w:val="18"/>
              </w:rPr>
              <w:t xml:space="preserve">Increased numbers of HSW would have a </w:t>
            </w:r>
            <w:r>
              <w:rPr>
                <w:b/>
                <w:noProof/>
                <w:sz w:val="18"/>
                <w:szCs w:val="18"/>
              </w:rPr>
              <w:t>positive impact</w:t>
            </w:r>
            <w:r>
              <w:rPr>
                <w:noProof/>
                <w:sz w:val="18"/>
                <w:szCs w:val="18"/>
              </w:rPr>
              <w:t xml:space="preserve"> on the capacity of companies to conduct R&amp;D and would benefit the </w:t>
            </w:r>
            <w:r>
              <w:rPr>
                <w:b/>
                <w:noProof/>
                <w:sz w:val="18"/>
                <w:szCs w:val="18"/>
              </w:rPr>
              <w:t xml:space="preserve">EU’s overall capacity for innovation and research </w:t>
            </w:r>
            <w:r>
              <w:rPr>
                <w:noProof/>
                <w:sz w:val="18"/>
                <w:szCs w:val="18"/>
              </w:rPr>
              <w:t>(</w:t>
            </w:r>
            <w:r>
              <w:rPr>
                <w:i/>
                <w:noProof/>
                <w:sz w:val="18"/>
                <w:szCs w:val="18"/>
              </w:rPr>
              <w:t>see Annexes 10 and 14 for more details</w:t>
            </w:r>
            <w:r>
              <w:rPr>
                <w:noProof/>
                <w:sz w:val="18"/>
                <w:szCs w:val="18"/>
              </w:rPr>
              <w:t xml:space="preserve">). </w:t>
            </w:r>
            <w:r>
              <w:rPr>
                <w:noProof/>
                <w:color w:val="000000"/>
                <w:sz w:val="18"/>
                <w:szCs w:val="18"/>
                <w:lang w:eastAsia="en-GB"/>
              </w:rPr>
              <w:t xml:space="preserve">Especially for companies in highly innovative sectors the capacity for recruiting HSW would increase, especially for recent graduates with an EU degree in much-in-demand STEM fields. </w:t>
            </w:r>
            <w:r>
              <w:rPr>
                <w:noProof/>
                <w:sz w:val="18"/>
                <w:szCs w:val="18"/>
              </w:rPr>
              <w:t>This would increase their capacity for innovation and entrepreneurship. A</w:t>
            </w:r>
            <w:r>
              <w:rPr>
                <w:noProof/>
                <w:sz w:val="18"/>
                <w:szCs w:val="18"/>
              </w:rPr>
              <w:t>lso, research suggests that HSW have a small yet positive net effect on innovation in receiving countries due to increased workforce diversity. Various studies indicate a positive contribution of HSW to technological development in host countries, exceptio</w:t>
            </w:r>
            <w:r>
              <w:rPr>
                <w:noProof/>
                <w:sz w:val="18"/>
                <w:szCs w:val="18"/>
              </w:rPr>
              <w:t xml:space="preserve">nal scientific contributions, and the innovative performance of European regions. </w:t>
            </w:r>
            <w:r>
              <w:rPr>
                <w:iCs/>
                <w:noProof/>
                <w:color w:val="000000" w:themeColor="text1"/>
                <w:sz w:val="18"/>
                <w:szCs w:val="18"/>
              </w:rPr>
              <w:t xml:space="preserve">Allowing </w:t>
            </w:r>
            <w:r>
              <w:rPr>
                <w:b/>
                <w:iCs/>
                <w:noProof/>
                <w:color w:val="000000" w:themeColor="text1"/>
                <w:sz w:val="18"/>
                <w:szCs w:val="18"/>
              </w:rPr>
              <w:t xml:space="preserve">entrepreneurial activities on the side </w:t>
            </w:r>
            <w:r>
              <w:rPr>
                <w:iCs/>
                <w:noProof/>
                <w:color w:val="000000" w:themeColor="text1"/>
                <w:sz w:val="18"/>
                <w:szCs w:val="18"/>
              </w:rPr>
              <w:t xml:space="preserve">in the own time while being employed in a Blue Card job would send a message of </w:t>
            </w:r>
            <w:r>
              <w:rPr>
                <w:b/>
                <w:iCs/>
                <w:noProof/>
                <w:color w:val="000000" w:themeColor="text1"/>
                <w:sz w:val="18"/>
                <w:szCs w:val="18"/>
              </w:rPr>
              <w:t>favouring entrepreneurial spirit and innovatio</w:t>
            </w:r>
            <w:r>
              <w:rPr>
                <w:b/>
                <w:iCs/>
                <w:noProof/>
                <w:color w:val="000000" w:themeColor="text1"/>
                <w:sz w:val="18"/>
                <w:szCs w:val="18"/>
              </w:rPr>
              <w:t>n</w:t>
            </w:r>
            <w:r>
              <w:rPr>
                <w:iCs/>
                <w:noProof/>
                <w:color w:val="000000" w:themeColor="text1"/>
                <w:sz w:val="18"/>
                <w:szCs w:val="18"/>
              </w:rPr>
              <w:t>. It would lower the risk and uncertainty of entrepreneurial activity, increase entrepreneurial entry and survival by lowering the risk of business failure.</w:t>
            </w:r>
          </w:p>
        </w:tc>
      </w:tr>
      <w:tr w:rsidR="007306CA">
        <w:trPr>
          <w:trHeight w:val="300"/>
        </w:trPr>
        <w:tc>
          <w:tcPr>
            <w:tcW w:w="992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306CA" w:rsidRDefault="00576025">
            <w:pPr>
              <w:spacing w:after="0"/>
              <w:jc w:val="left"/>
              <w:rPr>
                <w:b/>
                <w:bCs/>
                <w:noProof/>
                <w:color w:val="000000"/>
                <w:sz w:val="18"/>
                <w:szCs w:val="18"/>
                <w:lang w:eastAsia="en-GB"/>
              </w:rPr>
            </w:pPr>
            <w:r>
              <w:rPr>
                <w:b/>
                <w:bCs/>
                <w:noProof/>
                <w:color w:val="000000"/>
                <w:sz w:val="18"/>
                <w:szCs w:val="18"/>
                <w:lang w:eastAsia="en-GB"/>
              </w:rPr>
              <w:t>Social impacts</w:t>
            </w:r>
          </w:p>
        </w:tc>
      </w:tr>
      <w:tr w:rsidR="007306CA">
        <w:trPr>
          <w:trHeight w:val="58"/>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7306CA" w:rsidRDefault="00576025">
            <w:pPr>
              <w:spacing w:after="120"/>
              <w:rPr>
                <w:rFonts w:ascii="Cambria" w:hAnsi="Cambria" w:cs="Calibri"/>
                <w:noProof/>
                <w:color w:val="000000"/>
                <w:sz w:val="18"/>
                <w:szCs w:val="18"/>
                <w:lang w:eastAsia="en-GB"/>
              </w:rPr>
            </w:pPr>
            <w:r>
              <w:rPr>
                <w:rFonts w:ascii="Cambria" w:hAnsi="Cambria" w:cs="Calibri"/>
                <w:noProof/>
                <w:color w:val="000000"/>
                <w:sz w:val="18"/>
                <w:szCs w:val="18"/>
                <w:lang w:eastAsia="en-GB"/>
              </w:rPr>
              <w:t>-</w:t>
            </w:r>
            <w:r>
              <w:rPr>
                <w:noProof/>
                <w:color w:val="000000"/>
                <w:sz w:val="14"/>
                <w:szCs w:val="14"/>
                <w:lang w:eastAsia="en-GB"/>
              </w:rPr>
              <w:t> </w:t>
            </w:r>
            <w:r>
              <w:rPr>
                <w:noProof/>
                <w:color w:val="000000"/>
                <w:sz w:val="18"/>
                <w:szCs w:val="18"/>
                <w:lang w:eastAsia="en-GB"/>
              </w:rPr>
              <w:t>Impact on EU citizens</w:t>
            </w:r>
          </w:p>
        </w:tc>
        <w:tc>
          <w:tcPr>
            <w:tcW w:w="567" w:type="dxa"/>
            <w:tcBorders>
              <w:top w:val="nil"/>
              <w:left w:val="nil"/>
              <w:bottom w:val="single" w:sz="4" w:space="0" w:color="auto"/>
              <w:right w:val="single" w:sz="4" w:space="0" w:color="auto"/>
            </w:tcBorders>
            <w:shd w:val="clear" w:color="auto" w:fill="auto"/>
            <w:vAlign w:val="center"/>
            <w:hideMark/>
          </w:tcPr>
          <w:p w:rsidR="007306CA" w:rsidRDefault="00576025">
            <w:pPr>
              <w:spacing w:after="120"/>
              <w:rPr>
                <w:noProof/>
                <w:color w:val="000000"/>
                <w:sz w:val="18"/>
                <w:szCs w:val="18"/>
                <w:lang w:eastAsia="en-GB"/>
              </w:rPr>
            </w:pPr>
            <w:r>
              <w:rPr>
                <w:noProof/>
                <w:color w:val="000000"/>
                <w:sz w:val="18"/>
                <w:szCs w:val="18"/>
                <w:lang w:eastAsia="en-GB"/>
              </w:rPr>
              <w:t>+2</w:t>
            </w:r>
          </w:p>
        </w:tc>
        <w:tc>
          <w:tcPr>
            <w:tcW w:w="6521" w:type="dxa"/>
            <w:tcBorders>
              <w:top w:val="nil"/>
              <w:left w:val="nil"/>
              <w:bottom w:val="single" w:sz="4" w:space="0" w:color="auto"/>
              <w:right w:val="single" w:sz="4" w:space="0" w:color="auto"/>
            </w:tcBorders>
            <w:shd w:val="clear" w:color="auto" w:fill="auto"/>
            <w:vAlign w:val="center"/>
            <w:hideMark/>
          </w:tcPr>
          <w:p w:rsidR="007306CA" w:rsidRDefault="00576025">
            <w:pPr>
              <w:spacing w:after="120"/>
              <w:ind w:firstLine="113"/>
              <w:rPr>
                <w:noProof/>
                <w:color w:val="000000"/>
                <w:sz w:val="18"/>
                <w:szCs w:val="18"/>
                <w:lang w:eastAsia="en-GB"/>
              </w:rPr>
            </w:pPr>
            <w:r>
              <w:rPr>
                <w:noProof/>
                <w:color w:val="000000"/>
                <w:sz w:val="18"/>
                <w:szCs w:val="18"/>
                <w:lang w:eastAsia="en-GB"/>
              </w:rPr>
              <w:t xml:space="preserve">More flexible admission conditions would open the Blue Card to higher numbers of HSW. </w:t>
            </w:r>
            <w:r>
              <w:rPr>
                <w:b/>
                <w:noProof/>
                <w:color w:val="000000"/>
                <w:sz w:val="18"/>
                <w:szCs w:val="18"/>
                <w:lang w:eastAsia="en-GB"/>
              </w:rPr>
              <w:t>EU citizens</w:t>
            </w:r>
            <w:r>
              <w:rPr>
                <w:noProof/>
                <w:color w:val="000000"/>
                <w:sz w:val="18"/>
                <w:szCs w:val="18"/>
                <w:lang w:eastAsia="en-GB"/>
              </w:rPr>
              <w:t xml:space="preserve"> would benefit from the </w:t>
            </w:r>
            <w:r>
              <w:rPr>
                <w:b/>
                <w:noProof/>
                <w:color w:val="000000"/>
                <w:sz w:val="18"/>
                <w:szCs w:val="18"/>
                <w:lang w:eastAsia="en-GB"/>
              </w:rPr>
              <w:t>positive impact on overall economic growth</w:t>
            </w:r>
            <w:r>
              <w:rPr>
                <w:noProof/>
                <w:color w:val="000000"/>
                <w:sz w:val="18"/>
                <w:szCs w:val="18"/>
                <w:lang w:eastAsia="en-GB"/>
              </w:rPr>
              <w:t xml:space="preserve"> through filling labour and skills shortages, which may indirectly contribute to reinforcing knowledge-based economy and job creation in the EU.</w:t>
            </w:r>
          </w:p>
          <w:p w:rsidR="007306CA" w:rsidRDefault="00576025">
            <w:pPr>
              <w:spacing w:after="120"/>
              <w:ind w:firstLine="113"/>
              <w:rPr>
                <w:noProof/>
                <w:color w:val="000000"/>
                <w:sz w:val="18"/>
                <w:szCs w:val="18"/>
                <w:lang w:eastAsia="en-GB"/>
              </w:rPr>
            </w:pPr>
            <w:r>
              <w:rPr>
                <w:noProof/>
                <w:color w:val="000000"/>
                <w:sz w:val="18"/>
                <w:szCs w:val="18"/>
                <w:lang w:eastAsia="en-GB"/>
              </w:rPr>
              <w:t xml:space="preserve">The economic impact could be slightly reduced if there were displacement of EU workers. However, given that this scheme would be targeted at HSW, demand-driven, still fairly selective, and that appropriate safeguards are built in, the </w:t>
            </w:r>
            <w:r>
              <w:rPr>
                <w:b/>
                <w:noProof/>
                <w:color w:val="000000"/>
                <w:sz w:val="18"/>
                <w:szCs w:val="18"/>
                <w:lang w:eastAsia="en-GB"/>
              </w:rPr>
              <w:t>potential displacemen</w:t>
            </w:r>
            <w:r>
              <w:rPr>
                <w:b/>
                <w:noProof/>
                <w:color w:val="000000"/>
                <w:sz w:val="18"/>
                <w:szCs w:val="18"/>
                <w:lang w:eastAsia="en-GB"/>
              </w:rPr>
              <w:t>t effect on EU workers is expected to be limited</w:t>
            </w:r>
            <w:r>
              <w:rPr>
                <w:noProof/>
                <w:color w:val="000000"/>
                <w:sz w:val="18"/>
                <w:szCs w:val="18"/>
                <w:lang w:eastAsia="en-GB"/>
              </w:rPr>
              <w:t>.</w:t>
            </w:r>
          </w:p>
          <w:p w:rsidR="007306CA" w:rsidRDefault="00576025">
            <w:pPr>
              <w:spacing w:after="120"/>
              <w:ind w:firstLine="113"/>
              <w:rPr>
                <w:noProof/>
                <w:color w:val="000000"/>
                <w:sz w:val="18"/>
                <w:szCs w:val="18"/>
                <w:lang w:eastAsia="en-GB"/>
              </w:rPr>
            </w:pPr>
            <w:r>
              <w:rPr>
                <w:noProof/>
                <w:color w:val="000000"/>
                <w:sz w:val="18"/>
                <w:szCs w:val="18"/>
                <w:lang w:eastAsia="en-GB"/>
              </w:rPr>
              <w:t xml:space="preserve">This option grants </w:t>
            </w:r>
            <w:r>
              <w:rPr>
                <w:b/>
                <w:noProof/>
                <w:color w:val="000000"/>
                <w:sz w:val="18"/>
                <w:szCs w:val="18"/>
                <w:lang w:eastAsia="en-GB"/>
              </w:rPr>
              <w:t>additional rights to TCN workers</w:t>
            </w:r>
            <w:r>
              <w:rPr>
                <w:noProof/>
                <w:color w:val="000000"/>
                <w:sz w:val="18"/>
                <w:szCs w:val="18"/>
                <w:lang w:eastAsia="en-GB"/>
              </w:rPr>
              <w:t xml:space="preserve"> but would not place TCN workers in a more favourable position than EU workers.</w:t>
            </w:r>
          </w:p>
        </w:tc>
      </w:tr>
      <w:tr w:rsidR="007306CA">
        <w:trPr>
          <w:trHeight w:val="2328"/>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7306CA" w:rsidRDefault="00576025">
            <w:pPr>
              <w:spacing w:after="120"/>
              <w:rPr>
                <w:noProof/>
                <w:color w:val="000000"/>
                <w:sz w:val="18"/>
                <w:szCs w:val="18"/>
                <w:lang w:eastAsia="en-GB"/>
              </w:rPr>
            </w:pPr>
            <w:r>
              <w:rPr>
                <w:noProof/>
                <w:color w:val="000000"/>
                <w:sz w:val="18"/>
                <w:szCs w:val="18"/>
                <w:lang w:eastAsia="en-GB"/>
              </w:rPr>
              <w:t>- Impact on third country national HSW</w:t>
            </w:r>
          </w:p>
          <w:p w:rsidR="007306CA" w:rsidRDefault="007306CA">
            <w:pPr>
              <w:spacing w:after="120"/>
              <w:rPr>
                <w:noProof/>
                <w:color w:val="000000"/>
                <w:sz w:val="18"/>
                <w:szCs w:val="18"/>
                <w:lang w:eastAsia="en-GB"/>
              </w:rPr>
            </w:pPr>
          </w:p>
          <w:p w:rsidR="007306CA" w:rsidRDefault="00576025">
            <w:pPr>
              <w:spacing w:after="120"/>
              <w:rPr>
                <w:noProof/>
                <w:color w:val="000000"/>
                <w:sz w:val="18"/>
                <w:szCs w:val="18"/>
                <w:lang w:eastAsia="en-GB"/>
              </w:rPr>
            </w:pPr>
            <w:r>
              <w:rPr>
                <w:noProof/>
                <w:color w:val="000000"/>
                <w:sz w:val="18"/>
                <w:szCs w:val="18"/>
                <w:lang w:eastAsia="en-GB"/>
              </w:rPr>
              <w:t>- Impact on fundamental rights (Ch</w:t>
            </w:r>
            <w:r>
              <w:rPr>
                <w:noProof/>
                <w:color w:val="000000"/>
                <w:sz w:val="18"/>
                <w:szCs w:val="18"/>
                <w:lang w:eastAsia="en-GB"/>
              </w:rPr>
              <w:t>arter: art. 7, private and family life; art. 45(2), freedom of movement and of residence)</w:t>
            </w:r>
          </w:p>
        </w:tc>
        <w:tc>
          <w:tcPr>
            <w:tcW w:w="567" w:type="dxa"/>
            <w:tcBorders>
              <w:top w:val="nil"/>
              <w:left w:val="nil"/>
              <w:bottom w:val="single" w:sz="4" w:space="0" w:color="auto"/>
              <w:right w:val="single" w:sz="4" w:space="0" w:color="auto"/>
            </w:tcBorders>
            <w:shd w:val="clear" w:color="auto" w:fill="auto"/>
            <w:vAlign w:val="center"/>
            <w:hideMark/>
          </w:tcPr>
          <w:p w:rsidR="007306CA" w:rsidRDefault="00576025">
            <w:pPr>
              <w:spacing w:after="120"/>
              <w:rPr>
                <w:noProof/>
                <w:color w:val="000000"/>
                <w:sz w:val="18"/>
                <w:szCs w:val="18"/>
                <w:lang w:eastAsia="en-GB"/>
              </w:rPr>
            </w:pPr>
            <w:r>
              <w:rPr>
                <w:noProof/>
                <w:color w:val="000000"/>
                <w:sz w:val="18"/>
                <w:szCs w:val="18"/>
                <w:lang w:eastAsia="en-GB"/>
              </w:rPr>
              <w:t>+2</w:t>
            </w:r>
          </w:p>
        </w:tc>
        <w:tc>
          <w:tcPr>
            <w:tcW w:w="6521" w:type="dxa"/>
            <w:tcBorders>
              <w:top w:val="nil"/>
              <w:left w:val="nil"/>
              <w:bottom w:val="single" w:sz="4" w:space="0" w:color="auto"/>
              <w:right w:val="single" w:sz="4" w:space="0" w:color="auto"/>
            </w:tcBorders>
            <w:shd w:val="clear" w:color="auto" w:fill="auto"/>
            <w:vAlign w:val="center"/>
            <w:hideMark/>
          </w:tcPr>
          <w:p w:rsidR="007306CA" w:rsidRDefault="00576025">
            <w:pPr>
              <w:spacing w:after="120"/>
              <w:ind w:firstLine="113"/>
              <w:rPr>
                <w:noProof/>
                <w:color w:val="000000"/>
                <w:sz w:val="18"/>
                <w:szCs w:val="18"/>
                <w:lang w:eastAsia="en-GB"/>
              </w:rPr>
            </w:pPr>
            <w:r>
              <w:rPr>
                <w:noProof/>
                <w:color w:val="000000"/>
                <w:sz w:val="18"/>
                <w:szCs w:val="18"/>
                <w:lang w:eastAsia="en-GB"/>
              </w:rPr>
              <w:t xml:space="preserve">A more accessible Blue Card would </w:t>
            </w:r>
            <w:r>
              <w:rPr>
                <w:b/>
                <w:noProof/>
                <w:color w:val="000000"/>
                <w:sz w:val="18"/>
                <w:szCs w:val="18"/>
                <w:lang w:eastAsia="en-GB"/>
              </w:rPr>
              <w:t>reach and create benefits for more HSW</w:t>
            </w:r>
            <w:r>
              <w:rPr>
                <w:noProof/>
                <w:color w:val="000000"/>
                <w:sz w:val="18"/>
                <w:szCs w:val="18"/>
                <w:lang w:eastAsia="en-GB"/>
              </w:rPr>
              <w:t xml:space="preserve"> in quantitative terms because of improved career opportunities as their possibilities to b</w:t>
            </w:r>
            <w:r>
              <w:rPr>
                <w:noProof/>
                <w:color w:val="000000"/>
                <w:sz w:val="18"/>
                <w:szCs w:val="18"/>
                <w:lang w:eastAsia="en-GB"/>
              </w:rPr>
              <w:t xml:space="preserve">e admitted to the EU would increase and facilitated mobility across the EU in accordance with the changing needs of the EU labour market. The potential relative growth of numbers in HSW would be noticeable, but would not be major in absolute terms, as </w:t>
            </w:r>
            <w:r>
              <w:rPr>
                <w:b/>
                <w:noProof/>
                <w:color w:val="000000"/>
                <w:sz w:val="18"/>
                <w:szCs w:val="18"/>
                <w:lang w:eastAsia="en-GB"/>
              </w:rPr>
              <w:t xml:space="preserve">the </w:t>
            </w:r>
            <w:r>
              <w:rPr>
                <w:b/>
                <w:noProof/>
                <w:color w:val="000000"/>
                <w:sz w:val="18"/>
                <w:szCs w:val="18"/>
                <w:lang w:eastAsia="en-GB"/>
              </w:rPr>
              <w:t>Blue Card would remain demand-driven and selective</w:t>
            </w:r>
            <w:r>
              <w:rPr>
                <w:noProof/>
                <w:color w:val="000000"/>
                <w:sz w:val="18"/>
                <w:szCs w:val="18"/>
                <w:lang w:eastAsia="en-GB"/>
              </w:rPr>
              <w:t>.</w:t>
            </w:r>
          </w:p>
          <w:p w:rsidR="007306CA" w:rsidRDefault="00576025">
            <w:pPr>
              <w:spacing w:after="120"/>
              <w:ind w:firstLine="113"/>
              <w:rPr>
                <w:noProof/>
                <w:color w:val="000000"/>
                <w:sz w:val="18"/>
                <w:szCs w:val="18"/>
                <w:lang w:eastAsia="en-GB"/>
              </w:rPr>
            </w:pPr>
            <w:r>
              <w:rPr>
                <w:noProof/>
                <w:color w:val="000000"/>
                <w:sz w:val="18"/>
                <w:szCs w:val="18"/>
                <w:lang w:eastAsia="en-GB"/>
              </w:rPr>
              <w:t xml:space="preserve">Qualitatively </w:t>
            </w:r>
            <w:r>
              <w:rPr>
                <w:b/>
                <w:noProof/>
                <w:color w:val="000000"/>
                <w:sz w:val="18"/>
                <w:szCs w:val="18"/>
                <w:lang w:eastAsia="en-GB"/>
              </w:rPr>
              <w:t>HSW</w:t>
            </w:r>
            <w:r>
              <w:rPr>
                <w:noProof/>
                <w:color w:val="000000"/>
                <w:sz w:val="18"/>
                <w:szCs w:val="18"/>
                <w:lang w:eastAsia="en-GB"/>
              </w:rPr>
              <w:t xml:space="preserve"> would enjoy </w:t>
            </w:r>
            <w:r>
              <w:rPr>
                <w:b/>
                <w:noProof/>
                <w:color w:val="000000"/>
                <w:sz w:val="18"/>
                <w:szCs w:val="18"/>
                <w:lang w:eastAsia="en-GB"/>
              </w:rPr>
              <w:t>more extensive rights</w:t>
            </w:r>
            <w:r>
              <w:rPr>
                <w:noProof/>
                <w:color w:val="000000"/>
                <w:sz w:val="18"/>
                <w:szCs w:val="18"/>
                <w:lang w:eastAsia="en-GB"/>
              </w:rPr>
              <w:t xml:space="preserve"> than currently. Simultaneous permits to family members would improve the respect for the right to family life as the family would not face separation an</w:t>
            </w:r>
            <w:r>
              <w:rPr>
                <w:noProof/>
                <w:color w:val="000000"/>
                <w:sz w:val="18"/>
                <w:szCs w:val="18"/>
                <w:lang w:eastAsia="en-GB"/>
              </w:rPr>
              <w:t>d uncertainty. Enhanced intra-EU mobility provisions and quicker access to long-term resident status would have a positive impact on freedom of movement and residence.</w:t>
            </w:r>
          </w:p>
        </w:tc>
      </w:tr>
      <w:tr w:rsidR="007306CA">
        <w:trPr>
          <w:trHeight w:val="315"/>
        </w:trPr>
        <w:tc>
          <w:tcPr>
            <w:tcW w:w="992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306CA" w:rsidRDefault="00576025">
            <w:pPr>
              <w:spacing w:after="0"/>
              <w:jc w:val="left"/>
              <w:rPr>
                <w:b/>
                <w:bCs/>
                <w:noProof/>
                <w:color w:val="000000"/>
                <w:sz w:val="18"/>
                <w:szCs w:val="18"/>
                <w:lang w:eastAsia="en-GB"/>
              </w:rPr>
            </w:pPr>
            <w:r>
              <w:rPr>
                <w:b/>
                <w:bCs/>
                <w:noProof/>
                <w:color w:val="000000"/>
                <w:sz w:val="18"/>
                <w:szCs w:val="18"/>
                <w:lang w:eastAsia="en-GB"/>
              </w:rPr>
              <w:t>Impact on International Relations</w:t>
            </w:r>
          </w:p>
        </w:tc>
      </w:tr>
      <w:tr w:rsidR="007306CA">
        <w:trPr>
          <w:trHeight w:val="103"/>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7306CA" w:rsidRDefault="00576025">
            <w:pPr>
              <w:spacing w:after="0"/>
              <w:rPr>
                <w:noProof/>
                <w:color w:val="000000"/>
                <w:sz w:val="18"/>
                <w:szCs w:val="18"/>
                <w:lang w:eastAsia="en-GB"/>
              </w:rPr>
            </w:pPr>
            <w:r>
              <w:rPr>
                <w:noProof/>
                <w:color w:val="000000"/>
                <w:sz w:val="18"/>
                <w:szCs w:val="18"/>
                <w:lang w:eastAsia="en-GB"/>
              </w:rPr>
              <w:t>-  Impacts on third countries</w:t>
            </w:r>
          </w:p>
        </w:tc>
        <w:tc>
          <w:tcPr>
            <w:tcW w:w="567" w:type="dxa"/>
            <w:tcBorders>
              <w:top w:val="nil"/>
              <w:left w:val="nil"/>
              <w:bottom w:val="single" w:sz="4" w:space="0" w:color="auto"/>
              <w:right w:val="single" w:sz="4" w:space="0" w:color="auto"/>
            </w:tcBorders>
            <w:shd w:val="clear" w:color="auto" w:fill="auto"/>
            <w:vAlign w:val="center"/>
            <w:hideMark/>
          </w:tcPr>
          <w:p w:rsidR="007306CA" w:rsidRDefault="00576025">
            <w:pPr>
              <w:spacing w:after="0"/>
              <w:rPr>
                <w:noProof/>
                <w:color w:val="000000"/>
                <w:sz w:val="18"/>
                <w:szCs w:val="18"/>
                <w:lang w:eastAsia="en-GB"/>
              </w:rPr>
            </w:pPr>
            <w:r>
              <w:rPr>
                <w:noProof/>
                <w:color w:val="000000"/>
                <w:sz w:val="18"/>
                <w:szCs w:val="18"/>
                <w:lang w:eastAsia="en-GB"/>
              </w:rPr>
              <w:t>+1 </w:t>
            </w:r>
          </w:p>
        </w:tc>
        <w:tc>
          <w:tcPr>
            <w:tcW w:w="6521" w:type="dxa"/>
            <w:tcBorders>
              <w:top w:val="nil"/>
              <w:left w:val="nil"/>
              <w:bottom w:val="single" w:sz="4" w:space="0" w:color="auto"/>
              <w:right w:val="single" w:sz="4" w:space="0" w:color="auto"/>
            </w:tcBorders>
            <w:shd w:val="clear" w:color="auto" w:fill="auto"/>
            <w:vAlign w:val="center"/>
            <w:hideMark/>
          </w:tcPr>
          <w:p w:rsidR="007306CA" w:rsidRDefault="00576025">
            <w:pPr>
              <w:spacing w:after="120"/>
              <w:ind w:firstLine="113"/>
              <w:rPr>
                <w:noProof/>
                <w:color w:val="000000"/>
                <w:sz w:val="18"/>
                <w:szCs w:val="18"/>
                <w:lang w:eastAsia="en-GB"/>
              </w:rPr>
            </w:pPr>
            <w:r>
              <w:rPr>
                <w:noProof/>
                <w:color w:val="000000"/>
                <w:sz w:val="18"/>
                <w:szCs w:val="18"/>
                <w:lang w:eastAsia="en-GB"/>
              </w:rPr>
              <w:t xml:space="preserve">Facilitated access to long-term residence status combined with circular mobility rights would bring </w:t>
            </w:r>
            <w:r>
              <w:rPr>
                <w:b/>
                <w:noProof/>
                <w:color w:val="000000"/>
                <w:sz w:val="18"/>
                <w:szCs w:val="18"/>
                <w:lang w:eastAsia="en-GB"/>
              </w:rPr>
              <w:t>benefits for developing countries</w:t>
            </w:r>
            <w:r>
              <w:rPr>
                <w:noProof/>
                <w:color w:val="000000"/>
                <w:sz w:val="18"/>
                <w:szCs w:val="18"/>
                <w:lang w:eastAsia="en-GB"/>
              </w:rPr>
              <w:t xml:space="preserve"> from ‘</w:t>
            </w:r>
            <w:r>
              <w:rPr>
                <w:b/>
                <w:noProof/>
                <w:color w:val="000000"/>
                <w:sz w:val="18"/>
                <w:szCs w:val="18"/>
                <w:lang w:eastAsia="en-GB"/>
              </w:rPr>
              <w:t>brain gain’</w:t>
            </w:r>
            <w:r>
              <w:rPr>
                <w:noProof/>
                <w:color w:val="000000"/>
                <w:sz w:val="18"/>
                <w:szCs w:val="18"/>
                <w:lang w:eastAsia="en-GB"/>
              </w:rPr>
              <w:t xml:space="preserve"> and increased </w:t>
            </w:r>
            <w:r>
              <w:rPr>
                <w:b/>
                <w:noProof/>
                <w:color w:val="000000"/>
                <w:sz w:val="18"/>
                <w:szCs w:val="18"/>
                <w:lang w:eastAsia="en-GB"/>
              </w:rPr>
              <w:t xml:space="preserve">remittance </w:t>
            </w:r>
            <w:r>
              <w:rPr>
                <w:noProof/>
                <w:color w:val="000000"/>
                <w:sz w:val="18"/>
                <w:szCs w:val="18"/>
                <w:lang w:eastAsia="en-GB"/>
              </w:rPr>
              <w:t>payments</w:t>
            </w:r>
          </w:p>
        </w:tc>
      </w:tr>
      <w:tr w:rsidR="007306CA">
        <w:trPr>
          <w:trHeight w:val="300"/>
        </w:trPr>
        <w:tc>
          <w:tcPr>
            <w:tcW w:w="9924" w:type="dxa"/>
            <w:gridSpan w:val="3"/>
            <w:tcBorders>
              <w:top w:val="single" w:sz="4" w:space="0" w:color="auto"/>
              <w:left w:val="single" w:sz="4" w:space="0" w:color="auto"/>
              <w:bottom w:val="single" w:sz="4" w:space="0" w:color="auto"/>
              <w:right w:val="single" w:sz="4" w:space="0" w:color="auto"/>
            </w:tcBorders>
            <w:shd w:val="clear" w:color="000000" w:fill="C5D9F1"/>
            <w:hideMark/>
          </w:tcPr>
          <w:p w:rsidR="007306CA" w:rsidRDefault="00576025">
            <w:pPr>
              <w:spacing w:after="0"/>
              <w:jc w:val="left"/>
              <w:rPr>
                <w:b/>
                <w:bCs/>
                <w:noProof/>
                <w:color w:val="000000"/>
                <w:sz w:val="18"/>
                <w:szCs w:val="18"/>
                <w:lang w:eastAsia="en-GB"/>
              </w:rPr>
            </w:pPr>
            <w:r>
              <w:rPr>
                <w:b/>
                <w:bCs/>
                <w:noProof/>
                <w:color w:val="000000"/>
                <w:sz w:val="18"/>
                <w:szCs w:val="18"/>
                <w:lang w:eastAsia="en-GB"/>
              </w:rPr>
              <w:t>Efficiency</w:t>
            </w:r>
          </w:p>
        </w:tc>
      </w:tr>
      <w:tr w:rsidR="007306CA">
        <w:trPr>
          <w:trHeight w:val="5802"/>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7306CA" w:rsidRDefault="00576025">
            <w:pPr>
              <w:spacing w:after="120"/>
              <w:rPr>
                <w:noProof/>
                <w:color w:val="000000"/>
                <w:sz w:val="18"/>
                <w:szCs w:val="18"/>
                <w:lang w:eastAsia="en-GB"/>
              </w:rPr>
            </w:pPr>
            <w:r>
              <w:rPr>
                <w:noProof/>
                <w:color w:val="000000"/>
                <w:sz w:val="18"/>
                <w:szCs w:val="18"/>
                <w:lang w:eastAsia="en-GB"/>
              </w:rPr>
              <w:t>- Administrative costs and cost/benefit effectiveness</w:t>
            </w:r>
          </w:p>
          <w:p w:rsidR="007306CA" w:rsidRDefault="00576025">
            <w:pPr>
              <w:spacing w:after="120"/>
              <w:rPr>
                <w:noProof/>
                <w:color w:val="000000"/>
                <w:sz w:val="18"/>
                <w:szCs w:val="18"/>
                <w:lang w:eastAsia="en-GB"/>
              </w:rPr>
            </w:pPr>
            <w:r>
              <w:rPr>
                <w:noProof/>
                <w:color w:val="000000"/>
                <w:sz w:val="18"/>
                <w:szCs w:val="18"/>
                <w:lang w:eastAsia="en-GB"/>
              </w:rPr>
              <w:t xml:space="preserve">- </w:t>
            </w:r>
            <w:r>
              <w:rPr>
                <w:noProof/>
                <w:color w:val="000000"/>
                <w:sz w:val="18"/>
                <w:szCs w:val="18"/>
                <w:lang w:eastAsia="en-GB"/>
              </w:rPr>
              <w:t>Practical or technical feasibility (difficulty/risks for transposition and implementation)</w:t>
            </w:r>
          </w:p>
          <w:p w:rsidR="007306CA" w:rsidRDefault="007306CA">
            <w:pPr>
              <w:spacing w:after="120"/>
              <w:rPr>
                <w:noProof/>
                <w:color w:val="000000"/>
                <w:sz w:val="18"/>
                <w:szCs w:val="18"/>
                <w:lang w:eastAsia="en-GB"/>
              </w:rPr>
            </w:pPr>
          </w:p>
        </w:tc>
        <w:tc>
          <w:tcPr>
            <w:tcW w:w="567" w:type="dxa"/>
            <w:tcBorders>
              <w:top w:val="nil"/>
              <w:left w:val="nil"/>
              <w:bottom w:val="single" w:sz="4" w:space="0" w:color="auto"/>
              <w:right w:val="single" w:sz="4" w:space="0" w:color="auto"/>
            </w:tcBorders>
            <w:shd w:val="clear" w:color="auto" w:fill="auto"/>
            <w:vAlign w:val="center"/>
            <w:hideMark/>
          </w:tcPr>
          <w:p w:rsidR="007306CA" w:rsidRDefault="00576025">
            <w:pPr>
              <w:spacing w:after="120"/>
              <w:rPr>
                <w:noProof/>
                <w:color w:val="000000"/>
                <w:sz w:val="18"/>
                <w:szCs w:val="18"/>
                <w:lang w:eastAsia="en-GB"/>
              </w:rPr>
            </w:pPr>
            <w:r>
              <w:rPr>
                <w:noProof/>
                <w:color w:val="000000"/>
                <w:sz w:val="18"/>
                <w:szCs w:val="18"/>
                <w:lang w:eastAsia="en-GB"/>
              </w:rPr>
              <w:t>+3</w:t>
            </w:r>
          </w:p>
        </w:tc>
        <w:tc>
          <w:tcPr>
            <w:tcW w:w="6521" w:type="dxa"/>
            <w:tcBorders>
              <w:top w:val="nil"/>
              <w:left w:val="nil"/>
              <w:bottom w:val="single" w:sz="4" w:space="0" w:color="auto"/>
              <w:right w:val="single" w:sz="4" w:space="0" w:color="auto"/>
            </w:tcBorders>
            <w:shd w:val="clear" w:color="auto" w:fill="auto"/>
            <w:vAlign w:val="center"/>
            <w:hideMark/>
          </w:tcPr>
          <w:p w:rsidR="007306CA" w:rsidRDefault="00576025">
            <w:pPr>
              <w:spacing w:after="120"/>
              <w:rPr>
                <w:noProof/>
                <w:color w:val="000000"/>
                <w:sz w:val="18"/>
                <w:szCs w:val="18"/>
                <w:lang w:eastAsia="en-GB"/>
              </w:rPr>
            </w:pPr>
            <w:r>
              <w:rPr>
                <w:noProof/>
                <w:color w:val="000000"/>
                <w:sz w:val="18"/>
                <w:szCs w:val="18"/>
                <w:lang w:eastAsia="en-GB"/>
              </w:rPr>
              <w:t>Administrative impact on Member States: cost of € 6.5 million to a cost of € 27.9 million (EU25 aggregate, variation depending on range of additional or fewer pe</w:t>
            </w:r>
            <w:r>
              <w:rPr>
                <w:noProof/>
                <w:color w:val="000000"/>
                <w:sz w:val="18"/>
                <w:szCs w:val="18"/>
                <w:lang w:eastAsia="en-GB"/>
              </w:rPr>
              <w:t>rmits)</w:t>
            </w:r>
          </w:p>
          <w:p w:rsidR="007306CA" w:rsidRDefault="00576025">
            <w:pPr>
              <w:spacing w:after="120"/>
              <w:rPr>
                <w:noProof/>
                <w:color w:val="000000"/>
                <w:sz w:val="18"/>
                <w:szCs w:val="18"/>
                <w:lang w:eastAsia="en-GB"/>
              </w:rPr>
            </w:pPr>
            <w:r>
              <w:rPr>
                <w:noProof/>
                <w:color w:val="000000"/>
                <w:sz w:val="18"/>
                <w:szCs w:val="18"/>
                <w:lang w:eastAsia="en-GB"/>
              </w:rPr>
              <w:t>Offset by fees and an estimated additional income tax revenue of min. € 300 million to max. € 1.4 billion</w:t>
            </w:r>
          </w:p>
          <w:p w:rsidR="007306CA" w:rsidRDefault="00576025">
            <w:pPr>
              <w:spacing w:after="120"/>
              <w:ind w:firstLine="113"/>
              <w:rPr>
                <w:noProof/>
                <w:color w:val="000000"/>
                <w:sz w:val="18"/>
                <w:szCs w:val="18"/>
                <w:lang w:eastAsia="en-GB"/>
              </w:rPr>
            </w:pPr>
            <w:r>
              <w:rPr>
                <w:noProof/>
                <w:color w:val="000000"/>
                <w:sz w:val="18"/>
                <w:szCs w:val="18"/>
                <w:lang w:eastAsia="en-GB"/>
              </w:rPr>
              <w:t xml:space="preserve">In general, there would be limited additional administrative costs for public administrations as the scheme would replace the existing schemes </w:t>
            </w:r>
            <w:r>
              <w:rPr>
                <w:noProof/>
                <w:color w:val="000000"/>
                <w:sz w:val="18"/>
                <w:szCs w:val="18"/>
                <w:lang w:eastAsia="en-GB"/>
              </w:rPr>
              <w:t>which would have to be modified to lesser or greater extent depending on the Member States. Some initial costs would be incurred for information for companies, training of immigration officials on the new rules, etc. but overall this option would constitut</w:t>
            </w:r>
            <w:r>
              <w:rPr>
                <w:noProof/>
                <w:color w:val="000000"/>
                <w:sz w:val="18"/>
                <w:szCs w:val="18"/>
                <w:lang w:eastAsia="en-GB"/>
              </w:rPr>
              <w:t>e a significant increase in efficiency due to increased coherence and harmonisation.</w:t>
            </w:r>
          </w:p>
          <w:p w:rsidR="007306CA" w:rsidRDefault="00576025">
            <w:pPr>
              <w:spacing w:after="120"/>
              <w:ind w:firstLine="113"/>
              <w:rPr>
                <w:noProof/>
                <w:color w:val="000000"/>
                <w:sz w:val="18"/>
                <w:szCs w:val="18"/>
                <w:lang w:eastAsia="en-GB"/>
              </w:rPr>
            </w:pPr>
            <w:r>
              <w:rPr>
                <w:noProof/>
                <w:color w:val="000000"/>
                <w:sz w:val="18"/>
                <w:szCs w:val="18"/>
                <w:lang w:eastAsia="en-GB"/>
              </w:rPr>
              <w:t>Higher numbers of applicants would increase the overall administrative costs but the per-unit cost would decrease due to economies of scale and efficiency gains due to a s</w:t>
            </w:r>
            <w:r>
              <w:rPr>
                <w:noProof/>
                <w:color w:val="000000"/>
                <w:sz w:val="18"/>
                <w:szCs w:val="18"/>
                <w:lang w:eastAsia="en-GB"/>
              </w:rPr>
              <w:t>implified system. The costs can be offset by fees and, indirectly, by the economic gains for the host society and increased tax revenue.</w:t>
            </w:r>
          </w:p>
          <w:p w:rsidR="007306CA" w:rsidRDefault="00576025">
            <w:pPr>
              <w:spacing w:after="120"/>
              <w:ind w:firstLine="113"/>
              <w:rPr>
                <w:noProof/>
                <w:color w:val="000000"/>
                <w:sz w:val="18"/>
                <w:szCs w:val="18"/>
                <w:lang w:eastAsia="en-GB"/>
              </w:rPr>
            </w:pPr>
            <w:r>
              <w:rPr>
                <w:noProof/>
                <w:color w:val="000000"/>
                <w:sz w:val="18"/>
                <w:szCs w:val="18"/>
                <w:lang w:eastAsia="en-GB"/>
              </w:rPr>
              <w:t xml:space="preserve">The administrative burden for HSW and businesses recruiting them would lower substantially with a more harmonised and </w:t>
            </w:r>
            <w:r>
              <w:rPr>
                <w:noProof/>
                <w:color w:val="000000"/>
                <w:sz w:val="18"/>
                <w:szCs w:val="18"/>
                <w:lang w:eastAsia="en-GB"/>
              </w:rPr>
              <w:t>simplified system, without many parallel schemes. For the first permit, the additional costs of navigating diverging migration systems (e.g. lawyer fees) when hiring in different Member States would lower significantly.  More facilitation in case of mobili</w:t>
            </w:r>
            <w:r>
              <w:rPr>
                <w:noProof/>
                <w:color w:val="000000"/>
                <w:sz w:val="18"/>
                <w:szCs w:val="18"/>
                <w:lang w:eastAsia="en-GB"/>
              </w:rPr>
              <w:t>ty to a second Member State than currently would also substantially reduce administrative burden, the main source of difficulty signalled by consulted companies.</w:t>
            </w:r>
          </w:p>
          <w:p w:rsidR="007306CA" w:rsidRDefault="00576025">
            <w:pPr>
              <w:spacing w:after="120"/>
              <w:ind w:firstLine="113"/>
              <w:rPr>
                <w:noProof/>
                <w:color w:val="000000"/>
                <w:sz w:val="18"/>
                <w:szCs w:val="18"/>
                <w:lang w:eastAsia="en-GB"/>
              </w:rPr>
            </w:pPr>
            <w:r>
              <w:rPr>
                <w:noProof/>
                <w:color w:val="000000"/>
                <w:sz w:val="18"/>
                <w:szCs w:val="18"/>
                <w:lang w:eastAsia="en-GB"/>
              </w:rPr>
              <w:t>Enhanced rights, such as family reunification, facilitated access to long-term residence statu</w:t>
            </w:r>
            <w:r>
              <w:rPr>
                <w:noProof/>
                <w:color w:val="000000"/>
                <w:sz w:val="18"/>
                <w:szCs w:val="18"/>
                <w:lang w:eastAsia="en-GB"/>
              </w:rPr>
              <w:t>s and intra-EU mobility, may have some impact on public administrations in the short run as there may be an increase in such applications but many of those would only an anticipation of otherwise later applications and, overall, these costs would be largel</w:t>
            </w:r>
            <w:r>
              <w:rPr>
                <w:noProof/>
                <w:color w:val="000000"/>
                <w:sz w:val="18"/>
                <w:szCs w:val="18"/>
                <w:lang w:eastAsia="en-GB"/>
              </w:rPr>
              <w:t>y offset by the gains in simplification and harmonisation, and the gains for HSW and businesses.</w:t>
            </w:r>
          </w:p>
          <w:p w:rsidR="007306CA" w:rsidRDefault="00576025">
            <w:pPr>
              <w:spacing w:after="120"/>
              <w:ind w:firstLine="113"/>
              <w:rPr>
                <w:noProof/>
                <w:color w:val="000000"/>
                <w:sz w:val="18"/>
                <w:szCs w:val="18"/>
                <w:lang w:eastAsia="en-GB"/>
              </w:rPr>
            </w:pPr>
            <w:r>
              <w:rPr>
                <w:noProof/>
                <w:color w:val="000000"/>
                <w:sz w:val="18"/>
                <w:szCs w:val="18"/>
                <w:lang w:eastAsia="en-GB"/>
              </w:rPr>
              <w:t>No practical or technical difficulty (risks for transposition and implementation) is to be expected. This option would ensure more uniform implementation but w</w:t>
            </w:r>
            <w:r>
              <w:rPr>
                <w:noProof/>
                <w:color w:val="000000"/>
                <w:sz w:val="18"/>
                <w:szCs w:val="18"/>
                <w:lang w:eastAsia="en-GB"/>
              </w:rPr>
              <w:t>ould require adaptation of Member States’ legislation</w:t>
            </w:r>
          </w:p>
        </w:tc>
      </w:tr>
      <w:tr w:rsidR="007306CA">
        <w:trPr>
          <w:trHeight w:val="300"/>
        </w:trPr>
        <w:tc>
          <w:tcPr>
            <w:tcW w:w="9924" w:type="dxa"/>
            <w:gridSpan w:val="3"/>
            <w:tcBorders>
              <w:top w:val="single" w:sz="4" w:space="0" w:color="auto"/>
              <w:left w:val="single" w:sz="4" w:space="0" w:color="auto"/>
              <w:bottom w:val="single" w:sz="4" w:space="0" w:color="auto"/>
              <w:right w:val="single" w:sz="4" w:space="0" w:color="auto"/>
            </w:tcBorders>
            <w:shd w:val="clear" w:color="000000" w:fill="C5D9F1"/>
            <w:hideMark/>
          </w:tcPr>
          <w:p w:rsidR="007306CA" w:rsidRDefault="00576025">
            <w:pPr>
              <w:spacing w:after="0"/>
              <w:jc w:val="left"/>
              <w:rPr>
                <w:b/>
                <w:bCs/>
                <w:noProof/>
                <w:color w:val="000000"/>
                <w:sz w:val="18"/>
                <w:szCs w:val="18"/>
                <w:lang w:eastAsia="en-GB"/>
              </w:rPr>
            </w:pPr>
            <w:r>
              <w:rPr>
                <w:b/>
                <w:bCs/>
                <w:noProof/>
                <w:color w:val="000000"/>
                <w:sz w:val="18"/>
                <w:szCs w:val="18"/>
                <w:lang w:eastAsia="en-GB"/>
              </w:rPr>
              <w:t>Coherence with other EU policies</w:t>
            </w:r>
          </w:p>
        </w:tc>
      </w:tr>
      <w:tr w:rsidR="007306CA">
        <w:trPr>
          <w:trHeight w:val="300"/>
        </w:trPr>
        <w:tc>
          <w:tcPr>
            <w:tcW w:w="9924" w:type="dxa"/>
            <w:gridSpan w:val="3"/>
            <w:tcBorders>
              <w:top w:val="single" w:sz="4" w:space="0" w:color="auto"/>
              <w:left w:val="single" w:sz="4" w:space="0" w:color="auto"/>
              <w:bottom w:val="single" w:sz="4" w:space="0" w:color="auto"/>
              <w:right w:val="single" w:sz="4" w:space="0" w:color="auto"/>
            </w:tcBorders>
            <w:shd w:val="clear" w:color="auto" w:fill="auto"/>
            <w:hideMark/>
          </w:tcPr>
          <w:p w:rsidR="007306CA" w:rsidRDefault="00576025">
            <w:pPr>
              <w:spacing w:after="0"/>
              <w:jc w:val="left"/>
              <w:rPr>
                <w:noProof/>
                <w:color w:val="000000"/>
                <w:sz w:val="18"/>
                <w:szCs w:val="18"/>
                <w:lang w:eastAsia="en-GB"/>
              </w:rPr>
            </w:pPr>
            <w:r>
              <w:rPr>
                <w:noProof/>
                <w:color w:val="000000"/>
                <w:sz w:val="18"/>
                <w:szCs w:val="18"/>
                <w:lang w:eastAsia="en-GB"/>
              </w:rPr>
              <w:t xml:space="preserve">In line with, and contributes to, EU Growth Strategy. Fully consistent with EU economic and social policies, including on mobility of EU workers and on skills and </w:t>
            </w:r>
            <w:r>
              <w:rPr>
                <w:noProof/>
                <w:color w:val="000000"/>
                <w:sz w:val="18"/>
                <w:szCs w:val="18"/>
                <w:lang w:eastAsia="en-GB"/>
              </w:rPr>
              <w:t>qualifications.</w:t>
            </w:r>
          </w:p>
        </w:tc>
      </w:tr>
      <w:tr w:rsidR="007306CA">
        <w:trPr>
          <w:trHeight w:val="480"/>
        </w:trPr>
        <w:tc>
          <w:tcPr>
            <w:tcW w:w="9924" w:type="dxa"/>
            <w:gridSpan w:val="3"/>
            <w:tcBorders>
              <w:top w:val="nil"/>
              <w:left w:val="single" w:sz="4" w:space="0" w:color="auto"/>
              <w:bottom w:val="single" w:sz="4" w:space="0" w:color="auto"/>
              <w:right w:val="single" w:sz="4" w:space="0" w:color="auto"/>
            </w:tcBorders>
            <w:shd w:val="clear" w:color="000000" w:fill="C5D9F1"/>
            <w:vAlign w:val="center"/>
            <w:hideMark/>
          </w:tcPr>
          <w:p w:rsidR="007306CA" w:rsidRDefault="00576025">
            <w:pPr>
              <w:spacing w:after="0"/>
              <w:jc w:val="left"/>
              <w:rPr>
                <w:b/>
                <w:bCs/>
                <w:noProof/>
                <w:color w:val="000000"/>
                <w:sz w:val="18"/>
                <w:szCs w:val="18"/>
                <w:lang w:eastAsia="en-GB"/>
              </w:rPr>
            </w:pPr>
            <w:r>
              <w:rPr>
                <w:b/>
                <w:bCs/>
                <w:noProof/>
                <w:color w:val="000000"/>
                <w:sz w:val="18"/>
                <w:szCs w:val="18"/>
                <w:lang w:eastAsia="en-GB"/>
              </w:rPr>
              <w:t>Stakeholders and experts’ view</w:t>
            </w:r>
          </w:p>
          <w:p w:rsidR="007306CA" w:rsidRDefault="00576025">
            <w:pPr>
              <w:spacing w:after="0"/>
              <w:jc w:val="center"/>
              <w:rPr>
                <w:b/>
                <w:bCs/>
                <w:noProof/>
                <w:color w:val="000000"/>
                <w:sz w:val="18"/>
                <w:szCs w:val="18"/>
                <w:lang w:eastAsia="en-GB"/>
              </w:rPr>
            </w:pPr>
            <w:r>
              <w:rPr>
                <w:b/>
                <w:bCs/>
                <w:noProof/>
                <w:color w:val="000000"/>
                <w:sz w:val="18"/>
                <w:szCs w:val="18"/>
                <w:lang w:eastAsia="en-GB"/>
              </w:rPr>
              <w:t> </w:t>
            </w:r>
          </w:p>
          <w:p w:rsidR="007306CA" w:rsidRDefault="00576025">
            <w:pPr>
              <w:spacing w:after="0"/>
              <w:jc w:val="left"/>
              <w:rPr>
                <w:b/>
                <w:bCs/>
                <w:noProof/>
                <w:color w:val="000000"/>
                <w:sz w:val="18"/>
                <w:szCs w:val="18"/>
                <w:lang w:eastAsia="en-GB"/>
              </w:rPr>
            </w:pPr>
            <w:r>
              <w:rPr>
                <w:b/>
                <w:bCs/>
                <w:noProof/>
                <w:color w:val="000000"/>
                <w:sz w:val="18"/>
                <w:szCs w:val="18"/>
                <w:lang w:eastAsia="en-GB"/>
              </w:rPr>
              <w:t> </w:t>
            </w:r>
          </w:p>
        </w:tc>
      </w:tr>
      <w:tr w:rsidR="007306CA">
        <w:trPr>
          <w:trHeight w:val="495"/>
        </w:trPr>
        <w:tc>
          <w:tcPr>
            <w:tcW w:w="992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306CA" w:rsidRDefault="00576025">
            <w:pPr>
              <w:spacing w:after="0"/>
              <w:rPr>
                <w:noProof/>
                <w:color w:val="000000"/>
                <w:sz w:val="18"/>
                <w:szCs w:val="18"/>
                <w:lang w:eastAsia="en-GB"/>
              </w:rPr>
            </w:pPr>
            <w:r>
              <w:rPr>
                <w:noProof/>
                <w:color w:val="000000"/>
                <w:sz w:val="18"/>
                <w:szCs w:val="18"/>
                <w:lang w:eastAsia="en-GB"/>
              </w:rPr>
              <w:t>A majority of the respondents to the public consultation supports the abolition of any national schemes for the highly skilled in favour of a truly EU-wide permit</w:t>
            </w:r>
            <w:r>
              <w:rPr>
                <w:iCs/>
                <w:noProof/>
                <w:color w:val="000000"/>
                <w:sz w:val="18"/>
                <w:szCs w:val="18"/>
                <w:vertAlign w:val="superscript"/>
                <w:lang w:eastAsia="en-GB"/>
              </w:rPr>
              <w:footnoteReference w:id="153"/>
            </w:r>
            <w:r>
              <w:rPr>
                <w:noProof/>
                <w:color w:val="000000"/>
                <w:sz w:val="18"/>
                <w:szCs w:val="18"/>
                <w:lang w:eastAsia="en-GB"/>
              </w:rPr>
              <w:t xml:space="preserve">. All experts and most non-governmental </w:t>
            </w:r>
            <w:r>
              <w:rPr>
                <w:noProof/>
                <w:color w:val="000000"/>
                <w:sz w:val="18"/>
                <w:szCs w:val="18"/>
                <w:lang w:eastAsia="en-GB"/>
              </w:rPr>
              <w:t>stakeholders agree that improved intra-EU mobility should be one of the main value added of the EU Blue Card. Most stakeholders and employers emphasize the need to streamline and simplify admission procedures and make admission conditions more flexible. Wh</w:t>
            </w:r>
            <w:r>
              <w:rPr>
                <w:noProof/>
                <w:color w:val="000000"/>
                <w:sz w:val="18"/>
                <w:szCs w:val="18"/>
                <w:lang w:eastAsia="en-GB"/>
              </w:rPr>
              <w:t>ile some question the usefulness and effectiveness of the labour market test (e.g. TABC, CFGI), others see it as a necessary tool to protect the domestic labour market or to prevent fraud (e.g. UAPME, EuroChambres, OECD). Experts and non-governmental stake</w:t>
            </w:r>
            <w:r>
              <w:rPr>
                <w:noProof/>
                <w:color w:val="000000"/>
                <w:sz w:val="18"/>
                <w:szCs w:val="18"/>
                <w:lang w:eastAsia="en-GB"/>
              </w:rPr>
              <w:t>holders see a need to lower the threshold and take specific care to include recent graduates. However, in light of differences between national labour markets many experts, stakeholders and most Member States consider that national authorities should retai</w:t>
            </w:r>
            <w:r>
              <w:rPr>
                <w:noProof/>
                <w:color w:val="000000"/>
                <w:sz w:val="18"/>
                <w:szCs w:val="18"/>
                <w:lang w:eastAsia="en-GB"/>
              </w:rPr>
              <w:t>n a degree of flexibility in the setting of the level of the threshold. While the need for and the level of the salary threshold is controversial among stakeholders and experts, they mostly agree that the education requirement is important to guarantee tha</w:t>
            </w:r>
            <w:r>
              <w:rPr>
                <w:noProof/>
                <w:color w:val="000000"/>
                <w:sz w:val="18"/>
                <w:szCs w:val="18"/>
                <w:lang w:eastAsia="en-GB"/>
              </w:rPr>
              <w:t xml:space="preserve">t Blue Card holders are qualified. Business and employers representatives also emphasize the importance of formal degrees, but suggest a loosening of the link between the kind of education acquired and the job profile. The idea to lower the minimum period </w:t>
            </w:r>
            <w:r>
              <w:rPr>
                <w:noProof/>
                <w:color w:val="000000"/>
                <w:sz w:val="18"/>
                <w:szCs w:val="18"/>
                <w:lang w:eastAsia="en-GB"/>
              </w:rPr>
              <w:t>of the contract was widely supported as was the suggestion to officially allow Blue Card holders to engage in self-employed, entrepreneurial activities on top of their regular employment.</w:t>
            </w:r>
          </w:p>
        </w:tc>
      </w:tr>
    </w:tbl>
    <w:p w:rsidR="007306CA" w:rsidRDefault="007306CA">
      <w:pPr>
        <w:spacing w:after="120" w:line="240" w:lineRule="atLeast"/>
        <w:rPr>
          <w:b/>
          <w:noProof/>
        </w:rPr>
      </w:pPr>
    </w:p>
    <w:p w:rsidR="007306CA" w:rsidRDefault="007306CA">
      <w:pPr>
        <w:spacing w:after="120" w:line="240" w:lineRule="atLeast"/>
        <w:rPr>
          <w:b/>
          <w:noProof/>
        </w:rPr>
      </w:pPr>
    </w:p>
    <w:p w:rsidR="007306CA" w:rsidRDefault="007306CA">
      <w:pPr>
        <w:spacing w:after="120" w:line="240" w:lineRule="atLeast"/>
        <w:rPr>
          <w:b/>
          <w:noProof/>
        </w:rPr>
      </w:pPr>
    </w:p>
    <w:p w:rsidR="007306CA" w:rsidRDefault="007306CA">
      <w:pPr>
        <w:spacing w:after="120" w:line="240" w:lineRule="atLeast"/>
        <w:rPr>
          <w:b/>
          <w:noProof/>
        </w:rPr>
      </w:pPr>
    </w:p>
    <w:p w:rsidR="007306CA" w:rsidRDefault="007306CA">
      <w:pPr>
        <w:spacing w:after="120" w:line="240" w:lineRule="atLeast"/>
        <w:rPr>
          <w:b/>
          <w:noProof/>
        </w:rPr>
      </w:pPr>
    </w:p>
    <w:p w:rsidR="007306CA" w:rsidRDefault="00576025">
      <w:pPr>
        <w:spacing w:after="120" w:line="240" w:lineRule="atLeast"/>
        <w:rPr>
          <w:b/>
          <w:noProof/>
        </w:rPr>
      </w:pPr>
      <w:r>
        <w:rPr>
          <w:b/>
          <w:noProof/>
        </w:rPr>
        <w:t>POP2(b): Making the Blue Card a tool to attract a selected gro</w:t>
      </w:r>
      <w:r>
        <w:rPr>
          <w:b/>
          <w:noProof/>
        </w:rPr>
        <w:t>up of the most HSW</w:t>
      </w:r>
    </w:p>
    <w:tbl>
      <w:tblPr>
        <w:tblW w:w="9924" w:type="dxa"/>
        <w:tblInd w:w="-318" w:type="dxa"/>
        <w:tblLayout w:type="fixed"/>
        <w:tblLook w:val="04A0" w:firstRow="1" w:lastRow="0" w:firstColumn="1" w:lastColumn="0" w:noHBand="0" w:noVBand="1"/>
      </w:tblPr>
      <w:tblGrid>
        <w:gridCol w:w="2836"/>
        <w:gridCol w:w="24"/>
        <w:gridCol w:w="543"/>
        <w:gridCol w:w="6521"/>
      </w:tblGrid>
      <w:tr w:rsidR="007306CA">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8DB4E2"/>
            <w:vAlign w:val="center"/>
            <w:hideMark/>
          </w:tcPr>
          <w:p w:rsidR="007306CA" w:rsidRDefault="00576025">
            <w:pPr>
              <w:spacing w:after="0"/>
              <w:jc w:val="left"/>
              <w:rPr>
                <w:b/>
                <w:bCs/>
                <w:noProof/>
                <w:color w:val="000000"/>
                <w:sz w:val="18"/>
                <w:szCs w:val="18"/>
                <w:lang w:eastAsia="en-GB"/>
              </w:rPr>
            </w:pPr>
            <w:r>
              <w:rPr>
                <w:b/>
                <w:bCs/>
                <w:noProof/>
                <w:color w:val="000000"/>
                <w:sz w:val="18"/>
                <w:szCs w:val="18"/>
                <w:lang w:eastAsia="en-GB"/>
              </w:rPr>
              <w:t>Assessment Criteria</w:t>
            </w:r>
          </w:p>
        </w:tc>
        <w:tc>
          <w:tcPr>
            <w:tcW w:w="567" w:type="dxa"/>
            <w:gridSpan w:val="2"/>
            <w:tcBorders>
              <w:top w:val="nil"/>
              <w:left w:val="nil"/>
              <w:bottom w:val="single" w:sz="4" w:space="0" w:color="auto"/>
              <w:right w:val="single" w:sz="4" w:space="0" w:color="auto"/>
            </w:tcBorders>
            <w:shd w:val="clear" w:color="000000" w:fill="8DB4E2"/>
            <w:vAlign w:val="center"/>
            <w:hideMark/>
          </w:tcPr>
          <w:p w:rsidR="007306CA" w:rsidRDefault="00576025">
            <w:pPr>
              <w:spacing w:after="0"/>
              <w:jc w:val="left"/>
              <w:rPr>
                <w:bCs/>
                <w:noProof/>
                <w:color w:val="000000"/>
                <w:sz w:val="18"/>
                <w:szCs w:val="18"/>
                <w:lang w:eastAsia="en-GB"/>
              </w:rPr>
            </w:pPr>
            <w:r>
              <w:rPr>
                <w:bCs/>
                <w:noProof/>
                <w:color w:val="000000"/>
                <w:sz w:val="18"/>
                <w:szCs w:val="18"/>
                <w:lang w:eastAsia="en-GB"/>
              </w:rPr>
              <w:t>Rate</w:t>
            </w:r>
          </w:p>
        </w:tc>
        <w:tc>
          <w:tcPr>
            <w:tcW w:w="6521" w:type="dxa"/>
            <w:tcBorders>
              <w:top w:val="nil"/>
              <w:left w:val="nil"/>
              <w:bottom w:val="single" w:sz="4" w:space="0" w:color="auto"/>
              <w:right w:val="single" w:sz="4" w:space="0" w:color="auto"/>
            </w:tcBorders>
            <w:shd w:val="clear" w:color="000000" w:fill="8DB4E2"/>
            <w:vAlign w:val="center"/>
            <w:hideMark/>
          </w:tcPr>
          <w:p w:rsidR="007306CA" w:rsidRDefault="00576025">
            <w:pPr>
              <w:spacing w:after="0"/>
              <w:jc w:val="left"/>
              <w:rPr>
                <w:b/>
                <w:bCs/>
                <w:noProof/>
                <w:color w:val="000000"/>
                <w:sz w:val="18"/>
                <w:szCs w:val="18"/>
                <w:lang w:eastAsia="en-GB"/>
              </w:rPr>
            </w:pPr>
            <w:r>
              <w:rPr>
                <w:b/>
                <w:bCs/>
                <w:noProof/>
                <w:color w:val="000000"/>
                <w:sz w:val="18"/>
                <w:szCs w:val="18"/>
                <w:lang w:eastAsia="en-GB"/>
              </w:rPr>
              <w:t>Motivation</w:t>
            </w:r>
          </w:p>
        </w:tc>
      </w:tr>
      <w:tr w:rsidR="007306CA">
        <w:trPr>
          <w:trHeight w:val="300"/>
        </w:trPr>
        <w:tc>
          <w:tcPr>
            <w:tcW w:w="9924" w:type="dxa"/>
            <w:gridSpan w:val="4"/>
            <w:tcBorders>
              <w:top w:val="single" w:sz="4" w:space="0" w:color="auto"/>
              <w:left w:val="single" w:sz="4" w:space="0" w:color="auto"/>
              <w:bottom w:val="single" w:sz="4" w:space="0" w:color="auto"/>
              <w:right w:val="single" w:sz="4" w:space="0" w:color="auto"/>
            </w:tcBorders>
            <w:shd w:val="clear" w:color="000000" w:fill="C5D9F1"/>
            <w:vAlign w:val="center"/>
            <w:hideMark/>
          </w:tcPr>
          <w:p w:rsidR="007306CA" w:rsidRDefault="00576025">
            <w:pPr>
              <w:spacing w:after="0"/>
              <w:jc w:val="left"/>
              <w:rPr>
                <w:b/>
                <w:bCs/>
                <w:noProof/>
                <w:color w:val="000000"/>
                <w:sz w:val="18"/>
                <w:szCs w:val="18"/>
                <w:lang w:eastAsia="en-GB"/>
              </w:rPr>
            </w:pPr>
            <w:r>
              <w:rPr>
                <w:b/>
                <w:bCs/>
                <w:noProof/>
                <w:color w:val="000000"/>
                <w:sz w:val="18"/>
                <w:szCs w:val="18"/>
                <w:lang w:eastAsia="en-GB"/>
              </w:rPr>
              <w:t>Relevance and effectiveness in achieving the objectives</w:t>
            </w:r>
          </w:p>
        </w:tc>
      </w:tr>
      <w:tr w:rsidR="007306CA">
        <w:trPr>
          <w:trHeight w:val="3492"/>
        </w:trPr>
        <w:tc>
          <w:tcPr>
            <w:tcW w:w="2860" w:type="dxa"/>
            <w:gridSpan w:val="2"/>
            <w:tcBorders>
              <w:top w:val="nil"/>
              <w:left w:val="single" w:sz="4" w:space="0" w:color="auto"/>
              <w:bottom w:val="single" w:sz="4" w:space="0" w:color="auto"/>
              <w:right w:val="single" w:sz="4" w:space="0" w:color="auto"/>
            </w:tcBorders>
            <w:shd w:val="clear" w:color="auto" w:fill="auto"/>
            <w:vAlign w:val="center"/>
            <w:hideMark/>
          </w:tcPr>
          <w:p w:rsidR="007306CA" w:rsidRDefault="00576025">
            <w:pPr>
              <w:spacing w:after="120"/>
              <w:rPr>
                <w:noProof/>
                <w:color w:val="000000"/>
                <w:sz w:val="18"/>
                <w:szCs w:val="18"/>
                <w:lang w:eastAsia="en-GB"/>
              </w:rPr>
            </w:pPr>
            <w:r>
              <w:rPr>
                <w:noProof/>
                <w:color w:val="000000"/>
                <w:sz w:val="18"/>
                <w:szCs w:val="18"/>
                <w:lang w:eastAsia="en-GB"/>
              </w:rPr>
              <w:t>GO1: improve ability to attract and retain to enhance competitiveness and demographic ageing; SO2: increase the numbers of highly skilled TCNs;</w:t>
            </w:r>
            <w:r>
              <w:rPr>
                <w:noProof/>
                <w:color w:val="000000"/>
                <w:sz w:val="18"/>
                <w:szCs w:val="18"/>
                <w:lang w:eastAsia="en-GB"/>
              </w:rPr>
              <w:t xml:space="preserve"> SO3: lower barriers to entry, simplify and harmonise the admission procedures; SO4: promote social and economic integration of highly skilled TCNs and their family members, via favourable residence conditions and rights; SO6: ensure ‘EU Blue Card’ brand t</w:t>
            </w:r>
            <w:r>
              <w:rPr>
                <w:noProof/>
                <w:color w:val="000000"/>
                <w:sz w:val="18"/>
                <w:szCs w:val="18"/>
                <w:lang w:eastAsia="en-GB"/>
              </w:rPr>
              <w:t>o improve image of attractive EU</w:t>
            </w:r>
          </w:p>
        </w:tc>
        <w:tc>
          <w:tcPr>
            <w:tcW w:w="543" w:type="dxa"/>
            <w:tcBorders>
              <w:top w:val="nil"/>
              <w:left w:val="nil"/>
              <w:bottom w:val="single" w:sz="4" w:space="0" w:color="auto"/>
              <w:right w:val="single" w:sz="4" w:space="0" w:color="auto"/>
            </w:tcBorders>
            <w:shd w:val="clear" w:color="auto" w:fill="auto"/>
            <w:vAlign w:val="center"/>
            <w:hideMark/>
          </w:tcPr>
          <w:p w:rsidR="007306CA" w:rsidRDefault="00576025">
            <w:pPr>
              <w:spacing w:after="120"/>
              <w:rPr>
                <w:noProof/>
                <w:color w:val="000000"/>
                <w:sz w:val="18"/>
                <w:szCs w:val="18"/>
                <w:lang w:eastAsia="en-GB"/>
              </w:rPr>
            </w:pPr>
            <w:r>
              <w:rPr>
                <w:noProof/>
                <w:color w:val="000000"/>
                <w:sz w:val="18"/>
                <w:szCs w:val="18"/>
                <w:lang w:eastAsia="en-GB"/>
              </w:rPr>
              <w:t>+1/+2</w:t>
            </w:r>
          </w:p>
        </w:tc>
        <w:tc>
          <w:tcPr>
            <w:tcW w:w="6521" w:type="dxa"/>
            <w:tcBorders>
              <w:top w:val="nil"/>
              <w:left w:val="nil"/>
              <w:bottom w:val="single" w:sz="4" w:space="0" w:color="auto"/>
              <w:right w:val="single" w:sz="4" w:space="0" w:color="auto"/>
            </w:tcBorders>
            <w:shd w:val="clear" w:color="auto" w:fill="auto"/>
            <w:vAlign w:val="center"/>
            <w:hideMark/>
          </w:tcPr>
          <w:p w:rsidR="007306CA" w:rsidRDefault="00576025">
            <w:pPr>
              <w:spacing w:after="120"/>
              <w:ind w:firstLine="113"/>
              <w:rPr>
                <w:b/>
                <w:bCs/>
                <w:noProof/>
                <w:color w:val="000000"/>
                <w:sz w:val="18"/>
                <w:szCs w:val="18"/>
                <w:lang w:eastAsia="en-GB"/>
              </w:rPr>
            </w:pPr>
            <w:r>
              <w:rPr>
                <w:b/>
                <w:bCs/>
                <w:noProof/>
                <w:color w:val="000000"/>
                <w:sz w:val="18"/>
                <w:szCs w:val="18"/>
                <w:lang w:eastAsia="en-GB"/>
              </w:rPr>
              <w:t>Estimated additional permits:  min. -8 149 (less than baseline) to max. 17 250 HSW (EU25 aggregate, variation depending on the salary threshold set by individual Member States)</w:t>
            </w:r>
          </w:p>
          <w:p w:rsidR="007306CA" w:rsidRDefault="00576025">
            <w:pPr>
              <w:spacing w:after="120"/>
              <w:ind w:firstLine="113"/>
              <w:rPr>
                <w:noProof/>
                <w:color w:val="000000"/>
                <w:sz w:val="18"/>
                <w:szCs w:val="18"/>
                <w:lang w:eastAsia="en-GB"/>
              </w:rPr>
            </w:pPr>
            <w:r>
              <w:rPr>
                <w:noProof/>
                <w:color w:val="000000"/>
                <w:sz w:val="18"/>
                <w:szCs w:val="18"/>
                <w:lang w:eastAsia="en-GB"/>
              </w:rPr>
              <w:t>By focussing on an elite of the most hig</w:t>
            </w:r>
            <w:r>
              <w:rPr>
                <w:noProof/>
                <w:color w:val="000000"/>
                <w:sz w:val="18"/>
                <w:szCs w:val="18"/>
                <w:lang w:eastAsia="en-GB"/>
              </w:rPr>
              <w:t xml:space="preserve">hly skilled workers this option would be </w:t>
            </w:r>
            <w:r>
              <w:rPr>
                <w:b/>
                <w:noProof/>
                <w:color w:val="000000"/>
                <w:sz w:val="18"/>
                <w:szCs w:val="18"/>
                <w:lang w:eastAsia="en-GB"/>
              </w:rPr>
              <w:t>more exclusive</w:t>
            </w:r>
            <w:r>
              <w:rPr>
                <w:noProof/>
                <w:color w:val="000000"/>
                <w:sz w:val="18"/>
                <w:szCs w:val="18"/>
                <w:lang w:eastAsia="en-GB"/>
              </w:rPr>
              <w:t xml:space="preserve"> than the current Blue Card Directive. It would have a lower reach in terms of numbers but the selectiveness would allow for </w:t>
            </w:r>
            <w:r>
              <w:rPr>
                <w:b/>
                <w:noProof/>
                <w:color w:val="000000"/>
                <w:sz w:val="18"/>
                <w:szCs w:val="18"/>
                <w:lang w:eastAsia="en-GB"/>
              </w:rPr>
              <w:t>more facilitation and rights</w:t>
            </w:r>
            <w:r>
              <w:rPr>
                <w:noProof/>
                <w:color w:val="000000"/>
                <w:sz w:val="18"/>
                <w:szCs w:val="18"/>
                <w:lang w:eastAsia="en-GB"/>
              </w:rPr>
              <w:t xml:space="preserve"> which would favour a </w:t>
            </w:r>
            <w:r>
              <w:rPr>
                <w:b/>
                <w:noProof/>
                <w:color w:val="000000"/>
                <w:sz w:val="18"/>
                <w:szCs w:val="18"/>
                <w:lang w:eastAsia="en-GB"/>
              </w:rPr>
              <w:t>highly-mobile well-earning</w:t>
            </w:r>
            <w:r>
              <w:rPr>
                <w:b/>
                <w:noProof/>
                <w:color w:val="000000"/>
                <w:sz w:val="18"/>
                <w:szCs w:val="18"/>
                <w:lang w:eastAsia="en-GB"/>
              </w:rPr>
              <w:t xml:space="preserve"> elite of HSW</w:t>
            </w:r>
            <w:r>
              <w:rPr>
                <w:noProof/>
                <w:color w:val="000000"/>
                <w:sz w:val="18"/>
                <w:szCs w:val="18"/>
                <w:lang w:eastAsia="en-GB"/>
              </w:rPr>
              <w:t>.. While the contribution of the elite HSW to the EU’s competitiveness can be assumed to be higher per unit, the overall gain would remain limited due to the limited increase in numbers.</w:t>
            </w:r>
          </w:p>
          <w:p w:rsidR="007306CA" w:rsidRDefault="00576025">
            <w:pPr>
              <w:spacing w:after="120"/>
              <w:ind w:firstLine="113"/>
              <w:rPr>
                <w:noProof/>
                <w:color w:val="000000"/>
                <w:sz w:val="18"/>
                <w:szCs w:val="18"/>
                <w:lang w:eastAsia="en-GB"/>
              </w:rPr>
            </w:pPr>
            <w:r>
              <w:rPr>
                <w:noProof/>
                <w:color w:val="000000"/>
                <w:sz w:val="18"/>
                <w:szCs w:val="18"/>
                <w:lang w:eastAsia="en-GB"/>
              </w:rPr>
              <w:t xml:space="preserve">This option would mean </w:t>
            </w:r>
            <w:r>
              <w:rPr>
                <w:b/>
                <w:noProof/>
                <w:color w:val="000000"/>
                <w:sz w:val="18"/>
                <w:szCs w:val="18"/>
                <w:lang w:eastAsia="en-GB"/>
              </w:rPr>
              <w:t>significant further harmonisation</w:t>
            </w:r>
            <w:r>
              <w:rPr>
                <w:noProof/>
                <w:color w:val="000000"/>
                <w:sz w:val="18"/>
                <w:szCs w:val="18"/>
                <w:lang w:eastAsia="en-GB"/>
              </w:rPr>
              <w:t xml:space="preserve"> focussed on an elite subsection of HSW to whom a very attractive scheme could be offered, but allow only limited flexibility for Member States to adapt admission conditions to their national labour markets for the category covered. The impact on individua</w:t>
            </w:r>
            <w:r>
              <w:rPr>
                <w:noProof/>
                <w:color w:val="000000"/>
                <w:sz w:val="18"/>
                <w:szCs w:val="18"/>
                <w:lang w:eastAsia="en-GB"/>
              </w:rPr>
              <w:t xml:space="preserve">l Member States would limited but be fairly </w:t>
            </w:r>
            <w:r>
              <w:rPr>
                <w:b/>
                <w:noProof/>
                <w:color w:val="000000"/>
                <w:sz w:val="18"/>
                <w:szCs w:val="18"/>
                <w:lang w:eastAsia="en-GB"/>
              </w:rPr>
              <w:t>evenly spread across low and high income Member State</w:t>
            </w:r>
            <w:r>
              <w:rPr>
                <w:noProof/>
                <w:color w:val="000000"/>
                <w:sz w:val="18"/>
                <w:szCs w:val="18"/>
                <w:lang w:eastAsia="en-GB"/>
              </w:rPr>
              <w:t xml:space="preserve">s as the salary threshold is nationally set within a fixed high range but calculated on the national average salary. Consequently, it has a lower potential to </w:t>
            </w:r>
            <w:r>
              <w:rPr>
                <w:noProof/>
                <w:color w:val="000000"/>
                <w:sz w:val="18"/>
                <w:szCs w:val="18"/>
                <w:lang w:eastAsia="en-GB"/>
              </w:rPr>
              <w:t xml:space="preserve">substitute parallel national schemes. However, this would be offset by </w:t>
            </w:r>
            <w:r>
              <w:rPr>
                <w:b/>
                <w:noProof/>
                <w:color w:val="000000"/>
                <w:sz w:val="18"/>
                <w:szCs w:val="18"/>
                <w:lang w:eastAsia="en-GB"/>
              </w:rPr>
              <w:t>allowing Member States to keep their national parallel schemes to reach non-elite HSW</w:t>
            </w:r>
            <w:r>
              <w:rPr>
                <w:noProof/>
                <w:color w:val="000000"/>
                <w:sz w:val="18"/>
                <w:szCs w:val="18"/>
                <w:lang w:eastAsia="en-GB"/>
              </w:rPr>
              <w:t xml:space="preserve"> (i.e. those  not covered under the EU scheme) and adapt their policies in function of their nationa</w:t>
            </w:r>
            <w:r>
              <w:rPr>
                <w:noProof/>
                <w:color w:val="000000"/>
                <w:sz w:val="18"/>
                <w:szCs w:val="18"/>
                <w:lang w:eastAsia="en-GB"/>
              </w:rPr>
              <w:t>l labour market situation.</w:t>
            </w:r>
          </w:p>
          <w:p w:rsidR="007306CA" w:rsidRDefault="00576025">
            <w:pPr>
              <w:spacing w:after="120"/>
              <w:ind w:firstLine="113"/>
              <w:rPr>
                <w:noProof/>
                <w:color w:val="000000"/>
                <w:sz w:val="18"/>
                <w:szCs w:val="18"/>
                <w:lang w:eastAsia="en-GB"/>
              </w:rPr>
            </w:pPr>
            <w:r>
              <w:rPr>
                <w:noProof/>
                <w:color w:val="000000"/>
                <w:sz w:val="18"/>
                <w:szCs w:val="18"/>
                <w:lang w:eastAsia="en-GB"/>
              </w:rPr>
              <w:t xml:space="preserve">Given the harmonisation would only concern a limited category of HSW, there is </w:t>
            </w:r>
            <w:r>
              <w:rPr>
                <w:b/>
                <w:noProof/>
                <w:color w:val="000000"/>
                <w:sz w:val="18"/>
                <w:szCs w:val="18"/>
                <w:lang w:eastAsia="en-GB"/>
              </w:rPr>
              <w:t>no significantly improved simplification</w:t>
            </w:r>
            <w:r>
              <w:rPr>
                <w:noProof/>
                <w:color w:val="000000"/>
                <w:sz w:val="18"/>
                <w:szCs w:val="18"/>
                <w:lang w:eastAsia="en-GB"/>
              </w:rPr>
              <w:t xml:space="preserve">, coherence and efficiency of the </w:t>
            </w:r>
            <w:r>
              <w:rPr>
                <w:b/>
                <w:noProof/>
                <w:color w:val="000000"/>
                <w:sz w:val="18"/>
                <w:szCs w:val="18"/>
                <w:lang w:eastAsia="en-GB"/>
              </w:rPr>
              <w:t xml:space="preserve">overall </w:t>
            </w:r>
            <w:r>
              <w:rPr>
                <w:noProof/>
                <w:color w:val="000000"/>
                <w:sz w:val="18"/>
                <w:szCs w:val="18"/>
                <w:lang w:eastAsia="en-GB"/>
              </w:rPr>
              <w:t>system. Thus, overall the EU’s ability to attract and retain would n</w:t>
            </w:r>
            <w:r>
              <w:rPr>
                <w:noProof/>
                <w:color w:val="000000"/>
                <w:sz w:val="18"/>
                <w:szCs w:val="18"/>
                <w:lang w:eastAsia="en-GB"/>
              </w:rPr>
              <w:t>ot be improved significantly, nor to address demographic ageing.</w:t>
            </w:r>
          </w:p>
          <w:p w:rsidR="007306CA" w:rsidRDefault="00576025">
            <w:pPr>
              <w:spacing w:after="120"/>
              <w:ind w:firstLine="113"/>
              <w:rPr>
                <w:noProof/>
                <w:color w:val="000000"/>
                <w:sz w:val="18"/>
                <w:szCs w:val="18"/>
                <w:lang w:eastAsia="en-GB"/>
              </w:rPr>
            </w:pPr>
            <w:r>
              <w:rPr>
                <w:noProof/>
                <w:color w:val="000000"/>
                <w:sz w:val="18"/>
                <w:szCs w:val="18"/>
                <w:lang w:eastAsia="en-GB"/>
              </w:rPr>
              <w:t xml:space="preserve">The trade-off between (a) more selective entry conditions and (b) more rights and facilitation, results in </w:t>
            </w:r>
            <w:r>
              <w:rPr>
                <w:b/>
                <w:noProof/>
                <w:color w:val="000000"/>
                <w:sz w:val="18"/>
                <w:szCs w:val="18"/>
                <w:lang w:eastAsia="en-GB"/>
              </w:rPr>
              <w:t>lower numbers</w:t>
            </w:r>
            <w:r>
              <w:rPr>
                <w:noProof/>
                <w:color w:val="000000"/>
                <w:sz w:val="18"/>
                <w:szCs w:val="18"/>
                <w:lang w:eastAsia="en-GB"/>
              </w:rPr>
              <w:t xml:space="preserve"> but much </w:t>
            </w:r>
            <w:r>
              <w:rPr>
                <w:b/>
                <w:noProof/>
                <w:color w:val="000000"/>
                <w:sz w:val="18"/>
                <w:szCs w:val="18"/>
                <w:lang w:eastAsia="en-GB"/>
              </w:rPr>
              <w:t>enhanced attractiveness for an elite group of HSW</w:t>
            </w:r>
            <w:r>
              <w:rPr>
                <w:noProof/>
                <w:color w:val="000000"/>
                <w:sz w:val="18"/>
                <w:szCs w:val="18"/>
                <w:lang w:eastAsia="en-GB"/>
              </w:rPr>
              <w:t xml:space="preserve"> with much f</w:t>
            </w:r>
            <w:r>
              <w:rPr>
                <w:noProof/>
                <w:color w:val="000000"/>
                <w:sz w:val="18"/>
                <w:szCs w:val="18"/>
                <w:lang w:eastAsia="en-GB"/>
              </w:rPr>
              <w:t>acilitated intra-EU mobility, a permit with a standard validity of 3 years, facilitated long-term residence and family reunification. This would enhance the attractiveness and retention potential and increase the branding value of the Blue Card, but limite</w:t>
            </w:r>
            <w:r>
              <w:rPr>
                <w:noProof/>
                <w:color w:val="000000"/>
                <w:sz w:val="18"/>
                <w:szCs w:val="18"/>
                <w:lang w:eastAsia="en-GB"/>
              </w:rPr>
              <w:t>d to a small elite group, while the EU’s overall attractiveness would only be slightly improved.</w:t>
            </w:r>
          </w:p>
        </w:tc>
      </w:tr>
      <w:tr w:rsidR="007306CA">
        <w:trPr>
          <w:trHeight w:val="74"/>
        </w:trPr>
        <w:tc>
          <w:tcPr>
            <w:tcW w:w="2860" w:type="dxa"/>
            <w:gridSpan w:val="2"/>
            <w:tcBorders>
              <w:top w:val="nil"/>
              <w:left w:val="single" w:sz="4" w:space="0" w:color="auto"/>
              <w:bottom w:val="single" w:sz="4" w:space="0" w:color="auto"/>
              <w:right w:val="single" w:sz="4" w:space="0" w:color="auto"/>
            </w:tcBorders>
            <w:shd w:val="clear" w:color="auto" w:fill="auto"/>
            <w:vAlign w:val="center"/>
            <w:hideMark/>
          </w:tcPr>
          <w:p w:rsidR="007306CA" w:rsidRDefault="007306CA">
            <w:pPr>
              <w:spacing w:after="120"/>
              <w:rPr>
                <w:noProof/>
                <w:color w:val="000000"/>
                <w:sz w:val="18"/>
                <w:szCs w:val="18"/>
                <w:lang w:eastAsia="en-GB"/>
              </w:rPr>
            </w:pPr>
          </w:p>
          <w:p w:rsidR="007306CA" w:rsidRDefault="007306CA">
            <w:pPr>
              <w:spacing w:after="120"/>
              <w:rPr>
                <w:noProof/>
                <w:color w:val="000000"/>
                <w:sz w:val="18"/>
                <w:szCs w:val="18"/>
                <w:lang w:eastAsia="en-GB"/>
              </w:rPr>
            </w:pPr>
          </w:p>
          <w:p w:rsidR="007306CA" w:rsidRDefault="00576025">
            <w:pPr>
              <w:spacing w:after="120"/>
              <w:rPr>
                <w:noProof/>
                <w:color w:val="000000"/>
                <w:sz w:val="18"/>
                <w:szCs w:val="18"/>
                <w:lang w:eastAsia="en-GB"/>
              </w:rPr>
            </w:pPr>
            <w:r>
              <w:rPr>
                <w:noProof/>
                <w:color w:val="000000"/>
                <w:sz w:val="18"/>
                <w:szCs w:val="18"/>
                <w:lang w:eastAsia="en-GB"/>
              </w:rPr>
              <w:t>GO2: improve ability to respond to demands for highly skilled TCNs and offset skill shortages by enhancing the inflows, occupational and geographical (intra</w:t>
            </w:r>
            <w:r>
              <w:rPr>
                <w:noProof/>
                <w:color w:val="000000"/>
                <w:sz w:val="18"/>
                <w:szCs w:val="18"/>
                <w:lang w:eastAsia="en-GB"/>
              </w:rPr>
              <w:t>-EU) mobility), and to promote efficient (re)allocation on EU labour market; SO5: ensure more flexible intra-EU mobility, removing unnecessary barriers, more efficient allocation of highly skilled TCNs in EU</w:t>
            </w:r>
          </w:p>
        </w:tc>
        <w:tc>
          <w:tcPr>
            <w:tcW w:w="543" w:type="dxa"/>
            <w:tcBorders>
              <w:top w:val="nil"/>
              <w:left w:val="nil"/>
              <w:bottom w:val="single" w:sz="4" w:space="0" w:color="auto"/>
              <w:right w:val="single" w:sz="4" w:space="0" w:color="auto"/>
            </w:tcBorders>
            <w:shd w:val="clear" w:color="auto" w:fill="auto"/>
            <w:vAlign w:val="center"/>
            <w:hideMark/>
          </w:tcPr>
          <w:p w:rsidR="007306CA" w:rsidRDefault="00576025">
            <w:pPr>
              <w:spacing w:after="120"/>
              <w:rPr>
                <w:noProof/>
                <w:color w:val="000000"/>
                <w:sz w:val="18"/>
                <w:szCs w:val="18"/>
                <w:lang w:eastAsia="en-GB"/>
              </w:rPr>
            </w:pPr>
            <w:r>
              <w:rPr>
                <w:noProof/>
                <w:color w:val="000000"/>
                <w:sz w:val="18"/>
                <w:szCs w:val="18"/>
                <w:lang w:eastAsia="en-GB"/>
              </w:rPr>
              <w:t>+1</w:t>
            </w:r>
          </w:p>
        </w:tc>
        <w:tc>
          <w:tcPr>
            <w:tcW w:w="6521" w:type="dxa"/>
            <w:tcBorders>
              <w:top w:val="nil"/>
              <w:left w:val="nil"/>
              <w:bottom w:val="single" w:sz="4" w:space="0" w:color="auto"/>
              <w:right w:val="single" w:sz="4" w:space="0" w:color="auto"/>
            </w:tcBorders>
            <w:shd w:val="clear" w:color="auto" w:fill="auto"/>
            <w:vAlign w:val="center"/>
            <w:hideMark/>
          </w:tcPr>
          <w:p w:rsidR="007306CA" w:rsidRDefault="00576025">
            <w:pPr>
              <w:spacing w:after="120"/>
              <w:ind w:firstLine="113"/>
              <w:rPr>
                <w:noProof/>
                <w:color w:val="000000"/>
                <w:sz w:val="18"/>
                <w:szCs w:val="18"/>
                <w:lang w:eastAsia="en-GB"/>
              </w:rPr>
            </w:pPr>
            <w:r>
              <w:rPr>
                <w:noProof/>
                <w:color w:val="000000"/>
                <w:sz w:val="18"/>
                <w:szCs w:val="18"/>
                <w:lang w:eastAsia="en-GB"/>
              </w:rPr>
              <w:t>This option would not constitute a significan</w:t>
            </w:r>
            <w:r>
              <w:rPr>
                <w:noProof/>
                <w:color w:val="000000"/>
                <w:sz w:val="18"/>
                <w:szCs w:val="18"/>
                <w:lang w:eastAsia="en-GB"/>
              </w:rPr>
              <w:t>t improvement in the EU’s ability to effectively and promptly respond to demands for HSW and to skill shortages as it would only have a limited reach and current parallel schemes would remain unaltered for most HSW.</w:t>
            </w:r>
          </w:p>
          <w:p w:rsidR="007306CA" w:rsidRDefault="00576025">
            <w:pPr>
              <w:spacing w:after="120"/>
              <w:ind w:firstLine="113"/>
              <w:rPr>
                <w:noProof/>
                <w:color w:val="000000"/>
                <w:sz w:val="18"/>
                <w:szCs w:val="18"/>
                <w:lang w:eastAsia="en-GB"/>
              </w:rPr>
            </w:pPr>
            <w:r>
              <w:rPr>
                <w:noProof/>
                <w:color w:val="000000"/>
                <w:sz w:val="18"/>
                <w:szCs w:val="18"/>
                <w:lang w:eastAsia="en-GB"/>
              </w:rPr>
              <w:t>Only for a limited elite subgroup of the</w:t>
            </w:r>
            <w:r>
              <w:rPr>
                <w:noProof/>
                <w:color w:val="000000"/>
                <w:sz w:val="18"/>
                <w:szCs w:val="18"/>
                <w:lang w:eastAsia="en-GB"/>
              </w:rPr>
              <w:t xml:space="preserve"> most HSW there would be a significant improvement in their possibilities for occupational and intra-EU mobility. The positive impact would be limited to addressing very specific shortages in high-earning occupations. At the same time, while facilitation w</w:t>
            </w:r>
            <w:r>
              <w:rPr>
                <w:noProof/>
                <w:color w:val="000000"/>
                <w:sz w:val="18"/>
                <w:szCs w:val="18"/>
                <w:lang w:eastAsia="en-GB"/>
              </w:rPr>
              <w:t xml:space="preserve">ould certainly simplify and speed things up, in practice the occupational and intra-EU mobility of the elite very HSW is not likely to be limited by salary or qualification constraints. </w:t>
            </w:r>
          </w:p>
          <w:p w:rsidR="007306CA" w:rsidRDefault="00576025">
            <w:pPr>
              <w:spacing w:after="120"/>
              <w:ind w:firstLine="113"/>
              <w:rPr>
                <w:noProof/>
                <w:color w:val="000000"/>
                <w:sz w:val="18"/>
                <w:szCs w:val="18"/>
                <w:lang w:eastAsia="en-GB"/>
              </w:rPr>
            </w:pPr>
            <w:r>
              <w:rPr>
                <w:noProof/>
                <w:color w:val="000000"/>
                <w:sz w:val="18"/>
                <w:szCs w:val="18"/>
                <w:lang w:eastAsia="en-GB"/>
              </w:rPr>
              <w:t>This option would not constitute a significant improvement in the EU’</w:t>
            </w:r>
            <w:r>
              <w:rPr>
                <w:noProof/>
                <w:color w:val="000000"/>
                <w:sz w:val="18"/>
                <w:szCs w:val="18"/>
                <w:lang w:eastAsia="en-GB"/>
              </w:rPr>
              <w:t>s ability to effectively and promptly respond to demands for HSW and to skill shortages as it would only have a limited reach and current parallel schemes would remain unaltered for most HSW.</w:t>
            </w:r>
          </w:p>
          <w:p w:rsidR="007306CA" w:rsidRDefault="00576025">
            <w:pPr>
              <w:spacing w:after="120"/>
              <w:ind w:firstLine="113"/>
              <w:rPr>
                <w:noProof/>
                <w:color w:val="000000"/>
                <w:sz w:val="18"/>
                <w:szCs w:val="18"/>
                <w:lang w:eastAsia="en-GB"/>
              </w:rPr>
            </w:pPr>
            <w:r>
              <w:rPr>
                <w:noProof/>
                <w:color w:val="000000"/>
                <w:sz w:val="18"/>
                <w:szCs w:val="18"/>
                <w:lang w:eastAsia="en-GB"/>
              </w:rPr>
              <w:t>Only for a limited elite subgroup of the most HSW there would be</w:t>
            </w:r>
            <w:r>
              <w:rPr>
                <w:noProof/>
                <w:color w:val="000000"/>
                <w:sz w:val="18"/>
                <w:szCs w:val="18"/>
                <w:lang w:eastAsia="en-GB"/>
              </w:rPr>
              <w:t xml:space="preserve"> a significant improvement in their possibilities for occupational and intra-EU mobility. The </w:t>
            </w:r>
            <w:r>
              <w:rPr>
                <w:b/>
                <w:noProof/>
                <w:color w:val="000000"/>
                <w:sz w:val="18"/>
                <w:szCs w:val="18"/>
                <w:lang w:eastAsia="en-GB"/>
              </w:rPr>
              <w:t>positive impact</w:t>
            </w:r>
            <w:r>
              <w:rPr>
                <w:noProof/>
                <w:color w:val="000000"/>
                <w:sz w:val="18"/>
                <w:szCs w:val="18"/>
                <w:lang w:eastAsia="en-GB"/>
              </w:rPr>
              <w:t xml:space="preserve"> would be </w:t>
            </w:r>
            <w:r>
              <w:rPr>
                <w:b/>
                <w:noProof/>
                <w:color w:val="000000"/>
                <w:sz w:val="18"/>
                <w:szCs w:val="18"/>
                <w:lang w:eastAsia="en-GB"/>
              </w:rPr>
              <w:t>limited to addressing very specific shortages in high-earning occupations</w:t>
            </w:r>
            <w:r>
              <w:rPr>
                <w:noProof/>
                <w:color w:val="000000"/>
                <w:sz w:val="18"/>
                <w:szCs w:val="18"/>
                <w:lang w:eastAsia="en-GB"/>
              </w:rPr>
              <w:t xml:space="preserve">. </w:t>
            </w:r>
          </w:p>
        </w:tc>
      </w:tr>
      <w:tr w:rsidR="007306CA">
        <w:trPr>
          <w:trHeight w:val="74"/>
        </w:trPr>
        <w:tc>
          <w:tcPr>
            <w:tcW w:w="2860" w:type="dxa"/>
            <w:gridSpan w:val="2"/>
            <w:tcBorders>
              <w:top w:val="nil"/>
              <w:left w:val="single" w:sz="4" w:space="0" w:color="auto"/>
              <w:bottom w:val="single" w:sz="4" w:space="0" w:color="auto"/>
              <w:right w:val="single" w:sz="4" w:space="0" w:color="auto"/>
            </w:tcBorders>
            <w:shd w:val="clear" w:color="auto" w:fill="auto"/>
            <w:vAlign w:val="center"/>
            <w:hideMark/>
          </w:tcPr>
          <w:p w:rsidR="007306CA" w:rsidRDefault="00576025">
            <w:pPr>
              <w:spacing w:after="120"/>
              <w:rPr>
                <w:noProof/>
                <w:color w:val="000000"/>
                <w:sz w:val="18"/>
                <w:szCs w:val="18"/>
                <w:lang w:eastAsia="en-GB"/>
              </w:rPr>
            </w:pPr>
            <w:r>
              <w:rPr>
                <w:noProof/>
                <w:color w:val="000000"/>
                <w:sz w:val="18"/>
                <w:szCs w:val="18"/>
                <w:lang w:eastAsia="en-GB"/>
              </w:rPr>
              <w:t xml:space="preserve">SO1: create a coherent, efficient and effective common </w:t>
            </w:r>
            <w:r>
              <w:rPr>
                <w:noProof/>
                <w:color w:val="000000"/>
                <w:sz w:val="18"/>
                <w:szCs w:val="18"/>
                <w:lang w:eastAsia="en-GB"/>
              </w:rPr>
              <w:t>immigration system for highly skilled TCNs</w:t>
            </w:r>
          </w:p>
        </w:tc>
        <w:tc>
          <w:tcPr>
            <w:tcW w:w="543" w:type="dxa"/>
            <w:tcBorders>
              <w:top w:val="nil"/>
              <w:left w:val="nil"/>
              <w:bottom w:val="single" w:sz="4" w:space="0" w:color="auto"/>
              <w:right w:val="single" w:sz="4" w:space="0" w:color="auto"/>
            </w:tcBorders>
            <w:shd w:val="clear" w:color="auto" w:fill="auto"/>
            <w:vAlign w:val="center"/>
            <w:hideMark/>
          </w:tcPr>
          <w:p w:rsidR="007306CA" w:rsidRDefault="00576025">
            <w:pPr>
              <w:spacing w:after="120"/>
              <w:rPr>
                <w:noProof/>
                <w:color w:val="000000"/>
                <w:sz w:val="18"/>
                <w:szCs w:val="18"/>
                <w:lang w:eastAsia="en-GB"/>
              </w:rPr>
            </w:pPr>
            <w:r>
              <w:rPr>
                <w:noProof/>
                <w:color w:val="000000"/>
                <w:sz w:val="18"/>
                <w:szCs w:val="18"/>
                <w:lang w:eastAsia="en-GB"/>
              </w:rPr>
              <w:t>+1</w:t>
            </w:r>
          </w:p>
        </w:tc>
        <w:tc>
          <w:tcPr>
            <w:tcW w:w="6521" w:type="dxa"/>
            <w:tcBorders>
              <w:top w:val="nil"/>
              <w:left w:val="nil"/>
              <w:bottom w:val="single" w:sz="4" w:space="0" w:color="auto"/>
              <w:right w:val="single" w:sz="4" w:space="0" w:color="auto"/>
            </w:tcBorders>
            <w:shd w:val="clear" w:color="auto" w:fill="auto"/>
            <w:vAlign w:val="center"/>
            <w:hideMark/>
          </w:tcPr>
          <w:p w:rsidR="007306CA" w:rsidRDefault="00576025">
            <w:pPr>
              <w:spacing w:after="120"/>
              <w:ind w:firstLine="113"/>
              <w:rPr>
                <w:noProof/>
                <w:color w:val="000000"/>
                <w:sz w:val="18"/>
                <w:szCs w:val="18"/>
                <w:lang w:eastAsia="en-GB"/>
              </w:rPr>
            </w:pPr>
            <w:r>
              <w:rPr>
                <w:noProof/>
                <w:color w:val="000000"/>
                <w:sz w:val="18"/>
                <w:szCs w:val="18"/>
                <w:lang w:eastAsia="en-GB"/>
              </w:rPr>
              <w:t xml:space="preserve">By focussing on a select subsection of the HSW, this policy option would introduce a significantly more harmonised and streamlined EU-level Blue Card but only for the elite – thus a limited number of - HSW. As </w:t>
            </w:r>
            <w:r>
              <w:rPr>
                <w:noProof/>
                <w:color w:val="000000"/>
                <w:sz w:val="18"/>
                <w:szCs w:val="18"/>
                <w:lang w:eastAsia="en-GB"/>
              </w:rPr>
              <w:t xml:space="preserve">regards non-elite HSW, this option would </w:t>
            </w:r>
            <w:r>
              <w:rPr>
                <w:b/>
                <w:noProof/>
                <w:color w:val="000000"/>
                <w:sz w:val="18"/>
                <w:szCs w:val="18"/>
                <w:lang w:eastAsia="en-GB"/>
              </w:rPr>
              <w:t>not address the current fragmentation of the legal framework</w:t>
            </w:r>
            <w:r>
              <w:rPr>
                <w:noProof/>
                <w:color w:val="000000"/>
                <w:sz w:val="18"/>
                <w:szCs w:val="18"/>
                <w:lang w:eastAsia="en-GB"/>
              </w:rPr>
              <w:t xml:space="preserve"> since national parallel schemes would (necessarily) remain in place (to be able to reach non-elite HSW).. As a result, the overall coherence, clarity and </w:t>
            </w:r>
            <w:r>
              <w:rPr>
                <w:noProof/>
                <w:color w:val="000000"/>
                <w:sz w:val="18"/>
                <w:szCs w:val="18"/>
                <w:lang w:eastAsia="en-GB"/>
              </w:rPr>
              <w:t xml:space="preserve">efficiency would not improve much and a smaller section of the migration flows would be covered by a common policy. </w:t>
            </w:r>
          </w:p>
        </w:tc>
      </w:tr>
      <w:tr w:rsidR="007306CA">
        <w:trPr>
          <w:trHeight w:val="300"/>
        </w:trPr>
        <w:tc>
          <w:tcPr>
            <w:tcW w:w="9924" w:type="dxa"/>
            <w:gridSpan w:val="4"/>
            <w:tcBorders>
              <w:top w:val="single" w:sz="4" w:space="0" w:color="auto"/>
              <w:left w:val="single" w:sz="4" w:space="0" w:color="auto"/>
              <w:bottom w:val="single" w:sz="4" w:space="0" w:color="auto"/>
              <w:right w:val="single" w:sz="4" w:space="0" w:color="auto"/>
            </w:tcBorders>
            <w:shd w:val="clear" w:color="000000" w:fill="C5D9F1"/>
            <w:vAlign w:val="center"/>
            <w:hideMark/>
          </w:tcPr>
          <w:p w:rsidR="007306CA" w:rsidRDefault="00576025">
            <w:pPr>
              <w:spacing w:after="0"/>
              <w:jc w:val="left"/>
              <w:rPr>
                <w:b/>
                <w:bCs/>
                <w:noProof/>
                <w:color w:val="000000"/>
                <w:sz w:val="18"/>
                <w:szCs w:val="18"/>
                <w:lang w:eastAsia="en-GB"/>
              </w:rPr>
            </w:pPr>
            <w:r>
              <w:rPr>
                <w:b/>
                <w:bCs/>
                <w:noProof/>
                <w:color w:val="000000"/>
                <w:sz w:val="18"/>
                <w:szCs w:val="18"/>
                <w:lang w:eastAsia="en-GB"/>
              </w:rPr>
              <w:t>Expected impacts</w:t>
            </w:r>
          </w:p>
        </w:tc>
      </w:tr>
      <w:tr w:rsidR="007306CA">
        <w:trPr>
          <w:trHeight w:val="300"/>
        </w:trPr>
        <w:tc>
          <w:tcPr>
            <w:tcW w:w="992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306CA" w:rsidRDefault="00576025">
            <w:pPr>
              <w:spacing w:after="0"/>
              <w:jc w:val="left"/>
              <w:rPr>
                <w:b/>
                <w:bCs/>
                <w:noProof/>
                <w:color w:val="000000"/>
                <w:sz w:val="18"/>
                <w:szCs w:val="18"/>
                <w:lang w:eastAsia="en-GB"/>
              </w:rPr>
            </w:pPr>
            <w:r>
              <w:rPr>
                <w:b/>
                <w:bCs/>
                <w:noProof/>
                <w:color w:val="000000"/>
                <w:sz w:val="18"/>
                <w:szCs w:val="18"/>
                <w:lang w:eastAsia="en-GB"/>
              </w:rPr>
              <w:t>Economic impacts</w:t>
            </w:r>
          </w:p>
        </w:tc>
      </w:tr>
      <w:tr w:rsidR="007306CA">
        <w:trPr>
          <w:trHeight w:val="2121"/>
        </w:trPr>
        <w:tc>
          <w:tcPr>
            <w:tcW w:w="2860" w:type="dxa"/>
            <w:gridSpan w:val="2"/>
            <w:tcBorders>
              <w:top w:val="nil"/>
              <w:left w:val="single" w:sz="4" w:space="0" w:color="auto"/>
              <w:bottom w:val="single" w:sz="4" w:space="0" w:color="auto"/>
              <w:right w:val="single" w:sz="4" w:space="0" w:color="auto"/>
            </w:tcBorders>
            <w:shd w:val="clear" w:color="auto" w:fill="auto"/>
            <w:vAlign w:val="center"/>
            <w:hideMark/>
          </w:tcPr>
          <w:p w:rsidR="007306CA" w:rsidRDefault="00576025">
            <w:pPr>
              <w:spacing w:after="0"/>
              <w:rPr>
                <w:noProof/>
                <w:color w:val="000000"/>
                <w:sz w:val="18"/>
                <w:szCs w:val="18"/>
                <w:lang w:eastAsia="en-GB"/>
              </w:rPr>
            </w:pPr>
            <w:r>
              <w:rPr>
                <w:noProof/>
                <w:color w:val="000000"/>
                <w:sz w:val="18"/>
                <w:szCs w:val="18"/>
                <w:lang w:eastAsia="en-GB"/>
              </w:rPr>
              <w:t>- Impact on growth and competitiveness</w:t>
            </w:r>
          </w:p>
        </w:tc>
        <w:tc>
          <w:tcPr>
            <w:tcW w:w="543" w:type="dxa"/>
            <w:tcBorders>
              <w:top w:val="nil"/>
              <w:left w:val="nil"/>
              <w:bottom w:val="single" w:sz="4" w:space="0" w:color="auto"/>
              <w:right w:val="single" w:sz="4" w:space="0" w:color="auto"/>
            </w:tcBorders>
            <w:shd w:val="clear" w:color="auto" w:fill="auto"/>
            <w:vAlign w:val="center"/>
            <w:hideMark/>
          </w:tcPr>
          <w:p w:rsidR="007306CA" w:rsidRDefault="00576025">
            <w:pPr>
              <w:spacing w:after="0"/>
              <w:rPr>
                <w:noProof/>
                <w:color w:val="000000"/>
                <w:sz w:val="18"/>
                <w:szCs w:val="18"/>
                <w:lang w:eastAsia="en-GB"/>
              </w:rPr>
            </w:pPr>
            <w:r>
              <w:rPr>
                <w:noProof/>
                <w:color w:val="000000"/>
                <w:sz w:val="18"/>
                <w:szCs w:val="18"/>
                <w:lang w:eastAsia="en-GB"/>
              </w:rPr>
              <w:t>-1/0</w:t>
            </w:r>
          </w:p>
        </w:tc>
        <w:tc>
          <w:tcPr>
            <w:tcW w:w="6521" w:type="dxa"/>
            <w:tcBorders>
              <w:top w:val="nil"/>
              <w:left w:val="nil"/>
              <w:bottom w:val="single" w:sz="4" w:space="0" w:color="auto"/>
              <w:right w:val="single" w:sz="4" w:space="0" w:color="auto"/>
            </w:tcBorders>
            <w:shd w:val="clear" w:color="auto" w:fill="auto"/>
            <w:vAlign w:val="center"/>
            <w:hideMark/>
          </w:tcPr>
          <w:p w:rsidR="007306CA" w:rsidRDefault="00576025">
            <w:pPr>
              <w:spacing w:after="120"/>
              <w:rPr>
                <w:noProof/>
                <w:color w:val="000000"/>
                <w:sz w:val="18"/>
                <w:szCs w:val="18"/>
                <w:lang w:eastAsia="en-GB"/>
              </w:rPr>
            </w:pPr>
            <w:r>
              <w:rPr>
                <w:b/>
                <w:bCs/>
                <w:noProof/>
                <w:color w:val="000000"/>
                <w:sz w:val="18"/>
                <w:szCs w:val="18"/>
                <w:lang w:eastAsia="en-GB"/>
              </w:rPr>
              <w:t xml:space="preserve">Estimated economic impact: min. -€ 0.4 billion (less than </w:t>
            </w:r>
            <w:r>
              <w:rPr>
                <w:b/>
                <w:bCs/>
                <w:noProof/>
                <w:color w:val="000000"/>
                <w:sz w:val="18"/>
                <w:szCs w:val="18"/>
                <w:lang w:eastAsia="en-GB"/>
              </w:rPr>
              <w:t>baseline) to max. € 0.7 billion</w:t>
            </w:r>
          </w:p>
          <w:p w:rsidR="007306CA" w:rsidRDefault="00576025">
            <w:pPr>
              <w:spacing w:after="120"/>
              <w:rPr>
                <w:b/>
                <w:noProof/>
                <w:color w:val="000000"/>
                <w:sz w:val="18"/>
                <w:szCs w:val="18"/>
                <w:lang w:eastAsia="en-GB"/>
              </w:rPr>
            </w:pPr>
            <w:r>
              <w:rPr>
                <w:noProof/>
                <w:color w:val="000000"/>
                <w:sz w:val="18"/>
                <w:szCs w:val="18"/>
                <w:lang w:eastAsia="en-GB"/>
              </w:rPr>
              <w:t>A positive economic impact would accrue from additional HSW coming to and working within the EU. A (theoretical) negative economic impact would also be possible if all Member States would set the salary threshold at the highest level (1.7). However, this w</w:t>
            </w:r>
            <w:r>
              <w:rPr>
                <w:noProof/>
                <w:color w:val="000000"/>
                <w:sz w:val="18"/>
                <w:szCs w:val="18"/>
                <w:lang w:eastAsia="en-GB"/>
              </w:rPr>
              <w:t xml:space="preserve">ould be offset by the possibility for those excluded HSW to still come under the parallel national schemes. Overall as this sub-option would only target the most HSW, the </w:t>
            </w:r>
            <w:r>
              <w:rPr>
                <w:b/>
                <w:noProof/>
                <w:color w:val="000000"/>
                <w:sz w:val="18"/>
                <w:szCs w:val="18"/>
                <w:lang w:eastAsia="en-GB"/>
              </w:rPr>
              <w:t>positive impact on economic output</w:t>
            </w:r>
            <w:r>
              <w:rPr>
                <w:noProof/>
                <w:color w:val="000000"/>
                <w:sz w:val="18"/>
                <w:szCs w:val="18"/>
                <w:lang w:eastAsia="en-GB"/>
              </w:rPr>
              <w:t xml:space="preserve"> through higher numbers of HSW and filling highly s</w:t>
            </w:r>
            <w:r>
              <w:rPr>
                <w:noProof/>
                <w:color w:val="000000"/>
                <w:sz w:val="18"/>
                <w:szCs w:val="18"/>
                <w:lang w:eastAsia="en-GB"/>
              </w:rPr>
              <w:t xml:space="preserve">killed shortages occupations, would be </w:t>
            </w:r>
            <w:r>
              <w:rPr>
                <w:b/>
                <w:noProof/>
                <w:color w:val="000000"/>
                <w:sz w:val="18"/>
                <w:szCs w:val="18"/>
                <w:lang w:eastAsia="en-GB"/>
              </w:rPr>
              <w:t xml:space="preserve">limited. </w:t>
            </w:r>
          </w:p>
          <w:p w:rsidR="007306CA" w:rsidRDefault="00576025">
            <w:pPr>
              <w:spacing w:after="120"/>
              <w:rPr>
                <w:noProof/>
                <w:color w:val="000000"/>
                <w:sz w:val="18"/>
                <w:szCs w:val="18"/>
                <w:lang w:eastAsia="en-GB"/>
              </w:rPr>
            </w:pPr>
            <w:r>
              <w:rPr>
                <w:noProof/>
                <w:color w:val="000000"/>
                <w:sz w:val="18"/>
                <w:szCs w:val="18"/>
                <w:lang w:eastAsia="en-GB"/>
              </w:rPr>
              <w:t xml:space="preserve">However, </w:t>
            </w:r>
            <w:r>
              <w:rPr>
                <w:b/>
                <w:noProof/>
                <w:color w:val="000000"/>
                <w:sz w:val="18"/>
                <w:szCs w:val="18"/>
                <w:lang w:eastAsia="en-GB"/>
              </w:rPr>
              <w:t>improved intra-EU mobility would accrue economic benefits</w:t>
            </w:r>
            <w:r>
              <w:rPr>
                <w:noProof/>
                <w:color w:val="000000"/>
                <w:sz w:val="18"/>
                <w:szCs w:val="18"/>
                <w:lang w:eastAsia="en-GB"/>
              </w:rPr>
              <w:t xml:space="preserve"> from the increased productivity that is likely when HSW take a new job in a second Member State and the consequent improvement in allocation</w:t>
            </w:r>
            <w:r>
              <w:rPr>
                <w:noProof/>
                <w:color w:val="000000"/>
                <w:sz w:val="18"/>
                <w:szCs w:val="18"/>
                <w:lang w:eastAsia="en-GB"/>
              </w:rPr>
              <w:t xml:space="preserve"> of human resources. An assumed increase in annual salary upon moving to the second Member State would generate additional economic benefits.</w:t>
            </w:r>
          </w:p>
        </w:tc>
      </w:tr>
      <w:tr w:rsidR="007306CA">
        <w:trPr>
          <w:trHeight w:val="1324"/>
        </w:trPr>
        <w:tc>
          <w:tcPr>
            <w:tcW w:w="2860" w:type="dxa"/>
            <w:gridSpan w:val="2"/>
            <w:tcBorders>
              <w:top w:val="nil"/>
              <w:left w:val="single" w:sz="4" w:space="0" w:color="auto"/>
              <w:bottom w:val="single" w:sz="4" w:space="0" w:color="auto"/>
              <w:right w:val="single" w:sz="4" w:space="0" w:color="auto"/>
            </w:tcBorders>
            <w:shd w:val="clear" w:color="auto" w:fill="auto"/>
            <w:vAlign w:val="center"/>
            <w:hideMark/>
          </w:tcPr>
          <w:p w:rsidR="007306CA" w:rsidRDefault="00576025">
            <w:pPr>
              <w:spacing w:after="0"/>
              <w:rPr>
                <w:noProof/>
                <w:color w:val="000000"/>
                <w:sz w:val="18"/>
                <w:szCs w:val="18"/>
                <w:lang w:eastAsia="en-GB"/>
              </w:rPr>
            </w:pPr>
            <w:r>
              <w:rPr>
                <w:noProof/>
                <w:color w:val="000000"/>
                <w:sz w:val="18"/>
                <w:szCs w:val="18"/>
                <w:lang w:eastAsia="en-GB"/>
              </w:rPr>
              <w:t>- Impact on SMEs</w:t>
            </w:r>
          </w:p>
        </w:tc>
        <w:tc>
          <w:tcPr>
            <w:tcW w:w="543" w:type="dxa"/>
            <w:tcBorders>
              <w:top w:val="nil"/>
              <w:left w:val="nil"/>
              <w:bottom w:val="single" w:sz="4" w:space="0" w:color="auto"/>
              <w:right w:val="single" w:sz="4" w:space="0" w:color="auto"/>
            </w:tcBorders>
            <w:shd w:val="clear" w:color="auto" w:fill="auto"/>
            <w:vAlign w:val="center"/>
            <w:hideMark/>
          </w:tcPr>
          <w:p w:rsidR="007306CA" w:rsidRDefault="00576025">
            <w:pPr>
              <w:spacing w:after="0"/>
              <w:rPr>
                <w:noProof/>
                <w:color w:val="000000"/>
                <w:sz w:val="18"/>
                <w:szCs w:val="18"/>
                <w:lang w:eastAsia="en-GB"/>
              </w:rPr>
            </w:pPr>
            <w:r>
              <w:rPr>
                <w:noProof/>
                <w:color w:val="000000"/>
                <w:sz w:val="18"/>
                <w:szCs w:val="18"/>
                <w:lang w:eastAsia="en-GB"/>
              </w:rPr>
              <w:t>0</w:t>
            </w:r>
          </w:p>
        </w:tc>
        <w:tc>
          <w:tcPr>
            <w:tcW w:w="6521" w:type="dxa"/>
            <w:tcBorders>
              <w:top w:val="nil"/>
              <w:left w:val="nil"/>
              <w:bottom w:val="single" w:sz="4" w:space="0" w:color="auto"/>
              <w:right w:val="single" w:sz="4" w:space="0" w:color="auto"/>
            </w:tcBorders>
            <w:shd w:val="clear" w:color="auto" w:fill="auto"/>
            <w:vAlign w:val="center"/>
            <w:hideMark/>
          </w:tcPr>
          <w:p w:rsidR="007306CA" w:rsidRDefault="00576025">
            <w:pPr>
              <w:spacing w:after="120"/>
              <w:ind w:firstLine="113"/>
              <w:rPr>
                <w:noProof/>
                <w:color w:val="000000"/>
                <w:sz w:val="18"/>
                <w:szCs w:val="18"/>
                <w:lang w:eastAsia="en-GB"/>
              </w:rPr>
            </w:pPr>
            <w:r>
              <w:rPr>
                <w:noProof/>
                <w:color w:val="000000"/>
                <w:sz w:val="18"/>
                <w:szCs w:val="18"/>
                <w:lang w:eastAsia="en-GB"/>
              </w:rPr>
              <w:t xml:space="preserve">Similar to the description for POP2(a). However, the more limited scope to the most HSW would </w:t>
            </w:r>
            <w:r>
              <w:rPr>
                <w:b/>
                <w:noProof/>
                <w:color w:val="000000"/>
                <w:sz w:val="18"/>
                <w:szCs w:val="18"/>
                <w:lang w:eastAsia="en-GB"/>
              </w:rPr>
              <w:t>not substantially increase the pool of HSW</w:t>
            </w:r>
            <w:r>
              <w:rPr>
                <w:noProof/>
                <w:color w:val="000000"/>
                <w:sz w:val="18"/>
                <w:szCs w:val="18"/>
                <w:lang w:eastAsia="en-GB"/>
              </w:rPr>
              <w:t xml:space="preserve"> within the EU and SMEs would benefit less as their access to this exclusive labour force would be limited. Elite HSW also have higher salaries that are often out of reach for SMEs.</w:t>
            </w:r>
          </w:p>
          <w:p w:rsidR="007306CA" w:rsidRDefault="00576025">
            <w:pPr>
              <w:spacing w:after="120"/>
              <w:ind w:firstLine="113"/>
              <w:rPr>
                <w:noProof/>
                <w:color w:val="000000"/>
                <w:sz w:val="18"/>
                <w:szCs w:val="18"/>
                <w:lang w:eastAsia="en-GB"/>
              </w:rPr>
            </w:pPr>
            <w:r>
              <w:rPr>
                <w:noProof/>
                <w:color w:val="000000"/>
                <w:sz w:val="18"/>
                <w:szCs w:val="18"/>
                <w:lang w:eastAsia="en-GB"/>
              </w:rPr>
              <w:t>Further facilitated mobility wou</w:t>
            </w:r>
            <w:r>
              <w:rPr>
                <w:noProof/>
                <w:color w:val="000000"/>
                <w:sz w:val="18"/>
                <w:szCs w:val="18"/>
                <w:lang w:eastAsia="en-GB"/>
              </w:rPr>
              <w:t xml:space="preserve">ld have a </w:t>
            </w:r>
            <w:r>
              <w:rPr>
                <w:b/>
                <w:noProof/>
                <w:color w:val="000000"/>
                <w:sz w:val="18"/>
                <w:szCs w:val="18"/>
                <w:lang w:eastAsia="en-GB"/>
              </w:rPr>
              <w:t>neutral to slightly positive impact</w:t>
            </w:r>
            <w:r>
              <w:rPr>
                <w:noProof/>
                <w:color w:val="000000"/>
                <w:sz w:val="18"/>
                <w:szCs w:val="18"/>
                <w:lang w:eastAsia="en-GB"/>
              </w:rPr>
              <w:t xml:space="preserve"> with respect to the challenges faced by SME.</w:t>
            </w:r>
          </w:p>
        </w:tc>
      </w:tr>
      <w:tr w:rsidR="007306CA">
        <w:trPr>
          <w:trHeight w:val="1126"/>
        </w:trPr>
        <w:tc>
          <w:tcPr>
            <w:tcW w:w="2860" w:type="dxa"/>
            <w:gridSpan w:val="2"/>
            <w:tcBorders>
              <w:top w:val="nil"/>
              <w:left w:val="single" w:sz="4" w:space="0" w:color="auto"/>
              <w:bottom w:val="single" w:sz="4" w:space="0" w:color="auto"/>
              <w:right w:val="single" w:sz="4" w:space="0" w:color="auto"/>
            </w:tcBorders>
            <w:shd w:val="clear" w:color="auto" w:fill="auto"/>
            <w:vAlign w:val="center"/>
            <w:hideMark/>
          </w:tcPr>
          <w:p w:rsidR="007306CA" w:rsidRDefault="00576025">
            <w:pPr>
              <w:spacing w:after="0"/>
              <w:rPr>
                <w:noProof/>
                <w:color w:val="000000"/>
                <w:sz w:val="18"/>
                <w:szCs w:val="18"/>
                <w:lang w:eastAsia="en-GB"/>
              </w:rPr>
            </w:pPr>
            <w:r>
              <w:rPr>
                <w:noProof/>
                <w:color w:val="000000"/>
                <w:sz w:val="18"/>
                <w:szCs w:val="18"/>
                <w:lang w:eastAsia="en-GB"/>
              </w:rPr>
              <w:t xml:space="preserve">- Impact on innovation and research </w:t>
            </w:r>
          </w:p>
        </w:tc>
        <w:tc>
          <w:tcPr>
            <w:tcW w:w="543" w:type="dxa"/>
            <w:tcBorders>
              <w:top w:val="nil"/>
              <w:left w:val="nil"/>
              <w:bottom w:val="single" w:sz="4" w:space="0" w:color="auto"/>
              <w:right w:val="single" w:sz="4" w:space="0" w:color="auto"/>
            </w:tcBorders>
            <w:shd w:val="clear" w:color="auto" w:fill="auto"/>
            <w:vAlign w:val="center"/>
            <w:hideMark/>
          </w:tcPr>
          <w:p w:rsidR="007306CA" w:rsidRDefault="00576025">
            <w:pPr>
              <w:spacing w:after="0"/>
              <w:rPr>
                <w:noProof/>
                <w:color w:val="000000"/>
                <w:sz w:val="18"/>
                <w:szCs w:val="18"/>
                <w:lang w:eastAsia="en-GB"/>
              </w:rPr>
            </w:pPr>
            <w:r>
              <w:rPr>
                <w:noProof/>
                <w:color w:val="000000"/>
                <w:sz w:val="18"/>
                <w:szCs w:val="18"/>
                <w:lang w:eastAsia="en-GB"/>
              </w:rPr>
              <w:t>+1</w:t>
            </w:r>
          </w:p>
        </w:tc>
        <w:tc>
          <w:tcPr>
            <w:tcW w:w="6521" w:type="dxa"/>
            <w:tcBorders>
              <w:top w:val="nil"/>
              <w:left w:val="nil"/>
              <w:bottom w:val="single" w:sz="4" w:space="0" w:color="auto"/>
              <w:right w:val="single" w:sz="4" w:space="0" w:color="auto"/>
            </w:tcBorders>
            <w:shd w:val="clear" w:color="auto" w:fill="auto"/>
            <w:vAlign w:val="center"/>
            <w:hideMark/>
          </w:tcPr>
          <w:p w:rsidR="007306CA" w:rsidRDefault="00576025">
            <w:pPr>
              <w:spacing w:after="120"/>
              <w:ind w:firstLine="113"/>
              <w:rPr>
                <w:noProof/>
                <w:color w:val="000000"/>
                <w:sz w:val="18"/>
                <w:szCs w:val="18"/>
                <w:lang w:eastAsia="en-GB"/>
              </w:rPr>
            </w:pPr>
            <w:r>
              <w:rPr>
                <w:noProof/>
                <w:color w:val="000000"/>
                <w:sz w:val="18"/>
                <w:szCs w:val="18"/>
                <w:lang w:eastAsia="en-GB"/>
              </w:rPr>
              <w:t xml:space="preserve">Similar to the description for POP2(a). However, while the contribution of the most HSW to the EU’s innovation and research can be assumed to be higher per unit, the </w:t>
            </w:r>
            <w:r>
              <w:rPr>
                <w:b/>
                <w:noProof/>
                <w:color w:val="000000"/>
                <w:sz w:val="18"/>
                <w:szCs w:val="18"/>
                <w:lang w:eastAsia="en-GB"/>
              </w:rPr>
              <w:t>overall gain would remain limited</w:t>
            </w:r>
            <w:r>
              <w:rPr>
                <w:noProof/>
                <w:color w:val="000000"/>
                <w:sz w:val="18"/>
                <w:szCs w:val="18"/>
                <w:lang w:eastAsia="en-GB"/>
              </w:rPr>
              <w:t xml:space="preserve"> due to the limited increase in numbers compared to the b</w:t>
            </w:r>
            <w:r>
              <w:rPr>
                <w:noProof/>
                <w:color w:val="000000"/>
                <w:sz w:val="18"/>
                <w:szCs w:val="18"/>
                <w:lang w:eastAsia="en-GB"/>
              </w:rPr>
              <w:t xml:space="preserve">aseline scenario. Consequently, a </w:t>
            </w:r>
            <w:r>
              <w:rPr>
                <w:b/>
                <w:noProof/>
                <w:color w:val="000000"/>
                <w:sz w:val="18"/>
                <w:szCs w:val="18"/>
                <w:lang w:eastAsia="en-GB"/>
              </w:rPr>
              <w:t xml:space="preserve">neutral to slightly positive impact </w:t>
            </w:r>
            <w:r>
              <w:rPr>
                <w:noProof/>
                <w:color w:val="000000"/>
                <w:sz w:val="18"/>
                <w:szCs w:val="18"/>
                <w:lang w:eastAsia="en-GB"/>
              </w:rPr>
              <w:t>is likely due to increased attractiveness for the most highly skilled.</w:t>
            </w:r>
          </w:p>
        </w:tc>
      </w:tr>
      <w:tr w:rsidR="007306CA">
        <w:trPr>
          <w:trHeight w:val="300"/>
        </w:trPr>
        <w:tc>
          <w:tcPr>
            <w:tcW w:w="992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306CA" w:rsidRDefault="00576025">
            <w:pPr>
              <w:spacing w:after="0"/>
              <w:jc w:val="left"/>
              <w:rPr>
                <w:b/>
                <w:bCs/>
                <w:noProof/>
                <w:color w:val="000000"/>
                <w:sz w:val="18"/>
                <w:szCs w:val="18"/>
                <w:lang w:eastAsia="en-GB"/>
              </w:rPr>
            </w:pPr>
            <w:r>
              <w:rPr>
                <w:b/>
                <w:bCs/>
                <w:noProof/>
                <w:color w:val="000000"/>
                <w:sz w:val="18"/>
                <w:szCs w:val="18"/>
                <w:lang w:eastAsia="en-GB"/>
              </w:rPr>
              <w:t>Social impacts</w:t>
            </w:r>
          </w:p>
        </w:tc>
      </w:tr>
      <w:tr w:rsidR="007306CA">
        <w:trPr>
          <w:trHeight w:val="62"/>
        </w:trPr>
        <w:tc>
          <w:tcPr>
            <w:tcW w:w="2860" w:type="dxa"/>
            <w:gridSpan w:val="2"/>
            <w:tcBorders>
              <w:top w:val="nil"/>
              <w:left w:val="single" w:sz="4" w:space="0" w:color="auto"/>
              <w:bottom w:val="single" w:sz="4" w:space="0" w:color="auto"/>
              <w:right w:val="single" w:sz="4" w:space="0" w:color="auto"/>
            </w:tcBorders>
            <w:shd w:val="clear" w:color="auto" w:fill="auto"/>
            <w:vAlign w:val="center"/>
            <w:hideMark/>
          </w:tcPr>
          <w:p w:rsidR="007306CA" w:rsidRDefault="00576025">
            <w:pPr>
              <w:spacing w:after="120"/>
              <w:rPr>
                <w:rFonts w:ascii="Cambria" w:hAnsi="Cambria" w:cs="Calibri"/>
                <w:noProof/>
                <w:color w:val="000000"/>
                <w:sz w:val="18"/>
                <w:szCs w:val="18"/>
                <w:lang w:eastAsia="en-GB"/>
              </w:rPr>
            </w:pPr>
            <w:r>
              <w:rPr>
                <w:rFonts w:ascii="Cambria" w:hAnsi="Cambria" w:cs="Calibri"/>
                <w:noProof/>
                <w:color w:val="000000"/>
                <w:sz w:val="18"/>
                <w:szCs w:val="18"/>
                <w:lang w:eastAsia="en-GB"/>
              </w:rPr>
              <w:t>-</w:t>
            </w:r>
            <w:r>
              <w:rPr>
                <w:noProof/>
                <w:color w:val="000000"/>
                <w:sz w:val="14"/>
                <w:szCs w:val="14"/>
                <w:lang w:eastAsia="en-GB"/>
              </w:rPr>
              <w:t> </w:t>
            </w:r>
            <w:r>
              <w:rPr>
                <w:noProof/>
                <w:color w:val="000000"/>
                <w:sz w:val="18"/>
                <w:szCs w:val="18"/>
                <w:lang w:eastAsia="en-GB"/>
              </w:rPr>
              <w:t>Impact on EU citizens</w:t>
            </w:r>
          </w:p>
        </w:tc>
        <w:tc>
          <w:tcPr>
            <w:tcW w:w="543" w:type="dxa"/>
            <w:tcBorders>
              <w:top w:val="nil"/>
              <w:left w:val="nil"/>
              <w:bottom w:val="single" w:sz="4" w:space="0" w:color="auto"/>
              <w:right w:val="single" w:sz="4" w:space="0" w:color="auto"/>
            </w:tcBorders>
            <w:shd w:val="clear" w:color="auto" w:fill="auto"/>
            <w:vAlign w:val="center"/>
            <w:hideMark/>
          </w:tcPr>
          <w:p w:rsidR="007306CA" w:rsidRDefault="00576025">
            <w:pPr>
              <w:spacing w:after="120"/>
              <w:rPr>
                <w:noProof/>
                <w:color w:val="000000"/>
                <w:sz w:val="18"/>
                <w:szCs w:val="18"/>
                <w:lang w:eastAsia="en-GB"/>
              </w:rPr>
            </w:pPr>
            <w:r>
              <w:rPr>
                <w:noProof/>
                <w:color w:val="000000"/>
                <w:sz w:val="18"/>
                <w:szCs w:val="18"/>
                <w:lang w:eastAsia="en-GB"/>
              </w:rPr>
              <w:t>+1 </w:t>
            </w:r>
          </w:p>
        </w:tc>
        <w:tc>
          <w:tcPr>
            <w:tcW w:w="6521" w:type="dxa"/>
            <w:tcBorders>
              <w:top w:val="nil"/>
              <w:left w:val="nil"/>
              <w:bottom w:val="single" w:sz="4" w:space="0" w:color="auto"/>
              <w:right w:val="single" w:sz="4" w:space="0" w:color="auto"/>
            </w:tcBorders>
            <w:shd w:val="clear" w:color="auto" w:fill="auto"/>
            <w:vAlign w:val="center"/>
            <w:hideMark/>
          </w:tcPr>
          <w:p w:rsidR="007306CA" w:rsidRDefault="00576025">
            <w:pPr>
              <w:spacing w:after="120"/>
              <w:rPr>
                <w:noProof/>
                <w:color w:val="000000"/>
                <w:sz w:val="18"/>
                <w:szCs w:val="18"/>
                <w:lang w:eastAsia="en-GB"/>
              </w:rPr>
            </w:pPr>
            <w:r>
              <w:rPr>
                <w:noProof/>
                <w:color w:val="000000"/>
                <w:sz w:val="18"/>
                <w:szCs w:val="18"/>
                <w:lang w:eastAsia="en-GB"/>
              </w:rPr>
              <w:t>See POP2(a) with the following variations:</w:t>
            </w:r>
          </w:p>
          <w:p w:rsidR="007306CA" w:rsidRDefault="00576025">
            <w:pPr>
              <w:spacing w:after="120"/>
              <w:ind w:firstLine="113"/>
              <w:rPr>
                <w:noProof/>
                <w:color w:val="000000"/>
                <w:sz w:val="18"/>
                <w:szCs w:val="18"/>
                <w:lang w:eastAsia="en-GB"/>
              </w:rPr>
            </w:pPr>
            <w:r>
              <w:rPr>
                <w:noProof/>
                <w:color w:val="000000"/>
                <w:sz w:val="18"/>
                <w:szCs w:val="18"/>
                <w:lang w:eastAsia="en-GB"/>
              </w:rPr>
              <w:t xml:space="preserve">As this sub-option would only target a selected sub-group of the most HSW, the numbers of admitted HSW would be lower and less highly skilled shortage occupations would be filled. This would generate less indirect economic benefits for EU citizens. </w:t>
            </w:r>
          </w:p>
          <w:p w:rsidR="007306CA" w:rsidRDefault="00576025">
            <w:pPr>
              <w:spacing w:after="120"/>
              <w:ind w:firstLine="113"/>
              <w:rPr>
                <w:noProof/>
                <w:color w:val="000000"/>
                <w:sz w:val="18"/>
                <w:szCs w:val="18"/>
                <w:lang w:eastAsia="en-GB"/>
              </w:rPr>
            </w:pPr>
            <w:r>
              <w:rPr>
                <w:noProof/>
                <w:color w:val="000000"/>
                <w:sz w:val="18"/>
                <w:szCs w:val="18"/>
                <w:lang w:eastAsia="en-GB"/>
              </w:rPr>
              <w:t>Even i</w:t>
            </w:r>
            <w:r>
              <w:rPr>
                <w:noProof/>
                <w:color w:val="000000"/>
                <w:sz w:val="18"/>
                <w:szCs w:val="18"/>
                <w:lang w:eastAsia="en-GB"/>
              </w:rPr>
              <w:t xml:space="preserve">f labour market tests would be forbidden at first entry in this option, the numbers of the most HSW would be more limited and the </w:t>
            </w:r>
            <w:r>
              <w:rPr>
                <w:b/>
                <w:noProof/>
                <w:color w:val="000000"/>
                <w:sz w:val="18"/>
                <w:szCs w:val="18"/>
                <w:lang w:eastAsia="en-GB"/>
              </w:rPr>
              <w:t>potential displacement effect on EU workers</w:t>
            </w:r>
            <w:r>
              <w:rPr>
                <w:noProof/>
                <w:color w:val="000000"/>
                <w:sz w:val="18"/>
                <w:szCs w:val="18"/>
                <w:lang w:eastAsia="en-GB"/>
              </w:rPr>
              <w:t xml:space="preserve"> is expected to be </w:t>
            </w:r>
            <w:r>
              <w:rPr>
                <w:b/>
                <w:noProof/>
                <w:color w:val="000000"/>
                <w:sz w:val="18"/>
                <w:szCs w:val="18"/>
                <w:lang w:eastAsia="en-GB"/>
              </w:rPr>
              <w:t>limited.</w:t>
            </w:r>
            <w:r>
              <w:rPr>
                <w:noProof/>
                <w:color w:val="000000"/>
                <w:sz w:val="18"/>
                <w:szCs w:val="18"/>
                <w:lang w:eastAsia="en-GB"/>
              </w:rPr>
              <w:t xml:space="preserve"> In any case, it would not make a difference with the ba</w:t>
            </w:r>
            <w:r>
              <w:rPr>
                <w:noProof/>
                <w:color w:val="000000"/>
                <w:sz w:val="18"/>
                <w:szCs w:val="18"/>
                <w:lang w:eastAsia="en-GB"/>
              </w:rPr>
              <w:t>seline as this group is unlikely to face a rejection on those grounds.</w:t>
            </w:r>
          </w:p>
        </w:tc>
      </w:tr>
      <w:tr w:rsidR="007306CA">
        <w:trPr>
          <w:trHeight w:val="1801"/>
        </w:trPr>
        <w:tc>
          <w:tcPr>
            <w:tcW w:w="2860" w:type="dxa"/>
            <w:gridSpan w:val="2"/>
            <w:tcBorders>
              <w:top w:val="nil"/>
              <w:left w:val="single" w:sz="4" w:space="0" w:color="auto"/>
              <w:bottom w:val="single" w:sz="4" w:space="0" w:color="auto"/>
              <w:right w:val="single" w:sz="4" w:space="0" w:color="auto"/>
            </w:tcBorders>
            <w:shd w:val="clear" w:color="auto" w:fill="auto"/>
            <w:vAlign w:val="center"/>
            <w:hideMark/>
          </w:tcPr>
          <w:p w:rsidR="007306CA" w:rsidRDefault="00576025">
            <w:pPr>
              <w:spacing w:after="120"/>
              <w:rPr>
                <w:noProof/>
                <w:color w:val="000000"/>
                <w:sz w:val="18"/>
                <w:szCs w:val="18"/>
                <w:lang w:eastAsia="en-GB"/>
              </w:rPr>
            </w:pPr>
            <w:r>
              <w:rPr>
                <w:noProof/>
                <w:color w:val="000000"/>
                <w:sz w:val="18"/>
                <w:szCs w:val="18"/>
                <w:lang w:eastAsia="en-GB"/>
              </w:rPr>
              <w:t>- Impact on third country national HSW</w:t>
            </w:r>
          </w:p>
          <w:p w:rsidR="007306CA" w:rsidRDefault="007306CA">
            <w:pPr>
              <w:spacing w:after="120"/>
              <w:rPr>
                <w:noProof/>
                <w:color w:val="000000"/>
                <w:sz w:val="18"/>
                <w:szCs w:val="18"/>
                <w:lang w:eastAsia="en-GB"/>
              </w:rPr>
            </w:pPr>
          </w:p>
          <w:p w:rsidR="007306CA" w:rsidRDefault="00576025">
            <w:pPr>
              <w:spacing w:after="120"/>
              <w:rPr>
                <w:noProof/>
                <w:color w:val="000000"/>
                <w:sz w:val="18"/>
                <w:szCs w:val="18"/>
                <w:lang w:eastAsia="en-GB"/>
              </w:rPr>
            </w:pPr>
            <w:r>
              <w:rPr>
                <w:noProof/>
                <w:color w:val="000000"/>
                <w:sz w:val="18"/>
                <w:szCs w:val="18"/>
                <w:lang w:eastAsia="en-GB"/>
              </w:rPr>
              <w:t>- Impact on fundamental rights (Charter: art. 7, private and family life; art. 45(2), freedom of movement and of residence)</w:t>
            </w:r>
          </w:p>
        </w:tc>
        <w:tc>
          <w:tcPr>
            <w:tcW w:w="543" w:type="dxa"/>
            <w:tcBorders>
              <w:top w:val="nil"/>
              <w:left w:val="nil"/>
              <w:bottom w:val="single" w:sz="4" w:space="0" w:color="auto"/>
              <w:right w:val="single" w:sz="4" w:space="0" w:color="auto"/>
            </w:tcBorders>
            <w:shd w:val="clear" w:color="auto" w:fill="auto"/>
            <w:vAlign w:val="center"/>
            <w:hideMark/>
          </w:tcPr>
          <w:p w:rsidR="007306CA" w:rsidRDefault="00576025">
            <w:pPr>
              <w:spacing w:after="120"/>
              <w:rPr>
                <w:noProof/>
                <w:color w:val="000000"/>
                <w:sz w:val="18"/>
                <w:szCs w:val="18"/>
                <w:lang w:eastAsia="en-GB"/>
              </w:rPr>
            </w:pPr>
            <w:r>
              <w:rPr>
                <w:noProof/>
                <w:color w:val="000000"/>
                <w:sz w:val="18"/>
                <w:szCs w:val="18"/>
                <w:lang w:eastAsia="en-GB"/>
              </w:rPr>
              <w:t>+1</w:t>
            </w:r>
          </w:p>
        </w:tc>
        <w:tc>
          <w:tcPr>
            <w:tcW w:w="6521" w:type="dxa"/>
            <w:tcBorders>
              <w:top w:val="nil"/>
              <w:left w:val="nil"/>
              <w:bottom w:val="single" w:sz="4" w:space="0" w:color="auto"/>
              <w:right w:val="single" w:sz="4" w:space="0" w:color="auto"/>
            </w:tcBorders>
            <w:shd w:val="clear" w:color="auto" w:fill="auto"/>
            <w:vAlign w:val="center"/>
            <w:hideMark/>
          </w:tcPr>
          <w:p w:rsidR="007306CA" w:rsidRDefault="00576025">
            <w:pPr>
              <w:spacing w:after="120"/>
              <w:ind w:firstLine="113"/>
              <w:rPr>
                <w:b/>
                <w:noProof/>
                <w:color w:val="000000"/>
                <w:sz w:val="18"/>
                <w:szCs w:val="18"/>
                <w:lang w:eastAsia="en-GB"/>
              </w:rPr>
            </w:pPr>
            <w:r>
              <w:rPr>
                <w:noProof/>
                <w:color w:val="000000"/>
                <w:sz w:val="18"/>
                <w:szCs w:val="18"/>
                <w:lang w:eastAsia="en-GB"/>
              </w:rPr>
              <w:t xml:space="preserve">A more selective </w:t>
            </w:r>
            <w:r>
              <w:rPr>
                <w:noProof/>
                <w:color w:val="000000"/>
                <w:sz w:val="18"/>
                <w:szCs w:val="18"/>
                <w:lang w:eastAsia="en-GB"/>
              </w:rPr>
              <w:t>scope that focuses on the most HSW would reach fewer TCNs in quantitative terms, but parallel national schemes would still be allowed for those who do not reach the selective admission conditions. At the same time, for elite  HSW the actual possibilities t</w:t>
            </w:r>
            <w:r>
              <w:rPr>
                <w:noProof/>
                <w:color w:val="000000"/>
                <w:sz w:val="18"/>
                <w:szCs w:val="18"/>
                <w:lang w:eastAsia="en-GB"/>
              </w:rPr>
              <w:t xml:space="preserve">o enter the EU to seek career opportunities would not change much, as they are unlikely to be refused entry would also get access under most national schemes. </w:t>
            </w:r>
            <w:r>
              <w:rPr>
                <w:b/>
                <w:noProof/>
                <w:color w:val="000000"/>
                <w:sz w:val="18"/>
                <w:szCs w:val="18"/>
                <w:lang w:eastAsia="en-GB"/>
              </w:rPr>
              <w:t>Quantitative impact</w:t>
            </w:r>
            <w:r>
              <w:rPr>
                <w:noProof/>
                <w:color w:val="000000"/>
                <w:sz w:val="18"/>
                <w:szCs w:val="18"/>
                <w:lang w:eastAsia="en-GB"/>
              </w:rPr>
              <w:t xml:space="preserve"> would be </w:t>
            </w:r>
            <w:r>
              <w:rPr>
                <w:b/>
                <w:noProof/>
                <w:color w:val="000000"/>
                <w:sz w:val="18"/>
                <w:szCs w:val="18"/>
                <w:lang w:eastAsia="en-GB"/>
              </w:rPr>
              <w:t>limited.</w:t>
            </w:r>
          </w:p>
          <w:p w:rsidR="007306CA" w:rsidRDefault="00576025">
            <w:pPr>
              <w:spacing w:after="120"/>
              <w:ind w:firstLine="113"/>
              <w:rPr>
                <w:noProof/>
                <w:color w:val="000000"/>
                <w:sz w:val="18"/>
                <w:szCs w:val="18"/>
                <w:lang w:eastAsia="en-GB"/>
              </w:rPr>
            </w:pPr>
            <w:r>
              <w:rPr>
                <w:noProof/>
                <w:color w:val="000000"/>
                <w:sz w:val="18"/>
                <w:szCs w:val="18"/>
                <w:lang w:eastAsia="en-GB"/>
              </w:rPr>
              <w:t xml:space="preserve">However, in </w:t>
            </w:r>
            <w:r>
              <w:rPr>
                <w:b/>
                <w:noProof/>
                <w:color w:val="000000"/>
                <w:sz w:val="18"/>
                <w:szCs w:val="18"/>
                <w:lang w:eastAsia="en-GB"/>
              </w:rPr>
              <w:t>qualitative terms</w:t>
            </w:r>
            <w:r>
              <w:rPr>
                <w:noProof/>
                <w:color w:val="000000"/>
                <w:sz w:val="18"/>
                <w:szCs w:val="18"/>
                <w:lang w:eastAsia="en-GB"/>
              </w:rPr>
              <w:t xml:space="preserve"> there would be </w:t>
            </w:r>
            <w:r>
              <w:rPr>
                <w:b/>
                <w:noProof/>
                <w:color w:val="000000"/>
                <w:sz w:val="18"/>
                <w:szCs w:val="18"/>
                <w:lang w:eastAsia="en-GB"/>
              </w:rPr>
              <w:t>significant ga</w:t>
            </w:r>
            <w:r>
              <w:rPr>
                <w:b/>
                <w:noProof/>
                <w:color w:val="000000"/>
                <w:sz w:val="18"/>
                <w:szCs w:val="18"/>
                <w:lang w:eastAsia="en-GB"/>
              </w:rPr>
              <w:t>ins</w:t>
            </w:r>
            <w:r>
              <w:rPr>
                <w:noProof/>
                <w:color w:val="000000"/>
                <w:sz w:val="18"/>
                <w:szCs w:val="18"/>
                <w:lang w:eastAsia="en-GB"/>
              </w:rPr>
              <w:t xml:space="preserve"> compared to the baseline: a targeted better set of rights and </w:t>
            </w:r>
            <w:r>
              <w:rPr>
                <w:b/>
                <w:noProof/>
                <w:color w:val="000000"/>
                <w:sz w:val="18"/>
                <w:szCs w:val="18"/>
                <w:lang w:eastAsia="en-GB"/>
              </w:rPr>
              <w:t>improved intra-EU mobility</w:t>
            </w:r>
            <w:r>
              <w:rPr>
                <w:noProof/>
                <w:color w:val="000000"/>
                <w:sz w:val="18"/>
                <w:szCs w:val="18"/>
                <w:lang w:eastAsia="en-GB"/>
              </w:rPr>
              <w:t xml:space="preserve"> (more facilitated than in POP2(a) would have a positive impact on these HSW. Those under national schemes would not have access improved intra-EU mobility possibil</w:t>
            </w:r>
            <w:r>
              <w:rPr>
                <w:noProof/>
                <w:color w:val="000000"/>
                <w:sz w:val="18"/>
                <w:szCs w:val="18"/>
                <w:lang w:eastAsia="en-GB"/>
              </w:rPr>
              <w:t>ities.</w:t>
            </w:r>
          </w:p>
          <w:p w:rsidR="007306CA" w:rsidRDefault="00576025">
            <w:pPr>
              <w:spacing w:after="120"/>
              <w:ind w:firstLine="113"/>
              <w:rPr>
                <w:noProof/>
                <w:color w:val="000000"/>
                <w:sz w:val="18"/>
                <w:szCs w:val="18"/>
                <w:lang w:eastAsia="en-GB"/>
              </w:rPr>
            </w:pPr>
            <w:r>
              <w:rPr>
                <w:noProof/>
                <w:color w:val="000000"/>
                <w:sz w:val="18"/>
                <w:szCs w:val="18"/>
                <w:lang w:eastAsia="en-GB"/>
              </w:rPr>
              <w:t>There would be a similar positive impact on private and family life as POP2(a).</w:t>
            </w:r>
          </w:p>
        </w:tc>
      </w:tr>
      <w:tr w:rsidR="007306CA">
        <w:trPr>
          <w:trHeight w:val="315"/>
        </w:trPr>
        <w:tc>
          <w:tcPr>
            <w:tcW w:w="9924" w:type="dxa"/>
            <w:gridSpan w:val="4"/>
            <w:tcBorders>
              <w:top w:val="single" w:sz="4" w:space="0" w:color="auto"/>
              <w:left w:val="single" w:sz="4" w:space="0" w:color="auto"/>
              <w:bottom w:val="single" w:sz="4" w:space="0" w:color="auto"/>
              <w:right w:val="single" w:sz="4" w:space="0" w:color="auto"/>
            </w:tcBorders>
            <w:shd w:val="clear" w:color="auto" w:fill="auto"/>
            <w:hideMark/>
          </w:tcPr>
          <w:p w:rsidR="007306CA" w:rsidRDefault="00576025">
            <w:pPr>
              <w:spacing w:after="0"/>
              <w:jc w:val="left"/>
              <w:rPr>
                <w:b/>
                <w:bCs/>
                <w:noProof/>
                <w:color w:val="000000"/>
                <w:sz w:val="18"/>
                <w:szCs w:val="18"/>
                <w:lang w:eastAsia="en-GB"/>
              </w:rPr>
            </w:pPr>
            <w:r>
              <w:rPr>
                <w:b/>
                <w:bCs/>
                <w:noProof/>
                <w:color w:val="000000"/>
                <w:sz w:val="18"/>
                <w:szCs w:val="18"/>
                <w:lang w:eastAsia="en-GB"/>
              </w:rPr>
              <w:t>Impact on International Relations</w:t>
            </w:r>
          </w:p>
        </w:tc>
      </w:tr>
      <w:tr w:rsidR="007306CA">
        <w:trPr>
          <w:trHeight w:val="300"/>
        </w:trPr>
        <w:tc>
          <w:tcPr>
            <w:tcW w:w="2860" w:type="dxa"/>
            <w:gridSpan w:val="2"/>
            <w:tcBorders>
              <w:top w:val="nil"/>
              <w:left w:val="single" w:sz="4" w:space="0" w:color="auto"/>
              <w:bottom w:val="single" w:sz="4" w:space="0" w:color="auto"/>
              <w:right w:val="single" w:sz="4" w:space="0" w:color="auto"/>
            </w:tcBorders>
            <w:shd w:val="clear" w:color="auto" w:fill="auto"/>
            <w:hideMark/>
          </w:tcPr>
          <w:p w:rsidR="007306CA" w:rsidRDefault="00576025">
            <w:pPr>
              <w:spacing w:after="0"/>
              <w:jc w:val="left"/>
              <w:rPr>
                <w:noProof/>
                <w:color w:val="000000"/>
                <w:sz w:val="18"/>
                <w:szCs w:val="18"/>
                <w:lang w:eastAsia="en-GB"/>
              </w:rPr>
            </w:pPr>
            <w:r>
              <w:rPr>
                <w:noProof/>
                <w:color w:val="000000"/>
                <w:sz w:val="18"/>
                <w:szCs w:val="18"/>
                <w:lang w:eastAsia="en-GB"/>
              </w:rPr>
              <w:t>-  Impacts on third countries</w:t>
            </w:r>
          </w:p>
        </w:tc>
        <w:tc>
          <w:tcPr>
            <w:tcW w:w="543" w:type="dxa"/>
            <w:tcBorders>
              <w:top w:val="nil"/>
              <w:left w:val="nil"/>
              <w:bottom w:val="single" w:sz="4" w:space="0" w:color="auto"/>
              <w:right w:val="single" w:sz="4" w:space="0" w:color="auto"/>
            </w:tcBorders>
            <w:shd w:val="clear" w:color="auto" w:fill="auto"/>
            <w:vAlign w:val="center"/>
            <w:hideMark/>
          </w:tcPr>
          <w:p w:rsidR="007306CA" w:rsidRDefault="00576025">
            <w:pPr>
              <w:spacing w:after="0"/>
              <w:jc w:val="center"/>
              <w:rPr>
                <w:noProof/>
                <w:color w:val="000000"/>
                <w:sz w:val="18"/>
                <w:szCs w:val="18"/>
                <w:lang w:eastAsia="en-GB"/>
              </w:rPr>
            </w:pPr>
            <w:r>
              <w:rPr>
                <w:noProof/>
                <w:color w:val="000000"/>
                <w:sz w:val="18"/>
                <w:szCs w:val="18"/>
                <w:lang w:eastAsia="en-GB"/>
              </w:rPr>
              <w:t> 0/+1</w:t>
            </w:r>
          </w:p>
        </w:tc>
        <w:tc>
          <w:tcPr>
            <w:tcW w:w="6521" w:type="dxa"/>
            <w:tcBorders>
              <w:top w:val="nil"/>
              <w:left w:val="nil"/>
              <w:bottom w:val="single" w:sz="4" w:space="0" w:color="auto"/>
              <w:right w:val="single" w:sz="4" w:space="0" w:color="auto"/>
            </w:tcBorders>
            <w:shd w:val="clear" w:color="auto" w:fill="auto"/>
            <w:hideMark/>
          </w:tcPr>
          <w:p w:rsidR="007306CA" w:rsidRDefault="00576025">
            <w:pPr>
              <w:spacing w:after="0"/>
              <w:jc w:val="left"/>
              <w:rPr>
                <w:noProof/>
                <w:color w:val="000000"/>
                <w:sz w:val="18"/>
                <w:szCs w:val="18"/>
                <w:lang w:eastAsia="en-GB"/>
              </w:rPr>
            </w:pPr>
            <w:r>
              <w:rPr>
                <w:noProof/>
                <w:color w:val="000000"/>
                <w:sz w:val="18"/>
                <w:szCs w:val="18"/>
                <w:lang w:eastAsia="en-GB"/>
              </w:rPr>
              <w:t>Similar to POP2(a) though more limited due to lower numbers of HSW</w:t>
            </w:r>
          </w:p>
        </w:tc>
      </w:tr>
      <w:tr w:rsidR="007306CA">
        <w:trPr>
          <w:trHeight w:val="300"/>
        </w:trPr>
        <w:tc>
          <w:tcPr>
            <w:tcW w:w="9924" w:type="dxa"/>
            <w:gridSpan w:val="4"/>
            <w:tcBorders>
              <w:top w:val="single" w:sz="4" w:space="0" w:color="auto"/>
              <w:left w:val="single" w:sz="4" w:space="0" w:color="auto"/>
              <w:bottom w:val="single" w:sz="4" w:space="0" w:color="auto"/>
              <w:right w:val="single" w:sz="4" w:space="0" w:color="auto"/>
            </w:tcBorders>
            <w:shd w:val="clear" w:color="000000" w:fill="C5D9F1"/>
            <w:hideMark/>
          </w:tcPr>
          <w:p w:rsidR="007306CA" w:rsidRDefault="00576025">
            <w:pPr>
              <w:spacing w:after="0"/>
              <w:jc w:val="left"/>
              <w:rPr>
                <w:b/>
                <w:bCs/>
                <w:noProof/>
                <w:color w:val="000000"/>
                <w:sz w:val="18"/>
                <w:szCs w:val="18"/>
                <w:lang w:eastAsia="en-GB"/>
              </w:rPr>
            </w:pPr>
            <w:r>
              <w:rPr>
                <w:b/>
                <w:bCs/>
                <w:noProof/>
                <w:color w:val="000000"/>
                <w:sz w:val="18"/>
                <w:szCs w:val="18"/>
                <w:lang w:eastAsia="en-GB"/>
              </w:rPr>
              <w:t>Efficiency</w:t>
            </w:r>
          </w:p>
        </w:tc>
      </w:tr>
      <w:tr w:rsidR="007306CA">
        <w:trPr>
          <w:trHeight w:val="817"/>
        </w:trPr>
        <w:tc>
          <w:tcPr>
            <w:tcW w:w="2860" w:type="dxa"/>
            <w:gridSpan w:val="2"/>
            <w:tcBorders>
              <w:top w:val="nil"/>
              <w:left w:val="single" w:sz="4" w:space="0" w:color="auto"/>
              <w:bottom w:val="single" w:sz="4" w:space="0" w:color="auto"/>
              <w:right w:val="single" w:sz="4" w:space="0" w:color="auto"/>
            </w:tcBorders>
            <w:shd w:val="clear" w:color="auto" w:fill="auto"/>
            <w:vAlign w:val="center"/>
            <w:hideMark/>
          </w:tcPr>
          <w:p w:rsidR="007306CA" w:rsidRDefault="00576025">
            <w:pPr>
              <w:spacing w:after="120"/>
              <w:rPr>
                <w:noProof/>
                <w:color w:val="000000"/>
                <w:sz w:val="18"/>
                <w:szCs w:val="18"/>
                <w:lang w:eastAsia="en-GB"/>
              </w:rPr>
            </w:pPr>
            <w:r>
              <w:rPr>
                <w:noProof/>
                <w:color w:val="000000"/>
                <w:sz w:val="18"/>
                <w:szCs w:val="18"/>
                <w:lang w:eastAsia="en-GB"/>
              </w:rPr>
              <w:t xml:space="preserve">- Administrative </w:t>
            </w:r>
            <w:r>
              <w:rPr>
                <w:noProof/>
                <w:color w:val="000000"/>
                <w:sz w:val="18"/>
                <w:szCs w:val="18"/>
                <w:lang w:eastAsia="en-GB"/>
              </w:rPr>
              <w:t>costs and cost/benefit effectiveness</w:t>
            </w:r>
          </w:p>
          <w:p w:rsidR="007306CA" w:rsidRDefault="007306CA">
            <w:pPr>
              <w:spacing w:after="120"/>
              <w:rPr>
                <w:noProof/>
                <w:color w:val="000000"/>
                <w:sz w:val="18"/>
                <w:szCs w:val="18"/>
                <w:lang w:eastAsia="en-GB"/>
              </w:rPr>
            </w:pPr>
          </w:p>
          <w:p w:rsidR="007306CA" w:rsidRDefault="00576025">
            <w:pPr>
              <w:spacing w:after="120"/>
              <w:rPr>
                <w:noProof/>
                <w:color w:val="000000"/>
                <w:sz w:val="18"/>
                <w:szCs w:val="18"/>
                <w:lang w:eastAsia="en-GB"/>
              </w:rPr>
            </w:pPr>
            <w:r>
              <w:rPr>
                <w:noProof/>
                <w:color w:val="000000"/>
                <w:sz w:val="18"/>
                <w:szCs w:val="18"/>
                <w:lang w:eastAsia="en-GB"/>
              </w:rPr>
              <w:t>- Practical or technical feasibility (difficulty/risks for transposition and implementation)</w:t>
            </w:r>
          </w:p>
          <w:p w:rsidR="007306CA" w:rsidRDefault="007306CA">
            <w:pPr>
              <w:spacing w:after="120"/>
              <w:rPr>
                <w:noProof/>
                <w:color w:val="000000"/>
                <w:sz w:val="18"/>
                <w:szCs w:val="18"/>
                <w:lang w:eastAsia="en-GB"/>
              </w:rPr>
            </w:pPr>
          </w:p>
        </w:tc>
        <w:tc>
          <w:tcPr>
            <w:tcW w:w="543" w:type="dxa"/>
            <w:tcBorders>
              <w:top w:val="nil"/>
              <w:left w:val="nil"/>
              <w:bottom w:val="single" w:sz="4" w:space="0" w:color="auto"/>
              <w:right w:val="single" w:sz="4" w:space="0" w:color="auto"/>
            </w:tcBorders>
            <w:shd w:val="clear" w:color="auto" w:fill="auto"/>
            <w:vAlign w:val="center"/>
            <w:hideMark/>
          </w:tcPr>
          <w:p w:rsidR="007306CA" w:rsidRDefault="00576025">
            <w:pPr>
              <w:spacing w:after="120"/>
              <w:rPr>
                <w:noProof/>
                <w:color w:val="000000"/>
                <w:sz w:val="18"/>
                <w:szCs w:val="18"/>
                <w:lang w:eastAsia="en-GB"/>
              </w:rPr>
            </w:pPr>
            <w:r>
              <w:rPr>
                <w:noProof/>
                <w:color w:val="000000"/>
                <w:sz w:val="18"/>
                <w:szCs w:val="18"/>
                <w:lang w:eastAsia="en-GB"/>
              </w:rPr>
              <w:t>0</w:t>
            </w:r>
          </w:p>
        </w:tc>
        <w:tc>
          <w:tcPr>
            <w:tcW w:w="6521" w:type="dxa"/>
            <w:tcBorders>
              <w:top w:val="nil"/>
              <w:left w:val="nil"/>
              <w:bottom w:val="single" w:sz="4" w:space="0" w:color="auto"/>
              <w:right w:val="single" w:sz="4" w:space="0" w:color="auto"/>
            </w:tcBorders>
            <w:shd w:val="clear" w:color="auto" w:fill="auto"/>
            <w:vAlign w:val="center"/>
            <w:hideMark/>
          </w:tcPr>
          <w:p w:rsidR="007306CA" w:rsidRDefault="00576025">
            <w:pPr>
              <w:spacing w:after="120"/>
              <w:rPr>
                <w:b/>
                <w:noProof/>
                <w:color w:val="000000"/>
                <w:sz w:val="18"/>
                <w:szCs w:val="18"/>
                <w:lang w:eastAsia="en-GB"/>
              </w:rPr>
            </w:pPr>
            <w:r>
              <w:rPr>
                <w:b/>
                <w:noProof/>
                <w:color w:val="000000"/>
                <w:sz w:val="18"/>
                <w:szCs w:val="18"/>
                <w:lang w:eastAsia="en-GB"/>
              </w:rPr>
              <w:t xml:space="preserve">Administrative impact on Member States: from a benefit of € 1.7 million to a cost of € 3.4 million (EU25 aggregate, </w:t>
            </w:r>
            <w:r>
              <w:rPr>
                <w:b/>
                <w:noProof/>
                <w:color w:val="000000"/>
                <w:sz w:val="18"/>
                <w:szCs w:val="18"/>
                <w:lang w:eastAsia="en-GB"/>
              </w:rPr>
              <w:t>variation depending on range of additional or fewer permits)</w:t>
            </w:r>
          </w:p>
          <w:p w:rsidR="007306CA" w:rsidRDefault="00576025">
            <w:pPr>
              <w:spacing w:after="120"/>
              <w:rPr>
                <w:b/>
                <w:noProof/>
                <w:color w:val="000000"/>
                <w:sz w:val="18"/>
                <w:szCs w:val="18"/>
                <w:lang w:eastAsia="en-GB"/>
              </w:rPr>
            </w:pPr>
            <w:r>
              <w:rPr>
                <w:b/>
                <w:noProof/>
                <w:color w:val="000000"/>
                <w:sz w:val="18"/>
                <w:szCs w:val="18"/>
                <w:lang w:eastAsia="en-GB"/>
              </w:rPr>
              <w:t>Offset by fees and estimated income tax revenue of -€ 111 million (less) to an additional max. of € 184 million</w:t>
            </w:r>
          </w:p>
          <w:p w:rsidR="007306CA" w:rsidRDefault="00576025">
            <w:pPr>
              <w:spacing w:after="120"/>
              <w:ind w:firstLine="113"/>
              <w:rPr>
                <w:i/>
                <w:noProof/>
                <w:color w:val="000000"/>
                <w:sz w:val="18"/>
                <w:szCs w:val="18"/>
                <w:u w:val="single"/>
                <w:lang w:val="en-IE" w:eastAsia="en-GB"/>
              </w:rPr>
            </w:pPr>
            <w:r>
              <w:rPr>
                <w:noProof/>
                <w:color w:val="000000"/>
                <w:sz w:val="18"/>
                <w:szCs w:val="18"/>
                <w:lang w:eastAsia="en-GB"/>
              </w:rPr>
              <w:t>As parallel national schemes would continue to be allowed next to the Blue Card for</w:t>
            </w:r>
            <w:r>
              <w:rPr>
                <w:noProof/>
                <w:color w:val="000000"/>
                <w:sz w:val="18"/>
                <w:szCs w:val="18"/>
                <w:lang w:eastAsia="en-GB"/>
              </w:rPr>
              <w:t xml:space="preserve"> non elite HSW this option would stay more or less in the </w:t>
            </w:r>
            <w:r>
              <w:rPr>
                <w:b/>
                <w:noProof/>
                <w:color w:val="000000"/>
                <w:sz w:val="18"/>
                <w:szCs w:val="18"/>
                <w:lang w:eastAsia="en-GB"/>
              </w:rPr>
              <w:t>baseline scenario in terms of administrative costs for public administrations</w:t>
            </w:r>
            <w:r>
              <w:rPr>
                <w:noProof/>
                <w:color w:val="000000"/>
                <w:sz w:val="18"/>
                <w:szCs w:val="18"/>
                <w:lang w:eastAsia="en-GB"/>
              </w:rPr>
              <w:t>. Some limited initial costs would be incurred for information for companies, training of immigration officials on the ne</w:t>
            </w:r>
            <w:r>
              <w:rPr>
                <w:noProof/>
                <w:color w:val="000000"/>
                <w:sz w:val="18"/>
                <w:szCs w:val="18"/>
                <w:lang w:eastAsia="en-GB"/>
              </w:rPr>
              <w:t xml:space="preserve">w rules, etc. This option would </w:t>
            </w:r>
            <w:r>
              <w:rPr>
                <w:b/>
                <w:noProof/>
                <w:color w:val="000000"/>
                <w:sz w:val="18"/>
                <w:szCs w:val="18"/>
                <w:lang w:eastAsia="en-GB"/>
              </w:rPr>
              <w:t xml:space="preserve">not constitute an increase in efficiency, </w:t>
            </w:r>
            <w:r>
              <w:rPr>
                <w:noProof/>
                <w:color w:val="000000"/>
                <w:sz w:val="18"/>
                <w:szCs w:val="18"/>
                <w:lang w:eastAsia="en-GB"/>
              </w:rPr>
              <w:t xml:space="preserve">as there is no very limited </w:t>
            </w:r>
            <w:r>
              <w:rPr>
                <w:b/>
                <w:noProof/>
                <w:color w:val="000000"/>
                <w:sz w:val="18"/>
                <w:szCs w:val="18"/>
                <w:lang w:eastAsia="en-GB"/>
              </w:rPr>
              <w:t>increased coherence, harmonisation</w:t>
            </w:r>
            <w:r>
              <w:rPr>
                <w:noProof/>
                <w:color w:val="000000"/>
                <w:sz w:val="18"/>
                <w:szCs w:val="18"/>
                <w:lang w:eastAsia="en-GB"/>
              </w:rPr>
              <w:t xml:space="preserve"> or simplification of the EU’s overall system for HSW.</w:t>
            </w:r>
          </w:p>
          <w:p w:rsidR="007306CA" w:rsidRDefault="00576025">
            <w:pPr>
              <w:spacing w:after="120"/>
              <w:ind w:firstLine="113"/>
              <w:rPr>
                <w:noProof/>
                <w:color w:val="000000"/>
                <w:sz w:val="18"/>
                <w:szCs w:val="18"/>
                <w:lang w:eastAsia="en-GB"/>
              </w:rPr>
            </w:pPr>
            <w:r>
              <w:rPr>
                <w:noProof/>
                <w:color w:val="000000"/>
                <w:sz w:val="18"/>
                <w:szCs w:val="18"/>
                <w:lang w:eastAsia="en-GB"/>
              </w:rPr>
              <w:t xml:space="preserve"> Because of the limited number of additional HSW under this optio</w:t>
            </w:r>
            <w:r>
              <w:rPr>
                <w:noProof/>
                <w:color w:val="000000"/>
                <w:sz w:val="18"/>
                <w:szCs w:val="18"/>
                <w:lang w:eastAsia="en-GB"/>
              </w:rPr>
              <w:t xml:space="preserve">n, there would be </w:t>
            </w:r>
            <w:r>
              <w:rPr>
                <w:b/>
                <w:noProof/>
                <w:color w:val="000000"/>
                <w:sz w:val="18"/>
                <w:szCs w:val="18"/>
                <w:lang w:eastAsia="en-GB"/>
              </w:rPr>
              <w:t>limited economies of scale</w:t>
            </w:r>
            <w:r>
              <w:rPr>
                <w:noProof/>
                <w:color w:val="000000"/>
                <w:sz w:val="18"/>
                <w:szCs w:val="18"/>
                <w:lang w:eastAsia="en-GB"/>
              </w:rPr>
              <w:t xml:space="preserve">. The costs can be offset by fees and, indirectly, by the economic gains for the host society but these would be limited. The </w:t>
            </w:r>
            <w:r>
              <w:rPr>
                <w:b/>
                <w:noProof/>
                <w:color w:val="000000"/>
                <w:sz w:val="18"/>
                <w:szCs w:val="18"/>
                <w:lang w:eastAsia="en-GB"/>
              </w:rPr>
              <w:t xml:space="preserve">cost/benefit effectiveness </w:t>
            </w:r>
            <w:r>
              <w:rPr>
                <w:noProof/>
                <w:color w:val="000000"/>
                <w:sz w:val="18"/>
                <w:szCs w:val="18"/>
                <w:lang w:eastAsia="en-GB"/>
              </w:rPr>
              <w:t xml:space="preserve">would therefore also be </w:t>
            </w:r>
            <w:r>
              <w:rPr>
                <w:b/>
                <w:noProof/>
                <w:color w:val="000000"/>
                <w:sz w:val="18"/>
                <w:szCs w:val="18"/>
                <w:lang w:eastAsia="en-GB"/>
              </w:rPr>
              <w:t>limited</w:t>
            </w:r>
            <w:r>
              <w:rPr>
                <w:noProof/>
                <w:color w:val="000000"/>
                <w:sz w:val="18"/>
                <w:szCs w:val="18"/>
                <w:lang w:eastAsia="en-GB"/>
              </w:rPr>
              <w:t>.</w:t>
            </w:r>
          </w:p>
          <w:p w:rsidR="007306CA" w:rsidRDefault="00576025">
            <w:pPr>
              <w:spacing w:after="120"/>
              <w:ind w:firstLine="113"/>
              <w:rPr>
                <w:noProof/>
                <w:color w:val="000000"/>
                <w:sz w:val="18"/>
                <w:szCs w:val="18"/>
                <w:lang w:eastAsia="en-GB"/>
              </w:rPr>
            </w:pPr>
            <w:r>
              <w:rPr>
                <w:noProof/>
                <w:color w:val="000000"/>
                <w:sz w:val="18"/>
                <w:szCs w:val="18"/>
                <w:lang w:eastAsia="en-GB"/>
              </w:rPr>
              <w:t>As regards the most HSW th</w:t>
            </w:r>
            <w:r>
              <w:rPr>
                <w:noProof/>
                <w:color w:val="000000"/>
                <w:sz w:val="18"/>
                <w:szCs w:val="18"/>
                <w:lang w:eastAsia="en-GB"/>
              </w:rPr>
              <w:t xml:space="preserve">e administrative burden for </w:t>
            </w:r>
            <w:r>
              <w:rPr>
                <w:b/>
                <w:noProof/>
                <w:color w:val="000000"/>
                <w:sz w:val="18"/>
                <w:szCs w:val="18"/>
                <w:lang w:eastAsia="en-GB"/>
              </w:rPr>
              <w:t>HSW and businesses</w:t>
            </w:r>
            <w:r>
              <w:rPr>
                <w:noProof/>
                <w:color w:val="000000"/>
                <w:sz w:val="18"/>
                <w:szCs w:val="18"/>
                <w:lang w:eastAsia="en-GB"/>
              </w:rPr>
              <w:t xml:space="preserve"> recruiting them would lower with a more harmonised scheme. Especially, more facilitation in case of mobility to a second Member State than currently would substantially reduce administrative burden. However, f</w:t>
            </w:r>
            <w:r>
              <w:rPr>
                <w:noProof/>
                <w:color w:val="000000"/>
                <w:sz w:val="18"/>
                <w:szCs w:val="18"/>
                <w:lang w:eastAsia="en-GB"/>
              </w:rPr>
              <w:t>or non-elite HSW and companies recruiting them there would be no change to the baseline.</w:t>
            </w:r>
          </w:p>
          <w:p w:rsidR="007306CA" w:rsidRDefault="00576025">
            <w:pPr>
              <w:spacing w:after="120"/>
              <w:ind w:firstLine="113"/>
              <w:rPr>
                <w:i/>
                <w:noProof/>
                <w:color w:val="000000"/>
                <w:sz w:val="18"/>
                <w:szCs w:val="18"/>
                <w:u w:val="single"/>
                <w:lang w:val="en-IE" w:eastAsia="en-GB"/>
              </w:rPr>
            </w:pPr>
            <w:r>
              <w:rPr>
                <w:noProof/>
                <w:color w:val="000000"/>
                <w:sz w:val="18"/>
                <w:szCs w:val="18"/>
                <w:lang w:eastAsia="en-GB"/>
              </w:rPr>
              <w:t>No practical or technical difficulty (risks for transposition and implementation) is to be expected. This option would ensure more uniform implementation reaching a li</w:t>
            </w:r>
            <w:r>
              <w:rPr>
                <w:noProof/>
                <w:color w:val="000000"/>
                <w:sz w:val="18"/>
                <w:szCs w:val="18"/>
                <w:lang w:eastAsia="en-GB"/>
              </w:rPr>
              <w:t>mited group and would require adaptation of Member States’ legislation.</w:t>
            </w:r>
          </w:p>
        </w:tc>
      </w:tr>
      <w:tr w:rsidR="007306CA">
        <w:trPr>
          <w:trHeight w:val="300"/>
        </w:trPr>
        <w:tc>
          <w:tcPr>
            <w:tcW w:w="9924" w:type="dxa"/>
            <w:gridSpan w:val="4"/>
            <w:tcBorders>
              <w:top w:val="single" w:sz="4" w:space="0" w:color="auto"/>
              <w:left w:val="single" w:sz="4" w:space="0" w:color="auto"/>
              <w:bottom w:val="single" w:sz="4" w:space="0" w:color="auto"/>
              <w:right w:val="single" w:sz="4" w:space="0" w:color="auto"/>
            </w:tcBorders>
            <w:shd w:val="clear" w:color="000000" w:fill="C5D9F1"/>
            <w:hideMark/>
          </w:tcPr>
          <w:p w:rsidR="007306CA" w:rsidRDefault="00576025">
            <w:pPr>
              <w:spacing w:after="0"/>
              <w:jc w:val="left"/>
              <w:rPr>
                <w:b/>
                <w:bCs/>
                <w:noProof/>
                <w:color w:val="000000"/>
                <w:sz w:val="18"/>
                <w:szCs w:val="18"/>
                <w:lang w:eastAsia="en-GB"/>
              </w:rPr>
            </w:pPr>
            <w:r>
              <w:rPr>
                <w:b/>
                <w:bCs/>
                <w:noProof/>
                <w:color w:val="000000"/>
                <w:sz w:val="18"/>
                <w:szCs w:val="18"/>
                <w:lang w:eastAsia="en-GB"/>
              </w:rPr>
              <w:t>Coherence with other EU policies</w:t>
            </w:r>
          </w:p>
        </w:tc>
      </w:tr>
      <w:tr w:rsidR="007306CA">
        <w:trPr>
          <w:trHeight w:val="64"/>
        </w:trPr>
        <w:tc>
          <w:tcPr>
            <w:tcW w:w="9924" w:type="dxa"/>
            <w:gridSpan w:val="4"/>
            <w:tcBorders>
              <w:top w:val="single" w:sz="4" w:space="0" w:color="auto"/>
              <w:left w:val="single" w:sz="4" w:space="0" w:color="auto"/>
              <w:bottom w:val="single" w:sz="4" w:space="0" w:color="auto"/>
              <w:right w:val="single" w:sz="4" w:space="0" w:color="auto"/>
            </w:tcBorders>
            <w:shd w:val="clear" w:color="auto" w:fill="auto"/>
            <w:hideMark/>
          </w:tcPr>
          <w:p w:rsidR="007306CA" w:rsidRDefault="00576025">
            <w:pPr>
              <w:spacing w:after="0"/>
              <w:rPr>
                <w:noProof/>
                <w:color w:val="000000"/>
                <w:sz w:val="18"/>
                <w:szCs w:val="18"/>
                <w:lang w:eastAsia="en-GB"/>
              </w:rPr>
            </w:pPr>
            <w:r>
              <w:rPr>
                <w:noProof/>
                <w:color w:val="000000"/>
                <w:sz w:val="18"/>
                <w:szCs w:val="18"/>
                <w:lang w:eastAsia="en-GB"/>
              </w:rPr>
              <w:t>In line with, and contributes to, EU Growth Strategy. Consistent with EU economic and social policies, including on mobility of EU workers.</w:t>
            </w:r>
          </w:p>
        </w:tc>
      </w:tr>
      <w:tr w:rsidR="007306CA">
        <w:trPr>
          <w:trHeight w:val="77"/>
        </w:trPr>
        <w:tc>
          <w:tcPr>
            <w:tcW w:w="9924" w:type="dxa"/>
            <w:gridSpan w:val="4"/>
            <w:tcBorders>
              <w:top w:val="nil"/>
              <w:left w:val="single" w:sz="4" w:space="0" w:color="auto"/>
              <w:bottom w:val="single" w:sz="4" w:space="0" w:color="auto"/>
              <w:right w:val="single" w:sz="4" w:space="0" w:color="auto"/>
            </w:tcBorders>
            <w:shd w:val="clear" w:color="000000" w:fill="C5D9F1"/>
            <w:vAlign w:val="center"/>
            <w:hideMark/>
          </w:tcPr>
          <w:p w:rsidR="007306CA" w:rsidRDefault="00576025">
            <w:pPr>
              <w:spacing w:after="0"/>
              <w:jc w:val="left"/>
              <w:rPr>
                <w:b/>
                <w:bCs/>
                <w:noProof/>
                <w:color w:val="000000"/>
                <w:sz w:val="18"/>
                <w:szCs w:val="18"/>
                <w:lang w:eastAsia="en-GB"/>
              </w:rPr>
            </w:pPr>
            <w:r>
              <w:rPr>
                <w:b/>
                <w:bCs/>
                <w:noProof/>
                <w:color w:val="000000"/>
                <w:sz w:val="18"/>
                <w:szCs w:val="18"/>
                <w:lang w:eastAsia="en-GB"/>
              </w:rPr>
              <w:t>Stakeholders and experts’ view</w:t>
            </w:r>
          </w:p>
        </w:tc>
      </w:tr>
      <w:tr w:rsidR="007306CA">
        <w:trPr>
          <w:trHeight w:val="315"/>
        </w:trPr>
        <w:tc>
          <w:tcPr>
            <w:tcW w:w="992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306CA" w:rsidRDefault="00576025">
            <w:pPr>
              <w:spacing w:after="0"/>
              <w:rPr>
                <w:i/>
                <w:noProof/>
                <w:color w:val="000000"/>
                <w:sz w:val="18"/>
                <w:szCs w:val="18"/>
                <w:u w:val="single"/>
                <w:lang w:val="en-IE" w:eastAsia="en-GB"/>
              </w:rPr>
            </w:pPr>
            <w:r>
              <w:rPr>
                <w:noProof/>
                <w:color w:val="000000"/>
                <w:sz w:val="18"/>
                <w:szCs w:val="18"/>
                <w:lang w:eastAsia="en-GB"/>
              </w:rPr>
              <w:t xml:space="preserve">While most stakeholders emphasized the need to maintain the focus of the Blue Card on the highly skilled, support for an even more selective model with extensive rights came mostly from a limited number of experts. On other </w:t>
            </w:r>
            <w:r>
              <w:rPr>
                <w:noProof/>
                <w:color w:val="000000"/>
                <w:sz w:val="18"/>
                <w:szCs w:val="18"/>
                <w:lang w:eastAsia="en-GB"/>
              </w:rPr>
              <w:t>elements, see comments under POP2(a). Most Member States and SME organisations (e.g. UAPME) consider it important to be able to keep labour market tests.</w:t>
            </w:r>
          </w:p>
        </w:tc>
      </w:tr>
    </w:tbl>
    <w:p w:rsidR="007306CA" w:rsidRDefault="007306CA">
      <w:pPr>
        <w:spacing w:after="120" w:line="240" w:lineRule="atLeast"/>
        <w:rPr>
          <w:noProof/>
        </w:rPr>
      </w:pPr>
    </w:p>
    <w:p w:rsidR="007306CA" w:rsidRDefault="00576025">
      <w:pPr>
        <w:spacing w:after="120" w:line="240" w:lineRule="atLeast"/>
        <w:rPr>
          <w:b/>
          <w:noProof/>
        </w:rPr>
      </w:pPr>
      <w:r>
        <w:rPr>
          <w:b/>
          <w:noProof/>
        </w:rPr>
        <w:t>POP2(c): Creating a two-tiered Blue Card targeted at different skill levels of HSW</w:t>
      </w:r>
    </w:p>
    <w:tbl>
      <w:tblPr>
        <w:tblW w:w="9924" w:type="dxa"/>
        <w:tblInd w:w="-318" w:type="dxa"/>
        <w:tblLayout w:type="fixed"/>
        <w:tblLook w:val="04A0" w:firstRow="1" w:lastRow="0" w:firstColumn="1" w:lastColumn="0" w:noHBand="0" w:noVBand="1"/>
      </w:tblPr>
      <w:tblGrid>
        <w:gridCol w:w="2836"/>
        <w:gridCol w:w="25"/>
        <w:gridCol w:w="542"/>
        <w:gridCol w:w="6521"/>
      </w:tblGrid>
      <w:tr w:rsidR="007306CA">
        <w:trPr>
          <w:trHeight w:val="300"/>
        </w:trPr>
        <w:tc>
          <w:tcPr>
            <w:tcW w:w="2836" w:type="dxa"/>
            <w:tcBorders>
              <w:top w:val="single" w:sz="4" w:space="0" w:color="auto"/>
              <w:left w:val="single" w:sz="4" w:space="0" w:color="auto"/>
              <w:bottom w:val="single" w:sz="4" w:space="0" w:color="auto"/>
              <w:right w:val="single" w:sz="4" w:space="0" w:color="auto"/>
            </w:tcBorders>
            <w:shd w:val="clear" w:color="000000" w:fill="8DB4E2"/>
            <w:vAlign w:val="center"/>
            <w:hideMark/>
          </w:tcPr>
          <w:p w:rsidR="007306CA" w:rsidRDefault="00576025">
            <w:pPr>
              <w:spacing w:after="0"/>
              <w:jc w:val="left"/>
              <w:rPr>
                <w:b/>
                <w:bCs/>
                <w:noProof/>
                <w:color w:val="000000"/>
                <w:sz w:val="18"/>
                <w:szCs w:val="18"/>
                <w:lang w:eastAsia="en-GB"/>
              </w:rPr>
            </w:pPr>
            <w:r>
              <w:rPr>
                <w:b/>
                <w:bCs/>
                <w:noProof/>
                <w:color w:val="000000"/>
                <w:sz w:val="18"/>
                <w:szCs w:val="18"/>
                <w:lang w:eastAsia="en-GB"/>
              </w:rPr>
              <w:t xml:space="preserve">Assessment </w:t>
            </w:r>
            <w:r>
              <w:rPr>
                <w:b/>
                <w:bCs/>
                <w:noProof/>
                <w:color w:val="000000"/>
                <w:sz w:val="18"/>
                <w:szCs w:val="18"/>
                <w:lang w:eastAsia="en-GB"/>
              </w:rPr>
              <w:t>Criteria</w:t>
            </w:r>
          </w:p>
        </w:tc>
        <w:tc>
          <w:tcPr>
            <w:tcW w:w="567" w:type="dxa"/>
            <w:gridSpan w:val="2"/>
            <w:tcBorders>
              <w:top w:val="nil"/>
              <w:left w:val="nil"/>
              <w:bottom w:val="single" w:sz="4" w:space="0" w:color="auto"/>
              <w:right w:val="single" w:sz="4" w:space="0" w:color="auto"/>
            </w:tcBorders>
            <w:shd w:val="clear" w:color="000000" w:fill="8DB4E2"/>
            <w:vAlign w:val="center"/>
            <w:hideMark/>
          </w:tcPr>
          <w:p w:rsidR="007306CA" w:rsidRDefault="00576025">
            <w:pPr>
              <w:spacing w:after="0"/>
              <w:jc w:val="center"/>
              <w:rPr>
                <w:bCs/>
                <w:noProof/>
                <w:color w:val="000000"/>
                <w:sz w:val="18"/>
                <w:szCs w:val="18"/>
                <w:lang w:eastAsia="en-GB"/>
              </w:rPr>
            </w:pPr>
            <w:r>
              <w:rPr>
                <w:bCs/>
                <w:noProof/>
                <w:color w:val="000000"/>
                <w:sz w:val="18"/>
                <w:szCs w:val="18"/>
                <w:lang w:eastAsia="en-GB"/>
              </w:rPr>
              <w:t>Rate</w:t>
            </w:r>
          </w:p>
        </w:tc>
        <w:tc>
          <w:tcPr>
            <w:tcW w:w="6521" w:type="dxa"/>
            <w:tcBorders>
              <w:top w:val="nil"/>
              <w:left w:val="nil"/>
              <w:bottom w:val="single" w:sz="4" w:space="0" w:color="auto"/>
              <w:right w:val="single" w:sz="4" w:space="0" w:color="auto"/>
            </w:tcBorders>
            <w:shd w:val="clear" w:color="000000" w:fill="8DB4E2"/>
            <w:vAlign w:val="center"/>
            <w:hideMark/>
          </w:tcPr>
          <w:p w:rsidR="007306CA" w:rsidRDefault="00576025">
            <w:pPr>
              <w:spacing w:after="0"/>
              <w:jc w:val="left"/>
              <w:rPr>
                <w:b/>
                <w:bCs/>
                <w:noProof/>
                <w:color w:val="000000"/>
                <w:sz w:val="18"/>
                <w:szCs w:val="18"/>
                <w:lang w:eastAsia="en-GB"/>
              </w:rPr>
            </w:pPr>
            <w:r>
              <w:rPr>
                <w:b/>
                <w:bCs/>
                <w:noProof/>
                <w:color w:val="000000"/>
                <w:sz w:val="18"/>
                <w:szCs w:val="18"/>
                <w:lang w:eastAsia="en-GB"/>
              </w:rPr>
              <w:t>Motivation</w:t>
            </w:r>
          </w:p>
        </w:tc>
      </w:tr>
      <w:tr w:rsidR="007306CA">
        <w:trPr>
          <w:trHeight w:val="300"/>
        </w:trPr>
        <w:tc>
          <w:tcPr>
            <w:tcW w:w="9924" w:type="dxa"/>
            <w:gridSpan w:val="4"/>
            <w:tcBorders>
              <w:top w:val="single" w:sz="4" w:space="0" w:color="auto"/>
              <w:left w:val="single" w:sz="4" w:space="0" w:color="auto"/>
              <w:bottom w:val="single" w:sz="4" w:space="0" w:color="auto"/>
              <w:right w:val="single" w:sz="4" w:space="0" w:color="auto"/>
            </w:tcBorders>
            <w:shd w:val="clear" w:color="000000" w:fill="C5D9F1"/>
            <w:vAlign w:val="center"/>
            <w:hideMark/>
          </w:tcPr>
          <w:p w:rsidR="007306CA" w:rsidRDefault="00576025">
            <w:pPr>
              <w:spacing w:after="0"/>
              <w:jc w:val="left"/>
              <w:rPr>
                <w:b/>
                <w:bCs/>
                <w:noProof/>
                <w:color w:val="000000"/>
                <w:sz w:val="18"/>
                <w:szCs w:val="18"/>
                <w:lang w:eastAsia="en-GB"/>
              </w:rPr>
            </w:pPr>
            <w:r>
              <w:rPr>
                <w:b/>
                <w:bCs/>
                <w:noProof/>
                <w:color w:val="000000"/>
                <w:sz w:val="18"/>
                <w:szCs w:val="18"/>
                <w:lang w:eastAsia="en-GB"/>
              </w:rPr>
              <w:t>Relevance and effectiveness in achieving the objectives</w:t>
            </w:r>
          </w:p>
        </w:tc>
      </w:tr>
      <w:tr w:rsidR="007306CA">
        <w:trPr>
          <w:trHeight w:val="915"/>
        </w:trPr>
        <w:tc>
          <w:tcPr>
            <w:tcW w:w="2861" w:type="dxa"/>
            <w:gridSpan w:val="2"/>
            <w:tcBorders>
              <w:top w:val="nil"/>
              <w:left w:val="single" w:sz="4" w:space="0" w:color="auto"/>
              <w:bottom w:val="single" w:sz="4" w:space="0" w:color="auto"/>
              <w:right w:val="single" w:sz="4" w:space="0" w:color="auto"/>
            </w:tcBorders>
            <w:shd w:val="clear" w:color="auto" w:fill="auto"/>
            <w:vAlign w:val="center"/>
            <w:hideMark/>
          </w:tcPr>
          <w:p w:rsidR="007306CA" w:rsidRDefault="00576025">
            <w:pPr>
              <w:spacing w:after="120"/>
              <w:rPr>
                <w:noProof/>
                <w:color w:val="000000"/>
                <w:sz w:val="18"/>
                <w:szCs w:val="18"/>
                <w:lang w:eastAsia="en-GB"/>
              </w:rPr>
            </w:pPr>
            <w:r>
              <w:rPr>
                <w:noProof/>
                <w:color w:val="000000"/>
                <w:sz w:val="18"/>
                <w:szCs w:val="18"/>
                <w:lang w:eastAsia="en-GB"/>
              </w:rPr>
              <w:t xml:space="preserve">GO1: improve ability to attract and retain to enhance competitiveness and demographic ageing; SO1: create coherent, effective and efficient common EU immigration system for </w:t>
            </w:r>
            <w:r>
              <w:rPr>
                <w:noProof/>
                <w:color w:val="000000"/>
                <w:sz w:val="18"/>
                <w:szCs w:val="18"/>
                <w:lang w:eastAsia="en-GB"/>
              </w:rPr>
              <w:t>highly skilled TCNs; SO2: increase the numbers of highly skilled TCNs; SO3: lower barriers to entry, simplify and harmonise the admission procedures; SO4: promote social and economic integration of highly skilled TCNs and their family members, via favourab</w:t>
            </w:r>
            <w:r>
              <w:rPr>
                <w:noProof/>
                <w:color w:val="000000"/>
                <w:sz w:val="18"/>
                <w:szCs w:val="18"/>
                <w:lang w:eastAsia="en-GB"/>
              </w:rPr>
              <w:t>le residence conditions and rights; SO6: ensure ‘EU Blue Card’ brand to improve image of attractive EU</w:t>
            </w:r>
          </w:p>
        </w:tc>
        <w:tc>
          <w:tcPr>
            <w:tcW w:w="542" w:type="dxa"/>
            <w:tcBorders>
              <w:top w:val="nil"/>
              <w:left w:val="nil"/>
              <w:bottom w:val="single" w:sz="4" w:space="0" w:color="auto"/>
              <w:right w:val="single" w:sz="4" w:space="0" w:color="auto"/>
            </w:tcBorders>
            <w:shd w:val="clear" w:color="auto" w:fill="auto"/>
            <w:vAlign w:val="center"/>
            <w:hideMark/>
          </w:tcPr>
          <w:p w:rsidR="007306CA" w:rsidRDefault="00576025">
            <w:pPr>
              <w:spacing w:after="120"/>
              <w:rPr>
                <w:noProof/>
                <w:color w:val="000000"/>
                <w:sz w:val="18"/>
                <w:szCs w:val="18"/>
                <w:lang w:eastAsia="en-GB"/>
              </w:rPr>
            </w:pPr>
            <w:r>
              <w:rPr>
                <w:noProof/>
                <w:color w:val="000000"/>
                <w:sz w:val="18"/>
                <w:szCs w:val="18"/>
                <w:lang w:eastAsia="en-GB"/>
              </w:rPr>
              <w:t>+2/+3</w:t>
            </w:r>
          </w:p>
        </w:tc>
        <w:tc>
          <w:tcPr>
            <w:tcW w:w="6521" w:type="dxa"/>
            <w:tcBorders>
              <w:top w:val="nil"/>
              <w:left w:val="nil"/>
              <w:bottom w:val="single" w:sz="4" w:space="0" w:color="auto"/>
              <w:right w:val="single" w:sz="4" w:space="0" w:color="auto"/>
            </w:tcBorders>
            <w:shd w:val="clear" w:color="auto" w:fill="auto"/>
            <w:vAlign w:val="center"/>
            <w:hideMark/>
          </w:tcPr>
          <w:p w:rsidR="007306CA" w:rsidRDefault="00576025">
            <w:pPr>
              <w:spacing w:after="120"/>
              <w:ind w:firstLine="113"/>
              <w:rPr>
                <w:b/>
                <w:bCs/>
                <w:noProof/>
                <w:color w:val="000000"/>
                <w:sz w:val="18"/>
                <w:szCs w:val="18"/>
                <w:lang w:eastAsia="en-GB"/>
              </w:rPr>
            </w:pPr>
            <w:r>
              <w:rPr>
                <w:b/>
                <w:bCs/>
                <w:noProof/>
                <w:color w:val="000000"/>
                <w:sz w:val="18"/>
                <w:szCs w:val="18"/>
                <w:lang w:eastAsia="en-GB"/>
              </w:rPr>
              <w:t>Estimated additional permits: min. 24 334 to max. 154 940 HSW (EU25 aggregate, variation depending on the salary threshold set by individual Member</w:t>
            </w:r>
            <w:r>
              <w:rPr>
                <w:b/>
                <w:bCs/>
                <w:noProof/>
                <w:color w:val="000000"/>
                <w:sz w:val="18"/>
                <w:szCs w:val="18"/>
                <w:lang w:eastAsia="en-GB"/>
              </w:rPr>
              <w:t xml:space="preserve"> States)</w:t>
            </w:r>
          </w:p>
          <w:p w:rsidR="007306CA" w:rsidRDefault="00576025">
            <w:pPr>
              <w:spacing w:after="120"/>
              <w:ind w:firstLine="113"/>
              <w:rPr>
                <w:noProof/>
                <w:color w:val="000000"/>
                <w:sz w:val="18"/>
                <w:szCs w:val="18"/>
                <w:lang w:eastAsia="en-GB"/>
              </w:rPr>
            </w:pPr>
            <w:r>
              <w:rPr>
                <w:noProof/>
                <w:color w:val="000000"/>
                <w:sz w:val="18"/>
                <w:szCs w:val="18"/>
                <w:lang w:eastAsia="en-GB"/>
              </w:rPr>
              <w:t xml:space="preserve">This option would make the Blue Card accessible to a significantly wider group of HSW thanks to the </w:t>
            </w:r>
            <w:r>
              <w:rPr>
                <w:i/>
                <w:noProof/>
                <w:color w:val="000000"/>
                <w:sz w:val="18"/>
                <w:szCs w:val="18"/>
                <w:lang w:eastAsia="en-GB"/>
              </w:rPr>
              <w:t>first level Blue card, which</w:t>
            </w:r>
            <w:r>
              <w:rPr>
                <w:noProof/>
                <w:color w:val="000000"/>
                <w:sz w:val="18"/>
                <w:szCs w:val="18"/>
                <w:lang w:eastAsia="en-GB"/>
              </w:rPr>
              <w:t xml:space="preserve"> would be </w:t>
            </w:r>
            <w:r>
              <w:rPr>
                <w:b/>
                <w:noProof/>
                <w:color w:val="000000"/>
                <w:sz w:val="18"/>
                <w:szCs w:val="18"/>
                <w:lang w:eastAsia="en-GB"/>
              </w:rPr>
              <w:t>more inclusive than the current Blue Card Directive</w:t>
            </w:r>
            <w:r>
              <w:rPr>
                <w:noProof/>
                <w:color w:val="000000"/>
                <w:sz w:val="18"/>
                <w:szCs w:val="18"/>
                <w:lang w:eastAsia="en-GB"/>
              </w:rPr>
              <w:t>, while still remaining an instrument targeted at HSW. HSW who are currently excluded due to the restrictive admission conditions, including young professionals, would be better reached and result in an increased retention potential of young talent trained</w:t>
            </w:r>
            <w:r>
              <w:rPr>
                <w:noProof/>
                <w:color w:val="000000"/>
                <w:sz w:val="18"/>
                <w:szCs w:val="18"/>
                <w:lang w:eastAsia="en-GB"/>
              </w:rPr>
              <w:t xml:space="preserve"> in the EU. On top of that would come the </w:t>
            </w:r>
            <w:r>
              <w:rPr>
                <w:i/>
                <w:noProof/>
                <w:color w:val="000000"/>
                <w:sz w:val="18"/>
                <w:szCs w:val="18"/>
                <w:lang w:eastAsia="en-GB"/>
              </w:rPr>
              <w:t xml:space="preserve">second level Blue Card, which </w:t>
            </w:r>
            <w:r>
              <w:rPr>
                <w:noProof/>
                <w:color w:val="000000"/>
                <w:sz w:val="18"/>
                <w:szCs w:val="18"/>
                <w:lang w:eastAsia="en-GB"/>
              </w:rPr>
              <w:t>would create an exclusive yet attractive scheme for a small group of highly-mobile well-earning elite HSW. The overall numbers would be a combination of POP2(a) and (b).</w:t>
            </w:r>
          </w:p>
          <w:p w:rsidR="007306CA" w:rsidRDefault="00576025">
            <w:pPr>
              <w:spacing w:after="120"/>
              <w:ind w:firstLine="113"/>
              <w:rPr>
                <w:noProof/>
                <w:color w:val="000000"/>
                <w:sz w:val="18"/>
                <w:szCs w:val="18"/>
                <w:lang w:eastAsia="en-GB"/>
              </w:rPr>
            </w:pPr>
            <w:r>
              <w:rPr>
                <w:noProof/>
                <w:color w:val="000000"/>
                <w:sz w:val="18"/>
                <w:szCs w:val="18"/>
                <w:lang w:eastAsia="en-GB"/>
              </w:rPr>
              <w:t>It would be an</w:t>
            </w:r>
            <w:r>
              <w:rPr>
                <w:b/>
                <w:noProof/>
                <w:color w:val="000000"/>
                <w:sz w:val="18"/>
                <w:szCs w:val="18"/>
                <w:lang w:eastAsia="en-GB"/>
              </w:rPr>
              <w:t xml:space="preserve"> inclusive </w:t>
            </w:r>
            <w:r>
              <w:rPr>
                <w:noProof/>
                <w:color w:val="000000"/>
                <w:sz w:val="18"/>
                <w:szCs w:val="18"/>
                <w:lang w:eastAsia="en-GB"/>
              </w:rPr>
              <w:t xml:space="preserve">scheme with a </w:t>
            </w:r>
            <w:r>
              <w:rPr>
                <w:b/>
                <w:noProof/>
                <w:color w:val="000000"/>
                <w:sz w:val="18"/>
                <w:szCs w:val="18"/>
                <w:lang w:eastAsia="en-GB"/>
              </w:rPr>
              <w:t xml:space="preserve">high level of flexibility </w:t>
            </w:r>
            <w:r>
              <w:rPr>
                <w:noProof/>
                <w:color w:val="000000"/>
                <w:sz w:val="18"/>
                <w:szCs w:val="18"/>
                <w:lang w:eastAsia="en-GB"/>
              </w:rPr>
              <w:t>for Member States to adapt to their national labour markets as described under POP2(a), combined with the selectiveness that would allow for a highly attractive elite scheme as described under POP2(b). The</w:t>
            </w:r>
            <w:r>
              <w:rPr>
                <w:noProof/>
                <w:color w:val="000000"/>
                <w:sz w:val="18"/>
                <w:szCs w:val="18"/>
                <w:lang w:eastAsia="en-GB"/>
              </w:rPr>
              <w:t xml:space="preserve"> impact on individual Member States would be </w:t>
            </w:r>
            <w:r>
              <w:rPr>
                <w:b/>
                <w:noProof/>
                <w:color w:val="000000"/>
                <w:sz w:val="18"/>
                <w:szCs w:val="18"/>
                <w:lang w:eastAsia="en-GB"/>
              </w:rPr>
              <w:t>evenly spread across low and high income Member States</w:t>
            </w:r>
            <w:r>
              <w:rPr>
                <w:noProof/>
                <w:color w:val="000000"/>
                <w:sz w:val="18"/>
                <w:szCs w:val="18"/>
                <w:lang w:eastAsia="en-GB"/>
              </w:rPr>
              <w:t xml:space="preserve"> as the salary thresholds for both levels are calculated on a national average, on lower and another higher, and adaptable to national circumstances, while M</w:t>
            </w:r>
            <w:r>
              <w:rPr>
                <w:noProof/>
                <w:color w:val="000000"/>
                <w:sz w:val="18"/>
                <w:szCs w:val="18"/>
                <w:lang w:eastAsia="en-GB"/>
              </w:rPr>
              <w:t>ember States also still keep control over the volumes of admission (Treaty-based). This makes the Blue Card is highly adaptable to national situations with a very high potential to substitute parallel national schemes covering the same category of people.</w:t>
            </w:r>
          </w:p>
          <w:p w:rsidR="007306CA" w:rsidRDefault="00576025">
            <w:pPr>
              <w:spacing w:after="120"/>
              <w:ind w:firstLine="113"/>
              <w:rPr>
                <w:noProof/>
                <w:color w:val="000000"/>
                <w:sz w:val="18"/>
                <w:szCs w:val="18"/>
                <w:lang w:eastAsia="en-GB"/>
              </w:rPr>
            </w:pPr>
            <w:r>
              <w:rPr>
                <w:noProof/>
                <w:color w:val="000000"/>
                <w:sz w:val="18"/>
                <w:szCs w:val="18"/>
                <w:lang w:eastAsia="en-GB"/>
              </w:rPr>
              <w:t xml:space="preserve">This policy option is </w:t>
            </w:r>
            <w:r>
              <w:rPr>
                <w:b/>
                <w:noProof/>
                <w:color w:val="000000"/>
                <w:sz w:val="18"/>
                <w:szCs w:val="18"/>
                <w:lang w:eastAsia="en-GB"/>
              </w:rPr>
              <w:t>targeted at HSW</w:t>
            </w:r>
            <w:r>
              <w:rPr>
                <w:noProof/>
                <w:color w:val="000000"/>
                <w:sz w:val="18"/>
                <w:szCs w:val="18"/>
                <w:lang w:eastAsia="en-GB"/>
              </w:rPr>
              <w:t xml:space="preserve"> and would have a </w:t>
            </w:r>
            <w:r>
              <w:rPr>
                <w:b/>
                <w:noProof/>
                <w:color w:val="000000"/>
                <w:sz w:val="18"/>
                <w:szCs w:val="18"/>
                <w:lang w:eastAsia="en-GB"/>
              </w:rPr>
              <w:t>high effectiveness in attracting and retaining them</w:t>
            </w:r>
            <w:r>
              <w:rPr>
                <w:noProof/>
                <w:color w:val="000000"/>
                <w:sz w:val="18"/>
                <w:szCs w:val="18"/>
                <w:lang w:eastAsia="en-GB"/>
              </w:rPr>
              <w:t xml:space="preserve"> as described under POP2(a), while the combination with POP2(b) would mean a slight additional increase in the EU’s ability to attract and retain an e</w:t>
            </w:r>
            <w:r>
              <w:rPr>
                <w:noProof/>
                <w:color w:val="000000"/>
                <w:sz w:val="18"/>
                <w:szCs w:val="18"/>
                <w:lang w:eastAsia="en-GB"/>
              </w:rPr>
              <w:t>lite sub-group of HSW. The increased numbers and more inclusive nature would also contribute to a certain extent to addressing demographic ageing.</w:t>
            </w:r>
          </w:p>
          <w:p w:rsidR="007306CA" w:rsidRDefault="00576025">
            <w:pPr>
              <w:spacing w:after="120"/>
              <w:ind w:firstLine="113"/>
              <w:rPr>
                <w:noProof/>
                <w:color w:val="000000"/>
                <w:sz w:val="18"/>
                <w:szCs w:val="18"/>
                <w:lang w:eastAsia="en-GB"/>
              </w:rPr>
            </w:pPr>
            <w:r>
              <w:rPr>
                <w:noProof/>
                <w:color w:val="000000"/>
                <w:sz w:val="18"/>
                <w:szCs w:val="18"/>
                <w:lang w:eastAsia="en-GB"/>
              </w:rPr>
              <w:t>On the whole, the trade-off between (a) more facilitated entry conditions and (b) more rights and facilitated</w:t>
            </w:r>
            <w:r>
              <w:rPr>
                <w:noProof/>
                <w:color w:val="000000"/>
                <w:sz w:val="18"/>
                <w:szCs w:val="18"/>
                <w:lang w:eastAsia="en-GB"/>
              </w:rPr>
              <w:t xml:space="preserve"> procedures, as well as between further harmonisation and need for national flexibility, is well balanced in this option, thus increasing the EU attractiveness. By improving the attractiveness of the Blue Card this option would also </w:t>
            </w:r>
            <w:r>
              <w:rPr>
                <w:b/>
                <w:noProof/>
                <w:color w:val="000000"/>
                <w:sz w:val="18"/>
                <w:szCs w:val="18"/>
                <w:lang w:eastAsia="en-GB"/>
              </w:rPr>
              <w:t>enhance its branding po</w:t>
            </w:r>
            <w:r>
              <w:rPr>
                <w:b/>
                <w:noProof/>
                <w:color w:val="000000"/>
                <w:sz w:val="18"/>
                <w:szCs w:val="18"/>
                <w:lang w:eastAsia="en-GB"/>
              </w:rPr>
              <w:t>tential</w:t>
            </w:r>
            <w:r>
              <w:rPr>
                <w:noProof/>
                <w:color w:val="000000"/>
                <w:sz w:val="18"/>
                <w:szCs w:val="18"/>
                <w:lang w:eastAsia="en-GB"/>
              </w:rPr>
              <w:t>.</w:t>
            </w:r>
          </w:p>
        </w:tc>
      </w:tr>
      <w:tr w:rsidR="007306CA">
        <w:trPr>
          <w:trHeight w:val="1500"/>
        </w:trPr>
        <w:tc>
          <w:tcPr>
            <w:tcW w:w="2861" w:type="dxa"/>
            <w:gridSpan w:val="2"/>
            <w:tcBorders>
              <w:top w:val="nil"/>
              <w:left w:val="single" w:sz="4" w:space="0" w:color="auto"/>
              <w:bottom w:val="single" w:sz="4" w:space="0" w:color="auto"/>
              <w:right w:val="single" w:sz="4" w:space="0" w:color="auto"/>
            </w:tcBorders>
            <w:shd w:val="clear" w:color="auto" w:fill="auto"/>
            <w:vAlign w:val="center"/>
            <w:hideMark/>
          </w:tcPr>
          <w:p w:rsidR="007306CA" w:rsidRDefault="00576025">
            <w:pPr>
              <w:spacing w:after="120"/>
              <w:rPr>
                <w:noProof/>
                <w:color w:val="000000"/>
                <w:sz w:val="18"/>
                <w:szCs w:val="18"/>
                <w:lang w:eastAsia="en-GB"/>
              </w:rPr>
            </w:pPr>
            <w:r>
              <w:rPr>
                <w:noProof/>
                <w:color w:val="000000"/>
                <w:sz w:val="18"/>
                <w:szCs w:val="18"/>
                <w:lang w:eastAsia="en-GB"/>
              </w:rPr>
              <w:t xml:space="preserve">GO2: improve ability to respond to demands for highly skilled TCNs and offset skill shortages by enhancing the inflows, occupational and geographical (intra-EU) mobility), and to promote efficient (re)allocation on EU labour market; SO5: ensure </w:t>
            </w:r>
            <w:r>
              <w:rPr>
                <w:noProof/>
                <w:color w:val="000000"/>
                <w:sz w:val="18"/>
                <w:szCs w:val="18"/>
                <w:lang w:eastAsia="en-GB"/>
              </w:rPr>
              <w:t>more flexible intra-EU mobility, removing unnecessary barriers, more efficient allocation of highly skilled TCNs in EU</w:t>
            </w:r>
          </w:p>
        </w:tc>
        <w:tc>
          <w:tcPr>
            <w:tcW w:w="542" w:type="dxa"/>
            <w:tcBorders>
              <w:top w:val="nil"/>
              <w:left w:val="nil"/>
              <w:bottom w:val="single" w:sz="4" w:space="0" w:color="auto"/>
              <w:right w:val="single" w:sz="4" w:space="0" w:color="auto"/>
            </w:tcBorders>
            <w:shd w:val="clear" w:color="auto" w:fill="auto"/>
            <w:vAlign w:val="center"/>
            <w:hideMark/>
          </w:tcPr>
          <w:p w:rsidR="007306CA" w:rsidRDefault="00576025">
            <w:pPr>
              <w:spacing w:after="120"/>
              <w:rPr>
                <w:noProof/>
                <w:color w:val="000000"/>
                <w:sz w:val="18"/>
                <w:szCs w:val="18"/>
                <w:lang w:eastAsia="en-GB"/>
              </w:rPr>
            </w:pPr>
            <w:r>
              <w:rPr>
                <w:noProof/>
                <w:color w:val="000000"/>
                <w:sz w:val="18"/>
                <w:szCs w:val="18"/>
                <w:lang w:eastAsia="en-GB"/>
              </w:rPr>
              <w:t>+2</w:t>
            </w:r>
          </w:p>
        </w:tc>
        <w:tc>
          <w:tcPr>
            <w:tcW w:w="6521" w:type="dxa"/>
            <w:tcBorders>
              <w:top w:val="nil"/>
              <w:left w:val="nil"/>
              <w:bottom w:val="single" w:sz="4" w:space="0" w:color="auto"/>
              <w:right w:val="single" w:sz="4" w:space="0" w:color="auto"/>
            </w:tcBorders>
            <w:shd w:val="clear" w:color="auto" w:fill="auto"/>
            <w:vAlign w:val="center"/>
            <w:hideMark/>
          </w:tcPr>
          <w:p w:rsidR="007306CA" w:rsidRDefault="00576025">
            <w:pPr>
              <w:spacing w:after="120"/>
              <w:ind w:firstLine="113"/>
              <w:rPr>
                <w:noProof/>
                <w:color w:val="000000"/>
                <w:sz w:val="18"/>
                <w:szCs w:val="18"/>
                <w:lang w:eastAsia="en-GB"/>
              </w:rPr>
            </w:pPr>
            <w:r>
              <w:rPr>
                <w:noProof/>
                <w:color w:val="000000"/>
                <w:sz w:val="18"/>
                <w:szCs w:val="18"/>
                <w:lang w:eastAsia="en-GB"/>
              </w:rPr>
              <w:t xml:space="preserve">Similar to POP2(a), this option would significantly </w:t>
            </w:r>
            <w:r>
              <w:rPr>
                <w:b/>
                <w:noProof/>
                <w:color w:val="000000"/>
                <w:sz w:val="18"/>
                <w:szCs w:val="18"/>
                <w:lang w:eastAsia="en-GB"/>
              </w:rPr>
              <w:t>improve the Member States’ ability</w:t>
            </w:r>
            <w:r>
              <w:rPr>
                <w:noProof/>
                <w:color w:val="000000"/>
                <w:sz w:val="18"/>
                <w:szCs w:val="18"/>
                <w:lang w:eastAsia="en-GB"/>
              </w:rPr>
              <w:t xml:space="preserve"> to effectively and promptly respond to demands </w:t>
            </w:r>
            <w:r>
              <w:rPr>
                <w:noProof/>
                <w:color w:val="000000"/>
                <w:sz w:val="18"/>
                <w:szCs w:val="18"/>
                <w:lang w:eastAsia="en-GB"/>
              </w:rPr>
              <w:t xml:space="preserve">for HSW and </w:t>
            </w:r>
            <w:r>
              <w:rPr>
                <w:b/>
                <w:noProof/>
                <w:color w:val="000000"/>
                <w:sz w:val="18"/>
                <w:szCs w:val="18"/>
                <w:lang w:eastAsia="en-GB"/>
              </w:rPr>
              <w:t>address labour and skill shortages</w:t>
            </w:r>
            <w:r>
              <w:rPr>
                <w:noProof/>
                <w:color w:val="000000"/>
                <w:sz w:val="18"/>
                <w:szCs w:val="18"/>
                <w:lang w:eastAsia="en-GB"/>
              </w:rPr>
              <w:t xml:space="preserve">. By making the Blue Card accessible to a wider group of talent overall numbers of HSWs would increase and there is an </w:t>
            </w:r>
            <w:r>
              <w:rPr>
                <w:b/>
                <w:noProof/>
                <w:color w:val="000000"/>
                <w:sz w:val="18"/>
                <w:szCs w:val="18"/>
                <w:lang w:eastAsia="en-GB"/>
              </w:rPr>
              <w:t>increased retention of EU trained young talent</w:t>
            </w:r>
            <w:r>
              <w:rPr>
                <w:noProof/>
                <w:color w:val="000000"/>
                <w:sz w:val="18"/>
                <w:szCs w:val="18"/>
                <w:lang w:eastAsia="en-GB"/>
              </w:rPr>
              <w:t>. This would create a larger pool of HSW from</w:t>
            </w:r>
            <w:r>
              <w:rPr>
                <w:noProof/>
                <w:color w:val="000000"/>
                <w:sz w:val="18"/>
                <w:szCs w:val="18"/>
                <w:lang w:eastAsia="en-GB"/>
              </w:rPr>
              <w:t xml:space="preserve"> which employers can draw to fill shortages. </w:t>
            </w:r>
            <w:r>
              <w:rPr>
                <w:b/>
                <w:noProof/>
                <w:color w:val="000000"/>
                <w:sz w:val="18"/>
                <w:szCs w:val="18"/>
                <w:lang w:eastAsia="en-GB"/>
              </w:rPr>
              <w:t xml:space="preserve">More extensive intra-EU mobility </w:t>
            </w:r>
            <w:r>
              <w:rPr>
                <w:noProof/>
                <w:color w:val="000000"/>
                <w:sz w:val="18"/>
                <w:szCs w:val="18"/>
                <w:lang w:eastAsia="en-GB"/>
              </w:rPr>
              <w:t xml:space="preserve">possibilities would allow for an improved ability to flexibly circulate between Member States according to changed labour market circumstances and skill shortages. </w:t>
            </w:r>
          </w:p>
          <w:p w:rsidR="007306CA" w:rsidRDefault="00576025">
            <w:pPr>
              <w:spacing w:after="120"/>
              <w:ind w:firstLine="113"/>
              <w:rPr>
                <w:noProof/>
                <w:color w:val="000000"/>
                <w:sz w:val="18"/>
                <w:szCs w:val="18"/>
                <w:lang w:eastAsia="en-GB"/>
              </w:rPr>
            </w:pPr>
            <w:r>
              <w:rPr>
                <w:noProof/>
                <w:color w:val="000000"/>
                <w:sz w:val="18"/>
                <w:szCs w:val="18"/>
                <w:lang w:eastAsia="en-GB"/>
              </w:rPr>
              <w:t>The combinati</w:t>
            </w:r>
            <w:r>
              <w:rPr>
                <w:noProof/>
                <w:color w:val="000000"/>
                <w:sz w:val="18"/>
                <w:szCs w:val="18"/>
                <w:lang w:eastAsia="en-GB"/>
              </w:rPr>
              <w:t>on with POP2(b) would mean an additional increase in the EU’s ability to respond to very specific shortages in high-earning occupations, yet this would be limited to an elite of the most HSW as described in POP2(b).</w:t>
            </w:r>
          </w:p>
        </w:tc>
      </w:tr>
      <w:tr w:rsidR="007306CA">
        <w:trPr>
          <w:trHeight w:val="4320"/>
        </w:trPr>
        <w:tc>
          <w:tcPr>
            <w:tcW w:w="2861" w:type="dxa"/>
            <w:gridSpan w:val="2"/>
            <w:tcBorders>
              <w:top w:val="nil"/>
              <w:left w:val="single" w:sz="4" w:space="0" w:color="auto"/>
              <w:bottom w:val="single" w:sz="4" w:space="0" w:color="auto"/>
              <w:right w:val="single" w:sz="4" w:space="0" w:color="auto"/>
            </w:tcBorders>
            <w:shd w:val="clear" w:color="auto" w:fill="auto"/>
            <w:vAlign w:val="center"/>
            <w:hideMark/>
          </w:tcPr>
          <w:p w:rsidR="007306CA" w:rsidRDefault="00576025">
            <w:pPr>
              <w:spacing w:after="120"/>
              <w:rPr>
                <w:i/>
                <w:noProof/>
                <w:color w:val="000000"/>
                <w:sz w:val="18"/>
                <w:szCs w:val="18"/>
                <w:highlight w:val="yellow"/>
                <w:u w:val="single"/>
                <w:lang w:val="en-IE" w:eastAsia="en-GB"/>
              </w:rPr>
            </w:pPr>
            <w:r>
              <w:rPr>
                <w:noProof/>
                <w:color w:val="000000"/>
                <w:sz w:val="18"/>
                <w:szCs w:val="18"/>
                <w:lang w:eastAsia="en-GB"/>
              </w:rPr>
              <w:t xml:space="preserve">SO1: create a coherent, efficient and </w:t>
            </w:r>
            <w:r>
              <w:rPr>
                <w:noProof/>
                <w:color w:val="000000"/>
                <w:sz w:val="18"/>
                <w:szCs w:val="18"/>
                <w:lang w:eastAsia="en-GB"/>
              </w:rPr>
              <w:t>effective common immigration system for highly skilled TCNs</w:t>
            </w:r>
          </w:p>
        </w:tc>
        <w:tc>
          <w:tcPr>
            <w:tcW w:w="542" w:type="dxa"/>
            <w:tcBorders>
              <w:top w:val="nil"/>
              <w:left w:val="nil"/>
              <w:bottom w:val="single" w:sz="4" w:space="0" w:color="auto"/>
              <w:right w:val="single" w:sz="4" w:space="0" w:color="auto"/>
            </w:tcBorders>
            <w:shd w:val="clear" w:color="auto" w:fill="auto"/>
            <w:vAlign w:val="center"/>
            <w:hideMark/>
          </w:tcPr>
          <w:p w:rsidR="007306CA" w:rsidRDefault="00576025">
            <w:pPr>
              <w:spacing w:after="120"/>
              <w:rPr>
                <w:noProof/>
                <w:color w:val="000000"/>
                <w:sz w:val="18"/>
                <w:szCs w:val="18"/>
                <w:lang w:eastAsia="en-GB"/>
              </w:rPr>
            </w:pPr>
            <w:r>
              <w:rPr>
                <w:noProof/>
                <w:color w:val="000000"/>
                <w:sz w:val="18"/>
                <w:szCs w:val="18"/>
                <w:lang w:eastAsia="en-GB"/>
              </w:rPr>
              <w:t>+1</w:t>
            </w:r>
          </w:p>
        </w:tc>
        <w:tc>
          <w:tcPr>
            <w:tcW w:w="6521" w:type="dxa"/>
            <w:tcBorders>
              <w:top w:val="nil"/>
              <w:left w:val="nil"/>
              <w:bottom w:val="single" w:sz="4" w:space="0" w:color="auto"/>
              <w:right w:val="single" w:sz="4" w:space="0" w:color="auto"/>
            </w:tcBorders>
            <w:shd w:val="clear" w:color="auto" w:fill="auto"/>
            <w:vAlign w:val="center"/>
            <w:hideMark/>
          </w:tcPr>
          <w:p w:rsidR="007306CA" w:rsidRDefault="00576025">
            <w:pPr>
              <w:spacing w:after="120"/>
              <w:ind w:firstLine="113"/>
              <w:rPr>
                <w:noProof/>
                <w:color w:val="000000"/>
                <w:sz w:val="18"/>
                <w:szCs w:val="18"/>
                <w:lang w:eastAsia="en-GB"/>
              </w:rPr>
            </w:pPr>
            <w:r>
              <w:rPr>
                <w:noProof/>
                <w:color w:val="000000"/>
                <w:sz w:val="18"/>
                <w:szCs w:val="18"/>
                <w:lang w:eastAsia="en-GB"/>
              </w:rPr>
              <w:t xml:space="preserve">By combining POP2(a) and (b) this option would introduce a </w:t>
            </w:r>
            <w:r>
              <w:rPr>
                <w:b/>
                <w:noProof/>
                <w:color w:val="000000"/>
                <w:sz w:val="18"/>
                <w:szCs w:val="18"/>
                <w:lang w:eastAsia="en-GB"/>
              </w:rPr>
              <w:t>significantly more harmonised EU policy</w:t>
            </w:r>
            <w:r>
              <w:rPr>
                <w:noProof/>
                <w:color w:val="000000"/>
                <w:sz w:val="18"/>
                <w:szCs w:val="18"/>
                <w:lang w:eastAsia="en-GB"/>
              </w:rPr>
              <w:t xml:space="preserve"> on highly skilled workers with many common elements, through the elimination of national paral</w:t>
            </w:r>
            <w:r>
              <w:rPr>
                <w:noProof/>
                <w:color w:val="000000"/>
                <w:sz w:val="18"/>
                <w:szCs w:val="18"/>
                <w:lang w:eastAsia="en-GB"/>
              </w:rPr>
              <w:t xml:space="preserve">lel schemes for HSW, complemented by an even more harmonised EU policy for an elite of the most highly skilled workers. As regards the level 1 Blue Card holders Member States would still have a </w:t>
            </w:r>
            <w:r>
              <w:rPr>
                <w:b/>
                <w:noProof/>
                <w:color w:val="000000"/>
                <w:sz w:val="18"/>
                <w:szCs w:val="18"/>
                <w:lang w:eastAsia="en-GB"/>
              </w:rPr>
              <w:t>considerable amount of flexibility</w:t>
            </w:r>
            <w:r>
              <w:rPr>
                <w:noProof/>
                <w:color w:val="000000"/>
                <w:sz w:val="18"/>
                <w:szCs w:val="18"/>
                <w:lang w:eastAsia="en-GB"/>
              </w:rPr>
              <w:t xml:space="preserve"> to adapt the entry conditio</w:t>
            </w:r>
            <w:r>
              <w:rPr>
                <w:noProof/>
                <w:color w:val="000000"/>
                <w:sz w:val="18"/>
                <w:szCs w:val="18"/>
                <w:lang w:eastAsia="en-GB"/>
              </w:rPr>
              <w:t>ns to the situation of their national labour markets, yet a bit less so for level 2.</w:t>
            </w:r>
          </w:p>
          <w:p w:rsidR="007306CA" w:rsidRDefault="00576025">
            <w:pPr>
              <w:spacing w:after="120"/>
              <w:ind w:firstLine="113"/>
              <w:rPr>
                <w:noProof/>
                <w:color w:val="000000"/>
                <w:sz w:val="18"/>
                <w:szCs w:val="18"/>
                <w:lang w:eastAsia="en-GB"/>
              </w:rPr>
            </w:pPr>
            <w:r>
              <w:rPr>
                <w:noProof/>
                <w:color w:val="000000"/>
                <w:sz w:val="18"/>
                <w:szCs w:val="18"/>
                <w:lang w:eastAsia="en-GB"/>
              </w:rPr>
              <w:t xml:space="preserve">The </w:t>
            </w:r>
            <w:r>
              <w:rPr>
                <w:b/>
                <w:noProof/>
                <w:color w:val="000000"/>
                <w:sz w:val="18"/>
                <w:szCs w:val="18"/>
                <w:lang w:eastAsia="en-GB"/>
              </w:rPr>
              <w:t>effectiveness and coherence would be improved</w:t>
            </w:r>
            <w:r>
              <w:rPr>
                <w:noProof/>
                <w:color w:val="000000"/>
                <w:sz w:val="18"/>
                <w:szCs w:val="18"/>
                <w:lang w:eastAsia="en-GB"/>
              </w:rPr>
              <w:t xml:space="preserve"> by further harmonising the HSW systems across the Member States, simplifying and streamlining the parallel procedures in </w:t>
            </w:r>
            <w:r>
              <w:rPr>
                <w:noProof/>
                <w:color w:val="000000"/>
                <w:sz w:val="18"/>
                <w:szCs w:val="18"/>
                <w:lang w:eastAsia="en-GB"/>
              </w:rPr>
              <w:t>each Member State, decreasing the processing time, simultaneous processing of permits for family members and introducing a system of recognised employers with further facilitation.</w:t>
            </w:r>
          </w:p>
          <w:p w:rsidR="007306CA" w:rsidRDefault="00576025">
            <w:pPr>
              <w:spacing w:after="120"/>
              <w:ind w:firstLine="113"/>
              <w:rPr>
                <w:noProof/>
                <w:color w:val="000000"/>
                <w:sz w:val="18"/>
                <w:szCs w:val="18"/>
                <w:lang w:eastAsia="en-GB"/>
              </w:rPr>
            </w:pPr>
            <w:r>
              <w:rPr>
                <w:noProof/>
                <w:color w:val="000000"/>
                <w:sz w:val="18"/>
                <w:szCs w:val="18"/>
                <w:lang w:eastAsia="en-GB"/>
              </w:rPr>
              <w:t>On the other hand, the gain in harmonising value and efficiency in the mana</w:t>
            </w:r>
            <w:r>
              <w:rPr>
                <w:noProof/>
                <w:color w:val="000000"/>
                <w:sz w:val="18"/>
                <w:szCs w:val="18"/>
                <w:lang w:eastAsia="en-GB"/>
              </w:rPr>
              <w:t xml:space="preserve">gement of HSW flows through the elimination of national parallel schemes for HSW in POP2(a), is </w:t>
            </w:r>
            <w:r>
              <w:rPr>
                <w:b/>
                <w:noProof/>
                <w:color w:val="000000"/>
                <w:sz w:val="18"/>
                <w:szCs w:val="18"/>
                <w:lang w:eastAsia="en-GB"/>
              </w:rPr>
              <w:t>diminished by the complexity of having a two-tier differentiated system</w:t>
            </w:r>
            <w:r>
              <w:rPr>
                <w:noProof/>
                <w:color w:val="000000"/>
                <w:sz w:val="18"/>
                <w:szCs w:val="18"/>
                <w:lang w:eastAsia="en-GB"/>
              </w:rPr>
              <w:t xml:space="preserve"> with differing entry conditions and differing rights associated to the status. </w:t>
            </w:r>
          </w:p>
          <w:p w:rsidR="007306CA" w:rsidRDefault="00576025">
            <w:pPr>
              <w:spacing w:after="120"/>
              <w:ind w:firstLine="113"/>
              <w:rPr>
                <w:noProof/>
                <w:color w:val="000000"/>
                <w:sz w:val="18"/>
                <w:szCs w:val="18"/>
                <w:lang w:eastAsia="en-GB"/>
              </w:rPr>
            </w:pPr>
            <w:r>
              <w:rPr>
                <w:noProof/>
                <w:color w:val="000000"/>
                <w:sz w:val="18"/>
                <w:szCs w:val="18"/>
                <w:lang w:eastAsia="en-GB"/>
              </w:rPr>
              <w:t>In pract</w:t>
            </w:r>
            <w:r>
              <w:rPr>
                <w:noProof/>
                <w:color w:val="000000"/>
                <w:sz w:val="18"/>
                <w:szCs w:val="18"/>
                <w:lang w:eastAsia="en-GB"/>
              </w:rPr>
              <w:t>ice, this means that two separate yet interconnected (possible transition from level 1 to 2) systems would have to be managed by Member States. A separate status and permit would have to be created, as it would be necessary to differentiate between both le</w:t>
            </w:r>
            <w:r>
              <w:rPr>
                <w:noProof/>
                <w:color w:val="000000"/>
                <w:sz w:val="18"/>
                <w:szCs w:val="18"/>
                <w:lang w:eastAsia="en-GB"/>
              </w:rPr>
              <w:t>vels in function of the associated rights (e.g. different access to long-term residence status and intra-EU mobility). In addition, two levels of HSW would mean different treatment in terms of rights.</w:t>
            </w:r>
          </w:p>
        </w:tc>
      </w:tr>
      <w:tr w:rsidR="007306CA">
        <w:trPr>
          <w:trHeight w:val="300"/>
        </w:trPr>
        <w:tc>
          <w:tcPr>
            <w:tcW w:w="9924" w:type="dxa"/>
            <w:gridSpan w:val="4"/>
            <w:tcBorders>
              <w:top w:val="single" w:sz="4" w:space="0" w:color="auto"/>
              <w:left w:val="single" w:sz="4" w:space="0" w:color="auto"/>
              <w:bottom w:val="single" w:sz="4" w:space="0" w:color="auto"/>
              <w:right w:val="single" w:sz="4" w:space="0" w:color="auto"/>
            </w:tcBorders>
            <w:shd w:val="clear" w:color="000000" w:fill="C5D9F1"/>
            <w:vAlign w:val="center"/>
            <w:hideMark/>
          </w:tcPr>
          <w:p w:rsidR="007306CA" w:rsidRDefault="00576025">
            <w:pPr>
              <w:spacing w:after="0"/>
              <w:jc w:val="left"/>
              <w:rPr>
                <w:b/>
                <w:bCs/>
                <w:noProof/>
                <w:color w:val="000000"/>
                <w:sz w:val="18"/>
                <w:szCs w:val="18"/>
                <w:lang w:eastAsia="en-GB"/>
              </w:rPr>
            </w:pPr>
            <w:r>
              <w:rPr>
                <w:b/>
                <w:bCs/>
                <w:noProof/>
                <w:color w:val="000000"/>
                <w:sz w:val="18"/>
                <w:szCs w:val="18"/>
                <w:lang w:eastAsia="en-GB"/>
              </w:rPr>
              <w:t>Expected impacts</w:t>
            </w:r>
          </w:p>
        </w:tc>
      </w:tr>
      <w:tr w:rsidR="007306CA">
        <w:trPr>
          <w:trHeight w:val="300"/>
        </w:trPr>
        <w:tc>
          <w:tcPr>
            <w:tcW w:w="992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306CA" w:rsidRDefault="00576025">
            <w:pPr>
              <w:spacing w:after="0"/>
              <w:jc w:val="left"/>
              <w:rPr>
                <w:b/>
                <w:bCs/>
                <w:noProof/>
                <w:color w:val="000000"/>
                <w:sz w:val="18"/>
                <w:szCs w:val="18"/>
                <w:lang w:eastAsia="en-GB"/>
              </w:rPr>
            </w:pPr>
            <w:r>
              <w:rPr>
                <w:b/>
                <w:bCs/>
                <w:noProof/>
                <w:color w:val="000000"/>
                <w:sz w:val="18"/>
                <w:szCs w:val="18"/>
                <w:lang w:eastAsia="en-GB"/>
              </w:rPr>
              <w:t>Economic impacts</w:t>
            </w:r>
          </w:p>
        </w:tc>
      </w:tr>
      <w:tr w:rsidR="007306CA">
        <w:trPr>
          <w:trHeight w:val="67"/>
        </w:trPr>
        <w:tc>
          <w:tcPr>
            <w:tcW w:w="2861" w:type="dxa"/>
            <w:gridSpan w:val="2"/>
            <w:tcBorders>
              <w:top w:val="nil"/>
              <w:left w:val="single" w:sz="4" w:space="0" w:color="auto"/>
              <w:bottom w:val="single" w:sz="4" w:space="0" w:color="auto"/>
              <w:right w:val="single" w:sz="4" w:space="0" w:color="auto"/>
            </w:tcBorders>
            <w:shd w:val="clear" w:color="auto" w:fill="auto"/>
            <w:vAlign w:val="center"/>
            <w:hideMark/>
          </w:tcPr>
          <w:p w:rsidR="007306CA" w:rsidRDefault="00576025">
            <w:pPr>
              <w:spacing w:after="120"/>
              <w:rPr>
                <w:noProof/>
                <w:color w:val="000000"/>
                <w:sz w:val="18"/>
                <w:szCs w:val="18"/>
                <w:lang w:eastAsia="en-GB"/>
              </w:rPr>
            </w:pPr>
            <w:r>
              <w:rPr>
                <w:noProof/>
                <w:color w:val="000000"/>
                <w:sz w:val="18"/>
                <w:szCs w:val="18"/>
                <w:lang w:eastAsia="en-GB"/>
              </w:rPr>
              <w:t>- Impact on growth</w:t>
            </w:r>
            <w:r>
              <w:rPr>
                <w:noProof/>
                <w:color w:val="000000"/>
                <w:sz w:val="18"/>
                <w:szCs w:val="18"/>
                <w:lang w:eastAsia="en-GB"/>
              </w:rPr>
              <w:t xml:space="preserve"> and competitiveness</w:t>
            </w:r>
          </w:p>
        </w:tc>
        <w:tc>
          <w:tcPr>
            <w:tcW w:w="542" w:type="dxa"/>
            <w:tcBorders>
              <w:top w:val="nil"/>
              <w:left w:val="nil"/>
              <w:bottom w:val="single" w:sz="4" w:space="0" w:color="auto"/>
              <w:right w:val="single" w:sz="4" w:space="0" w:color="auto"/>
            </w:tcBorders>
            <w:shd w:val="clear" w:color="auto" w:fill="auto"/>
            <w:vAlign w:val="center"/>
            <w:hideMark/>
          </w:tcPr>
          <w:p w:rsidR="007306CA" w:rsidRDefault="00576025">
            <w:pPr>
              <w:spacing w:after="120"/>
              <w:rPr>
                <w:noProof/>
                <w:color w:val="000000"/>
                <w:sz w:val="18"/>
                <w:szCs w:val="18"/>
                <w:lang w:eastAsia="en-GB"/>
              </w:rPr>
            </w:pPr>
            <w:r>
              <w:rPr>
                <w:noProof/>
                <w:color w:val="000000"/>
                <w:sz w:val="18"/>
                <w:szCs w:val="18"/>
                <w:lang w:eastAsia="en-GB"/>
              </w:rPr>
              <w:t>+1/+2</w:t>
            </w:r>
          </w:p>
        </w:tc>
        <w:tc>
          <w:tcPr>
            <w:tcW w:w="6521" w:type="dxa"/>
            <w:tcBorders>
              <w:top w:val="nil"/>
              <w:left w:val="nil"/>
              <w:bottom w:val="single" w:sz="4" w:space="0" w:color="auto"/>
              <w:right w:val="single" w:sz="4" w:space="0" w:color="auto"/>
            </w:tcBorders>
            <w:shd w:val="clear" w:color="auto" w:fill="auto"/>
            <w:vAlign w:val="center"/>
            <w:hideMark/>
          </w:tcPr>
          <w:p w:rsidR="007306CA" w:rsidRDefault="00576025">
            <w:pPr>
              <w:spacing w:after="120"/>
              <w:rPr>
                <w:b/>
                <w:bCs/>
                <w:noProof/>
                <w:color w:val="000000"/>
                <w:sz w:val="18"/>
                <w:szCs w:val="18"/>
                <w:lang w:eastAsia="en-GB"/>
              </w:rPr>
            </w:pPr>
            <w:r>
              <w:rPr>
                <w:b/>
                <w:bCs/>
                <w:noProof/>
                <w:color w:val="000000"/>
                <w:sz w:val="18"/>
                <w:szCs w:val="18"/>
                <w:lang w:eastAsia="en-GB"/>
              </w:rPr>
              <w:t>Estimated economic impact: min. € 1 billion to max. € 6.9 billion</w:t>
            </w:r>
          </w:p>
          <w:p w:rsidR="007306CA" w:rsidRDefault="00576025">
            <w:pPr>
              <w:spacing w:after="120"/>
              <w:rPr>
                <w:i/>
                <w:noProof/>
                <w:color w:val="000000"/>
                <w:sz w:val="18"/>
                <w:szCs w:val="18"/>
                <w:u w:val="single"/>
                <w:lang w:val="en-IE" w:eastAsia="en-GB"/>
              </w:rPr>
            </w:pPr>
            <w:r>
              <w:rPr>
                <w:noProof/>
                <w:color w:val="000000"/>
                <w:sz w:val="18"/>
                <w:szCs w:val="18"/>
                <w:lang w:eastAsia="en-GB"/>
              </w:rPr>
              <w:t xml:space="preserve">This sub-option combines POP2(a) and (b) and the impacts would also be in line with a combination of those described under those options. </w:t>
            </w:r>
          </w:p>
        </w:tc>
      </w:tr>
      <w:tr w:rsidR="007306CA">
        <w:trPr>
          <w:trHeight w:val="64"/>
        </w:trPr>
        <w:tc>
          <w:tcPr>
            <w:tcW w:w="2861" w:type="dxa"/>
            <w:gridSpan w:val="2"/>
            <w:tcBorders>
              <w:top w:val="nil"/>
              <w:left w:val="single" w:sz="4" w:space="0" w:color="auto"/>
              <w:bottom w:val="single" w:sz="4" w:space="0" w:color="auto"/>
              <w:right w:val="single" w:sz="4" w:space="0" w:color="auto"/>
            </w:tcBorders>
            <w:shd w:val="clear" w:color="auto" w:fill="auto"/>
            <w:vAlign w:val="center"/>
            <w:hideMark/>
          </w:tcPr>
          <w:p w:rsidR="007306CA" w:rsidRDefault="00576025">
            <w:pPr>
              <w:spacing w:after="120"/>
              <w:rPr>
                <w:noProof/>
                <w:color w:val="000000"/>
                <w:sz w:val="18"/>
                <w:szCs w:val="18"/>
                <w:lang w:eastAsia="en-GB"/>
              </w:rPr>
            </w:pPr>
            <w:r>
              <w:rPr>
                <w:noProof/>
                <w:color w:val="000000"/>
                <w:sz w:val="18"/>
                <w:szCs w:val="18"/>
                <w:lang w:eastAsia="en-GB"/>
              </w:rPr>
              <w:t>- Impact on SMEs</w:t>
            </w:r>
          </w:p>
        </w:tc>
        <w:tc>
          <w:tcPr>
            <w:tcW w:w="542" w:type="dxa"/>
            <w:tcBorders>
              <w:top w:val="nil"/>
              <w:left w:val="nil"/>
              <w:bottom w:val="single" w:sz="4" w:space="0" w:color="auto"/>
              <w:right w:val="single" w:sz="4" w:space="0" w:color="auto"/>
            </w:tcBorders>
            <w:shd w:val="clear" w:color="auto" w:fill="auto"/>
            <w:vAlign w:val="center"/>
            <w:hideMark/>
          </w:tcPr>
          <w:p w:rsidR="007306CA" w:rsidRDefault="00576025">
            <w:pPr>
              <w:spacing w:after="120"/>
              <w:rPr>
                <w:noProof/>
                <w:color w:val="000000"/>
                <w:sz w:val="18"/>
                <w:szCs w:val="18"/>
                <w:lang w:eastAsia="en-GB"/>
              </w:rPr>
            </w:pPr>
            <w:r>
              <w:rPr>
                <w:noProof/>
                <w:color w:val="000000"/>
                <w:sz w:val="18"/>
                <w:szCs w:val="18"/>
                <w:lang w:eastAsia="en-GB"/>
              </w:rPr>
              <w:t>+2</w:t>
            </w:r>
          </w:p>
        </w:tc>
        <w:tc>
          <w:tcPr>
            <w:tcW w:w="6521" w:type="dxa"/>
            <w:tcBorders>
              <w:top w:val="nil"/>
              <w:left w:val="nil"/>
              <w:bottom w:val="single" w:sz="4" w:space="0" w:color="auto"/>
              <w:right w:val="single" w:sz="4" w:space="0" w:color="auto"/>
            </w:tcBorders>
            <w:shd w:val="clear" w:color="auto" w:fill="auto"/>
            <w:vAlign w:val="center"/>
            <w:hideMark/>
          </w:tcPr>
          <w:p w:rsidR="007306CA" w:rsidRDefault="00576025">
            <w:pPr>
              <w:spacing w:after="120"/>
              <w:rPr>
                <w:noProof/>
                <w:color w:val="000000"/>
                <w:sz w:val="18"/>
                <w:szCs w:val="18"/>
                <w:lang w:eastAsia="en-GB"/>
              </w:rPr>
            </w:pPr>
            <w:r>
              <w:rPr>
                <w:noProof/>
                <w:color w:val="000000"/>
                <w:sz w:val="18"/>
                <w:szCs w:val="18"/>
                <w:lang w:eastAsia="en-GB"/>
              </w:rPr>
              <w:t>Thi</w:t>
            </w:r>
            <w:r>
              <w:rPr>
                <w:noProof/>
                <w:color w:val="000000"/>
                <w:sz w:val="18"/>
                <w:szCs w:val="18"/>
                <w:lang w:eastAsia="en-GB"/>
              </w:rPr>
              <w:t>s sub-option combines POP2(a) and (b) and the impacts would also be in line with a combination of those described under those options.</w:t>
            </w:r>
          </w:p>
        </w:tc>
      </w:tr>
      <w:tr w:rsidR="007306CA">
        <w:trPr>
          <w:trHeight w:val="88"/>
        </w:trPr>
        <w:tc>
          <w:tcPr>
            <w:tcW w:w="2861" w:type="dxa"/>
            <w:gridSpan w:val="2"/>
            <w:tcBorders>
              <w:top w:val="nil"/>
              <w:left w:val="single" w:sz="4" w:space="0" w:color="auto"/>
              <w:bottom w:val="single" w:sz="4" w:space="0" w:color="auto"/>
              <w:right w:val="single" w:sz="4" w:space="0" w:color="auto"/>
            </w:tcBorders>
            <w:shd w:val="clear" w:color="auto" w:fill="auto"/>
            <w:vAlign w:val="center"/>
            <w:hideMark/>
          </w:tcPr>
          <w:p w:rsidR="007306CA" w:rsidRDefault="00576025">
            <w:pPr>
              <w:spacing w:after="120"/>
              <w:rPr>
                <w:noProof/>
                <w:color w:val="000000"/>
                <w:sz w:val="18"/>
                <w:szCs w:val="18"/>
                <w:lang w:eastAsia="en-GB"/>
              </w:rPr>
            </w:pPr>
            <w:r>
              <w:rPr>
                <w:noProof/>
                <w:color w:val="000000"/>
                <w:sz w:val="18"/>
                <w:szCs w:val="18"/>
                <w:lang w:eastAsia="en-GB"/>
              </w:rPr>
              <w:t xml:space="preserve">- Impact on innovation and research </w:t>
            </w:r>
          </w:p>
        </w:tc>
        <w:tc>
          <w:tcPr>
            <w:tcW w:w="542" w:type="dxa"/>
            <w:tcBorders>
              <w:top w:val="nil"/>
              <w:left w:val="nil"/>
              <w:bottom w:val="single" w:sz="4" w:space="0" w:color="auto"/>
              <w:right w:val="single" w:sz="4" w:space="0" w:color="auto"/>
            </w:tcBorders>
            <w:shd w:val="clear" w:color="auto" w:fill="auto"/>
            <w:vAlign w:val="center"/>
            <w:hideMark/>
          </w:tcPr>
          <w:p w:rsidR="007306CA" w:rsidRDefault="00576025">
            <w:pPr>
              <w:spacing w:after="120"/>
              <w:rPr>
                <w:noProof/>
                <w:color w:val="000000"/>
                <w:sz w:val="18"/>
                <w:szCs w:val="18"/>
                <w:lang w:eastAsia="en-GB"/>
              </w:rPr>
            </w:pPr>
            <w:r>
              <w:rPr>
                <w:noProof/>
                <w:color w:val="000000"/>
                <w:sz w:val="18"/>
                <w:szCs w:val="18"/>
                <w:lang w:eastAsia="en-GB"/>
              </w:rPr>
              <w:t>+2</w:t>
            </w:r>
          </w:p>
        </w:tc>
        <w:tc>
          <w:tcPr>
            <w:tcW w:w="6521" w:type="dxa"/>
            <w:tcBorders>
              <w:top w:val="nil"/>
              <w:left w:val="nil"/>
              <w:bottom w:val="single" w:sz="4" w:space="0" w:color="auto"/>
              <w:right w:val="single" w:sz="4" w:space="0" w:color="auto"/>
            </w:tcBorders>
            <w:shd w:val="clear" w:color="auto" w:fill="auto"/>
            <w:vAlign w:val="center"/>
            <w:hideMark/>
          </w:tcPr>
          <w:p w:rsidR="007306CA" w:rsidRDefault="00576025">
            <w:pPr>
              <w:spacing w:after="120"/>
              <w:rPr>
                <w:noProof/>
                <w:color w:val="000000"/>
                <w:sz w:val="18"/>
                <w:szCs w:val="18"/>
                <w:lang w:eastAsia="en-GB"/>
              </w:rPr>
            </w:pPr>
            <w:r>
              <w:rPr>
                <w:noProof/>
                <w:color w:val="000000"/>
                <w:sz w:val="18"/>
                <w:szCs w:val="18"/>
                <w:lang w:eastAsia="en-GB"/>
              </w:rPr>
              <w:t xml:space="preserve">This sub-option combines POP2(a) and (b) and the impacts would also be in line </w:t>
            </w:r>
            <w:r>
              <w:rPr>
                <w:noProof/>
                <w:color w:val="000000"/>
                <w:sz w:val="18"/>
                <w:szCs w:val="18"/>
                <w:lang w:eastAsia="en-GB"/>
              </w:rPr>
              <w:t>with a combination of those described under those options.</w:t>
            </w:r>
          </w:p>
        </w:tc>
      </w:tr>
      <w:tr w:rsidR="007306CA">
        <w:trPr>
          <w:trHeight w:val="300"/>
        </w:trPr>
        <w:tc>
          <w:tcPr>
            <w:tcW w:w="992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306CA" w:rsidRDefault="00576025">
            <w:pPr>
              <w:spacing w:after="0"/>
              <w:jc w:val="left"/>
              <w:rPr>
                <w:b/>
                <w:bCs/>
                <w:noProof/>
                <w:color w:val="000000"/>
                <w:sz w:val="18"/>
                <w:szCs w:val="18"/>
                <w:lang w:eastAsia="en-GB"/>
              </w:rPr>
            </w:pPr>
            <w:r>
              <w:rPr>
                <w:b/>
                <w:bCs/>
                <w:noProof/>
                <w:color w:val="000000"/>
                <w:sz w:val="18"/>
                <w:szCs w:val="18"/>
                <w:lang w:eastAsia="en-GB"/>
              </w:rPr>
              <w:t>Social impacts</w:t>
            </w:r>
          </w:p>
        </w:tc>
      </w:tr>
      <w:tr w:rsidR="007306CA">
        <w:trPr>
          <w:trHeight w:val="64"/>
        </w:trPr>
        <w:tc>
          <w:tcPr>
            <w:tcW w:w="2861" w:type="dxa"/>
            <w:gridSpan w:val="2"/>
            <w:tcBorders>
              <w:top w:val="nil"/>
              <w:left w:val="single" w:sz="4" w:space="0" w:color="auto"/>
              <w:bottom w:val="single" w:sz="4" w:space="0" w:color="auto"/>
              <w:right w:val="single" w:sz="4" w:space="0" w:color="auto"/>
            </w:tcBorders>
            <w:shd w:val="clear" w:color="auto" w:fill="auto"/>
            <w:vAlign w:val="center"/>
            <w:hideMark/>
          </w:tcPr>
          <w:p w:rsidR="007306CA" w:rsidRDefault="00576025">
            <w:pPr>
              <w:spacing w:after="120"/>
              <w:rPr>
                <w:rFonts w:ascii="Cambria" w:hAnsi="Cambria" w:cs="Calibri"/>
                <w:noProof/>
                <w:color w:val="000000"/>
                <w:sz w:val="18"/>
                <w:szCs w:val="18"/>
                <w:lang w:eastAsia="en-GB"/>
              </w:rPr>
            </w:pPr>
            <w:r>
              <w:rPr>
                <w:rFonts w:ascii="Cambria" w:hAnsi="Cambria" w:cs="Calibri"/>
                <w:noProof/>
                <w:color w:val="000000"/>
                <w:sz w:val="18"/>
                <w:szCs w:val="18"/>
                <w:lang w:eastAsia="en-GB"/>
              </w:rPr>
              <w:t>-</w:t>
            </w:r>
            <w:r>
              <w:rPr>
                <w:noProof/>
                <w:color w:val="000000"/>
                <w:sz w:val="14"/>
                <w:szCs w:val="14"/>
                <w:lang w:eastAsia="en-GB"/>
              </w:rPr>
              <w:t> </w:t>
            </w:r>
            <w:r>
              <w:rPr>
                <w:noProof/>
                <w:color w:val="000000"/>
                <w:sz w:val="18"/>
                <w:szCs w:val="18"/>
                <w:lang w:eastAsia="en-GB"/>
              </w:rPr>
              <w:t>Impact on EU citizens</w:t>
            </w:r>
          </w:p>
        </w:tc>
        <w:tc>
          <w:tcPr>
            <w:tcW w:w="542" w:type="dxa"/>
            <w:tcBorders>
              <w:top w:val="nil"/>
              <w:left w:val="nil"/>
              <w:bottom w:val="single" w:sz="4" w:space="0" w:color="auto"/>
              <w:right w:val="single" w:sz="4" w:space="0" w:color="auto"/>
            </w:tcBorders>
            <w:shd w:val="clear" w:color="auto" w:fill="auto"/>
            <w:vAlign w:val="center"/>
            <w:hideMark/>
          </w:tcPr>
          <w:p w:rsidR="007306CA" w:rsidRDefault="00576025">
            <w:pPr>
              <w:spacing w:after="120"/>
              <w:rPr>
                <w:noProof/>
                <w:color w:val="000000"/>
                <w:sz w:val="18"/>
                <w:szCs w:val="18"/>
                <w:lang w:eastAsia="en-GB"/>
              </w:rPr>
            </w:pPr>
            <w:r>
              <w:rPr>
                <w:noProof/>
                <w:color w:val="000000"/>
                <w:sz w:val="18"/>
                <w:szCs w:val="18"/>
                <w:lang w:eastAsia="en-GB"/>
              </w:rPr>
              <w:t>+2 </w:t>
            </w:r>
          </w:p>
        </w:tc>
        <w:tc>
          <w:tcPr>
            <w:tcW w:w="6521" w:type="dxa"/>
            <w:tcBorders>
              <w:top w:val="nil"/>
              <w:left w:val="nil"/>
              <w:bottom w:val="single" w:sz="4" w:space="0" w:color="auto"/>
              <w:right w:val="single" w:sz="4" w:space="0" w:color="auto"/>
            </w:tcBorders>
            <w:shd w:val="clear" w:color="auto" w:fill="auto"/>
            <w:vAlign w:val="center"/>
            <w:hideMark/>
          </w:tcPr>
          <w:p w:rsidR="007306CA" w:rsidRDefault="00576025">
            <w:pPr>
              <w:spacing w:after="120"/>
              <w:rPr>
                <w:noProof/>
                <w:color w:val="000000"/>
                <w:sz w:val="18"/>
                <w:szCs w:val="18"/>
                <w:lang w:eastAsia="en-GB"/>
              </w:rPr>
            </w:pPr>
            <w:r>
              <w:rPr>
                <w:noProof/>
                <w:color w:val="000000"/>
                <w:sz w:val="18"/>
                <w:szCs w:val="18"/>
                <w:lang w:eastAsia="en-GB"/>
              </w:rPr>
              <w:t>This sub-option combines POP2(a) and (b) and the impacts would also be in line with a combination of those described under those options.</w:t>
            </w:r>
          </w:p>
        </w:tc>
      </w:tr>
      <w:tr w:rsidR="007306CA">
        <w:trPr>
          <w:trHeight w:val="64"/>
        </w:trPr>
        <w:tc>
          <w:tcPr>
            <w:tcW w:w="2861" w:type="dxa"/>
            <w:gridSpan w:val="2"/>
            <w:tcBorders>
              <w:top w:val="nil"/>
              <w:left w:val="single" w:sz="4" w:space="0" w:color="auto"/>
              <w:bottom w:val="single" w:sz="4" w:space="0" w:color="auto"/>
              <w:right w:val="single" w:sz="4" w:space="0" w:color="auto"/>
            </w:tcBorders>
            <w:shd w:val="clear" w:color="auto" w:fill="auto"/>
            <w:vAlign w:val="center"/>
            <w:hideMark/>
          </w:tcPr>
          <w:p w:rsidR="007306CA" w:rsidRDefault="00576025">
            <w:pPr>
              <w:spacing w:after="120"/>
              <w:rPr>
                <w:noProof/>
                <w:color w:val="000000"/>
                <w:sz w:val="18"/>
                <w:szCs w:val="18"/>
                <w:lang w:eastAsia="en-GB"/>
              </w:rPr>
            </w:pPr>
            <w:r>
              <w:rPr>
                <w:noProof/>
                <w:color w:val="000000"/>
                <w:sz w:val="18"/>
                <w:szCs w:val="18"/>
                <w:lang w:eastAsia="en-GB"/>
              </w:rPr>
              <w:t xml:space="preserve">- Impact on </w:t>
            </w:r>
            <w:r>
              <w:rPr>
                <w:noProof/>
                <w:color w:val="000000"/>
                <w:sz w:val="18"/>
                <w:szCs w:val="18"/>
                <w:lang w:eastAsia="en-GB"/>
              </w:rPr>
              <w:t>third country national HSW</w:t>
            </w:r>
          </w:p>
          <w:p w:rsidR="007306CA" w:rsidRDefault="00576025">
            <w:pPr>
              <w:spacing w:after="120"/>
              <w:rPr>
                <w:noProof/>
                <w:color w:val="000000"/>
                <w:sz w:val="18"/>
                <w:szCs w:val="18"/>
                <w:lang w:eastAsia="en-GB"/>
              </w:rPr>
            </w:pPr>
            <w:r>
              <w:rPr>
                <w:noProof/>
                <w:color w:val="000000"/>
                <w:sz w:val="18"/>
                <w:szCs w:val="18"/>
                <w:lang w:eastAsia="en-GB"/>
              </w:rPr>
              <w:t>- Impact on fundamental rights (Charter: art. 7, private and family life; art. 45(2), freedom of movement and of residence)</w:t>
            </w:r>
          </w:p>
        </w:tc>
        <w:tc>
          <w:tcPr>
            <w:tcW w:w="542" w:type="dxa"/>
            <w:tcBorders>
              <w:top w:val="nil"/>
              <w:left w:val="nil"/>
              <w:bottom w:val="single" w:sz="4" w:space="0" w:color="auto"/>
              <w:right w:val="single" w:sz="4" w:space="0" w:color="auto"/>
            </w:tcBorders>
            <w:shd w:val="clear" w:color="auto" w:fill="auto"/>
            <w:vAlign w:val="center"/>
            <w:hideMark/>
          </w:tcPr>
          <w:p w:rsidR="007306CA" w:rsidRDefault="00576025">
            <w:pPr>
              <w:spacing w:after="120"/>
              <w:rPr>
                <w:noProof/>
                <w:color w:val="000000"/>
                <w:sz w:val="18"/>
                <w:szCs w:val="18"/>
                <w:lang w:eastAsia="en-GB"/>
              </w:rPr>
            </w:pPr>
            <w:r>
              <w:rPr>
                <w:noProof/>
                <w:color w:val="000000"/>
                <w:sz w:val="18"/>
                <w:szCs w:val="18"/>
                <w:lang w:eastAsia="en-GB"/>
              </w:rPr>
              <w:t>+2 </w:t>
            </w:r>
          </w:p>
        </w:tc>
        <w:tc>
          <w:tcPr>
            <w:tcW w:w="6521" w:type="dxa"/>
            <w:tcBorders>
              <w:top w:val="nil"/>
              <w:left w:val="nil"/>
              <w:bottom w:val="single" w:sz="4" w:space="0" w:color="auto"/>
              <w:right w:val="single" w:sz="4" w:space="0" w:color="auto"/>
            </w:tcBorders>
            <w:shd w:val="clear" w:color="auto" w:fill="auto"/>
            <w:vAlign w:val="center"/>
            <w:hideMark/>
          </w:tcPr>
          <w:p w:rsidR="007306CA" w:rsidRDefault="00576025">
            <w:pPr>
              <w:spacing w:after="120"/>
              <w:rPr>
                <w:noProof/>
                <w:color w:val="000000"/>
                <w:sz w:val="18"/>
                <w:szCs w:val="18"/>
                <w:lang w:eastAsia="en-GB"/>
              </w:rPr>
            </w:pPr>
            <w:r>
              <w:rPr>
                <w:noProof/>
                <w:color w:val="000000"/>
                <w:sz w:val="18"/>
                <w:szCs w:val="18"/>
                <w:lang w:eastAsia="en-GB"/>
              </w:rPr>
              <w:t xml:space="preserve">This sub-option combines POP2(a) and (b) and the impacts would also be in line with a combination of </w:t>
            </w:r>
            <w:r>
              <w:rPr>
                <w:noProof/>
                <w:color w:val="000000"/>
                <w:sz w:val="18"/>
                <w:szCs w:val="18"/>
                <w:lang w:eastAsia="en-GB"/>
              </w:rPr>
              <w:t>those described under those options.</w:t>
            </w:r>
          </w:p>
        </w:tc>
      </w:tr>
      <w:tr w:rsidR="007306CA">
        <w:trPr>
          <w:trHeight w:val="315"/>
        </w:trPr>
        <w:tc>
          <w:tcPr>
            <w:tcW w:w="9924" w:type="dxa"/>
            <w:gridSpan w:val="4"/>
            <w:tcBorders>
              <w:top w:val="single" w:sz="4" w:space="0" w:color="auto"/>
              <w:left w:val="single" w:sz="4" w:space="0" w:color="auto"/>
              <w:bottom w:val="single" w:sz="4" w:space="0" w:color="auto"/>
              <w:right w:val="single" w:sz="4" w:space="0" w:color="auto"/>
            </w:tcBorders>
            <w:shd w:val="clear" w:color="auto" w:fill="auto"/>
            <w:hideMark/>
          </w:tcPr>
          <w:p w:rsidR="007306CA" w:rsidRDefault="00576025">
            <w:pPr>
              <w:spacing w:after="0"/>
              <w:jc w:val="left"/>
              <w:rPr>
                <w:b/>
                <w:bCs/>
                <w:noProof/>
                <w:color w:val="000000"/>
                <w:sz w:val="18"/>
                <w:szCs w:val="18"/>
                <w:lang w:eastAsia="en-GB"/>
              </w:rPr>
            </w:pPr>
            <w:r>
              <w:rPr>
                <w:b/>
                <w:bCs/>
                <w:noProof/>
                <w:color w:val="000000"/>
                <w:sz w:val="18"/>
                <w:szCs w:val="18"/>
                <w:lang w:eastAsia="en-GB"/>
              </w:rPr>
              <w:t>Impact on International Relations</w:t>
            </w:r>
          </w:p>
        </w:tc>
      </w:tr>
      <w:tr w:rsidR="007306CA">
        <w:trPr>
          <w:trHeight w:val="300"/>
        </w:trPr>
        <w:tc>
          <w:tcPr>
            <w:tcW w:w="2861" w:type="dxa"/>
            <w:gridSpan w:val="2"/>
            <w:tcBorders>
              <w:top w:val="nil"/>
              <w:left w:val="single" w:sz="4" w:space="0" w:color="auto"/>
              <w:bottom w:val="single" w:sz="4" w:space="0" w:color="auto"/>
              <w:right w:val="single" w:sz="4" w:space="0" w:color="auto"/>
            </w:tcBorders>
            <w:shd w:val="clear" w:color="auto" w:fill="auto"/>
            <w:hideMark/>
          </w:tcPr>
          <w:p w:rsidR="007306CA" w:rsidRDefault="00576025">
            <w:pPr>
              <w:spacing w:after="0"/>
              <w:jc w:val="left"/>
              <w:rPr>
                <w:noProof/>
                <w:color w:val="000000"/>
                <w:sz w:val="18"/>
                <w:szCs w:val="18"/>
                <w:lang w:eastAsia="en-GB"/>
              </w:rPr>
            </w:pPr>
            <w:r>
              <w:rPr>
                <w:noProof/>
                <w:color w:val="000000"/>
                <w:sz w:val="18"/>
                <w:szCs w:val="18"/>
                <w:lang w:eastAsia="en-GB"/>
              </w:rPr>
              <w:t>-  Impacts on third countries</w:t>
            </w:r>
          </w:p>
        </w:tc>
        <w:tc>
          <w:tcPr>
            <w:tcW w:w="542" w:type="dxa"/>
            <w:tcBorders>
              <w:top w:val="nil"/>
              <w:left w:val="nil"/>
              <w:bottom w:val="single" w:sz="4" w:space="0" w:color="auto"/>
              <w:right w:val="single" w:sz="4" w:space="0" w:color="auto"/>
            </w:tcBorders>
            <w:shd w:val="clear" w:color="auto" w:fill="auto"/>
            <w:vAlign w:val="center"/>
            <w:hideMark/>
          </w:tcPr>
          <w:p w:rsidR="007306CA" w:rsidRDefault="00576025">
            <w:pPr>
              <w:spacing w:after="0"/>
              <w:jc w:val="center"/>
              <w:rPr>
                <w:noProof/>
                <w:color w:val="000000"/>
                <w:sz w:val="18"/>
                <w:szCs w:val="18"/>
                <w:lang w:eastAsia="en-GB"/>
              </w:rPr>
            </w:pPr>
            <w:r>
              <w:rPr>
                <w:noProof/>
                <w:color w:val="000000"/>
                <w:sz w:val="18"/>
                <w:szCs w:val="18"/>
                <w:lang w:eastAsia="en-GB"/>
              </w:rPr>
              <w:t>+1</w:t>
            </w:r>
          </w:p>
        </w:tc>
        <w:tc>
          <w:tcPr>
            <w:tcW w:w="6521" w:type="dxa"/>
            <w:tcBorders>
              <w:top w:val="nil"/>
              <w:left w:val="nil"/>
              <w:bottom w:val="single" w:sz="4" w:space="0" w:color="auto"/>
              <w:right w:val="single" w:sz="4" w:space="0" w:color="auto"/>
            </w:tcBorders>
            <w:shd w:val="clear" w:color="auto" w:fill="auto"/>
            <w:hideMark/>
          </w:tcPr>
          <w:p w:rsidR="007306CA" w:rsidRDefault="00576025">
            <w:pPr>
              <w:spacing w:after="0"/>
              <w:jc w:val="left"/>
              <w:rPr>
                <w:noProof/>
                <w:color w:val="000000"/>
                <w:sz w:val="18"/>
                <w:szCs w:val="18"/>
                <w:lang w:eastAsia="en-GB"/>
              </w:rPr>
            </w:pPr>
            <w:r>
              <w:rPr>
                <w:noProof/>
                <w:color w:val="000000"/>
                <w:sz w:val="18"/>
                <w:szCs w:val="18"/>
                <w:lang w:eastAsia="en-GB"/>
              </w:rPr>
              <w:t> Same as for POP2(a)</w:t>
            </w:r>
          </w:p>
        </w:tc>
      </w:tr>
      <w:tr w:rsidR="007306CA">
        <w:trPr>
          <w:trHeight w:val="300"/>
        </w:trPr>
        <w:tc>
          <w:tcPr>
            <w:tcW w:w="9924" w:type="dxa"/>
            <w:gridSpan w:val="4"/>
            <w:tcBorders>
              <w:top w:val="single" w:sz="4" w:space="0" w:color="auto"/>
              <w:left w:val="single" w:sz="4" w:space="0" w:color="auto"/>
              <w:bottom w:val="single" w:sz="4" w:space="0" w:color="auto"/>
              <w:right w:val="single" w:sz="4" w:space="0" w:color="auto"/>
            </w:tcBorders>
            <w:shd w:val="clear" w:color="000000" w:fill="C5D9F1"/>
            <w:hideMark/>
          </w:tcPr>
          <w:p w:rsidR="007306CA" w:rsidRDefault="00576025">
            <w:pPr>
              <w:spacing w:after="0"/>
              <w:jc w:val="left"/>
              <w:rPr>
                <w:b/>
                <w:bCs/>
                <w:noProof/>
                <w:color w:val="000000"/>
                <w:sz w:val="18"/>
                <w:szCs w:val="18"/>
                <w:lang w:eastAsia="en-GB"/>
              </w:rPr>
            </w:pPr>
            <w:r>
              <w:rPr>
                <w:b/>
                <w:bCs/>
                <w:noProof/>
                <w:color w:val="000000"/>
                <w:sz w:val="18"/>
                <w:szCs w:val="18"/>
                <w:lang w:eastAsia="en-GB"/>
              </w:rPr>
              <w:t>Efficiency</w:t>
            </w:r>
          </w:p>
        </w:tc>
      </w:tr>
      <w:tr w:rsidR="007306CA">
        <w:trPr>
          <w:trHeight w:val="4320"/>
        </w:trPr>
        <w:tc>
          <w:tcPr>
            <w:tcW w:w="2861" w:type="dxa"/>
            <w:gridSpan w:val="2"/>
            <w:tcBorders>
              <w:top w:val="nil"/>
              <w:left w:val="single" w:sz="4" w:space="0" w:color="auto"/>
              <w:bottom w:val="single" w:sz="4" w:space="0" w:color="auto"/>
              <w:right w:val="single" w:sz="4" w:space="0" w:color="auto"/>
            </w:tcBorders>
            <w:shd w:val="clear" w:color="auto" w:fill="auto"/>
            <w:vAlign w:val="center"/>
            <w:hideMark/>
          </w:tcPr>
          <w:p w:rsidR="007306CA" w:rsidRDefault="00576025">
            <w:pPr>
              <w:spacing w:after="120"/>
              <w:rPr>
                <w:noProof/>
                <w:color w:val="000000"/>
                <w:sz w:val="18"/>
                <w:szCs w:val="18"/>
                <w:lang w:eastAsia="en-GB"/>
              </w:rPr>
            </w:pPr>
            <w:r>
              <w:rPr>
                <w:noProof/>
                <w:color w:val="000000"/>
                <w:sz w:val="18"/>
                <w:szCs w:val="18"/>
                <w:lang w:eastAsia="en-GB"/>
              </w:rPr>
              <w:t>- Administrative costs and cost/benefit effectiveness</w:t>
            </w:r>
          </w:p>
          <w:p w:rsidR="007306CA" w:rsidRDefault="007306CA">
            <w:pPr>
              <w:spacing w:after="120"/>
              <w:rPr>
                <w:noProof/>
                <w:color w:val="000000"/>
                <w:sz w:val="18"/>
                <w:szCs w:val="18"/>
                <w:lang w:eastAsia="en-GB"/>
              </w:rPr>
            </w:pPr>
          </w:p>
          <w:p w:rsidR="007306CA" w:rsidRDefault="00576025">
            <w:pPr>
              <w:spacing w:after="120"/>
              <w:rPr>
                <w:noProof/>
                <w:color w:val="000000"/>
                <w:sz w:val="18"/>
                <w:szCs w:val="18"/>
                <w:lang w:eastAsia="en-GB"/>
              </w:rPr>
            </w:pPr>
            <w:r>
              <w:rPr>
                <w:noProof/>
                <w:color w:val="000000"/>
                <w:sz w:val="18"/>
                <w:szCs w:val="18"/>
                <w:lang w:eastAsia="en-GB"/>
              </w:rPr>
              <w:t xml:space="preserve">- Practical or technical feasibility (difficulty/risks for </w:t>
            </w:r>
            <w:r>
              <w:rPr>
                <w:noProof/>
                <w:color w:val="000000"/>
                <w:sz w:val="18"/>
                <w:szCs w:val="18"/>
                <w:lang w:eastAsia="en-GB"/>
              </w:rPr>
              <w:t>transposition and implementation)</w:t>
            </w:r>
          </w:p>
          <w:p w:rsidR="007306CA" w:rsidRDefault="007306CA">
            <w:pPr>
              <w:spacing w:after="120"/>
              <w:rPr>
                <w:noProof/>
                <w:color w:val="000000"/>
                <w:sz w:val="18"/>
                <w:szCs w:val="18"/>
                <w:lang w:eastAsia="en-GB"/>
              </w:rPr>
            </w:pPr>
          </w:p>
        </w:tc>
        <w:tc>
          <w:tcPr>
            <w:tcW w:w="542" w:type="dxa"/>
            <w:tcBorders>
              <w:top w:val="nil"/>
              <w:left w:val="nil"/>
              <w:bottom w:val="single" w:sz="4" w:space="0" w:color="auto"/>
              <w:right w:val="single" w:sz="4" w:space="0" w:color="auto"/>
            </w:tcBorders>
            <w:shd w:val="clear" w:color="auto" w:fill="auto"/>
            <w:vAlign w:val="center"/>
            <w:hideMark/>
          </w:tcPr>
          <w:p w:rsidR="007306CA" w:rsidRDefault="00576025">
            <w:pPr>
              <w:spacing w:after="120"/>
              <w:rPr>
                <w:noProof/>
                <w:color w:val="000000"/>
                <w:sz w:val="18"/>
                <w:szCs w:val="18"/>
                <w:lang w:eastAsia="en-GB"/>
              </w:rPr>
            </w:pPr>
            <w:r>
              <w:rPr>
                <w:noProof/>
                <w:color w:val="000000"/>
                <w:sz w:val="18"/>
                <w:szCs w:val="18"/>
                <w:lang w:eastAsia="en-GB"/>
              </w:rPr>
              <w:t>+1</w:t>
            </w:r>
          </w:p>
        </w:tc>
        <w:tc>
          <w:tcPr>
            <w:tcW w:w="6521" w:type="dxa"/>
            <w:tcBorders>
              <w:top w:val="nil"/>
              <w:left w:val="nil"/>
              <w:bottom w:val="single" w:sz="4" w:space="0" w:color="auto"/>
              <w:right w:val="single" w:sz="4" w:space="0" w:color="auto"/>
            </w:tcBorders>
            <w:shd w:val="clear" w:color="auto" w:fill="auto"/>
            <w:vAlign w:val="center"/>
            <w:hideMark/>
          </w:tcPr>
          <w:p w:rsidR="007306CA" w:rsidRDefault="00576025">
            <w:pPr>
              <w:spacing w:after="120"/>
              <w:rPr>
                <w:b/>
                <w:noProof/>
                <w:color w:val="000000"/>
                <w:sz w:val="18"/>
                <w:szCs w:val="18"/>
                <w:lang w:eastAsia="en-GB"/>
              </w:rPr>
            </w:pPr>
            <w:r>
              <w:rPr>
                <w:b/>
                <w:noProof/>
                <w:color w:val="000000"/>
                <w:sz w:val="18"/>
                <w:szCs w:val="18"/>
                <w:lang w:eastAsia="en-GB"/>
              </w:rPr>
              <w:t>Administrative impact on Member States: cost of € 4.9 million to a cost of € 31.2 million (EU25 aggregate, variation depending on range of additional or fewer permits)</w:t>
            </w:r>
          </w:p>
          <w:p w:rsidR="007306CA" w:rsidRDefault="00576025">
            <w:pPr>
              <w:spacing w:after="120"/>
              <w:rPr>
                <w:b/>
                <w:noProof/>
                <w:color w:val="000000"/>
                <w:sz w:val="18"/>
                <w:szCs w:val="18"/>
                <w:lang w:eastAsia="en-GB"/>
              </w:rPr>
            </w:pPr>
            <w:r>
              <w:rPr>
                <w:b/>
                <w:noProof/>
                <w:color w:val="000000"/>
                <w:sz w:val="18"/>
                <w:szCs w:val="18"/>
                <w:lang w:eastAsia="en-GB"/>
              </w:rPr>
              <w:t xml:space="preserve">Offset by fees and an estimated additional income </w:t>
            </w:r>
            <w:r>
              <w:rPr>
                <w:b/>
                <w:noProof/>
                <w:color w:val="000000"/>
                <w:sz w:val="18"/>
                <w:szCs w:val="18"/>
                <w:lang w:eastAsia="en-GB"/>
              </w:rPr>
              <w:t>tax revenue of min. € 200 million to max. € 1.6 billion</w:t>
            </w:r>
          </w:p>
          <w:p w:rsidR="007306CA" w:rsidRDefault="00576025">
            <w:pPr>
              <w:spacing w:after="120"/>
              <w:ind w:firstLine="113"/>
              <w:rPr>
                <w:noProof/>
                <w:color w:val="000000"/>
                <w:sz w:val="18"/>
                <w:szCs w:val="18"/>
                <w:lang w:eastAsia="en-GB"/>
              </w:rPr>
            </w:pPr>
            <w:r>
              <w:rPr>
                <w:noProof/>
                <w:color w:val="000000"/>
                <w:sz w:val="18"/>
                <w:szCs w:val="18"/>
                <w:lang w:eastAsia="en-GB"/>
              </w:rPr>
              <w:t xml:space="preserve">The </w:t>
            </w:r>
            <w:r>
              <w:rPr>
                <w:b/>
                <w:noProof/>
                <w:color w:val="000000"/>
                <w:sz w:val="18"/>
                <w:szCs w:val="18"/>
                <w:lang w:eastAsia="en-GB"/>
              </w:rPr>
              <w:t xml:space="preserve">administrative cost to public administrations </w:t>
            </w:r>
            <w:r>
              <w:rPr>
                <w:noProof/>
                <w:color w:val="000000"/>
                <w:sz w:val="18"/>
                <w:szCs w:val="18"/>
                <w:lang w:eastAsia="en-GB"/>
              </w:rPr>
              <w:t xml:space="preserve">would a combination of those listed under POP2(a) and (b), yet </w:t>
            </w:r>
            <w:r>
              <w:rPr>
                <w:b/>
                <w:noProof/>
                <w:color w:val="000000"/>
                <w:sz w:val="18"/>
                <w:szCs w:val="18"/>
                <w:lang w:eastAsia="en-GB"/>
              </w:rPr>
              <w:t xml:space="preserve">slightly higher than POP2(a) and (b) combined </w:t>
            </w:r>
            <w:r>
              <w:rPr>
                <w:noProof/>
                <w:color w:val="000000"/>
                <w:sz w:val="18"/>
                <w:szCs w:val="18"/>
                <w:lang w:eastAsia="en-GB"/>
              </w:rPr>
              <w:t>as it would mean administering two system</w:t>
            </w:r>
            <w:r>
              <w:rPr>
                <w:noProof/>
                <w:color w:val="000000"/>
                <w:sz w:val="18"/>
                <w:szCs w:val="18"/>
                <w:lang w:eastAsia="en-GB"/>
              </w:rPr>
              <w:t>s on top of each other. While there would be many common elements, in order to differentiate between the two levels, there would be some different entry conditions and corresponding rights (level 2 Blue Card holders would have to fulfil higher entry condit</w:t>
            </w:r>
            <w:r>
              <w:rPr>
                <w:noProof/>
                <w:color w:val="000000"/>
                <w:sz w:val="18"/>
                <w:szCs w:val="18"/>
                <w:lang w:eastAsia="en-GB"/>
              </w:rPr>
              <w:t>ions and receive more beneficial rights). Effectively this would also mean that different residence cards would need to be issued and kept track of. In addition, possible transitions from level 1 to level 2 Blue Cards would also require some additional adm</w:t>
            </w:r>
            <w:r>
              <w:rPr>
                <w:noProof/>
                <w:color w:val="000000"/>
                <w:sz w:val="18"/>
                <w:szCs w:val="18"/>
                <w:lang w:eastAsia="en-GB"/>
              </w:rPr>
              <w:t>inistrative efforts similar to the renewal of a permit.</w:t>
            </w:r>
          </w:p>
          <w:p w:rsidR="007306CA" w:rsidRDefault="00576025">
            <w:pPr>
              <w:spacing w:after="120"/>
              <w:ind w:firstLine="113"/>
              <w:rPr>
                <w:noProof/>
                <w:color w:val="000000"/>
                <w:sz w:val="18"/>
                <w:szCs w:val="18"/>
                <w:lang w:eastAsia="en-GB"/>
              </w:rPr>
            </w:pPr>
            <w:r>
              <w:rPr>
                <w:noProof/>
                <w:color w:val="000000"/>
                <w:sz w:val="18"/>
                <w:szCs w:val="18"/>
                <w:lang w:eastAsia="en-GB"/>
              </w:rPr>
              <w:t>A two-level system would be more complex than only one scheme, but, as parallel national schemes would be abolished, still substantially less complex than the current plethora of parallel systems. Som</w:t>
            </w:r>
            <w:r>
              <w:rPr>
                <w:noProof/>
                <w:color w:val="000000"/>
                <w:sz w:val="18"/>
                <w:szCs w:val="18"/>
                <w:lang w:eastAsia="en-GB"/>
              </w:rPr>
              <w:t xml:space="preserve">e initial costs would be incurred for information for companies, training of immigration officials on the new rules, etc. but overall this option would still constitute a </w:t>
            </w:r>
            <w:r>
              <w:rPr>
                <w:b/>
                <w:noProof/>
                <w:color w:val="000000"/>
                <w:sz w:val="18"/>
                <w:szCs w:val="18"/>
                <w:lang w:eastAsia="en-GB"/>
              </w:rPr>
              <w:t xml:space="preserve">significant increase in efficiency </w:t>
            </w:r>
            <w:r>
              <w:rPr>
                <w:noProof/>
                <w:color w:val="000000"/>
                <w:sz w:val="18"/>
                <w:szCs w:val="18"/>
                <w:lang w:eastAsia="en-GB"/>
              </w:rPr>
              <w:t xml:space="preserve">due to </w:t>
            </w:r>
            <w:r>
              <w:rPr>
                <w:b/>
                <w:noProof/>
                <w:color w:val="000000"/>
                <w:sz w:val="18"/>
                <w:szCs w:val="18"/>
                <w:lang w:eastAsia="en-GB"/>
              </w:rPr>
              <w:t>increased coherence, harmonisation and simp</w:t>
            </w:r>
            <w:r>
              <w:rPr>
                <w:b/>
                <w:noProof/>
                <w:color w:val="000000"/>
                <w:sz w:val="18"/>
                <w:szCs w:val="18"/>
                <w:lang w:eastAsia="en-GB"/>
              </w:rPr>
              <w:t>lification</w:t>
            </w:r>
            <w:r>
              <w:rPr>
                <w:noProof/>
                <w:color w:val="000000"/>
                <w:sz w:val="18"/>
                <w:szCs w:val="18"/>
                <w:lang w:eastAsia="en-GB"/>
              </w:rPr>
              <w:t>.</w:t>
            </w:r>
          </w:p>
          <w:p w:rsidR="007306CA" w:rsidRDefault="00576025">
            <w:pPr>
              <w:spacing w:after="120"/>
              <w:rPr>
                <w:noProof/>
                <w:color w:val="000000"/>
                <w:sz w:val="18"/>
                <w:szCs w:val="18"/>
                <w:lang w:eastAsia="en-GB"/>
              </w:rPr>
            </w:pPr>
            <w:r>
              <w:rPr>
                <w:noProof/>
                <w:color w:val="000000"/>
                <w:sz w:val="18"/>
                <w:szCs w:val="18"/>
                <w:lang w:eastAsia="en-GB"/>
              </w:rPr>
              <w:t xml:space="preserve">The administrative burden for </w:t>
            </w:r>
            <w:r>
              <w:rPr>
                <w:b/>
                <w:noProof/>
                <w:color w:val="000000"/>
                <w:sz w:val="18"/>
                <w:szCs w:val="18"/>
                <w:lang w:eastAsia="en-GB"/>
              </w:rPr>
              <w:t>HSW and businesses</w:t>
            </w:r>
            <w:r>
              <w:rPr>
                <w:noProof/>
                <w:color w:val="000000"/>
                <w:sz w:val="18"/>
                <w:szCs w:val="18"/>
                <w:lang w:eastAsia="en-GB"/>
              </w:rPr>
              <w:t xml:space="preserve"> recruiting them would </w:t>
            </w:r>
            <w:r>
              <w:rPr>
                <w:b/>
                <w:noProof/>
                <w:color w:val="000000"/>
                <w:sz w:val="18"/>
                <w:szCs w:val="18"/>
                <w:lang w:eastAsia="en-GB"/>
              </w:rPr>
              <w:t>lower substantially</w:t>
            </w:r>
            <w:r>
              <w:rPr>
                <w:noProof/>
                <w:color w:val="000000"/>
                <w:sz w:val="18"/>
                <w:szCs w:val="18"/>
                <w:lang w:eastAsia="en-GB"/>
              </w:rPr>
              <w:t xml:space="preserve"> with a more harmonised and simplified system, without many parallel schemes, as described under POP2(a). However, the additional benefits of the level 2 </w:t>
            </w:r>
            <w:r>
              <w:rPr>
                <w:noProof/>
                <w:color w:val="000000"/>
                <w:sz w:val="18"/>
                <w:szCs w:val="18"/>
                <w:lang w:eastAsia="en-GB"/>
              </w:rPr>
              <w:t>Blue Card would be limited. It would only apply to a small selective group and, while a higher level of rights and much facilitated mobility would have a slight positive impact, a separate system for very top talent that is short of a standard EU-wide Blue</w:t>
            </w:r>
            <w:r>
              <w:rPr>
                <w:noProof/>
                <w:color w:val="000000"/>
                <w:sz w:val="18"/>
                <w:szCs w:val="18"/>
                <w:lang w:eastAsia="en-GB"/>
              </w:rPr>
              <w:t xml:space="preserve"> Card, would not significantly increase the EU’s attractiveness to them. The administrative cost of running a two-level system would not be offset.</w:t>
            </w:r>
          </w:p>
          <w:p w:rsidR="007306CA" w:rsidRDefault="00576025">
            <w:pPr>
              <w:spacing w:after="120"/>
              <w:ind w:firstLine="113"/>
              <w:rPr>
                <w:i/>
                <w:noProof/>
                <w:color w:val="000000"/>
                <w:sz w:val="18"/>
                <w:szCs w:val="18"/>
                <w:u w:val="single"/>
                <w:lang w:val="en-IE" w:eastAsia="en-GB"/>
              </w:rPr>
            </w:pPr>
            <w:r>
              <w:rPr>
                <w:noProof/>
                <w:color w:val="000000"/>
                <w:sz w:val="18"/>
                <w:szCs w:val="18"/>
                <w:lang w:eastAsia="en-GB"/>
              </w:rPr>
              <w:t xml:space="preserve">Certain </w:t>
            </w:r>
            <w:r>
              <w:rPr>
                <w:b/>
                <w:noProof/>
                <w:color w:val="000000"/>
                <w:sz w:val="18"/>
                <w:szCs w:val="18"/>
                <w:lang w:eastAsia="en-GB"/>
              </w:rPr>
              <w:t>practical or technical difficulties are to be expected</w:t>
            </w:r>
            <w:r>
              <w:rPr>
                <w:noProof/>
                <w:color w:val="000000"/>
                <w:sz w:val="18"/>
                <w:szCs w:val="18"/>
                <w:lang w:eastAsia="en-GB"/>
              </w:rPr>
              <w:t xml:space="preserve">, as this option would be complex and </w:t>
            </w:r>
            <w:r>
              <w:rPr>
                <w:noProof/>
                <w:color w:val="000000"/>
                <w:sz w:val="18"/>
                <w:szCs w:val="18"/>
                <w:lang w:eastAsia="en-GB"/>
              </w:rPr>
              <w:t>difficult to implement by Member States and require adaptation of Member States’ legislation. </w:t>
            </w:r>
          </w:p>
        </w:tc>
      </w:tr>
      <w:tr w:rsidR="007306CA">
        <w:trPr>
          <w:trHeight w:val="300"/>
        </w:trPr>
        <w:tc>
          <w:tcPr>
            <w:tcW w:w="9924" w:type="dxa"/>
            <w:gridSpan w:val="4"/>
            <w:tcBorders>
              <w:top w:val="single" w:sz="4" w:space="0" w:color="auto"/>
              <w:left w:val="single" w:sz="4" w:space="0" w:color="auto"/>
              <w:bottom w:val="single" w:sz="4" w:space="0" w:color="auto"/>
              <w:right w:val="single" w:sz="4" w:space="0" w:color="auto"/>
            </w:tcBorders>
            <w:shd w:val="clear" w:color="000000" w:fill="C5D9F1"/>
            <w:vAlign w:val="center"/>
            <w:hideMark/>
          </w:tcPr>
          <w:p w:rsidR="007306CA" w:rsidRDefault="00576025">
            <w:pPr>
              <w:spacing w:after="0"/>
              <w:jc w:val="left"/>
              <w:rPr>
                <w:b/>
                <w:bCs/>
                <w:noProof/>
                <w:color w:val="000000"/>
                <w:sz w:val="18"/>
                <w:szCs w:val="18"/>
                <w:lang w:eastAsia="en-GB"/>
              </w:rPr>
            </w:pPr>
            <w:r>
              <w:rPr>
                <w:b/>
                <w:bCs/>
                <w:noProof/>
                <w:color w:val="000000"/>
                <w:sz w:val="18"/>
                <w:szCs w:val="18"/>
                <w:lang w:eastAsia="en-GB"/>
              </w:rPr>
              <w:t>Stakeholders and experts’ view</w:t>
            </w:r>
          </w:p>
        </w:tc>
      </w:tr>
      <w:tr w:rsidR="007306CA">
        <w:trPr>
          <w:trHeight w:val="300"/>
        </w:trPr>
        <w:tc>
          <w:tcPr>
            <w:tcW w:w="992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306CA" w:rsidRDefault="00576025">
            <w:pPr>
              <w:spacing w:after="0"/>
              <w:rPr>
                <w:noProof/>
                <w:color w:val="000000"/>
                <w:sz w:val="18"/>
                <w:szCs w:val="18"/>
                <w:lang w:eastAsia="en-GB"/>
              </w:rPr>
            </w:pPr>
            <w:r>
              <w:rPr>
                <w:noProof/>
                <w:color w:val="000000"/>
                <w:sz w:val="18"/>
                <w:szCs w:val="18"/>
                <w:lang w:eastAsia="en-GB"/>
              </w:rPr>
              <w:t>The multi-tiered option emerged out of the EGEM discussion as a solution to the inherent trade-off between the scope of the Blue</w:t>
            </w:r>
            <w:r>
              <w:rPr>
                <w:noProof/>
                <w:color w:val="000000"/>
                <w:sz w:val="18"/>
                <w:szCs w:val="18"/>
                <w:lang w:eastAsia="en-GB"/>
              </w:rPr>
              <w:t xml:space="preserve"> Card Directive and the rights of Blue Card holders, especially in terms of mobility. Overall the idea received relatively limited support, however, from both governmental and non-governmental stakeholders, due to its complexity. Instead, employers' and bu</w:t>
            </w:r>
            <w:r>
              <w:rPr>
                <w:noProof/>
                <w:color w:val="000000"/>
                <w:sz w:val="18"/>
                <w:szCs w:val="18"/>
                <w:lang w:eastAsia="en-GB"/>
              </w:rPr>
              <w:t>siness representatives in particular suggested a temporary differentiation between short and long-term mobility, in order to facilitate short business trips in particular. On other elements, see comments under POP2(a) and (b).</w:t>
            </w:r>
          </w:p>
        </w:tc>
      </w:tr>
    </w:tbl>
    <w:p w:rsidR="007306CA" w:rsidRDefault="007306CA">
      <w:pPr>
        <w:spacing w:after="120" w:line="240" w:lineRule="atLeast"/>
        <w:rPr>
          <w:b/>
          <w:noProof/>
        </w:rPr>
      </w:pPr>
    </w:p>
    <w:p w:rsidR="007306CA" w:rsidRDefault="00576025">
      <w:pPr>
        <w:spacing w:after="120" w:line="240" w:lineRule="atLeast"/>
        <w:rPr>
          <w:b/>
          <w:noProof/>
        </w:rPr>
      </w:pPr>
      <w:r>
        <w:rPr>
          <w:b/>
          <w:noProof/>
        </w:rPr>
        <w:t>POP3: A unified standard EU</w:t>
      </w:r>
      <w:r>
        <w:rPr>
          <w:b/>
          <w:noProof/>
        </w:rPr>
        <w:t>-wide Blue Card: very selective yet very attractive</w:t>
      </w:r>
    </w:p>
    <w:tbl>
      <w:tblPr>
        <w:tblW w:w="9924" w:type="dxa"/>
        <w:tblInd w:w="-318" w:type="dxa"/>
        <w:tblLayout w:type="fixed"/>
        <w:tblLook w:val="04A0" w:firstRow="1" w:lastRow="0" w:firstColumn="1" w:lastColumn="0" w:noHBand="0" w:noVBand="1"/>
      </w:tblPr>
      <w:tblGrid>
        <w:gridCol w:w="2836"/>
        <w:gridCol w:w="25"/>
        <w:gridCol w:w="542"/>
        <w:gridCol w:w="6521"/>
      </w:tblGrid>
      <w:tr w:rsidR="007306CA">
        <w:trPr>
          <w:trHeight w:val="300"/>
        </w:trPr>
        <w:tc>
          <w:tcPr>
            <w:tcW w:w="2836" w:type="dxa"/>
            <w:tcBorders>
              <w:top w:val="single" w:sz="4" w:space="0" w:color="auto"/>
              <w:left w:val="single" w:sz="4" w:space="0" w:color="auto"/>
              <w:bottom w:val="single" w:sz="4" w:space="0" w:color="auto"/>
              <w:right w:val="single" w:sz="4" w:space="0" w:color="auto"/>
            </w:tcBorders>
            <w:shd w:val="clear" w:color="000000" w:fill="8DB4E2"/>
            <w:vAlign w:val="center"/>
            <w:hideMark/>
          </w:tcPr>
          <w:p w:rsidR="007306CA" w:rsidRDefault="00576025">
            <w:pPr>
              <w:spacing w:after="0"/>
              <w:jc w:val="left"/>
              <w:rPr>
                <w:b/>
                <w:bCs/>
                <w:noProof/>
                <w:color w:val="000000"/>
                <w:sz w:val="18"/>
                <w:szCs w:val="18"/>
                <w:lang w:eastAsia="en-GB"/>
              </w:rPr>
            </w:pPr>
            <w:r>
              <w:rPr>
                <w:b/>
                <w:bCs/>
                <w:noProof/>
                <w:color w:val="000000"/>
                <w:sz w:val="18"/>
                <w:szCs w:val="18"/>
                <w:lang w:eastAsia="en-GB"/>
              </w:rPr>
              <w:t>Assessment Criteria</w:t>
            </w:r>
          </w:p>
        </w:tc>
        <w:tc>
          <w:tcPr>
            <w:tcW w:w="567" w:type="dxa"/>
            <w:gridSpan w:val="2"/>
            <w:tcBorders>
              <w:top w:val="single" w:sz="4" w:space="0" w:color="auto"/>
              <w:left w:val="nil"/>
              <w:bottom w:val="single" w:sz="4" w:space="0" w:color="auto"/>
              <w:right w:val="single" w:sz="4" w:space="0" w:color="auto"/>
            </w:tcBorders>
            <w:shd w:val="clear" w:color="000000" w:fill="8DB4E2"/>
            <w:vAlign w:val="center"/>
            <w:hideMark/>
          </w:tcPr>
          <w:p w:rsidR="007306CA" w:rsidRDefault="00576025">
            <w:pPr>
              <w:spacing w:after="0"/>
              <w:jc w:val="center"/>
              <w:rPr>
                <w:bCs/>
                <w:noProof/>
                <w:color w:val="000000"/>
                <w:sz w:val="18"/>
                <w:szCs w:val="18"/>
                <w:lang w:eastAsia="en-GB"/>
              </w:rPr>
            </w:pPr>
            <w:r>
              <w:rPr>
                <w:bCs/>
                <w:noProof/>
                <w:color w:val="000000"/>
                <w:sz w:val="18"/>
                <w:szCs w:val="18"/>
                <w:lang w:eastAsia="en-GB"/>
              </w:rPr>
              <w:t>Rate</w:t>
            </w:r>
          </w:p>
        </w:tc>
        <w:tc>
          <w:tcPr>
            <w:tcW w:w="6521" w:type="dxa"/>
            <w:tcBorders>
              <w:top w:val="single" w:sz="4" w:space="0" w:color="auto"/>
              <w:left w:val="nil"/>
              <w:bottom w:val="single" w:sz="4" w:space="0" w:color="auto"/>
              <w:right w:val="single" w:sz="4" w:space="0" w:color="auto"/>
            </w:tcBorders>
            <w:shd w:val="clear" w:color="000000" w:fill="8DB4E2"/>
            <w:vAlign w:val="center"/>
            <w:hideMark/>
          </w:tcPr>
          <w:p w:rsidR="007306CA" w:rsidRDefault="00576025">
            <w:pPr>
              <w:spacing w:after="0"/>
              <w:jc w:val="left"/>
              <w:rPr>
                <w:b/>
                <w:bCs/>
                <w:noProof/>
                <w:color w:val="000000"/>
                <w:sz w:val="18"/>
                <w:szCs w:val="18"/>
                <w:lang w:eastAsia="en-GB"/>
              </w:rPr>
            </w:pPr>
            <w:r>
              <w:rPr>
                <w:b/>
                <w:bCs/>
                <w:noProof/>
                <w:color w:val="000000"/>
                <w:sz w:val="18"/>
                <w:szCs w:val="18"/>
                <w:lang w:eastAsia="en-GB"/>
              </w:rPr>
              <w:t>Motivation</w:t>
            </w:r>
          </w:p>
        </w:tc>
      </w:tr>
      <w:tr w:rsidR="007306CA">
        <w:trPr>
          <w:trHeight w:val="300"/>
        </w:trPr>
        <w:tc>
          <w:tcPr>
            <w:tcW w:w="9924" w:type="dxa"/>
            <w:gridSpan w:val="4"/>
            <w:tcBorders>
              <w:top w:val="single" w:sz="4" w:space="0" w:color="auto"/>
              <w:left w:val="single" w:sz="4" w:space="0" w:color="auto"/>
              <w:bottom w:val="single" w:sz="4" w:space="0" w:color="auto"/>
              <w:right w:val="single" w:sz="4" w:space="0" w:color="auto"/>
            </w:tcBorders>
            <w:shd w:val="clear" w:color="000000" w:fill="C5D9F1"/>
            <w:vAlign w:val="center"/>
            <w:hideMark/>
          </w:tcPr>
          <w:p w:rsidR="007306CA" w:rsidRDefault="00576025">
            <w:pPr>
              <w:spacing w:after="0"/>
              <w:jc w:val="left"/>
              <w:rPr>
                <w:b/>
                <w:bCs/>
                <w:noProof/>
                <w:color w:val="000000"/>
                <w:sz w:val="18"/>
                <w:szCs w:val="18"/>
                <w:lang w:eastAsia="en-GB"/>
              </w:rPr>
            </w:pPr>
            <w:r>
              <w:rPr>
                <w:b/>
                <w:bCs/>
                <w:noProof/>
                <w:color w:val="000000"/>
                <w:sz w:val="18"/>
                <w:szCs w:val="18"/>
                <w:lang w:eastAsia="en-GB"/>
              </w:rPr>
              <w:t>Relevance and effectiveness in achieving the objectives</w:t>
            </w:r>
          </w:p>
        </w:tc>
      </w:tr>
      <w:tr w:rsidR="007306CA">
        <w:trPr>
          <w:trHeight w:val="1975"/>
        </w:trPr>
        <w:tc>
          <w:tcPr>
            <w:tcW w:w="2861" w:type="dxa"/>
            <w:gridSpan w:val="2"/>
            <w:tcBorders>
              <w:top w:val="nil"/>
              <w:left w:val="single" w:sz="4" w:space="0" w:color="auto"/>
              <w:bottom w:val="single" w:sz="4" w:space="0" w:color="auto"/>
              <w:right w:val="single" w:sz="4" w:space="0" w:color="auto"/>
            </w:tcBorders>
            <w:shd w:val="clear" w:color="auto" w:fill="auto"/>
            <w:vAlign w:val="center"/>
            <w:hideMark/>
          </w:tcPr>
          <w:p w:rsidR="007306CA" w:rsidRDefault="00576025">
            <w:pPr>
              <w:spacing w:after="120"/>
              <w:rPr>
                <w:noProof/>
                <w:color w:val="000000"/>
                <w:sz w:val="18"/>
                <w:szCs w:val="18"/>
                <w:lang w:eastAsia="en-GB"/>
              </w:rPr>
            </w:pPr>
            <w:r>
              <w:rPr>
                <w:noProof/>
                <w:color w:val="000000"/>
                <w:sz w:val="18"/>
                <w:szCs w:val="18"/>
                <w:lang w:eastAsia="en-GB"/>
              </w:rPr>
              <w:t xml:space="preserve">GO1: improve ability to attract and retain to enhance competitiveness and demographic ageing; SO1: create </w:t>
            </w:r>
            <w:r>
              <w:rPr>
                <w:noProof/>
                <w:color w:val="000000"/>
                <w:sz w:val="18"/>
                <w:szCs w:val="18"/>
                <w:lang w:eastAsia="en-GB"/>
              </w:rPr>
              <w:t>coherent, effective and efficient common EU immigration system for highly skilled TCNs; SO2: increase the numbers of highly skilled TCNs; SO3: lower barriers to entry, simplify and harmonise the admission procedures; SO4: promote social and economic integr</w:t>
            </w:r>
            <w:r>
              <w:rPr>
                <w:noProof/>
                <w:color w:val="000000"/>
                <w:sz w:val="18"/>
                <w:szCs w:val="18"/>
                <w:lang w:eastAsia="en-GB"/>
              </w:rPr>
              <w:t>ation of highly skilled TCNs and their family members, via favourable residence conditions and rights; SO6: ensure ‘EU Blue Card’ brand to improve image of attractive EU</w:t>
            </w:r>
          </w:p>
        </w:tc>
        <w:tc>
          <w:tcPr>
            <w:tcW w:w="542" w:type="dxa"/>
            <w:tcBorders>
              <w:top w:val="nil"/>
              <w:left w:val="nil"/>
              <w:bottom w:val="single" w:sz="4" w:space="0" w:color="auto"/>
              <w:right w:val="single" w:sz="4" w:space="0" w:color="auto"/>
            </w:tcBorders>
            <w:shd w:val="clear" w:color="auto" w:fill="auto"/>
            <w:vAlign w:val="center"/>
            <w:hideMark/>
          </w:tcPr>
          <w:p w:rsidR="007306CA" w:rsidRDefault="00576025">
            <w:pPr>
              <w:spacing w:after="120"/>
              <w:rPr>
                <w:noProof/>
                <w:color w:val="000000"/>
                <w:sz w:val="18"/>
                <w:szCs w:val="18"/>
                <w:lang w:eastAsia="en-GB"/>
              </w:rPr>
            </w:pPr>
            <w:r>
              <w:rPr>
                <w:noProof/>
                <w:color w:val="000000"/>
                <w:sz w:val="18"/>
                <w:szCs w:val="18"/>
                <w:lang w:eastAsia="en-GB"/>
              </w:rPr>
              <w:t>+2</w:t>
            </w:r>
          </w:p>
        </w:tc>
        <w:tc>
          <w:tcPr>
            <w:tcW w:w="6521" w:type="dxa"/>
            <w:tcBorders>
              <w:top w:val="nil"/>
              <w:left w:val="nil"/>
              <w:bottom w:val="single" w:sz="4" w:space="0" w:color="auto"/>
              <w:right w:val="single" w:sz="4" w:space="0" w:color="auto"/>
            </w:tcBorders>
            <w:shd w:val="clear" w:color="auto" w:fill="auto"/>
            <w:vAlign w:val="center"/>
            <w:hideMark/>
          </w:tcPr>
          <w:p w:rsidR="007306CA" w:rsidRDefault="00576025">
            <w:pPr>
              <w:spacing w:after="120"/>
              <w:ind w:firstLine="113"/>
              <w:rPr>
                <w:b/>
                <w:bCs/>
                <w:noProof/>
                <w:color w:val="000000"/>
                <w:sz w:val="18"/>
                <w:szCs w:val="18"/>
                <w:lang w:eastAsia="en-GB"/>
              </w:rPr>
            </w:pPr>
            <w:r>
              <w:rPr>
                <w:b/>
                <w:bCs/>
                <w:noProof/>
                <w:color w:val="000000"/>
                <w:sz w:val="18"/>
                <w:szCs w:val="18"/>
                <w:lang w:eastAsia="en-GB"/>
              </w:rPr>
              <w:t>Estimated additional permits:  61 324 HSW (EU25 aggregate for salary threshold at m</w:t>
            </w:r>
            <w:r>
              <w:rPr>
                <w:b/>
                <w:bCs/>
                <w:noProof/>
                <w:color w:val="000000"/>
                <w:sz w:val="18"/>
                <w:szCs w:val="18"/>
                <w:lang w:eastAsia="en-GB"/>
              </w:rPr>
              <w:t>inimum level)</w:t>
            </w:r>
          </w:p>
          <w:p w:rsidR="007306CA" w:rsidRDefault="00576025">
            <w:pPr>
              <w:spacing w:after="120"/>
              <w:ind w:firstLine="113"/>
              <w:rPr>
                <w:noProof/>
                <w:color w:val="000000"/>
                <w:sz w:val="18"/>
                <w:szCs w:val="18"/>
                <w:lang w:eastAsia="en-GB"/>
              </w:rPr>
            </w:pPr>
            <w:r>
              <w:rPr>
                <w:noProof/>
                <w:color w:val="000000"/>
                <w:sz w:val="18"/>
                <w:szCs w:val="18"/>
                <w:lang w:eastAsia="en-GB"/>
              </w:rPr>
              <w:t xml:space="preserve">The EU’s schemes for HSW would be streamlined and harmonised into </w:t>
            </w:r>
            <w:r>
              <w:rPr>
                <w:b/>
                <w:noProof/>
                <w:color w:val="000000"/>
                <w:sz w:val="18"/>
                <w:szCs w:val="18"/>
                <w:lang w:eastAsia="en-GB"/>
              </w:rPr>
              <w:t xml:space="preserve">one fully harmonised common scheme, </w:t>
            </w:r>
            <w:r>
              <w:rPr>
                <w:noProof/>
                <w:color w:val="000000"/>
                <w:sz w:val="18"/>
                <w:szCs w:val="18"/>
                <w:lang w:eastAsia="en-GB"/>
              </w:rPr>
              <w:t>which would however only cover a</w:t>
            </w:r>
            <w:r>
              <w:rPr>
                <w:b/>
                <w:noProof/>
                <w:color w:val="000000"/>
                <w:sz w:val="18"/>
                <w:szCs w:val="18"/>
                <w:lang w:eastAsia="en-GB"/>
              </w:rPr>
              <w:t xml:space="preserve"> limited n° of HSW</w:t>
            </w:r>
            <w:r>
              <w:rPr>
                <w:noProof/>
                <w:color w:val="000000"/>
                <w:sz w:val="18"/>
                <w:szCs w:val="18"/>
                <w:lang w:eastAsia="en-GB"/>
              </w:rPr>
              <w:t xml:space="preserve"> du to the high salary threshold. Competing national schemes would be abolished while this</w:t>
            </w:r>
            <w:r>
              <w:rPr>
                <w:noProof/>
                <w:color w:val="000000"/>
                <w:sz w:val="18"/>
                <w:szCs w:val="18"/>
                <w:lang w:eastAsia="en-GB"/>
              </w:rPr>
              <w:t xml:space="preserve"> would be mitigated by the fact that complementary national schemes for HSW outside the scope, i.e. those who would not reach the selective admission conditions (high salary threshold), would still be allowed. This would mean, however, that </w:t>
            </w:r>
            <w:r>
              <w:rPr>
                <w:b/>
                <w:noProof/>
                <w:color w:val="000000"/>
                <w:sz w:val="18"/>
                <w:szCs w:val="18"/>
                <w:lang w:eastAsia="en-GB"/>
              </w:rPr>
              <w:t>some fragmentat</w:t>
            </w:r>
            <w:r>
              <w:rPr>
                <w:b/>
                <w:noProof/>
                <w:color w:val="000000"/>
                <w:sz w:val="18"/>
                <w:szCs w:val="18"/>
                <w:lang w:eastAsia="en-GB"/>
              </w:rPr>
              <w:t>ion</w:t>
            </w:r>
            <w:r>
              <w:rPr>
                <w:noProof/>
                <w:color w:val="000000"/>
                <w:sz w:val="18"/>
                <w:szCs w:val="18"/>
                <w:lang w:eastAsia="en-GB"/>
              </w:rPr>
              <w:t xml:space="preserve"> of the EU’s legal framework for HSW </w:t>
            </w:r>
            <w:r>
              <w:rPr>
                <w:b/>
                <w:noProof/>
                <w:color w:val="000000"/>
                <w:sz w:val="18"/>
                <w:szCs w:val="18"/>
                <w:lang w:eastAsia="en-GB"/>
              </w:rPr>
              <w:t>would remain</w:t>
            </w:r>
            <w:r>
              <w:rPr>
                <w:noProof/>
                <w:color w:val="000000"/>
                <w:sz w:val="18"/>
                <w:szCs w:val="18"/>
                <w:lang w:eastAsia="en-GB"/>
              </w:rPr>
              <w:t>, yet it would be more limited.</w:t>
            </w:r>
          </w:p>
          <w:p w:rsidR="007306CA" w:rsidRDefault="00576025">
            <w:pPr>
              <w:spacing w:after="120"/>
              <w:ind w:firstLine="113"/>
              <w:rPr>
                <w:noProof/>
                <w:color w:val="000000"/>
                <w:sz w:val="18"/>
                <w:szCs w:val="18"/>
                <w:lang w:eastAsia="en-GB"/>
              </w:rPr>
            </w:pPr>
            <w:r>
              <w:rPr>
                <w:noProof/>
                <w:color w:val="000000"/>
                <w:sz w:val="18"/>
                <w:szCs w:val="18"/>
                <w:lang w:eastAsia="en-GB"/>
              </w:rPr>
              <w:t xml:space="preserve">As Member States would have no scope to adapt any of the entry conditions or other rules to national labour market circumstances, this policy option  would be less </w:t>
            </w:r>
            <w:r>
              <w:rPr>
                <w:noProof/>
                <w:color w:val="000000"/>
                <w:sz w:val="18"/>
                <w:szCs w:val="18"/>
                <w:lang w:eastAsia="en-GB"/>
              </w:rPr>
              <w:t>efficient in managing the migration flows in function of the particular needs of the Member States.</w:t>
            </w:r>
          </w:p>
          <w:p w:rsidR="007306CA" w:rsidRDefault="00576025">
            <w:pPr>
              <w:spacing w:after="120"/>
              <w:ind w:firstLine="113"/>
              <w:rPr>
                <w:noProof/>
                <w:color w:val="000000"/>
                <w:sz w:val="18"/>
                <w:szCs w:val="18"/>
                <w:lang w:eastAsia="en-GB"/>
              </w:rPr>
            </w:pPr>
            <w:r>
              <w:rPr>
                <w:noProof/>
                <w:color w:val="000000"/>
                <w:sz w:val="18"/>
                <w:szCs w:val="18"/>
                <w:lang w:eastAsia="en-GB"/>
              </w:rPr>
              <w:t>The attractiveness of the Blue Card would be significantly increased for highly paid HSW who would be able to reach the salary threshold. However, in practi</w:t>
            </w:r>
            <w:r>
              <w:rPr>
                <w:noProof/>
                <w:color w:val="000000"/>
                <w:sz w:val="18"/>
                <w:szCs w:val="18"/>
                <w:lang w:eastAsia="en-GB"/>
              </w:rPr>
              <w:t xml:space="preserve">ce, the </w:t>
            </w:r>
            <w:r>
              <w:rPr>
                <w:b/>
                <w:noProof/>
                <w:color w:val="000000"/>
                <w:sz w:val="18"/>
                <w:szCs w:val="18"/>
                <w:lang w:eastAsia="en-GB"/>
              </w:rPr>
              <w:t xml:space="preserve">exclusive admission conditions </w:t>
            </w:r>
            <w:r>
              <w:rPr>
                <w:noProof/>
                <w:color w:val="000000"/>
                <w:sz w:val="18"/>
                <w:szCs w:val="18"/>
                <w:lang w:eastAsia="en-GB"/>
              </w:rPr>
              <w:t xml:space="preserve">would have </w:t>
            </w:r>
            <w:r>
              <w:rPr>
                <w:b/>
                <w:noProof/>
                <w:color w:val="000000"/>
                <w:sz w:val="18"/>
                <w:szCs w:val="18"/>
                <w:lang w:eastAsia="en-GB"/>
              </w:rPr>
              <w:t xml:space="preserve">restrictive effect in some Member States </w:t>
            </w:r>
            <w:r>
              <w:rPr>
                <w:noProof/>
                <w:color w:val="000000"/>
                <w:sz w:val="18"/>
                <w:szCs w:val="18"/>
                <w:lang w:eastAsia="en-GB"/>
              </w:rPr>
              <w:t>(with lower average salaries) which would mean limited gains in numbers compared to the baseline scenario.</w:t>
            </w:r>
          </w:p>
          <w:p w:rsidR="007306CA" w:rsidRDefault="00576025">
            <w:pPr>
              <w:spacing w:after="120"/>
              <w:ind w:firstLine="113"/>
              <w:rPr>
                <w:noProof/>
                <w:color w:val="000000"/>
                <w:sz w:val="18"/>
                <w:szCs w:val="18"/>
                <w:lang w:eastAsia="en-GB"/>
              </w:rPr>
            </w:pPr>
            <w:r>
              <w:rPr>
                <w:noProof/>
                <w:color w:val="000000"/>
                <w:sz w:val="18"/>
                <w:szCs w:val="18"/>
                <w:lang w:eastAsia="en-GB"/>
              </w:rPr>
              <w:t>At the same time, Member States would be able to set compl</w:t>
            </w:r>
            <w:r>
              <w:rPr>
                <w:noProof/>
                <w:color w:val="000000"/>
                <w:sz w:val="18"/>
                <w:szCs w:val="18"/>
                <w:lang w:eastAsia="en-GB"/>
              </w:rPr>
              <w:t>ementary national parallel policies for HSW with lower salaries in function of the situation of their national labour market.</w:t>
            </w:r>
          </w:p>
          <w:p w:rsidR="007306CA" w:rsidRDefault="00576025">
            <w:pPr>
              <w:spacing w:after="120"/>
              <w:ind w:firstLine="113"/>
              <w:rPr>
                <w:noProof/>
                <w:color w:val="000000"/>
                <w:sz w:val="18"/>
                <w:szCs w:val="18"/>
                <w:lang w:eastAsia="en-GB"/>
              </w:rPr>
            </w:pPr>
            <w:r>
              <w:rPr>
                <w:noProof/>
                <w:color w:val="000000"/>
                <w:sz w:val="18"/>
                <w:szCs w:val="18"/>
                <w:lang w:eastAsia="en-GB"/>
              </w:rPr>
              <w:t xml:space="preserve">Yet, by not streamlining and harmonising the EU’s schemes for all HSW regardless of their level of pay, the improvement in </w:t>
            </w:r>
            <w:r>
              <w:rPr>
                <w:b/>
                <w:noProof/>
                <w:color w:val="000000"/>
                <w:sz w:val="18"/>
                <w:szCs w:val="18"/>
                <w:lang w:eastAsia="en-GB"/>
              </w:rPr>
              <w:t>simplif</w:t>
            </w:r>
            <w:r>
              <w:rPr>
                <w:b/>
                <w:noProof/>
                <w:color w:val="000000"/>
                <w:sz w:val="18"/>
                <w:szCs w:val="18"/>
                <w:lang w:eastAsia="en-GB"/>
              </w:rPr>
              <w:t>ication</w:t>
            </w:r>
            <w:r>
              <w:rPr>
                <w:noProof/>
                <w:color w:val="000000"/>
                <w:sz w:val="18"/>
                <w:szCs w:val="18"/>
                <w:lang w:eastAsia="en-GB"/>
              </w:rPr>
              <w:t xml:space="preserve">, coherence and efficiency would </w:t>
            </w:r>
            <w:r>
              <w:rPr>
                <w:b/>
                <w:noProof/>
                <w:color w:val="000000"/>
                <w:sz w:val="18"/>
                <w:szCs w:val="18"/>
                <w:lang w:eastAsia="en-GB"/>
              </w:rPr>
              <w:t>remain limited</w:t>
            </w:r>
            <w:r>
              <w:rPr>
                <w:noProof/>
                <w:color w:val="000000"/>
                <w:sz w:val="18"/>
                <w:szCs w:val="18"/>
                <w:lang w:eastAsia="en-GB"/>
              </w:rPr>
              <w:t xml:space="preserve"> and to Member States with higher average salaries and to an elite group of highly-paid HSW. The EU’s ability to attract and retain would also only be improved as regards those Member States and highly-</w:t>
            </w:r>
            <w:r>
              <w:rPr>
                <w:noProof/>
                <w:color w:val="000000"/>
                <w:sz w:val="18"/>
                <w:szCs w:val="18"/>
                <w:lang w:eastAsia="en-GB"/>
              </w:rPr>
              <w:t>paid HSW.</w:t>
            </w:r>
          </w:p>
          <w:p w:rsidR="007306CA" w:rsidRDefault="00576025">
            <w:pPr>
              <w:spacing w:after="120"/>
              <w:ind w:firstLine="113"/>
              <w:rPr>
                <w:noProof/>
                <w:color w:val="000000"/>
                <w:sz w:val="18"/>
                <w:szCs w:val="18"/>
                <w:lang w:eastAsia="en-GB"/>
              </w:rPr>
            </w:pPr>
            <w:r>
              <w:rPr>
                <w:noProof/>
                <w:color w:val="000000"/>
                <w:sz w:val="18"/>
                <w:szCs w:val="18"/>
                <w:lang w:eastAsia="en-GB"/>
              </w:rPr>
              <w:t xml:space="preserve">While the contribution of those HSW to the </w:t>
            </w:r>
            <w:r>
              <w:rPr>
                <w:b/>
                <w:noProof/>
                <w:color w:val="000000"/>
                <w:sz w:val="18"/>
                <w:szCs w:val="18"/>
                <w:lang w:eastAsia="en-GB"/>
              </w:rPr>
              <w:t>EU’s competitiveness</w:t>
            </w:r>
            <w:r>
              <w:rPr>
                <w:noProof/>
                <w:color w:val="000000"/>
                <w:sz w:val="18"/>
                <w:szCs w:val="18"/>
                <w:lang w:eastAsia="en-GB"/>
              </w:rPr>
              <w:t xml:space="preserve"> can be assumed to be higher per unit, the </w:t>
            </w:r>
            <w:r>
              <w:rPr>
                <w:b/>
                <w:noProof/>
                <w:color w:val="000000"/>
                <w:sz w:val="18"/>
                <w:szCs w:val="18"/>
                <w:lang w:eastAsia="en-GB"/>
              </w:rPr>
              <w:t xml:space="preserve">overall gain would remain limited </w:t>
            </w:r>
            <w:r>
              <w:rPr>
                <w:noProof/>
                <w:color w:val="000000"/>
                <w:sz w:val="18"/>
                <w:szCs w:val="18"/>
                <w:lang w:eastAsia="en-GB"/>
              </w:rPr>
              <w:t>due to the limited increase in numbers compared to the baseline scenario. For the same reason, the contrib</w:t>
            </w:r>
            <w:r>
              <w:rPr>
                <w:noProof/>
                <w:color w:val="000000"/>
                <w:sz w:val="18"/>
                <w:szCs w:val="18"/>
                <w:lang w:eastAsia="en-GB"/>
              </w:rPr>
              <w:t xml:space="preserve">ution to addressing demographic ageing would be limited. </w:t>
            </w:r>
          </w:p>
          <w:p w:rsidR="007306CA" w:rsidRDefault="00576025">
            <w:pPr>
              <w:spacing w:after="120"/>
              <w:ind w:firstLine="113"/>
              <w:rPr>
                <w:noProof/>
                <w:color w:val="000000"/>
                <w:sz w:val="18"/>
                <w:szCs w:val="18"/>
                <w:lang w:eastAsia="en-GB"/>
              </w:rPr>
            </w:pPr>
            <w:r>
              <w:rPr>
                <w:noProof/>
                <w:color w:val="000000"/>
                <w:sz w:val="18"/>
                <w:szCs w:val="18"/>
                <w:lang w:eastAsia="en-GB"/>
              </w:rPr>
              <w:t xml:space="preserve">Nevertheless, by maximising the possibility for intra-EU mobility and facilitating access to long-term residence, this option would entail a </w:t>
            </w:r>
            <w:r>
              <w:rPr>
                <w:b/>
                <w:noProof/>
                <w:color w:val="000000"/>
                <w:sz w:val="18"/>
                <w:szCs w:val="18"/>
                <w:lang w:eastAsia="en-GB"/>
              </w:rPr>
              <w:t>very high branding value</w:t>
            </w:r>
            <w:r>
              <w:rPr>
                <w:noProof/>
                <w:color w:val="000000"/>
                <w:sz w:val="18"/>
                <w:szCs w:val="18"/>
                <w:lang w:eastAsia="en-GB"/>
              </w:rPr>
              <w:t xml:space="preserve"> for the Blue Card.</w:t>
            </w:r>
          </w:p>
        </w:tc>
      </w:tr>
      <w:tr w:rsidR="007306CA">
        <w:trPr>
          <w:trHeight w:val="1240"/>
        </w:trPr>
        <w:tc>
          <w:tcPr>
            <w:tcW w:w="2861" w:type="dxa"/>
            <w:gridSpan w:val="2"/>
            <w:tcBorders>
              <w:top w:val="nil"/>
              <w:left w:val="single" w:sz="4" w:space="0" w:color="auto"/>
              <w:bottom w:val="single" w:sz="4" w:space="0" w:color="auto"/>
              <w:right w:val="single" w:sz="4" w:space="0" w:color="auto"/>
            </w:tcBorders>
            <w:shd w:val="clear" w:color="auto" w:fill="auto"/>
            <w:vAlign w:val="center"/>
            <w:hideMark/>
          </w:tcPr>
          <w:p w:rsidR="007306CA" w:rsidRDefault="00576025">
            <w:pPr>
              <w:spacing w:after="120"/>
              <w:rPr>
                <w:noProof/>
                <w:color w:val="000000"/>
                <w:sz w:val="18"/>
                <w:szCs w:val="18"/>
                <w:lang w:eastAsia="en-GB"/>
              </w:rPr>
            </w:pPr>
            <w:r>
              <w:rPr>
                <w:noProof/>
                <w:color w:val="000000"/>
                <w:sz w:val="18"/>
                <w:szCs w:val="18"/>
                <w:lang w:eastAsia="en-GB"/>
              </w:rPr>
              <w:t>GO2: improve</w:t>
            </w:r>
            <w:r>
              <w:rPr>
                <w:noProof/>
                <w:color w:val="000000"/>
                <w:sz w:val="18"/>
                <w:szCs w:val="18"/>
                <w:lang w:eastAsia="en-GB"/>
              </w:rPr>
              <w:t xml:space="preserve"> ability to respond to demands for highly skilled TCNs and offset skill shortages by enhancing the inflows, occupational and geographical (intra-EU) mobility), and to promote efficient (re)allocation on EU labour market; SO5: ensure more flexible intra-EU </w:t>
            </w:r>
            <w:r>
              <w:rPr>
                <w:noProof/>
                <w:color w:val="000000"/>
                <w:sz w:val="18"/>
                <w:szCs w:val="18"/>
                <w:lang w:eastAsia="en-GB"/>
              </w:rPr>
              <w:t>mobility, removing unnecessary barriers, more efficient allocation of highly skilled TCNs in EU</w:t>
            </w:r>
          </w:p>
        </w:tc>
        <w:tc>
          <w:tcPr>
            <w:tcW w:w="542" w:type="dxa"/>
            <w:tcBorders>
              <w:top w:val="nil"/>
              <w:left w:val="nil"/>
              <w:bottom w:val="single" w:sz="4" w:space="0" w:color="auto"/>
              <w:right w:val="single" w:sz="4" w:space="0" w:color="auto"/>
            </w:tcBorders>
            <w:shd w:val="clear" w:color="auto" w:fill="auto"/>
            <w:vAlign w:val="center"/>
            <w:hideMark/>
          </w:tcPr>
          <w:p w:rsidR="007306CA" w:rsidRDefault="00576025">
            <w:pPr>
              <w:spacing w:after="120"/>
              <w:rPr>
                <w:noProof/>
                <w:color w:val="000000"/>
                <w:sz w:val="18"/>
                <w:szCs w:val="18"/>
                <w:lang w:eastAsia="en-GB"/>
              </w:rPr>
            </w:pPr>
            <w:r>
              <w:rPr>
                <w:noProof/>
                <w:color w:val="000000"/>
                <w:sz w:val="18"/>
                <w:szCs w:val="18"/>
                <w:lang w:eastAsia="en-GB"/>
              </w:rPr>
              <w:t>+2</w:t>
            </w:r>
          </w:p>
        </w:tc>
        <w:tc>
          <w:tcPr>
            <w:tcW w:w="6521" w:type="dxa"/>
            <w:tcBorders>
              <w:top w:val="nil"/>
              <w:left w:val="nil"/>
              <w:bottom w:val="single" w:sz="4" w:space="0" w:color="auto"/>
              <w:right w:val="single" w:sz="4" w:space="0" w:color="auto"/>
            </w:tcBorders>
            <w:shd w:val="clear" w:color="auto" w:fill="auto"/>
            <w:vAlign w:val="center"/>
            <w:hideMark/>
          </w:tcPr>
          <w:p w:rsidR="007306CA" w:rsidRDefault="00576025">
            <w:pPr>
              <w:spacing w:after="120"/>
              <w:ind w:firstLine="113"/>
              <w:rPr>
                <w:noProof/>
                <w:color w:val="000000"/>
                <w:sz w:val="18"/>
                <w:szCs w:val="18"/>
                <w:lang w:eastAsia="en-GB"/>
              </w:rPr>
            </w:pPr>
            <w:r>
              <w:rPr>
                <w:noProof/>
                <w:color w:val="000000"/>
                <w:sz w:val="18"/>
                <w:szCs w:val="18"/>
                <w:lang w:eastAsia="en-GB"/>
              </w:rPr>
              <w:t xml:space="preserve">Through significantly facilitated entry procedures, and thus enhanced inflows, this option would be a significant improvement in the EU’s </w:t>
            </w:r>
            <w:r>
              <w:rPr>
                <w:b/>
                <w:noProof/>
                <w:color w:val="000000"/>
                <w:sz w:val="18"/>
                <w:szCs w:val="18"/>
                <w:lang w:eastAsia="en-GB"/>
              </w:rPr>
              <w:t>ability to effectiv</w:t>
            </w:r>
            <w:r>
              <w:rPr>
                <w:b/>
                <w:noProof/>
                <w:color w:val="000000"/>
                <w:sz w:val="18"/>
                <w:szCs w:val="18"/>
                <w:lang w:eastAsia="en-GB"/>
              </w:rPr>
              <w:t>ely</w:t>
            </w:r>
            <w:r>
              <w:rPr>
                <w:noProof/>
                <w:color w:val="000000"/>
                <w:sz w:val="18"/>
                <w:szCs w:val="18"/>
                <w:lang w:eastAsia="en-GB"/>
              </w:rPr>
              <w:t xml:space="preserve"> and promptly respond to demands for HSW and to </w:t>
            </w:r>
            <w:r>
              <w:rPr>
                <w:b/>
                <w:noProof/>
                <w:color w:val="000000"/>
                <w:sz w:val="18"/>
                <w:szCs w:val="18"/>
                <w:lang w:eastAsia="en-GB"/>
              </w:rPr>
              <w:t>shortages</w:t>
            </w:r>
            <w:r>
              <w:rPr>
                <w:noProof/>
                <w:color w:val="000000"/>
                <w:sz w:val="18"/>
                <w:szCs w:val="18"/>
                <w:lang w:eastAsia="en-GB"/>
              </w:rPr>
              <w:t xml:space="preserve"> in highly skilled occupations but, even at the lower threshold, it would be </w:t>
            </w:r>
            <w:r>
              <w:rPr>
                <w:b/>
                <w:noProof/>
                <w:color w:val="000000"/>
                <w:sz w:val="18"/>
                <w:szCs w:val="18"/>
                <w:lang w:eastAsia="en-GB"/>
              </w:rPr>
              <w:t>limited to Member States with higher average salaries</w:t>
            </w:r>
            <w:r>
              <w:rPr>
                <w:noProof/>
                <w:color w:val="000000"/>
                <w:sz w:val="18"/>
                <w:szCs w:val="18"/>
                <w:lang w:eastAsia="en-GB"/>
              </w:rPr>
              <w:t xml:space="preserve"> and occupations that are highly-paid.</w:t>
            </w:r>
          </w:p>
          <w:p w:rsidR="007306CA" w:rsidRDefault="00576025">
            <w:pPr>
              <w:spacing w:after="120"/>
              <w:ind w:firstLine="113"/>
              <w:rPr>
                <w:noProof/>
                <w:color w:val="000000"/>
                <w:sz w:val="18"/>
                <w:szCs w:val="18"/>
                <w:lang w:eastAsia="en-GB"/>
              </w:rPr>
            </w:pPr>
            <w:r>
              <w:rPr>
                <w:noProof/>
                <w:color w:val="000000"/>
                <w:sz w:val="18"/>
                <w:szCs w:val="18"/>
                <w:lang w:eastAsia="en-GB"/>
              </w:rPr>
              <w:t>Compared to the baseline sc</w:t>
            </w:r>
            <w:r>
              <w:rPr>
                <w:noProof/>
                <w:color w:val="000000"/>
                <w:sz w:val="18"/>
                <w:szCs w:val="18"/>
                <w:lang w:eastAsia="en-GB"/>
              </w:rPr>
              <w:t>enario, there would also be a significant improvement in the possibilities for occupational and intra-EU mobility, at a level comparable to free movement of EU citizens, yet again limited to HSW in Member States with higher average salaries and occupations</w:t>
            </w:r>
            <w:r>
              <w:rPr>
                <w:noProof/>
                <w:color w:val="000000"/>
                <w:sz w:val="18"/>
                <w:szCs w:val="18"/>
                <w:lang w:eastAsia="en-GB"/>
              </w:rPr>
              <w:t xml:space="preserve"> that are highly-paid.</w:t>
            </w:r>
          </w:p>
        </w:tc>
      </w:tr>
      <w:tr w:rsidR="007306CA">
        <w:trPr>
          <w:trHeight w:val="96"/>
        </w:trPr>
        <w:tc>
          <w:tcPr>
            <w:tcW w:w="2861" w:type="dxa"/>
            <w:gridSpan w:val="2"/>
            <w:tcBorders>
              <w:top w:val="nil"/>
              <w:left w:val="single" w:sz="4" w:space="0" w:color="auto"/>
              <w:bottom w:val="single" w:sz="4" w:space="0" w:color="auto"/>
              <w:right w:val="single" w:sz="4" w:space="0" w:color="auto"/>
            </w:tcBorders>
            <w:shd w:val="clear" w:color="auto" w:fill="auto"/>
            <w:vAlign w:val="center"/>
            <w:hideMark/>
          </w:tcPr>
          <w:p w:rsidR="007306CA" w:rsidRDefault="00576025">
            <w:pPr>
              <w:spacing w:after="120"/>
              <w:rPr>
                <w:noProof/>
                <w:color w:val="000000"/>
                <w:sz w:val="18"/>
                <w:szCs w:val="18"/>
                <w:lang w:eastAsia="en-GB"/>
              </w:rPr>
            </w:pPr>
            <w:r>
              <w:rPr>
                <w:noProof/>
                <w:color w:val="000000"/>
                <w:sz w:val="18"/>
                <w:szCs w:val="18"/>
                <w:lang w:eastAsia="en-GB"/>
              </w:rPr>
              <w:t>SO1: create a coherent, efficient and effective common immigration system for highly skilled TCNs</w:t>
            </w:r>
          </w:p>
        </w:tc>
        <w:tc>
          <w:tcPr>
            <w:tcW w:w="542" w:type="dxa"/>
            <w:tcBorders>
              <w:top w:val="nil"/>
              <w:left w:val="nil"/>
              <w:bottom w:val="single" w:sz="4" w:space="0" w:color="auto"/>
              <w:right w:val="single" w:sz="4" w:space="0" w:color="auto"/>
            </w:tcBorders>
            <w:shd w:val="clear" w:color="auto" w:fill="auto"/>
            <w:vAlign w:val="center"/>
            <w:hideMark/>
          </w:tcPr>
          <w:p w:rsidR="007306CA" w:rsidRDefault="00576025">
            <w:pPr>
              <w:spacing w:after="120"/>
              <w:rPr>
                <w:noProof/>
                <w:color w:val="000000"/>
                <w:sz w:val="18"/>
                <w:szCs w:val="18"/>
                <w:lang w:eastAsia="en-GB"/>
              </w:rPr>
            </w:pPr>
            <w:r>
              <w:rPr>
                <w:noProof/>
                <w:color w:val="000000"/>
                <w:sz w:val="18"/>
                <w:szCs w:val="18"/>
                <w:lang w:eastAsia="en-GB"/>
              </w:rPr>
              <w:t>+1</w:t>
            </w:r>
          </w:p>
        </w:tc>
        <w:tc>
          <w:tcPr>
            <w:tcW w:w="6521" w:type="dxa"/>
            <w:tcBorders>
              <w:top w:val="nil"/>
              <w:left w:val="nil"/>
              <w:bottom w:val="single" w:sz="4" w:space="0" w:color="auto"/>
              <w:right w:val="single" w:sz="4" w:space="0" w:color="auto"/>
            </w:tcBorders>
            <w:shd w:val="clear" w:color="auto" w:fill="auto"/>
            <w:vAlign w:val="center"/>
            <w:hideMark/>
          </w:tcPr>
          <w:p w:rsidR="007306CA" w:rsidRDefault="00576025">
            <w:pPr>
              <w:spacing w:after="120"/>
              <w:ind w:firstLine="113"/>
              <w:rPr>
                <w:noProof/>
                <w:color w:val="000000"/>
                <w:sz w:val="18"/>
                <w:szCs w:val="18"/>
                <w:lang w:eastAsia="en-GB"/>
              </w:rPr>
            </w:pPr>
            <w:r>
              <w:rPr>
                <w:noProof/>
                <w:color w:val="000000"/>
                <w:sz w:val="18"/>
                <w:szCs w:val="18"/>
                <w:lang w:eastAsia="en-GB"/>
              </w:rPr>
              <w:t xml:space="preserve">This policy option would introduce </w:t>
            </w:r>
            <w:r>
              <w:rPr>
                <w:b/>
                <w:noProof/>
                <w:color w:val="000000"/>
                <w:sz w:val="18"/>
                <w:szCs w:val="18"/>
                <w:lang w:eastAsia="en-GB"/>
              </w:rPr>
              <w:t>full harmonisation and streamlining of the EU policy for a limited n° of HSW a</w:t>
            </w:r>
            <w:r>
              <w:rPr>
                <w:noProof/>
                <w:color w:val="000000"/>
                <w:sz w:val="18"/>
                <w:szCs w:val="18"/>
                <w:lang w:eastAsia="en-GB"/>
              </w:rPr>
              <w:t xml:space="preserve">nd a significant </w:t>
            </w:r>
            <w:r>
              <w:rPr>
                <w:b/>
                <w:noProof/>
                <w:color w:val="000000"/>
                <w:sz w:val="18"/>
                <w:szCs w:val="18"/>
                <w:lang w:eastAsia="en-GB"/>
              </w:rPr>
              <w:t>improvement in their rights,</w:t>
            </w:r>
            <w:r>
              <w:rPr>
                <w:noProof/>
                <w:color w:val="000000"/>
                <w:sz w:val="18"/>
                <w:szCs w:val="18"/>
                <w:lang w:eastAsia="en-GB"/>
              </w:rPr>
              <w:t xml:space="preserve"> including intra-EU mobility comparable to free movement of EU citizens. A EU-single level application management portal and an EU-wide Blue Card would highly simplify procedures. In practice, the exclusive admission conditions </w:t>
            </w:r>
            <w:r>
              <w:rPr>
                <w:noProof/>
                <w:color w:val="000000"/>
                <w:sz w:val="18"/>
                <w:szCs w:val="18"/>
                <w:lang w:eastAsia="en-GB"/>
              </w:rPr>
              <w:t>would mean that the Blue Card would only be accessible to (i) HSW in a limited number of Member States with the highest average salaries (notably (the upper part) of the top one-third of Member States with the highest average salaries), possibly somewhat m</w:t>
            </w:r>
            <w:r>
              <w:rPr>
                <w:noProof/>
                <w:color w:val="000000"/>
                <w:sz w:val="18"/>
                <w:szCs w:val="18"/>
                <w:lang w:eastAsia="en-GB"/>
              </w:rPr>
              <w:t xml:space="preserve">itigated by the lower threshold for shortage occupations, and (ii) an elite of the most highly skilled workers who receive globally competitive salaries regardless of their location. </w:t>
            </w:r>
          </w:p>
          <w:p w:rsidR="007306CA" w:rsidRDefault="00576025">
            <w:pPr>
              <w:spacing w:after="120"/>
              <w:ind w:firstLine="113"/>
              <w:rPr>
                <w:noProof/>
                <w:color w:val="000000"/>
                <w:sz w:val="18"/>
                <w:szCs w:val="18"/>
                <w:lang w:eastAsia="en-GB"/>
              </w:rPr>
            </w:pPr>
            <w:r>
              <w:rPr>
                <w:noProof/>
                <w:color w:val="000000"/>
                <w:sz w:val="18"/>
                <w:szCs w:val="18"/>
                <w:lang w:eastAsia="en-GB"/>
              </w:rPr>
              <w:t>As regards the rest of the HSW, out of reach of the high salary threshol</w:t>
            </w:r>
            <w:r>
              <w:rPr>
                <w:noProof/>
                <w:color w:val="000000"/>
                <w:sz w:val="18"/>
                <w:szCs w:val="18"/>
                <w:lang w:eastAsia="en-GB"/>
              </w:rPr>
              <w:t xml:space="preserve">d, Member States would keep the same level of flexibility to set complementary national policies in function of the situation of their national labour market. However, this would mean that some </w:t>
            </w:r>
            <w:r>
              <w:rPr>
                <w:b/>
                <w:noProof/>
                <w:color w:val="000000"/>
                <w:sz w:val="18"/>
                <w:szCs w:val="18"/>
                <w:lang w:eastAsia="en-GB"/>
              </w:rPr>
              <w:t>fragmentation of the EU’s legal framework</w:t>
            </w:r>
            <w:r>
              <w:rPr>
                <w:noProof/>
                <w:color w:val="000000"/>
                <w:sz w:val="18"/>
                <w:szCs w:val="18"/>
                <w:lang w:eastAsia="en-GB"/>
              </w:rPr>
              <w:t xml:space="preserve"> for HSW would remain</w:t>
            </w:r>
            <w:r>
              <w:rPr>
                <w:noProof/>
                <w:color w:val="000000"/>
                <w:sz w:val="18"/>
                <w:szCs w:val="18"/>
                <w:lang w:eastAsia="en-GB"/>
              </w:rPr>
              <w:t>, though more limited, and the coherence, clarity and efficiency of the HSW migration management would only improve for a limited number of HSW who reach the high admission conditions.</w:t>
            </w:r>
          </w:p>
        </w:tc>
      </w:tr>
      <w:tr w:rsidR="007306CA">
        <w:trPr>
          <w:trHeight w:val="300"/>
        </w:trPr>
        <w:tc>
          <w:tcPr>
            <w:tcW w:w="9924" w:type="dxa"/>
            <w:gridSpan w:val="4"/>
            <w:tcBorders>
              <w:top w:val="single" w:sz="4" w:space="0" w:color="auto"/>
              <w:left w:val="single" w:sz="4" w:space="0" w:color="auto"/>
              <w:bottom w:val="single" w:sz="4" w:space="0" w:color="auto"/>
              <w:right w:val="single" w:sz="4" w:space="0" w:color="auto"/>
            </w:tcBorders>
            <w:shd w:val="clear" w:color="000000" w:fill="C5D9F1"/>
            <w:vAlign w:val="center"/>
            <w:hideMark/>
          </w:tcPr>
          <w:p w:rsidR="007306CA" w:rsidRDefault="00576025">
            <w:pPr>
              <w:spacing w:after="0"/>
              <w:jc w:val="left"/>
              <w:rPr>
                <w:b/>
                <w:bCs/>
                <w:noProof/>
                <w:color w:val="000000"/>
                <w:sz w:val="18"/>
                <w:szCs w:val="18"/>
                <w:lang w:eastAsia="en-GB"/>
              </w:rPr>
            </w:pPr>
            <w:r>
              <w:rPr>
                <w:b/>
                <w:bCs/>
                <w:noProof/>
                <w:color w:val="000000"/>
                <w:sz w:val="18"/>
                <w:szCs w:val="18"/>
                <w:lang w:eastAsia="en-GB"/>
              </w:rPr>
              <w:t>Expected impacts</w:t>
            </w:r>
          </w:p>
        </w:tc>
      </w:tr>
      <w:tr w:rsidR="007306CA">
        <w:trPr>
          <w:trHeight w:val="300"/>
        </w:trPr>
        <w:tc>
          <w:tcPr>
            <w:tcW w:w="992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306CA" w:rsidRDefault="00576025">
            <w:pPr>
              <w:spacing w:after="0"/>
              <w:rPr>
                <w:b/>
                <w:bCs/>
                <w:noProof/>
                <w:color w:val="000000"/>
                <w:sz w:val="18"/>
                <w:szCs w:val="18"/>
                <w:lang w:eastAsia="en-GB"/>
              </w:rPr>
            </w:pPr>
            <w:r>
              <w:rPr>
                <w:b/>
                <w:bCs/>
                <w:noProof/>
                <w:color w:val="000000"/>
                <w:sz w:val="18"/>
                <w:szCs w:val="18"/>
                <w:lang w:eastAsia="en-GB"/>
              </w:rPr>
              <w:t>Economic impacts</w:t>
            </w:r>
          </w:p>
        </w:tc>
      </w:tr>
      <w:tr w:rsidR="007306CA">
        <w:trPr>
          <w:trHeight w:val="73"/>
        </w:trPr>
        <w:tc>
          <w:tcPr>
            <w:tcW w:w="2861" w:type="dxa"/>
            <w:gridSpan w:val="2"/>
            <w:tcBorders>
              <w:top w:val="nil"/>
              <w:left w:val="single" w:sz="4" w:space="0" w:color="auto"/>
              <w:bottom w:val="single" w:sz="4" w:space="0" w:color="auto"/>
              <w:right w:val="single" w:sz="4" w:space="0" w:color="auto"/>
            </w:tcBorders>
            <w:shd w:val="clear" w:color="auto" w:fill="auto"/>
            <w:vAlign w:val="center"/>
            <w:hideMark/>
          </w:tcPr>
          <w:p w:rsidR="007306CA" w:rsidRDefault="00576025">
            <w:pPr>
              <w:spacing w:after="0"/>
              <w:rPr>
                <w:noProof/>
                <w:color w:val="000000"/>
                <w:sz w:val="18"/>
                <w:szCs w:val="18"/>
                <w:lang w:eastAsia="en-GB"/>
              </w:rPr>
            </w:pPr>
            <w:r>
              <w:rPr>
                <w:noProof/>
                <w:color w:val="000000"/>
                <w:sz w:val="18"/>
                <w:szCs w:val="18"/>
                <w:lang w:eastAsia="en-GB"/>
              </w:rPr>
              <w:t xml:space="preserve">- Impact on growth and </w:t>
            </w:r>
            <w:r>
              <w:rPr>
                <w:noProof/>
                <w:color w:val="000000"/>
                <w:sz w:val="18"/>
                <w:szCs w:val="18"/>
                <w:lang w:eastAsia="en-GB"/>
              </w:rPr>
              <w:t>competitiveness</w:t>
            </w:r>
          </w:p>
        </w:tc>
        <w:tc>
          <w:tcPr>
            <w:tcW w:w="542" w:type="dxa"/>
            <w:tcBorders>
              <w:top w:val="nil"/>
              <w:left w:val="nil"/>
              <w:bottom w:val="single" w:sz="4" w:space="0" w:color="auto"/>
              <w:right w:val="single" w:sz="4" w:space="0" w:color="auto"/>
            </w:tcBorders>
            <w:shd w:val="clear" w:color="auto" w:fill="auto"/>
            <w:vAlign w:val="center"/>
            <w:hideMark/>
          </w:tcPr>
          <w:p w:rsidR="007306CA" w:rsidRDefault="00576025">
            <w:pPr>
              <w:spacing w:after="0"/>
              <w:rPr>
                <w:noProof/>
                <w:color w:val="000000"/>
                <w:sz w:val="18"/>
                <w:szCs w:val="18"/>
                <w:lang w:eastAsia="en-GB"/>
              </w:rPr>
            </w:pPr>
            <w:r>
              <w:rPr>
                <w:noProof/>
                <w:color w:val="000000"/>
                <w:sz w:val="18"/>
                <w:szCs w:val="18"/>
                <w:lang w:eastAsia="en-GB"/>
              </w:rPr>
              <w:t>+2</w:t>
            </w:r>
          </w:p>
        </w:tc>
        <w:tc>
          <w:tcPr>
            <w:tcW w:w="6521" w:type="dxa"/>
            <w:tcBorders>
              <w:top w:val="nil"/>
              <w:left w:val="nil"/>
              <w:bottom w:val="single" w:sz="4" w:space="0" w:color="auto"/>
              <w:right w:val="single" w:sz="4" w:space="0" w:color="auto"/>
            </w:tcBorders>
            <w:shd w:val="clear" w:color="auto" w:fill="auto"/>
            <w:vAlign w:val="center"/>
            <w:hideMark/>
          </w:tcPr>
          <w:p w:rsidR="007306CA" w:rsidRDefault="00576025">
            <w:pPr>
              <w:spacing w:after="0"/>
              <w:rPr>
                <w:noProof/>
                <w:color w:val="000000"/>
                <w:sz w:val="18"/>
                <w:szCs w:val="18"/>
                <w:lang w:eastAsia="en-GB"/>
              </w:rPr>
            </w:pPr>
            <w:r>
              <w:rPr>
                <w:b/>
                <w:bCs/>
                <w:noProof/>
                <w:color w:val="000000"/>
                <w:sz w:val="18"/>
                <w:szCs w:val="18"/>
                <w:lang w:eastAsia="en-GB"/>
              </w:rPr>
              <w:t>Estimated total economic impact: € 3.2 billion</w:t>
            </w:r>
          </w:p>
          <w:p w:rsidR="007306CA" w:rsidRDefault="00576025">
            <w:pPr>
              <w:spacing w:after="0"/>
              <w:ind w:firstLine="113"/>
              <w:rPr>
                <w:noProof/>
                <w:color w:val="000000"/>
                <w:sz w:val="18"/>
                <w:szCs w:val="18"/>
                <w:lang w:eastAsia="en-GB"/>
              </w:rPr>
            </w:pPr>
            <w:r>
              <w:rPr>
                <w:noProof/>
                <w:color w:val="000000"/>
                <w:sz w:val="18"/>
                <w:szCs w:val="18"/>
                <w:lang w:eastAsia="en-GB"/>
              </w:rPr>
              <w:t xml:space="preserve">The </w:t>
            </w:r>
            <w:r>
              <w:rPr>
                <w:b/>
                <w:noProof/>
                <w:color w:val="000000"/>
                <w:sz w:val="18"/>
                <w:szCs w:val="18"/>
                <w:lang w:eastAsia="en-GB"/>
              </w:rPr>
              <w:t>positive impact</w:t>
            </w:r>
            <w:r>
              <w:rPr>
                <w:noProof/>
                <w:color w:val="000000"/>
                <w:sz w:val="18"/>
                <w:szCs w:val="18"/>
                <w:lang w:eastAsia="en-GB"/>
              </w:rPr>
              <w:t xml:space="preserve"> on economic output and thus on growth and  competitiveness would </w:t>
            </w:r>
            <w:r>
              <w:rPr>
                <w:b/>
                <w:noProof/>
                <w:color w:val="000000"/>
                <w:sz w:val="18"/>
                <w:szCs w:val="18"/>
                <w:lang w:eastAsia="en-GB"/>
              </w:rPr>
              <w:t>be limited</w:t>
            </w:r>
            <w:r>
              <w:rPr>
                <w:noProof/>
                <w:color w:val="000000"/>
                <w:sz w:val="18"/>
                <w:szCs w:val="18"/>
                <w:lang w:eastAsia="en-GB"/>
              </w:rPr>
              <w:t xml:space="preserve"> due to a limited increase numbers of HSW and the unsuitability for filling highly skilled shor</w:t>
            </w:r>
            <w:r>
              <w:rPr>
                <w:noProof/>
                <w:color w:val="000000"/>
                <w:sz w:val="18"/>
                <w:szCs w:val="18"/>
                <w:lang w:eastAsia="en-GB"/>
              </w:rPr>
              <w:t xml:space="preserve">tages – except in some occupations - in many Member States. </w:t>
            </w:r>
          </w:p>
          <w:p w:rsidR="007306CA" w:rsidRDefault="00576025">
            <w:pPr>
              <w:spacing w:after="0"/>
              <w:ind w:firstLine="113"/>
              <w:rPr>
                <w:noProof/>
                <w:color w:val="000000"/>
                <w:sz w:val="18"/>
                <w:szCs w:val="18"/>
                <w:lang w:eastAsia="en-GB"/>
              </w:rPr>
            </w:pPr>
            <w:r>
              <w:rPr>
                <w:noProof/>
                <w:color w:val="000000"/>
                <w:sz w:val="18"/>
                <w:szCs w:val="18"/>
                <w:lang w:eastAsia="en-GB"/>
              </w:rPr>
              <w:t xml:space="preserve">In addition, as the salary threshold would be the same across the EU, this would favour Member States with high salaries and largely exclude Member States with lowest salaries. Therefore, </w:t>
            </w:r>
            <w:r>
              <w:rPr>
                <w:b/>
                <w:noProof/>
                <w:color w:val="000000"/>
                <w:sz w:val="18"/>
                <w:szCs w:val="18"/>
                <w:lang w:eastAsia="en-GB"/>
              </w:rPr>
              <w:t>the eff</w:t>
            </w:r>
            <w:r>
              <w:rPr>
                <w:b/>
                <w:noProof/>
                <w:color w:val="000000"/>
                <w:sz w:val="18"/>
                <w:szCs w:val="18"/>
                <w:lang w:eastAsia="en-GB"/>
              </w:rPr>
              <w:t>ects on growth and competitiveness would be different across Member States.</w:t>
            </w:r>
          </w:p>
          <w:p w:rsidR="007306CA" w:rsidRDefault="00576025">
            <w:pPr>
              <w:spacing w:after="0"/>
              <w:ind w:firstLine="113"/>
              <w:rPr>
                <w:noProof/>
                <w:color w:val="000000"/>
                <w:sz w:val="18"/>
                <w:szCs w:val="18"/>
                <w:lang w:eastAsia="en-GB"/>
              </w:rPr>
            </w:pPr>
            <w:r>
              <w:rPr>
                <w:noProof/>
                <w:color w:val="000000"/>
                <w:sz w:val="18"/>
                <w:szCs w:val="18"/>
                <w:lang w:eastAsia="en-GB"/>
              </w:rPr>
              <w:t>However, improved intra EU mobility would accrue limited economic benefits from the increased productivity that is likely through the HSW taking the post in the second Member State</w:t>
            </w:r>
            <w:r>
              <w:rPr>
                <w:noProof/>
                <w:color w:val="000000"/>
                <w:sz w:val="18"/>
                <w:szCs w:val="18"/>
                <w:lang w:eastAsia="en-GB"/>
              </w:rPr>
              <w:t xml:space="preserve"> and the consequent improvement in allocation of human resources. An assumed increase in annual salary upon moving to the second Member State, would generate additional economic benefits. The benefits of better intra-EU mobility are expected to be higher p</w:t>
            </w:r>
            <w:r>
              <w:rPr>
                <w:noProof/>
                <w:color w:val="000000"/>
                <w:sz w:val="18"/>
                <w:szCs w:val="18"/>
                <w:lang w:eastAsia="en-GB"/>
              </w:rPr>
              <w:t>er unit but limited by the lower numbers and limited applicability across Member States.</w:t>
            </w:r>
          </w:p>
        </w:tc>
      </w:tr>
      <w:tr w:rsidR="007306CA">
        <w:trPr>
          <w:trHeight w:val="915"/>
        </w:trPr>
        <w:tc>
          <w:tcPr>
            <w:tcW w:w="2861" w:type="dxa"/>
            <w:gridSpan w:val="2"/>
            <w:tcBorders>
              <w:top w:val="nil"/>
              <w:left w:val="single" w:sz="4" w:space="0" w:color="auto"/>
              <w:bottom w:val="single" w:sz="4" w:space="0" w:color="auto"/>
              <w:right w:val="single" w:sz="4" w:space="0" w:color="auto"/>
            </w:tcBorders>
            <w:shd w:val="clear" w:color="auto" w:fill="auto"/>
            <w:vAlign w:val="center"/>
            <w:hideMark/>
          </w:tcPr>
          <w:p w:rsidR="007306CA" w:rsidRDefault="00576025">
            <w:pPr>
              <w:spacing w:after="0"/>
              <w:rPr>
                <w:noProof/>
                <w:color w:val="000000"/>
                <w:sz w:val="18"/>
                <w:szCs w:val="18"/>
                <w:lang w:eastAsia="en-GB"/>
              </w:rPr>
            </w:pPr>
            <w:r>
              <w:rPr>
                <w:noProof/>
                <w:color w:val="000000"/>
                <w:sz w:val="18"/>
                <w:szCs w:val="18"/>
                <w:lang w:eastAsia="en-GB"/>
              </w:rPr>
              <w:t>- Impact on SMEs</w:t>
            </w:r>
          </w:p>
        </w:tc>
        <w:tc>
          <w:tcPr>
            <w:tcW w:w="542" w:type="dxa"/>
            <w:tcBorders>
              <w:top w:val="nil"/>
              <w:left w:val="nil"/>
              <w:bottom w:val="single" w:sz="4" w:space="0" w:color="auto"/>
              <w:right w:val="single" w:sz="4" w:space="0" w:color="auto"/>
            </w:tcBorders>
            <w:shd w:val="clear" w:color="auto" w:fill="auto"/>
            <w:vAlign w:val="center"/>
            <w:hideMark/>
          </w:tcPr>
          <w:p w:rsidR="007306CA" w:rsidRDefault="00576025">
            <w:pPr>
              <w:spacing w:after="0"/>
              <w:rPr>
                <w:noProof/>
                <w:color w:val="000000"/>
                <w:sz w:val="18"/>
                <w:szCs w:val="18"/>
                <w:lang w:eastAsia="en-GB"/>
              </w:rPr>
            </w:pPr>
            <w:r>
              <w:rPr>
                <w:noProof/>
                <w:color w:val="000000"/>
                <w:sz w:val="18"/>
                <w:szCs w:val="18"/>
                <w:lang w:eastAsia="en-GB"/>
              </w:rPr>
              <w:t>+1</w:t>
            </w:r>
          </w:p>
        </w:tc>
        <w:tc>
          <w:tcPr>
            <w:tcW w:w="6521" w:type="dxa"/>
            <w:tcBorders>
              <w:top w:val="nil"/>
              <w:left w:val="nil"/>
              <w:bottom w:val="single" w:sz="4" w:space="0" w:color="auto"/>
              <w:right w:val="single" w:sz="4" w:space="0" w:color="auto"/>
            </w:tcBorders>
            <w:shd w:val="clear" w:color="auto" w:fill="auto"/>
            <w:vAlign w:val="center"/>
            <w:hideMark/>
          </w:tcPr>
          <w:p w:rsidR="007306CA" w:rsidRDefault="00576025">
            <w:pPr>
              <w:spacing w:after="0"/>
              <w:ind w:firstLine="113"/>
              <w:rPr>
                <w:noProof/>
                <w:color w:val="000000"/>
                <w:sz w:val="18"/>
                <w:szCs w:val="18"/>
                <w:lang w:eastAsia="en-GB"/>
              </w:rPr>
            </w:pPr>
            <w:r>
              <w:rPr>
                <w:noProof/>
                <w:color w:val="000000"/>
                <w:sz w:val="18"/>
                <w:szCs w:val="18"/>
                <w:lang w:eastAsia="en-GB"/>
              </w:rPr>
              <w:t xml:space="preserve">Due to the limited geographical scope (i.e. many Member States with low average salaries would not apply the scheme) and the high salary threshold, the Blue Card would be </w:t>
            </w:r>
            <w:r>
              <w:rPr>
                <w:b/>
                <w:noProof/>
                <w:color w:val="000000"/>
                <w:sz w:val="18"/>
                <w:szCs w:val="18"/>
                <w:lang w:eastAsia="en-GB"/>
              </w:rPr>
              <w:t>out of reach for many SMEs</w:t>
            </w:r>
            <w:r>
              <w:rPr>
                <w:noProof/>
                <w:color w:val="000000"/>
                <w:sz w:val="18"/>
                <w:szCs w:val="18"/>
                <w:lang w:eastAsia="en-GB"/>
              </w:rPr>
              <w:t xml:space="preserve">. In addition, this option would </w:t>
            </w:r>
            <w:r>
              <w:rPr>
                <w:b/>
                <w:noProof/>
                <w:color w:val="000000"/>
                <w:sz w:val="18"/>
                <w:szCs w:val="18"/>
                <w:lang w:eastAsia="en-GB"/>
              </w:rPr>
              <w:t>not substantially increase</w:t>
            </w:r>
            <w:r>
              <w:rPr>
                <w:b/>
                <w:noProof/>
                <w:color w:val="000000"/>
                <w:sz w:val="18"/>
                <w:szCs w:val="18"/>
                <w:lang w:eastAsia="en-GB"/>
              </w:rPr>
              <w:t xml:space="preserve"> the pool of HSW </w:t>
            </w:r>
            <w:r>
              <w:rPr>
                <w:noProof/>
                <w:color w:val="000000"/>
                <w:sz w:val="18"/>
                <w:szCs w:val="18"/>
                <w:lang w:eastAsia="en-GB"/>
              </w:rPr>
              <w:t>within the EU which would also not benefit SMEs less as their access to this selective highly skilled labour force would be limited. Further facilitated mobility would have a neutral to slightly positive impact with respect to the challeng</w:t>
            </w:r>
            <w:r>
              <w:rPr>
                <w:noProof/>
                <w:color w:val="000000"/>
                <w:sz w:val="18"/>
                <w:szCs w:val="18"/>
                <w:lang w:eastAsia="en-GB"/>
              </w:rPr>
              <w:t>es faced by SME.</w:t>
            </w:r>
          </w:p>
        </w:tc>
      </w:tr>
      <w:tr w:rsidR="007306CA">
        <w:trPr>
          <w:trHeight w:val="391"/>
        </w:trPr>
        <w:tc>
          <w:tcPr>
            <w:tcW w:w="2861" w:type="dxa"/>
            <w:gridSpan w:val="2"/>
            <w:tcBorders>
              <w:top w:val="nil"/>
              <w:left w:val="single" w:sz="4" w:space="0" w:color="auto"/>
              <w:bottom w:val="single" w:sz="4" w:space="0" w:color="auto"/>
              <w:right w:val="single" w:sz="4" w:space="0" w:color="auto"/>
            </w:tcBorders>
            <w:shd w:val="clear" w:color="auto" w:fill="auto"/>
            <w:vAlign w:val="center"/>
            <w:hideMark/>
          </w:tcPr>
          <w:p w:rsidR="007306CA" w:rsidRDefault="00576025">
            <w:pPr>
              <w:spacing w:after="0"/>
              <w:rPr>
                <w:noProof/>
                <w:color w:val="000000"/>
                <w:sz w:val="18"/>
                <w:szCs w:val="18"/>
                <w:lang w:eastAsia="en-GB"/>
              </w:rPr>
            </w:pPr>
            <w:r>
              <w:rPr>
                <w:noProof/>
                <w:color w:val="000000"/>
                <w:sz w:val="18"/>
                <w:szCs w:val="18"/>
                <w:lang w:eastAsia="en-GB"/>
              </w:rPr>
              <w:t xml:space="preserve">- Impact on innovation and research </w:t>
            </w:r>
          </w:p>
        </w:tc>
        <w:tc>
          <w:tcPr>
            <w:tcW w:w="542" w:type="dxa"/>
            <w:tcBorders>
              <w:top w:val="nil"/>
              <w:left w:val="nil"/>
              <w:bottom w:val="single" w:sz="4" w:space="0" w:color="auto"/>
              <w:right w:val="single" w:sz="4" w:space="0" w:color="auto"/>
            </w:tcBorders>
            <w:shd w:val="clear" w:color="auto" w:fill="auto"/>
            <w:vAlign w:val="center"/>
            <w:hideMark/>
          </w:tcPr>
          <w:p w:rsidR="007306CA" w:rsidRDefault="00576025">
            <w:pPr>
              <w:spacing w:after="0"/>
              <w:rPr>
                <w:noProof/>
                <w:color w:val="000000"/>
                <w:sz w:val="18"/>
                <w:szCs w:val="18"/>
                <w:lang w:eastAsia="en-GB"/>
              </w:rPr>
            </w:pPr>
            <w:r>
              <w:rPr>
                <w:noProof/>
                <w:color w:val="000000"/>
                <w:sz w:val="18"/>
                <w:szCs w:val="18"/>
                <w:lang w:eastAsia="en-GB"/>
              </w:rPr>
              <w:t>+1/+2</w:t>
            </w:r>
          </w:p>
        </w:tc>
        <w:tc>
          <w:tcPr>
            <w:tcW w:w="6521" w:type="dxa"/>
            <w:tcBorders>
              <w:top w:val="nil"/>
              <w:left w:val="nil"/>
              <w:bottom w:val="single" w:sz="4" w:space="0" w:color="auto"/>
              <w:right w:val="single" w:sz="4" w:space="0" w:color="auto"/>
            </w:tcBorders>
            <w:shd w:val="clear" w:color="auto" w:fill="auto"/>
            <w:vAlign w:val="center"/>
            <w:hideMark/>
          </w:tcPr>
          <w:p w:rsidR="007306CA" w:rsidRDefault="00576025">
            <w:pPr>
              <w:spacing w:after="0"/>
              <w:ind w:firstLine="113"/>
              <w:rPr>
                <w:noProof/>
                <w:color w:val="000000"/>
                <w:sz w:val="18"/>
                <w:szCs w:val="18"/>
                <w:lang w:eastAsia="en-GB"/>
              </w:rPr>
            </w:pPr>
            <w:r>
              <w:rPr>
                <w:noProof/>
                <w:color w:val="000000"/>
                <w:sz w:val="18"/>
                <w:szCs w:val="18"/>
                <w:lang w:eastAsia="en-GB"/>
              </w:rPr>
              <w:t>While the contribution of the global elite of HSW to the EU’s innovation and research can be assumed to be higher per unit, the overall gain would remain limited due to the limited increase in nu</w:t>
            </w:r>
            <w:r>
              <w:rPr>
                <w:noProof/>
                <w:color w:val="000000"/>
                <w:sz w:val="18"/>
                <w:szCs w:val="18"/>
                <w:lang w:eastAsia="en-GB"/>
              </w:rPr>
              <w:t xml:space="preserve">mbers compared to the baseline scenario. </w:t>
            </w:r>
          </w:p>
          <w:p w:rsidR="007306CA" w:rsidRDefault="00576025">
            <w:pPr>
              <w:spacing w:after="0"/>
              <w:ind w:firstLine="113"/>
              <w:rPr>
                <w:noProof/>
                <w:color w:val="000000"/>
                <w:sz w:val="18"/>
                <w:szCs w:val="18"/>
                <w:lang w:eastAsia="en-GB"/>
              </w:rPr>
            </w:pPr>
            <w:r>
              <w:rPr>
                <w:noProof/>
                <w:color w:val="000000"/>
                <w:sz w:val="18"/>
                <w:szCs w:val="18"/>
                <w:lang w:eastAsia="en-GB"/>
              </w:rPr>
              <w:t>The salary threshold would be the same across the EU which would favour Member States with high salaries and largely exclude Member States with lowest salaries. Therefore, the impact on innovation and research woul</w:t>
            </w:r>
            <w:r>
              <w:rPr>
                <w:noProof/>
                <w:color w:val="000000"/>
                <w:sz w:val="18"/>
                <w:szCs w:val="18"/>
                <w:lang w:eastAsia="en-GB"/>
              </w:rPr>
              <w:t>d be different across Member States.</w:t>
            </w:r>
          </w:p>
        </w:tc>
      </w:tr>
      <w:tr w:rsidR="007306CA">
        <w:trPr>
          <w:trHeight w:val="300"/>
        </w:trPr>
        <w:tc>
          <w:tcPr>
            <w:tcW w:w="992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306CA" w:rsidRDefault="00576025">
            <w:pPr>
              <w:spacing w:after="0"/>
              <w:rPr>
                <w:b/>
                <w:bCs/>
                <w:noProof/>
                <w:color w:val="000000"/>
                <w:sz w:val="18"/>
                <w:szCs w:val="18"/>
                <w:lang w:eastAsia="en-GB"/>
              </w:rPr>
            </w:pPr>
            <w:r>
              <w:rPr>
                <w:b/>
                <w:bCs/>
                <w:noProof/>
                <w:color w:val="000000"/>
                <w:sz w:val="18"/>
                <w:szCs w:val="18"/>
                <w:lang w:eastAsia="en-GB"/>
              </w:rPr>
              <w:t>Social impacts</w:t>
            </w:r>
          </w:p>
        </w:tc>
      </w:tr>
      <w:tr w:rsidR="007306CA">
        <w:trPr>
          <w:trHeight w:val="69"/>
        </w:trPr>
        <w:tc>
          <w:tcPr>
            <w:tcW w:w="2861" w:type="dxa"/>
            <w:gridSpan w:val="2"/>
            <w:tcBorders>
              <w:top w:val="nil"/>
              <w:left w:val="single" w:sz="4" w:space="0" w:color="auto"/>
              <w:bottom w:val="single" w:sz="4" w:space="0" w:color="auto"/>
              <w:right w:val="single" w:sz="4" w:space="0" w:color="auto"/>
            </w:tcBorders>
            <w:shd w:val="clear" w:color="auto" w:fill="auto"/>
            <w:vAlign w:val="center"/>
            <w:hideMark/>
          </w:tcPr>
          <w:p w:rsidR="007306CA" w:rsidRDefault="00576025">
            <w:pPr>
              <w:spacing w:after="0"/>
              <w:rPr>
                <w:rFonts w:ascii="Cambria" w:hAnsi="Cambria" w:cs="Calibri"/>
                <w:noProof/>
                <w:color w:val="000000"/>
                <w:sz w:val="18"/>
                <w:szCs w:val="18"/>
                <w:lang w:eastAsia="en-GB"/>
              </w:rPr>
            </w:pPr>
            <w:r>
              <w:rPr>
                <w:rFonts w:ascii="Cambria" w:hAnsi="Cambria" w:cs="Calibri"/>
                <w:noProof/>
                <w:color w:val="000000"/>
                <w:sz w:val="18"/>
                <w:szCs w:val="18"/>
                <w:lang w:eastAsia="en-GB"/>
              </w:rPr>
              <w:t>-</w:t>
            </w:r>
            <w:r>
              <w:rPr>
                <w:noProof/>
                <w:color w:val="000000"/>
                <w:sz w:val="14"/>
                <w:szCs w:val="14"/>
                <w:lang w:eastAsia="en-GB"/>
              </w:rPr>
              <w:t> </w:t>
            </w:r>
            <w:r>
              <w:rPr>
                <w:noProof/>
                <w:color w:val="000000"/>
                <w:sz w:val="18"/>
                <w:szCs w:val="18"/>
                <w:lang w:eastAsia="en-GB"/>
              </w:rPr>
              <w:t>Impact on EU citizens</w:t>
            </w:r>
          </w:p>
        </w:tc>
        <w:tc>
          <w:tcPr>
            <w:tcW w:w="542" w:type="dxa"/>
            <w:tcBorders>
              <w:top w:val="nil"/>
              <w:left w:val="nil"/>
              <w:bottom w:val="single" w:sz="4" w:space="0" w:color="auto"/>
              <w:right w:val="single" w:sz="4" w:space="0" w:color="auto"/>
            </w:tcBorders>
            <w:shd w:val="clear" w:color="auto" w:fill="auto"/>
            <w:vAlign w:val="center"/>
            <w:hideMark/>
          </w:tcPr>
          <w:p w:rsidR="007306CA" w:rsidRDefault="00576025">
            <w:pPr>
              <w:spacing w:after="0"/>
              <w:rPr>
                <w:noProof/>
                <w:color w:val="000000"/>
                <w:sz w:val="18"/>
                <w:szCs w:val="18"/>
                <w:lang w:eastAsia="en-GB"/>
              </w:rPr>
            </w:pPr>
            <w:r>
              <w:rPr>
                <w:noProof/>
                <w:color w:val="000000"/>
                <w:sz w:val="18"/>
                <w:szCs w:val="18"/>
                <w:lang w:eastAsia="en-GB"/>
              </w:rPr>
              <w:t>+1</w:t>
            </w:r>
          </w:p>
        </w:tc>
        <w:tc>
          <w:tcPr>
            <w:tcW w:w="6521" w:type="dxa"/>
            <w:tcBorders>
              <w:top w:val="nil"/>
              <w:left w:val="nil"/>
              <w:bottom w:val="single" w:sz="4" w:space="0" w:color="auto"/>
              <w:right w:val="single" w:sz="4" w:space="0" w:color="auto"/>
            </w:tcBorders>
            <w:shd w:val="clear" w:color="auto" w:fill="auto"/>
            <w:vAlign w:val="center"/>
            <w:hideMark/>
          </w:tcPr>
          <w:p w:rsidR="007306CA" w:rsidRDefault="00576025">
            <w:pPr>
              <w:spacing w:after="120"/>
              <w:ind w:firstLine="113"/>
              <w:rPr>
                <w:b/>
                <w:noProof/>
                <w:color w:val="000000"/>
                <w:sz w:val="18"/>
                <w:szCs w:val="18"/>
                <w:lang w:eastAsia="en-GB"/>
              </w:rPr>
            </w:pPr>
            <w:r>
              <w:rPr>
                <w:noProof/>
                <w:color w:val="000000"/>
                <w:sz w:val="18"/>
                <w:szCs w:val="18"/>
                <w:lang w:eastAsia="en-GB"/>
              </w:rPr>
              <w:t>Higher numbers of HSW have a positive impact on overall economic growth and, specifically, in filling labour and skills shortages, and indirectly contribute to reinforcing knowledge-based economy and job creation in the EU, which would also benefit EU citi</w:t>
            </w:r>
            <w:r>
              <w:rPr>
                <w:noProof/>
                <w:color w:val="000000"/>
                <w:sz w:val="18"/>
                <w:szCs w:val="18"/>
                <w:lang w:eastAsia="en-GB"/>
              </w:rPr>
              <w:t xml:space="preserve">zens. However, while the contribution of those HSW to the EU’s competitiveness can be assumed to be higher per unit, the overall gain would remain limited due to the limited increase in numbers compared to the baseline scenario. In addition, as the salary </w:t>
            </w:r>
            <w:r>
              <w:rPr>
                <w:noProof/>
                <w:color w:val="000000"/>
                <w:sz w:val="18"/>
                <w:szCs w:val="18"/>
                <w:lang w:eastAsia="en-GB"/>
              </w:rPr>
              <w:t xml:space="preserve">threshold would be the same across the EU, this would favour Member States with high salaries and largely exclude Member States with lowest salaries from the scheme. Therefore, also the </w:t>
            </w:r>
            <w:r>
              <w:rPr>
                <w:b/>
                <w:noProof/>
                <w:color w:val="000000"/>
                <w:sz w:val="18"/>
                <w:szCs w:val="18"/>
                <w:lang w:eastAsia="en-GB"/>
              </w:rPr>
              <w:t>effects on EU citizens</w:t>
            </w:r>
            <w:r>
              <w:rPr>
                <w:noProof/>
                <w:color w:val="000000"/>
                <w:sz w:val="18"/>
                <w:szCs w:val="18"/>
                <w:lang w:eastAsia="en-GB"/>
              </w:rPr>
              <w:t xml:space="preserve">, positive and negative, would be </w:t>
            </w:r>
            <w:r>
              <w:rPr>
                <w:b/>
                <w:noProof/>
                <w:color w:val="000000"/>
                <w:sz w:val="18"/>
                <w:szCs w:val="18"/>
                <w:lang w:eastAsia="en-GB"/>
              </w:rPr>
              <w:t>different acro</w:t>
            </w:r>
            <w:r>
              <w:rPr>
                <w:b/>
                <w:noProof/>
                <w:color w:val="000000"/>
                <w:sz w:val="18"/>
                <w:szCs w:val="18"/>
                <w:lang w:eastAsia="en-GB"/>
              </w:rPr>
              <w:t>ss Member States.</w:t>
            </w:r>
          </w:p>
          <w:p w:rsidR="007306CA" w:rsidRDefault="00576025">
            <w:pPr>
              <w:spacing w:after="120"/>
              <w:ind w:firstLine="113"/>
              <w:rPr>
                <w:noProof/>
                <w:color w:val="000000"/>
                <w:sz w:val="18"/>
                <w:szCs w:val="18"/>
                <w:lang w:eastAsia="en-GB"/>
              </w:rPr>
            </w:pPr>
            <w:r>
              <w:rPr>
                <w:noProof/>
                <w:color w:val="000000"/>
                <w:sz w:val="18"/>
                <w:szCs w:val="18"/>
                <w:lang w:eastAsia="en-GB"/>
              </w:rPr>
              <w:t xml:space="preserve">The </w:t>
            </w:r>
            <w:r>
              <w:rPr>
                <w:b/>
                <w:noProof/>
                <w:color w:val="000000"/>
                <w:sz w:val="18"/>
                <w:szCs w:val="18"/>
                <w:lang w:eastAsia="en-GB"/>
              </w:rPr>
              <w:t xml:space="preserve">mobility </w:t>
            </w:r>
            <w:r>
              <w:rPr>
                <w:noProof/>
                <w:color w:val="000000"/>
                <w:sz w:val="18"/>
                <w:szCs w:val="18"/>
                <w:lang w:eastAsia="en-GB"/>
              </w:rPr>
              <w:t>of Blue Card holders in this option would be largely similar to that of EU workers, and the possibilities of the former to operate in the EU-wide labour market would be increased, thus adding competition towards EU workers. H</w:t>
            </w:r>
            <w:r>
              <w:rPr>
                <w:noProof/>
                <w:color w:val="000000"/>
                <w:sz w:val="18"/>
                <w:szCs w:val="18"/>
                <w:lang w:eastAsia="en-GB"/>
              </w:rPr>
              <w:t xml:space="preserve">owever, the most important safeguards to avoid pressure on labour conditions, wages and of displacement of EU national workers are that the system remains demand-driven (job offer needed) and relatively high salary threshold. Therefore, the </w:t>
            </w:r>
            <w:r>
              <w:rPr>
                <w:b/>
                <w:noProof/>
                <w:color w:val="000000"/>
                <w:sz w:val="18"/>
                <w:szCs w:val="18"/>
                <w:lang w:eastAsia="en-GB"/>
              </w:rPr>
              <w:t>potential displ</w:t>
            </w:r>
            <w:r>
              <w:rPr>
                <w:b/>
                <w:noProof/>
                <w:color w:val="000000"/>
                <w:sz w:val="18"/>
                <w:szCs w:val="18"/>
                <w:lang w:eastAsia="en-GB"/>
              </w:rPr>
              <w:t>acement effect</w:t>
            </w:r>
            <w:r>
              <w:rPr>
                <w:noProof/>
                <w:color w:val="000000"/>
                <w:sz w:val="18"/>
                <w:szCs w:val="18"/>
                <w:lang w:eastAsia="en-GB"/>
              </w:rPr>
              <w:t xml:space="preserve"> on EU workers is expected to be </w:t>
            </w:r>
            <w:r>
              <w:rPr>
                <w:b/>
                <w:noProof/>
                <w:color w:val="000000"/>
                <w:sz w:val="18"/>
                <w:szCs w:val="18"/>
                <w:lang w:eastAsia="en-GB"/>
              </w:rPr>
              <w:t>limited.</w:t>
            </w:r>
            <w:r>
              <w:rPr>
                <w:noProof/>
                <w:color w:val="000000"/>
                <w:sz w:val="18"/>
                <w:szCs w:val="18"/>
                <w:lang w:eastAsia="en-GB"/>
              </w:rPr>
              <w:t xml:space="preserve"> </w:t>
            </w:r>
          </w:p>
          <w:p w:rsidR="007306CA" w:rsidRDefault="00576025">
            <w:pPr>
              <w:spacing w:after="120"/>
              <w:ind w:firstLine="113"/>
              <w:rPr>
                <w:noProof/>
                <w:color w:val="000000"/>
                <w:sz w:val="18"/>
                <w:szCs w:val="18"/>
                <w:lang w:eastAsia="en-GB"/>
              </w:rPr>
            </w:pPr>
            <w:r>
              <w:rPr>
                <w:noProof/>
                <w:color w:val="000000"/>
                <w:sz w:val="18"/>
                <w:szCs w:val="18"/>
                <w:lang w:eastAsia="en-GB"/>
              </w:rPr>
              <w:t xml:space="preserve">At the same time, compared to EU citizens, Blue Card holders would have no access to self-employed activity and their right of residence would still remain conditional upon the continuous fulfilment </w:t>
            </w:r>
            <w:r>
              <w:rPr>
                <w:noProof/>
                <w:color w:val="000000"/>
                <w:sz w:val="18"/>
                <w:szCs w:val="18"/>
                <w:lang w:eastAsia="en-GB"/>
              </w:rPr>
              <w:t>of the admission conditions. While family reunification rights would be strengthened, the overall position of EU Blue Card holders' family members would not be more favourable than that of EU citizens' family members.</w:t>
            </w:r>
          </w:p>
        </w:tc>
      </w:tr>
      <w:tr w:rsidR="007306CA">
        <w:trPr>
          <w:trHeight w:val="1799"/>
        </w:trPr>
        <w:tc>
          <w:tcPr>
            <w:tcW w:w="2861" w:type="dxa"/>
            <w:gridSpan w:val="2"/>
            <w:tcBorders>
              <w:top w:val="nil"/>
              <w:left w:val="single" w:sz="4" w:space="0" w:color="auto"/>
              <w:bottom w:val="single" w:sz="4" w:space="0" w:color="auto"/>
              <w:right w:val="single" w:sz="4" w:space="0" w:color="auto"/>
            </w:tcBorders>
            <w:shd w:val="clear" w:color="auto" w:fill="auto"/>
            <w:vAlign w:val="center"/>
            <w:hideMark/>
          </w:tcPr>
          <w:p w:rsidR="007306CA" w:rsidRDefault="00576025">
            <w:pPr>
              <w:spacing w:after="0"/>
              <w:rPr>
                <w:noProof/>
                <w:color w:val="000000"/>
                <w:sz w:val="18"/>
                <w:szCs w:val="18"/>
                <w:lang w:eastAsia="en-GB"/>
              </w:rPr>
            </w:pPr>
            <w:r>
              <w:rPr>
                <w:noProof/>
                <w:color w:val="000000"/>
                <w:sz w:val="18"/>
                <w:szCs w:val="18"/>
                <w:lang w:eastAsia="en-GB"/>
              </w:rPr>
              <w:t xml:space="preserve">- Impact on third country national </w:t>
            </w:r>
            <w:r>
              <w:rPr>
                <w:noProof/>
                <w:color w:val="000000"/>
                <w:sz w:val="18"/>
                <w:szCs w:val="18"/>
                <w:lang w:eastAsia="en-GB"/>
              </w:rPr>
              <w:t>HSW</w:t>
            </w:r>
          </w:p>
          <w:p w:rsidR="007306CA" w:rsidRDefault="007306CA">
            <w:pPr>
              <w:spacing w:after="0"/>
              <w:rPr>
                <w:noProof/>
                <w:color w:val="000000"/>
                <w:sz w:val="18"/>
                <w:szCs w:val="18"/>
                <w:lang w:eastAsia="en-GB"/>
              </w:rPr>
            </w:pPr>
          </w:p>
          <w:p w:rsidR="007306CA" w:rsidRDefault="00576025">
            <w:pPr>
              <w:spacing w:after="0"/>
              <w:rPr>
                <w:noProof/>
                <w:color w:val="000000"/>
                <w:sz w:val="18"/>
                <w:szCs w:val="18"/>
                <w:lang w:eastAsia="en-GB"/>
              </w:rPr>
            </w:pPr>
            <w:r>
              <w:rPr>
                <w:noProof/>
                <w:color w:val="000000"/>
                <w:sz w:val="18"/>
                <w:szCs w:val="18"/>
                <w:lang w:eastAsia="en-GB"/>
              </w:rPr>
              <w:t>- Impact on fundamental rights (Charter: art. 7, private and family life; art. 45(2), freedom of movement and of residence)</w:t>
            </w:r>
          </w:p>
        </w:tc>
        <w:tc>
          <w:tcPr>
            <w:tcW w:w="542" w:type="dxa"/>
            <w:tcBorders>
              <w:top w:val="nil"/>
              <w:left w:val="nil"/>
              <w:bottom w:val="single" w:sz="4" w:space="0" w:color="auto"/>
              <w:right w:val="single" w:sz="4" w:space="0" w:color="auto"/>
            </w:tcBorders>
            <w:shd w:val="clear" w:color="auto" w:fill="auto"/>
            <w:vAlign w:val="center"/>
            <w:hideMark/>
          </w:tcPr>
          <w:p w:rsidR="007306CA" w:rsidRDefault="00576025">
            <w:pPr>
              <w:spacing w:after="0"/>
              <w:rPr>
                <w:noProof/>
                <w:color w:val="000000"/>
                <w:sz w:val="18"/>
                <w:szCs w:val="18"/>
                <w:lang w:eastAsia="en-GB"/>
              </w:rPr>
            </w:pPr>
            <w:r>
              <w:rPr>
                <w:noProof/>
                <w:color w:val="000000"/>
                <w:sz w:val="18"/>
                <w:szCs w:val="18"/>
                <w:lang w:eastAsia="en-GB"/>
              </w:rPr>
              <w:t>+2</w:t>
            </w:r>
          </w:p>
        </w:tc>
        <w:tc>
          <w:tcPr>
            <w:tcW w:w="6521" w:type="dxa"/>
            <w:tcBorders>
              <w:top w:val="nil"/>
              <w:left w:val="nil"/>
              <w:bottom w:val="single" w:sz="4" w:space="0" w:color="auto"/>
              <w:right w:val="single" w:sz="4" w:space="0" w:color="auto"/>
            </w:tcBorders>
            <w:shd w:val="clear" w:color="auto" w:fill="auto"/>
            <w:vAlign w:val="center"/>
            <w:hideMark/>
          </w:tcPr>
          <w:p w:rsidR="007306CA" w:rsidRDefault="00576025">
            <w:pPr>
              <w:spacing w:after="120"/>
              <w:ind w:firstLine="113"/>
              <w:rPr>
                <w:noProof/>
                <w:color w:val="000000"/>
                <w:sz w:val="18"/>
                <w:szCs w:val="18"/>
                <w:lang w:eastAsia="en-GB"/>
              </w:rPr>
            </w:pPr>
            <w:r>
              <w:rPr>
                <w:noProof/>
                <w:color w:val="000000"/>
                <w:sz w:val="18"/>
                <w:szCs w:val="18"/>
                <w:lang w:eastAsia="en-GB"/>
              </w:rPr>
              <w:t>There would be a positive impact on TCN but limited by the  more exclusive admission conditions, so that this option would r</w:t>
            </w:r>
            <w:r>
              <w:rPr>
                <w:noProof/>
                <w:color w:val="000000"/>
                <w:sz w:val="18"/>
                <w:szCs w:val="18"/>
                <w:lang w:eastAsia="en-GB"/>
              </w:rPr>
              <w:t xml:space="preserve">each </w:t>
            </w:r>
            <w:r>
              <w:rPr>
                <w:b/>
                <w:noProof/>
                <w:color w:val="000000"/>
                <w:sz w:val="18"/>
                <w:szCs w:val="18"/>
                <w:lang w:eastAsia="en-GB"/>
              </w:rPr>
              <w:t>fewer TCN</w:t>
            </w:r>
            <w:r>
              <w:rPr>
                <w:noProof/>
                <w:color w:val="000000"/>
                <w:sz w:val="18"/>
                <w:szCs w:val="18"/>
                <w:lang w:eastAsia="en-GB"/>
              </w:rPr>
              <w:t xml:space="preserve">. Parallel national schemes would still be allowed for those who do not reach the selective admission conditions. </w:t>
            </w:r>
          </w:p>
          <w:p w:rsidR="007306CA" w:rsidRDefault="00576025">
            <w:pPr>
              <w:spacing w:after="120"/>
              <w:ind w:firstLine="113"/>
              <w:rPr>
                <w:noProof/>
                <w:color w:val="000000"/>
                <w:sz w:val="18"/>
                <w:szCs w:val="18"/>
                <w:lang w:eastAsia="en-GB"/>
              </w:rPr>
            </w:pPr>
            <w:r>
              <w:rPr>
                <w:noProof/>
                <w:color w:val="000000"/>
                <w:sz w:val="18"/>
                <w:szCs w:val="18"/>
                <w:lang w:eastAsia="en-GB"/>
              </w:rPr>
              <w:t>However, compared to the baseline, for those able to reach the admission conditions, the process would be speeded up and facili</w:t>
            </w:r>
            <w:r>
              <w:rPr>
                <w:noProof/>
                <w:color w:val="000000"/>
                <w:sz w:val="18"/>
                <w:szCs w:val="18"/>
                <w:lang w:eastAsia="en-GB"/>
              </w:rPr>
              <w:t xml:space="preserve">tated, there would be a </w:t>
            </w:r>
            <w:r>
              <w:rPr>
                <w:b/>
                <w:noProof/>
                <w:color w:val="000000"/>
                <w:sz w:val="18"/>
                <w:szCs w:val="18"/>
                <w:lang w:eastAsia="en-GB"/>
              </w:rPr>
              <w:t>significant improvement in rights and intra-EU mobility</w:t>
            </w:r>
            <w:r>
              <w:rPr>
                <w:noProof/>
                <w:color w:val="000000"/>
                <w:sz w:val="18"/>
                <w:szCs w:val="18"/>
                <w:lang w:eastAsia="en-GB"/>
              </w:rPr>
              <w:t>, as well as easier access to LTR status, and this would improve their career opportunities. Those under national schemes would not have access improved rights and intra-EU mobi</w:t>
            </w:r>
            <w:r>
              <w:rPr>
                <w:noProof/>
                <w:color w:val="000000"/>
                <w:sz w:val="18"/>
                <w:szCs w:val="18"/>
                <w:lang w:eastAsia="en-GB"/>
              </w:rPr>
              <w:t>lity possibilities.</w:t>
            </w:r>
          </w:p>
          <w:p w:rsidR="007306CA" w:rsidRDefault="00576025">
            <w:pPr>
              <w:spacing w:after="120"/>
              <w:ind w:firstLine="113"/>
              <w:rPr>
                <w:noProof/>
                <w:color w:val="000000"/>
                <w:sz w:val="18"/>
                <w:szCs w:val="18"/>
                <w:lang w:eastAsia="en-GB"/>
              </w:rPr>
            </w:pPr>
            <w:r>
              <w:rPr>
                <w:noProof/>
                <w:color w:val="000000"/>
                <w:sz w:val="18"/>
                <w:szCs w:val="18"/>
                <w:lang w:eastAsia="en-GB"/>
              </w:rPr>
              <w:t xml:space="preserve">There would be a significant positive impact to the respect for family life, if Member States were required to grant permits to family members simultaneously with the EU Blue Card. Family members would not face a risk of separation and </w:t>
            </w:r>
            <w:r>
              <w:rPr>
                <w:noProof/>
                <w:color w:val="000000"/>
                <w:sz w:val="18"/>
                <w:szCs w:val="18"/>
                <w:lang w:eastAsia="en-GB"/>
              </w:rPr>
              <w:t>uncertainty because of the migration decision of the sponsor.</w:t>
            </w:r>
          </w:p>
        </w:tc>
      </w:tr>
      <w:tr w:rsidR="007306CA">
        <w:trPr>
          <w:trHeight w:val="315"/>
        </w:trPr>
        <w:tc>
          <w:tcPr>
            <w:tcW w:w="992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306CA" w:rsidRDefault="00576025">
            <w:pPr>
              <w:spacing w:after="0"/>
              <w:rPr>
                <w:b/>
                <w:bCs/>
                <w:noProof/>
                <w:color w:val="000000"/>
                <w:sz w:val="18"/>
                <w:szCs w:val="18"/>
                <w:lang w:eastAsia="en-GB"/>
              </w:rPr>
            </w:pPr>
            <w:r>
              <w:rPr>
                <w:b/>
                <w:bCs/>
                <w:noProof/>
                <w:color w:val="000000"/>
                <w:sz w:val="18"/>
                <w:szCs w:val="18"/>
                <w:lang w:eastAsia="en-GB"/>
              </w:rPr>
              <w:t>Impact on International Relations</w:t>
            </w:r>
          </w:p>
        </w:tc>
      </w:tr>
      <w:tr w:rsidR="007306CA">
        <w:trPr>
          <w:trHeight w:val="480"/>
        </w:trPr>
        <w:tc>
          <w:tcPr>
            <w:tcW w:w="2861" w:type="dxa"/>
            <w:gridSpan w:val="2"/>
            <w:tcBorders>
              <w:top w:val="nil"/>
              <w:left w:val="single" w:sz="4" w:space="0" w:color="auto"/>
              <w:bottom w:val="single" w:sz="4" w:space="0" w:color="auto"/>
              <w:right w:val="single" w:sz="4" w:space="0" w:color="auto"/>
            </w:tcBorders>
            <w:shd w:val="clear" w:color="auto" w:fill="auto"/>
            <w:hideMark/>
          </w:tcPr>
          <w:p w:rsidR="007306CA" w:rsidRDefault="00576025">
            <w:pPr>
              <w:spacing w:after="0"/>
              <w:rPr>
                <w:noProof/>
                <w:color w:val="000000"/>
                <w:sz w:val="18"/>
                <w:szCs w:val="18"/>
                <w:lang w:eastAsia="en-GB"/>
              </w:rPr>
            </w:pPr>
            <w:r>
              <w:rPr>
                <w:noProof/>
                <w:color w:val="000000"/>
                <w:sz w:val="18"/>
                <w:szCs w:val="18"/>
                <w:lang w:eastAsia="en-GB"/>
              </w:rPr>
              <w:t>-  Impacts on third countries</w:t>
            </w:r>
          </w:p>
        </w:tc>
        <w:tc>
          <w:tcPr>
            <w:tcW w:w="542" w:type="dxa"/>
            <w:tcBorders>
              <w:top w:val="nil"/>
              <w:left w:val="nil"/>
              <w:bottom w:val="single" w:sz="4" w:space="0" w:color="auto"/>
              <w:right w:val="single" w:sz="4" w:space="0" w:color="auto"/>
            </w:tcBorders>
            <w:shd w:val="clear" w:color="auto" w:fill="auto"/>
            <w:vAlign w:val="center"/>
            <w:hideMark/>
          </w:tcPr>
          <w:p w:rsidR="007306CA" w:rsidRDefault="00576025">
            <w:pPr>
              <w:spacing w:after="0"/>
              <w:rPr>
                <w:noProof/>
                <w:color w:val="000000"/>
                <w:sz w:val="18"/>
                <w:szCs w:val="18"/>
                <w:lang w:eastAsia="en-GB"/>
              </w:rPr>
            </w:pPr>
            <w:r>
              <w:rPr>
                <w:noProof/>
                <w:color w:val="000000"/>
                <w:sz w:val="18"/>
                <w:szCs w:val="18"/>
                <w:lang w:eastAsia="en-GB"/>
              </w:rPr>
              <w:t>+2 </w:t>
            </w:r>
          </w:p>
        </w:tc>
        <w:tc>
          <w:tcPr>
            <w:tcW w:w="6521" w:type="dxa"/>
            <w:tcBorders>
              <w:top w:val="nil"/>
              <w:left w:val="nil"/>
              <w:bottom w:val="single" w:sz="4" w:space="0" w:color="auto"/>
              <w:right w:val="single" w:sz="4" w:space="0" w:color="auto"/>
            </w:tcBorders>
            <w:shd w:val="clear" w:color="auto" w:fill="auto"/>
            <w:vAlign w:val="center"/>
            <w:hideMark/>
          </w:tcPr>
          <w:p w:rsidR="007306CA" w:rsidRDefault="00576025">
            <w:pPr>
              <w:spacing w:after="0"/>
              <w:rPr>
                <w:noProof/>
                <w:color w:val="000000"/>
                <w:sz w:val="18"/>
                <w:szCs w:val="18"/>
                <w:lang w:eastAsia="en-GB"/>
              </w:rPr>
            </w:pPr>
            <w:r>
              <w:rPr>
                <w:noProof/>
                <w:color w:val="000000"/>
                <w:sz w:val="18"/>
                <w:szCs w:val="18"/>
                <w:lang w:eastAsia="en-GB"/>
              </w:rPr>
              <w:t>Benefits for developing countries from remittances, ‘brain gain’, and circular migration, set against costs of ‘brain drain’</w:t>
            </w:r>
            <w:r>
              <w:rPr>
                <w:noProof/>
                <w:color w:val="000000"/>
                <w:sz w:val="18"/>
                <w:szCs w:val="18"/>
                <w:lang w:eastAsia="en-GB"/>
              </w:rPr>
              <w:t xml:space="preserve"> in sectors that require skilled workers.</w:t>
            </w:r>
          </w:p>
        </w:tc>
      </w:tr>
      <w:tr w:rsidR="007306CA">
        <w:trPr>
          <w:trHeight w:val="300"/>
        </w:trPr>
        <w:tc>
          <w:tcPr>
            <w:tcW w:w="9924" w:type="dxa"/>
            <w:gridSpan w:val="4"/>
            <w:tcBorders>
              <w:top w:val="single" w:sz="4" w:space="0" w:color="auto"/>
              <w:left w:val="single" w:sz="4" w:space="0" w:color="auto"/>
              <w:bottom w:val="single" w:sz="4" w:space="0" w:color="auto"/>
              <w:right w:val="single" w:sz="4" w:space="0" w:color="auto"/>
            </w:tcBorders>
            <w:shd w:val="clear" w:color="000000" w:fill="C5D9F1"/>
            <w:hideMark/>
          </w:tcPr>
          <w:p w:rsidR="007306CA" w:rsidRDefault="00576025">
            <w:pPr>
              <w:spacing w:after="0"/>
              <w:jc w:val="left"/>
              <w:rPr>
                <w:b/>
                <w:bCs/>
                <w:noProof/>
                <w:color w:val="000000"/>
                <w:sz w:val="18"/>
                <w:szCs w:val="18"/>
                <w:lang w:eastAsia="en-GB"/>
              </w:rPr>
            </w:pPr>
            <w:r>
              <w:rPr>
                <w:b/>
                <w:bCs/>
                <w:noProof/>
                <w:color w:val="000000"/>
                <w:sz w:val="18"/>
                <w:szCs w:val="18"/>
                <w:lang w:eastAsia="en-GB"/>
              </w:rPr>
              <w:t>Efficiency</w:t>
            </w:r>
          </w:p>
        </w:tc>
      </w:tr>
      <w:tr w:rsidR="007306CA">
        <w:trPr>
          <w:trHeight w:val="69"/>
        </w:trPr>
        <w:tc>
          <w:tcPr>
            <w:tcW w:w="2861" w:type="dxa"/>
            <w:gridSpan w:val="2"/>
            <w:tcBorders>
              <w:top w:val="nil"/>
              <w:left w:val="single" w:sz="4" w:space="0" w:color="auto"/>
              <w:bottom w:val="single" w:sz="4" w:space="0" w:color="auto"/>
              <w:right w:val="single" w:sz="4" w:space="0" w:color="auto"/>
            </w:tcBorders>
            <w:shd w:val="clear" w:color="auto" w:fill="auto"/>
            <w:vAlign w:val="center"/>
            <w:hideMark/>
          </w:tcPr>
          <w:p w:rsidR="007306CA" w:rsidRDefault="00576025">
            <w:pPr>
              <w:spacing w:after="0"/>
              <w:rPr>
                <w:noProof/>
                <w:color w:val="000000"/>
                <w:sz w:val="18"/>
                <w:szCs w:val="18"/>
                <w:lang w:eastAsia="en-GB"/>
              </w:rPr>
            </w:pPr>
            <w:r>
              <w:rPr>
                <w:noProof/>
                <w:color w:val="000000"/>
                <w:sz w:val="18"/>
                <w:szCs w:val="18"/>
                <w:lang w:eastAsia="en-GB"/>
              </w:rPr>
              <w:t>- Administrative costs and cost/benefit effectiveness</w:t>
            </w:r>
          </w:p>
          <w:p w:rsidR="007306CA" w:rsidRDefault="007306CA">
            <w:pPr>
              <w:spacing w:after="0"/>
              <w:rPr>
                <w:noProof/>
                <w:color w:val="000000"/>
                <w:sz w:val="18"/>
                <w:szCs w:val="18"/>
                <w:lang w:eastAsia="en-GB"/>
              </w:rPr>
            </w:pPr>
          </w:p>
          <w:p w:rsidR="007306CA" w:rsidRDefault="00576025">
            <w:pPr>
              <w:spacing w:after="0"/>
              <w:rPr>
                <w:noProof/>
                <w:color w:val="000000"/>
                <w:sz w:val="18"/>
                <w:szCs w:val="18"/>
                <w:lang w:eastAsia="en-GB"/>
              </w:rPr>
            </w:pPr>
            <w:r>
              <w:rPr>
                <w:noProof/>
                <w:color w:val="000000"/>
                <w:sz w:val="18"/>
                <w:szCs w:val="18"/>
                <w:lang w:eastAsia="en-GB"/>
              </w:rPr>
              <w:t>- Practical or technical feasibility (difficulty/risks for transposition and implementation)</w:t>
            </w:r>
          </w:p>
        </w:tc>
        <w:tc>
          <w:tcPr>
            <w:tcW w:w="542" w:type="dxa"/>
            <w:tcBorders>
              <w:top w:val="nil"/>
              <w:left w:val="nil"/>
              <w:bottom w:val="single" w:sz="4" w:space="0" w:color="auto"/>
              <w:right w:val="single" w:sz="4" w:space="0" w:color="auto"/>
            </w:tcBorders>
            <w:shd w:val="clear" w:color="auto" w:fill="auto"/>
            <w:vAlign w:val="center"/>
            <w:hideMark/>
          </w:tcPr>
          <w:p w:rsidR="007306CA" w:rsidRDefault="00576025">
            <w:pPr>
              <w:spacing w:after="0"/>
              <w:rPr>
                <w:noProof/>
                <w:color w:val="000000"/>
                <w:sz w:val="18"/>
                <w:szCs w:val="18"/>
                <w:lang w:eastAsia="en-GB"/>
              </w:rPr>
            </w:pPr>
            <w:r>
              <w:rPr>
                <w:noProof/>
                <w:color w:val="000000"/>
                <w:sz w:val="18"/>
                <w:szCs w:val="18"/>
                <w:lang w:eastAsia="en-GB"/>
              </w:rPr>
              <w:t>+2</w:t>
            </w:r>
          </w:p>
        </w:tc>
        <w:tc>
          <w:tcPr>
            <w:tcW w:w="6521" w:type="dxa"/>
            <w:tcBorders>
              <w:top w:val="nil"/>
              <w:left w:val="nil"/>
              <w:bottom w:val="single" w:sz="4" w:space="0" w:color="auto"/>
              <w:right w:val="single" w:sz="4" w:space="0" w:color="auto"/>
            </w:tcBorders>
            <w:shd w:val="clear" w:color="auto" w:fill="auto"/>
            <w:vAlign w:val="center"/>
            <w:hideMark/>
          </w:tcPr>
          <w:p w:rsidR="007306CA" w:rsidRDefault="00576025">
            <w:pPr>
              <w:keepNext/>
              <w:spacing w:after="120"/>
              <w:ind w:left="113"/>
              <w:outlineLvl w:val="2"/>
              <w:rPr>
                <w:b/>
                <w:noProof/>
                <w:color w:val="000000"/>
                <w:sz w:val="18"/>
                <w:szCs w:val="18"/>
                <w:lang w:eastAsia="en-GB"/>
              </w:rPr>
            </w:pPr>
            <w:r>
              <w:rPr>
                <w:b/>
                <w:noProof/>
                <w:color w:val="000000"/>
                <w:sz w:val="18"/>
                <w:szCs w:val="18"/>
                <w:lang w:eastAsia="en-GB"/>
              </w:rPr>
              <w:t xml:space="preserve">Overall administrative impact on Member States: </w:t>
            </w:r>
            <w:r>
              <w:rPr>
                <w:b/>
                <w:noProof/>
                <w:color w:val="000000"/>
                <w:sz w:val="18"/>
                <w:szCs w:val="18"/>
                <w:lang w:eastAsia="en-GB"/>
              </w:rPr>
              <w:t>benefit of € 2.8 million (EU25 aggregate)</w:t>
            </w:r>
          </w:p>
          <w:p w:rsidR="007306CA" w:rsidRDefault="00576025">
            <w:pPr>
              <w:keepNext/>
              <w:spacing w:after="120"/>
              <w:ind w:left="113"/>
              <w:outlineLvl w:val="2"/>
              <w:rPr>
                <w:b/>
                <w:noProof/>
                <w:color w:val="000000"/>
                <w:sz w:val="18"/>
                <w:szCs w:val="18"/>
                <w:lang w:eastAsia="en-GB"/>
              </w:rPr>
            </w:pPr>
            <w:r>
              <w:rPr>
                <w:b/>
                <w:noProof/>
                <w:color w:val="000000"/>
                <w:sz w:val="18"/>
                <w:szCs w:val="18"/>
                <w:lang w:eastAsia="en-GB"/>
              </w:rPr>
              <w:t>Offset by fees and an additional income tax revenue of min. € 839 million</w:t>
            </w:r>
          </w:p>
          <w:p w:rsidR="007306CA" w:rsidRDefault="00576025">
            <w:pPr>
              <w:spacing w:after="120"/>
              <w:ind w:firstLine="113"/>
              <w:rPr>
                <w:noProof/>
                <w:color w:val="000000"/>
                <w:sz w:val="18"/>
                <w:szCs w:val="18"/>
                <w:lang w:eastAsia="en-GB"/>
              </w:rPr>
            </w:pPr>
            <w:r>
              <w:rPr>
                <w:noProof/>
                <w:color w:val="000000"/>
                <w:sz w:val="18"/>
                <w:szCs w:val="18"/>
                <w:lang w:eastAsia="en-GB"/>
              </w:rPr>
              <w:t>If the national HSW schemes are absorbed into the EU Blue Card scheme this would not lead to additional overall costs as the scheme would re</w:t>
            </w:r>
            <w:r>
              <w:rPr>
                <w:noProof/>
                <w:color w:val="000000"/>
                <w:sz w:val="18"/>
                <w:szCs w:val="18"/>
                <w:lang w:eastAsia="en-GB"/>
              </w:rPr>
              <w:t xml:space="preserve">place the existing schemes which would have to be modified to lesser or greater extent depending on the Member States. While some costs would be incurred for information for companies, training of immigration officials on the new rules, etc., an effective </w:t>
            </w:r>
            <w:r>
              <w:rPr>
                <w:noProof/>
                <w:color w:val="000000"/>
                <w:sz w:val="18"/>
                <w:szCs w:val="18"/>
                <w:lang w:eastAsia="en-GB"/>
              </w:rPr>
              <w:t xml:space="preserve">EU-wide scheme for highly qualified third-country nationals would increase the coherence and harmonisation of the regimes for admitting HSW. </w:t>
            </w:r>
          </w:p>
          <w:p w:rsidR="007306CA" w:rsidRDefault="00576025">
            <w:pPr>
              <w:spacing w:after="120"/>
              <w:ind w:firstLine="113"/>
              <w:rPr>
                <w:noProof/>
                <w:color w:val="000000"/>
                <w:sz w:val="18"/>
                <w:szCs w:val="18"/>
                <w:lang w:eastAsia="en-GB"/>
              </w:rPr>
            </w:pPr>
            <w:r>
              <w:rPr>
                <w:noProof/>
                <w:color w:val="000000"/>
                <w:sz w:val="18"/>
                <w:szCs w:val="18"/>
                <w:lang w:eastAsia="en-GB"/>
              </w:rPr>
              <w:t xml:space="preserve">However, because of the exclusive admission conditions of this policy option would only be accessible to HSW in a </w:t>
            </w:r>
            <w:r>
              <w:rPr>
                <w:noProof/>
                <w:color w:val="000000"/>
                <w:sz w:val="18"/>
                <w:szCs w:val="18"/>
                <w:lang w:eastAsia="en-GB"/>
              </w:rPr>
              <w:t xml:space="preserve">limited number of Member States with the highest average salaries and to an elite who receive globally competitive salaries. Therefore, national schemes for HSW would be applicable to other HSW who fall outside of the scope of the Blue Card in this policy </w:t>
            </w:r>
            <w:r>
              <w:rPr>
                <w:noProof/>
                <w:color w:val="000000"/>
                <w:sz w:val="18"/>
                <w:szCs w:val="18"/>
                <w:lang w:eastAsia="en-GB"/>
              </w:rPr>
              <w:t>option. Consequently, in practice, only in Member States with high average salaries the Blue Card would replace the national schemes, leading to less administrative costs, while other Member States would have to rely on national schemes and an underused Bl</w:t>
            </w:r>
            <w:r>
              <w:rPr>
                <w:noProof/>
                <w:color w:val="000000"/>
                <w:sz w:val="18"/>
                <w:szCs w:val="18"/>
                <w:lang w:eastAsia="en-GB"/>
              </w:rPr>
              <w:t xml:space="preserve">ue Card scheme, which would be similar to the baseline scenario. Therefore, the </w:t>
            </w:r>
            <w:r>
              <w:rPr>
                <w:b/>
                <w:noProof/>
                <w:color w:val="000000"/>
                <w:sz w:val="18"/>
                <w:szCs w:val="18"/>
                <w:lang w:eastAsia="en-GB"/>
              </w:rPr>
              <w:t>administrative gains would be quite unequal across the Member States</w:t>
            </w:r>
            <w:r>
              <w:rPr>
                <w:noProof/>
                <w:color w:val="000000"/>
                <w:sz w:val="18"/>
                <w:szCs w:val="18"/>
                <w:lang w:eastAsia="en-GB"/>
              </w:rPr>
              <w:t>.</w:t>
            </w:r>
          </w:p>
          <w:p w:rsidR="007306CA" w:rsidRDefault="00576025">
            <w:pPr>
              <w:spacing w:after="120"/>
              <w:ind w:firstLine="113"/>
              <w:rPr>
                <w:noProof/>
                <w:color w:val="000000"/>
                <w:sz w:val="18"/>
                <w:szCs w:val="18"/>
                <w:lang w:eastAsia="en-GB"/>
              </w:rPr>
            </w:pPr>
            <w:r>
              <w:rPr>
                <w:noProof/>
                <w:color w:val="000000"/>
                <w:sz w:val="18"/>
                <w:szCs w:val="18"/>
                <w:lang w:eastAsia="en-GB"/>
              </w:rPr>
              <w:t>At the same time, in case the high salary threshold is met, the administrative burden for HSW and business</w:t>
            </w:r>
            <w:r>
              <w:rPr>
                <w:noProof/>
                <w:color w:val="000000"/>
                <w:sz w:val="18"/>
                <w:szCs w:val="18"/>
                <w:lang w:eastAsia="en-GB"/>
              </w:rPr>
              <w:t>es recruiting them would lower substantially by a streamlined scheme across the EU. The costs of navigating separate and diverging migration systems (e.g. lawyer fees) each time a HSW would be hired in a different Member State would lower significantly.</w:t>
            </w:r>
          </w:p>
          <w:p w:rsidR="007306CA" w:rsidRDefault="00576025">
            <w:pPr>
              <w:spacing w:after="120"/>
              <w:ind w:firstLine="113"/>
              <w:rPr>
                <w:noProof/>
                <w:color w:val="000000"/>
                <w:sz w:val="18"/>
                <w:szCs w:val="18"/>
                <w:lang w:eastAsia="en-GB"/>
              </w:rPr>
            </w:pPr>
            <w:r>
              <w:rPr>
                <w:noProof/>
                <w:color w:val="000000"/>
                <w:sz w:val="18"/>
                <w:szCs w:val="18"/>
                <w:lang w:eastAsia="en-GB"/>
              </w:rPr>
              <w:t>In</w:t>
            </w:r>
            <w:r>
              <w:rPr>
                <w:noProof/>
                <w:color w:val="000000"/>
                <w:sz w:val="18"/>
                <w:szCs w:val="18"/>
                <w:lang w:eastAsia="en-GB"/>
              </w:rPr>
              <w:t xml:space="preserve"> case of </w:t>
            </w:r>
            <w:r>
              <w:rPr>
                <w:b/>
                <w:noProof/>
                <w:color w:val="000000"/>
                <w:sz w:val="18"/>
                <w:szCs w:val="18"/>
                <w:lang w:eastAsia="en-GB"/>
              </w:rPr>
              <w:t>intra-EU mobility</w:t>
            </w:r>
            <w:r>
              <w:rPr>
                <w:noProof/>
                <w:color w:val="000000"/>
                <w:sz w:val="18"/>
                <w:szCs w:val="18"/>
                <w:lang w:eastAsia="en-GB"/>
              </w:rPr>
              <w:t xml:space="preserve">, this scheme would bring the </w:t>
            </w:r>
            <w:r>
              <w:rPr>
                <w:b/>
                <w:noProof/>
                <w:color w:val="000000"/>
                <w:sz w:val="18"/>
                <w:szCs w:val="18"/>
                <w:lang w:eastAsia="en-GB"/>
              </w:rPr>
              <w:t>greatest simplification</w:t>
            </w:r>
            <w:r>
              <w:rPr>
                <w:noProof/>
                <w:color w:val="000000"/>
                <w:sz w:val="18"/>
                <w:szCs w:val="18"/>
                <w:lang w:eastAsia="en-GB"/>
              </w:rPr>
              <w:t xml:space="preserve"> and advantages in reducing costs, both for public administration and for HSW and businesses, as mobility rights would be comparable to free movement for EU citizens. HSW and bu</w:t>
            </w:r>
            <w:r>
              <w:rPr>
                <w:noProof/>
                <w:color w:val="000000"/>
                <w:sz w:val="18"/>
                <w:szCs w:val="18"/>
                <w:lang w:eastAsia="en-GB"/>
              </w:rPr>
              <w:t>sinesses would not have to apply for a new residence and work permit, while public administrations would be relieved for the duty to process and examine these applications. Again, these advantages would only apply to a limited number of HSW who meet the ex</w:t>
            </w:r>
            <w:r>
              <w:rPr>
                <w:noProof/>
                <w:color w:val="000000"/>
                <w:sz w:val="18"/>
                <w:szCs w:val="18"/>
                <w:lang w:eastAsia="en-GB"/>
              </w:rPr>
              <w:t>clusive high salary threshold.</w:t>
            </w:r>
          </w:p>
          <w:p w:rsidR="007306CA" w:rsidRDefault="00576025">
            <w:pPr>
              <w:spacing w:after="120"/>
              <w:ind w:firstLine="113"/>
              <w:rPr>
                <w:noProof/>
                <w:color w:val="000000"/>
                <w:sz w:val="18"/>
                <w:szCs w:val="18"/>
                <w:lang w:eastAsia="en-GB"/>
              </w:rPr>
            </w:pPr>
            <w:r>
              <w:rPr>
                <w:noProof/>
                <w:color w:val="000000"/>
                <w:sz w:val="18"/>
                <w:szCs w:val="18"/>
                <w:lang w:eastAsia="en-GB"/>
              </w:rPr>
              <w:t>Enhanced rights, such as family reunification, facilitated access to long-term residence status, may have some impact on Member States’ administrations in the short run as there may be an increase in such applications. Howeve</w:t>
            </w:r>
            <w:r>
              <w:rPr>
                <w:noProof/>
                <w:color w:val="000000"/>
                <w:sz w:val="18"/>
                <w:szCs w:val="18"/>
                <w:lang w:eastAsia="en-GB"/>
              </w:rPr>
              <w:t>r, many would be only an anticipation of applications that would have anyway happened at a later stage, and overall, these costs are offset by gains in simplification and harmonisation, and gains for the HSW and businesses.</w:t>
            </w:r>
          </w:p>
          <w:p w:rsidR="007306CA" w:rsidRDefault="00576025">
            <w:pPr>
              <w:spacing w:after="120"/>
              <w:ind w:firstLine="113"/>
              <w:rPr>
                <w:noProof/>
                <w:color w:val="000000"/>
                <w:sz w:val="18"/>
                <w:szCs w:val="18"/>
                <w:lang w:eastAsia="en-GB"/>
              </w:rPr>
            </w:pPr>
            <w:r>
              <w:rPr>
                <w:noProof/>
                <w:color w:val="000000"/>
                <w:sz w:val="18"/>
                <w:szCs w:val="18"/>
                <w:lang w:eastAsia="en-GB"/>
              </w:rPr>
              <w:t>In terms of practical or technic</w:t>
            </w:r>
            <w:r>
              <w:rPr>
                <w:noProof/>
                <w:color w:val="000000"/>
                <w:sz w:val="18"/>
                <w:szCs w:val="18"/>
                <w:lang w:eastAsia="en-GB"/>
              </w:rPr>
              <w:t xml:space="preserve">al difficulty (risks for transposition and implementation), establishing an EU level management portal would entail </w:t>
            </w:r>
            <w:r>
              <w:rPr>
                <w:b/>
                <w:noProof/>
                <w:color w:val="000000"/>
                <w:sz w:val="18"/>
                <w:szCs w:val="18"/>
                <w:lang w:eastAsia="en-GB"/>
              </w:rPr>
              <w:t>major investments</w:t>
            </w:r>
            <w:r>
              <w:rPr>
                <w:noProof/>
                <w:color w:val="000000"/>
                <w:sz w:val="18"/>
                <w:szCs w:val="18"/>
                <w:lang w:eastAsia="en-GB"/>
              </w:rPr>
              <w:t xml:space="preserve"> and development and would </w:t>
            </w:r>
            <w:r>
              <w:rPr>
                <w:b/>
                <w:noProof/>
                <w:color w:val="000000"/>
                <w:sz w:val="18"/>
                <w:szCs w:val="18"/>
                <w:lang w:eastAsia="en-GB"/>
              </w:rPr>
              <w:t>not be feasible in the short term</w:t>
            </w:r>
            <w:r>
              <w:rPr>
                <w:noProof/>
                <w:color w:val="000000"/>
                <w:sz w:val="18"/>
                <w:szCs w:val="18"/>
                <w:lang w:eastAsia="en-GB"/>
              </w:rPr>
              <w:t>.</w:t>
            </w:r>
          </w:p>
        </w:tc>
      </w:tr>
      <w:tr w:rsidR="007306CA">
        <w:trPr>
          <w:trHeight w:val="300"/>
        </w:trPr>
        <w:tc>
          <w:tcPr>
            <w:tcW w:w="9924" w:type="dxa"/>
            <w:gridSpan w:val="4"/>
            <w:tcBorders>
              <w:top w:val="single" w:sz="4" w:space="0" w:color="auto"/>
              <w:left w:val="single" w:sz="4" w:space="0" w:color="auto"/>
              <w:bottom w:val="single" w:sz="4" w:space="0" w:color="auto"/>
              <w:right w:val="single" w:sz="4" w:space="0" w:color="auto"/>
            </w:tcBorders>
            <w:shd w:val="clear" w:color="000000" w:fill="C5D9F1"/>
            <w:hideMark/>
          </w:tcPr>
          <w:p w:rsidR="007306CA" w:rsidRDefault="00576025">
            <w:pPr>
              <w:spacing w:after="0"/>
              <w:jc w:val="left"/>
              <w:rPr>
                <w:b/>
                <w:bCs/>
                <w:noProof/>
                <w:color w:val="000000"/>
                <w:sz w:val="18"/>
                <w:szCs w:val="18"/>
                <w:lang w:eastAsia="en-GB"/>
              </w:rPr>
            </w:pPr>
            <w:r>
              <w:rPr>
                <w:b/>
                <w:bCs/>
                <w:noProof/>
                <w:color w:val="000000"/>
                <w:sz w:val="18"/>
                <w:szCs w:val="18"/>
                <w:lang w:eastAsia="en-GB"/>
              </w:rPr>
              <w:t>Coherence with other EU policies</w:t>
            </w:r>
          </w:p>
        </w:tc>
      </w:tr>
      <w:tr w:rsidR="007306CA">
        <w:trPr>
          <w:trHeight w:val="300"/>
        </w:trPr>
        <w:tc>
          <w:tcPr>
            <w:tcW w:w="9924" w:type="dxa"/>
            <w:gridSpan w:val="4"/>
            <w:tcBorders>
              <w:top w:val="single" w:sz="4" w:space="0" w:color="auto"/>
              <w:left w:val="single" w:sz="4" w:space="0" w:color="auto"/>
              <w:bottom w:val="single" w:sz="4" w:space="0" w:color="auto"/>
              <w:right w:val="single" w:sz="4" w:space="0" w:color="auto"/>
            </w:tcBorders>
            <w:shd w:val="clear" w:color="auto" w:fill="auto"/>
            <w:hideMark/>
          </w:tcPr>
          <w:p w:rsidR="007306CA" w:rsidRDefault="00576025">
            <w:pPr>
              <w:spacing w:after="0"/>
              <w:jc w:val="left"/>
              <w:rPr>
                <w:noProof/>
                <w:color w:val="000000"/>
                <w:sz w:val="18"/>
                <w:szCs w:val="18"/>
                <w:lang w:eastAsia="en-GB"/>
              </w:rPr>
            </w:pPr>
            <w:r>
              <w:rPr>
                <w:noProof/>
                <w:color w:val="000000"/>
                <w:sz w:val="18"/>
                <w:szCs w:val="18"/>
                <w:lang w:eastAsia="en-GB"/>
              </w:rPr>
              <w:t xml:space="preserve">While contributing to EU </w:t>
            </w:r>
            <w:r>
              <w:rPr>
                <w:noProof/>
                <w:color w:val="000000"/>
                <w:sz w:val="18"/>
                <w:szCs w:val="18"/>
                <w:lang w:eastAsia="en-GB"/>
              </w:rPr>
              <w:t>Growth Strategy, it would risk create inconsistencies with EU policies on mobility of EU citizens.</w:t>
            </w:r>
          </w:p>
        </w:tc>
      </w:tr>
      <w:tr w:rsidR="007306CA">
        <w:trPr>
          <w:trHeight w:val="90"/>
        </w:trPr>
        <w:tc>
          <w:tcPr>
            <w:tcW w:w="9924" w:type="dxa"/>
            <w:gridSpan w:val="4"/>
            <w:tcBorders>
              <w:top w:val="nil"/>
              <w:left w:val="single" w:sz="4" w:space="0" w:color="auto"/>
              <w:bottom w:val="single" w:sz="4" w:space="0" w:color="auto"/>
              <w:right w:val="single" w:sz="4" w:space="0" w:color="auto"/>
            </w:tcBorders>
            <w:shd w:val="clear" w:color="000000" w:fill="C5D9F1"/>
            <w:vAlign w:val="center"/>
            <w:hideMark/>
          </w:tcPr>
          <w:p w:rsidR="007306CA" w:rsidRDefault="00576025">
            <w:pPr>
              <w:spacing w:after="0"/>
              <w:jc w:val="left"/>
              <w:rPr>
                <w:b/>
                <w:bCs/>
                <w:noProof/>
                <w:color w:val="000000"/>
                <w:sz w:val="18"/>
                <w:szCs w:val="18"/>
                <w:lang w:eastAsia="en-GB"/>
              </w:rPr>
            </w:pPr>
            <w:r>
              <w:rPr>
                <w:b/>
                <w:bCs/>
                <w:noProof/>
                <w:color w:val="000000"/>
                <w:sz w:val="18"/>
                <w:szCs w:val="18"/>
                <w:lang w:eastAsia="en-GB"/>
              </w:rPr>
              <w:t>Stakeholders and experts’ view</w:t>
            </w:r>
          </w:p>
        </w:tc>
      </w:tr>
      <w:tr w:rsidR="007306CA">
        <w:trPr>
          <w:trHeight w:val="64"/>
        </w:trPr>
        <w:tc>
          <w:tcPr>
            <w:tcW w:w="992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306CA" w:rsidRDefault="00576025">
            <w:pPr>
              <w:spacing w:after="0"/>
              <w:rPr>
                <w:i/>
                <w:noProof/>
                <w:color w:val="000000"/>
                <w:sz w:val="18"/>
                <w:szCs w:val="18"/>
                <w:u w:val="single"/>
                <w:lang w:val="en-IE" w:eastAsia="en-GB"/>
              </w:rPr>
            </w:pPr>
            <w:r>
              <w:rPr>
                <w:noProof/>
                <w:color w:val="000000"/>
                <w:sz w:val="18"/>
                <w:szCs w:val="18"/>
                <w:lang w:eastAsia="en-GB"/>
              </w:rPr>
              <w:t>A majority of the respondents to the public consultation supports the abolition of any national schemes for the highly skill</w:t>
            </w:r>
            <w:r>
              <w:rPr>
                <w:noProof/>
                <w:color w:val="000000"/>
                <w:sz w:val="18"/>
                <w:szCs w:val="18"/>
                <w:lang w:eastAsia="en-GB"/>
              </w:rPr>
              <w:t>ed in favour of a truly EU-wide permit</w:t>
            </w:r>
            <w:r>
              <w:rPr>
                <w:iCs/>
                <w:noProof/>
                <w:color w:val="000000"/>
                <w:sz w:val="18"/>
                <w:szCs w:val="18"/>
                <w:vertAlign w:val="superscript"/>
                <w:lang w:eastAsia="en-GB"/>
              </w:rPr>
              <w:footnoteReference w:id="154"/>
            </w:r>
            <w:r>
              <w:rPr>
                <w:noProof/>
                <w:color w:val="000000"/>
                <w:sz w:val="18"/>
                <w:szCs w:val="18"/>
                <w:lang w:eastAsia="en-GB"/>
              </w:rPr>
              <w:t xml:space="preserve">. However, setting an EU-wide salary across the EU is an option which has been rejected almost unanimously by economic and governmental stakeholders. The abolition of national schemes would also encounter resistance </w:t>
            </w:r>
            <w:r>
              <w:rPr>
                <w:noProof/>
                <w:color w:val="000000"/>
                <w:sz w:val="18"/>
                <w:szCs w:val="18"/>
                <w:lang w:eastAsia="en-GB"/>
              </w:rPr>
              <w:t>by Member States and some economic stakeholders. An EU-wide management portal for applications is a welcome idea on the economic stakeholders' side, but raises issues related to subsidiarity with Member States given their competence on the admission of eco</w:t>
            </w:r>
            <w:r>
              <w:rPr>
                <w:noProof/>
                <w:color w:val="000000"/>
                <w:sz w:val="18"/>
                <w:szCs w:val="18"/>
                <w:lang w:eastAsia="en-GB"/>
              </w:rPr>
              <w:t>nomic migrants.</w:t>
            </w:r>
          </w:p>
        </w:tc>
      </w:tr>
    </w:tbl>
    <w:p w:rsidR="007306CA" w:rsidRDefault="007306CA">
      <w:pPr>
        <w:rPr>
          <w:rFonts w:eastAsiaTheme="majorEastAsia"/>
          <w:noProof/>
        </w:rPr>
      </w:pPr>
      <w:bookmarkStart w:id="53" w:name="_Toc311626709"/>
      <w:bookmarkEnd w:id="48"/>
    </w:p>
    <w:p w:rsidR="007306CA" w:rsidRDefault="00576025">
      <w:pPr>
        <w:pStyle w:val="Heading3"/>
        <w:rPr>
          <w:rFonts w:eastAsiaTheme="minorHAnsi"/>
          <w:noProof/>
        </w:rPr>
      </w:pPr>
      <w:r>
        <w:rPr>
          <w:rFonts w:eastAsiaTheme="minorHAnsi"/>
          <w:noProof/>
        </w:rPr>
        <w:t xml:space="preserve">Assessment of horizontal options </w:t>
      </w:r>
    </w:p>
    <w:p w:rsidR="007306CA" w:rsidRDefault="00576025">
      <w:pPr>
        <w:spacing w:after="120" w:line="240" w:lineRule="atLeast"/>
        <w:rPr>
          <w:rFonts w:eastAsiaTheme="majorEastAsia"/>
          <w:b/>
          <w:bCs/>
          <w:noProof/>
        </w:rPr>
      </w:pPr>
      <w:r>
        <w:rPr>
          <w:rFonts w:eastAsiaTheme="majorEastAsia"/>
          <w:b/>
          <w:bCs/>
          <w:noProof/>
        </w:rPr>
        <w:t>PO-A: Non-legislative option: actions to improve the effectiveness of the Blue Card</w:t>
      </w:r>
    </w:p>
    <w:p w:rsidR="007306CA" w:rsidRDefault="00576025">
      <w:pPr>
        <w:spacing w:after="120"/>
        <w:rPr>
          <w:noProof/>
          <w:lang w:eastAsia="en-GB"/>
        </w:rPr>
      </w:pPr>
      <w:r>
        <w:rPr>
          <w:noProof/>
          <w:lang w:eastAsia="en-GB"/>
        </w:rPr>
        <w:t xml:space="preserve">After the Commission’s first implementation report on the Blue Card was adopted on 22 May 2014, the Commission stepped </w:t>
      </w:r>
      <w:r>
        <w:rPr>
          <w:noProof/>
          <w:lang w:eastAsia="en-GB"/>
        </w:rPr>
        <w:t>up several non-legislative actions to improve the effectiveness of the Blue Card. As the report found a general lack of communication by Member States of data and measures taken in application of the Directive, the Commission has been actively collecting a</w:t>
      </w:r>
      <w:r>
        <w:rPr>
          <w:noProof/>
          <w:lang w:eastAsia="en-GB"/>
        </w:rPr>
        <w:t>nd exchanging information between Member States on a regular basis (e.g. specific information on salary thresholds, volumes of admission, labour market tests, ethical recruitment, etc) and using it to monitor the application of the Directive. While the rep</w:t>
      </w:r>
      <w:r>
        <w:rPr>
          <w:noProof/>
          <w:lang w:eastAsia="en-GB"/>
        </w:rPr>
        <w:t>ort found a limited number of apparent deficiencies in the transposition of the Directive, these were not detrimental to applicants and very few complaints were received from (potential) applicants or other stakeholders on incorrect application of the Dire</w:t>
      </w:r>
      <w:r>
        <w:rPr>
          <w:noProof/>
          <w:lang w:eastAsia="en-GB"/>
        </w:rPr>
        <w:t>ctive by the Member States.</w:t>
      </w:r>
    </w:p>
    <w:p w:rsidR="007306CA" w:rsidRDefault="00576025">
      <w:pPr>
        <w:spacing w:after="120"/>
        <w:rPr>
          <w:noProof/>
          <w:lang w:eastAsia="en-GB"/>
        </w:rPr>
      </w:pPr>
      <w:r>
        <w:rPr>
          <w:noProof/>
          <w:color w:val="000000"/>
          <w:lang w:eastAsia="en-GB"/>
        </w:rPr>
        <w:t>Most stakeholders, both governmental (Member States) and non-governmental (employers, trade unions, academics and other experts), consider most or all of the proposed non-legislative measures necessary. For instance, of the resp</w:t>
      </w:r>
      <w:r>
        <w:rPr>
          <w:noProof/>
          <w:color w:val="000000"/>
          <w:lang w:eastAsia="en-GB"/>
        </w:rPr>
        <w:t>ondents to the public consultation, for instance, more than 60 % suggested that the EU could become a more attractive migration destination if the recognition of foreign qualifications would be simplified</w:t>
      </w:r>
      <w:r>
        <w:rPr>
          <w:noProof/>
          <w:color w:val="000000"/>
          <w:vertAlign w:val="superscript"/>
          <w:lang w:eastAsia="en-GB"/>
        </w:rPr>
        <w:footnoteReference w:id="155"/>
      </w:r>
      <w:r>
        <w:rPr>
          <w:noProof/>
          <w:color w:val="000000"/>
          <w:lang w:eastAsia="en-GB"/>
        </w:rPr>
        <w:t>. The lack of awareness and information, especially</w:t>
      </w:r>
      <w:r>
        <w:rPr>
          <w:noProof/>
          <w:color w:val="000000"/>
          <w:lang w:eastAsia="en-GB"/>
        </w:rPr>
        <w:t xml:space="preserve"> among SMEs, is another important impediment that emerged repeatedly during the expert discussions. A majority of non-governmental stakeholders, however, consider these measures as necessary but not sufficient to make the EU more attractive and competitive</w:t>
      </w:r>
      <w:r>
        <w:rPr>
          <w:noProof/>
          <w:color w:val="000000"/>
          <w:lang w:eastAsia="en-GB"/>
        </w:rPr>
        <w:t>.</w:t>
      </w:r>
    </w:p>
    <w:p w:rsidR="007306CA" w:rsidRDefault="00576025">
      <w:pPr>
        <w:spacing w:after="120"/>
        <w:rPr>
          <w:b/>
          <w:i/>
          <w:noProof/>
          <w:lang w:eastAsia="en-GB"/>
        </w:rPr>
      </w:pPr>
      <w:r>
        <w:rPr>
          <w:b/>
          <w:i/>
          <w:noProof/>
          <w:lang w:eastAsia="en-GB"/>
        </w:rPr>
        <w:tab/>
        <w:t>Effectiveness (rating: 0/+1)</w:t>
      </w:r>
    </w:p>
    <w:p w:rsidR="007306CA" w:rsidRDefault="00576025">
      <w:pPr>
        <w:spacing w:after="120"/>
        <w:rPr>
          <w:noProof/>
          <w:color w:val="000000"/>
          <w:lang w:eastAsia="en-GB"/>
        </w:rPr>
      </w:pPr>
      <w:r>
        <w:rPr>
          <w:noProof/>
          <w:snapToGrid w:val="0"/>
        </w:rPr>
        <w:t>In terms of effectiveness in achieving the objectives, t</w:t>
      </w:r>
      <w:r>
        <w:rPr>
          <w:noProof/>
          <w:color w:val="000000"/>
          <w:lang w:eastAsia="en-GB"/>
        </w:rPr>
        <w:t>here would be some improvement in attracting HSW, especially from actions aimed at improving visibility of Blue Card, practical measures facilitating recognition of qua</w:t>
      </w:r>
      <w:r>
        <w:rPr>
          <w:noProof/>
          <w:color w:val="000000"/>
          <w:lang w:eastAsia="en-GB"/>
        </w:rPr>
        <w:t xml:space="preserve">lifications, and skills and job matching. Such measures would be useful in principle to offset skill shortages ensure a speedier overall process. However, the potential would be limited by the structural shortcomings of the EU Blue Card Directive. </w:t>
      </w:r>
    </w:p>
    <w:p w:rsidR="007306CA" w:rsidRDefault="00576025">
      <w:pPr>
        <w:spacing w:after="120"/>
        <w:rPr>
          <w:noProof/>
          <w:color w:val="000000"/>
          <w:lang w:eastAsia="en-GB"/>
        </w:rPr>
      </w:pPr>
      <w:r>
        <w:rPr>
          <w:noProof/>
          <w:color w:val="000000"/>
          <w:lang w:eastAsia="en-GB"/>
        </w:rPr>
        <w:t>Therefo</w:t>
      </w:r>
      <w:r>
        <w:rPr>
          <w:noProof/>
          <w:color w:val="000000"/>
          <w:lang w:eastAsia="en-GB"/>
        </w:rPr>
        <w:t>re, the actual impact – including on ensuring a more coherent and efficient system - would be overall very limited. Moreover, if the option is self-standing, there is a risk that the above measures could be counterproductive as they might raise unrealistic</w:t>
      </w:r>
      <w:r>
        <w:rPr>
          <w:noProof/>
          <w:color w:val="000000"/>
          <w:lang w:eastAsia="en-GB"/>
        </w:rPr>
        <w:t xml:space="preserve"> expectations amongst potential HSW because the identified shortcomings of the EU Blue Card Directive are not really addressed.</w:t>
      </w:r>
    </w:p>
    <w:p w:rsidR="007306CA" w:rsidRDefault="00576025">
      <w:pPr>
        <w:spacing w:after="120"/>
        <w:rPr>
          <w:b/>
          <w:i/>
          <w:noProof/>
          <w:color w:val="000000"/>
          <w:lang w:eastAsia="en-GB"/>
        </w:rPr>
      </w:pPr>
      <w:r>
        <w:rPr>
          <w:b/>
          <w:i/>
          <w:noProof/>
          <w:color w:val="000000"/>
          <w:lang w:eastAsia="en-GB"/>
        </w:rPr>
        <w:tab/>
        <w:t>Economic impacts (rating: 0)</w:t>
      </w:r>
    </w:p>
    <w:p w:rsidR="007306CA" w:rsidRDefault="00576025">
      <w:pPr>
        <w:spacing w:after="120"/>
        <w:rPr>
          <w:noProof/>
          <w:color w:val="000000"/>
          <w:lang w:eastAsia="en-GB"/>
        </w:rPr>
      </w:pPr>
      <w:r>
        <w:rPr>
          <w:noProof/>
          <w:color w:val="000000"/>
          <w:lang w:eastAsia="en-GB"/>
        </w:rPr>
        <w:t>For this option, it is very difficult to estimate the potential for additional permits, and thus t</w:t>
      </w:r>
      <w:r>
        <w:rPr>
          <w:noProof/>
          <w:color w:val="000000"/>
          <w:lang w:eastAsia="en-GB"/>
        </w:rPr>
        <w:t xml:space="preserve">he economic impact, due to insufficient data. However, given that the various non-legislative measures included do not fundamentally change the baseline situation, the economic positive impact would be very limited. On the other hand, if combined with one </w:t>
      </w:r>
      <w:r>
        <w:rPr>
          <w:noProof/>
          <w:color w:val="000000"/>
          <w:lang w:eastAsia="en-GB"/>
        </w:rPr>
        <w:t>of the legislative options, it would be a catalyst of the envisaged impacts and thus increase their magnitude.</w:t>
      </w:r>
    </w:p>
    <w:p w:rsidR="007306CA" w:rsidRDefault="00576025">
      <w:pPr>
        <w:spacing w:after="120"/>
        <w:rPr>
          <w:b/>
          <w:i/>
          <w:noProof/>
          <w:color w:val="000000"/>
          <w:lang w:eastAsia="en-GB"/>
        </w:rPr>
      </w:pPr>
      <w:r>
        <w:rPr>
          <w:b/>
          <w:i/>
          <w:noProof/>
          <w:color w:val="000000"/>
          <w:lang w:eastAsia="en-GB"/>
        </w:rPr>
        <w:tab/>
        <w:t>Social impacts (rating: 0/+1)</w:t>
      </w:r>
    </w:p>
    <w:p w:rsidR="007306CA" w:rsidRDefault="00576025">
      <w:pPr>
        <w:spacing w:after="120"/>
        <w:rPr>
          <w:noProof/>
          <w:color w:val="000000"/>
          <w:lang w:eastAsia="en-GB"/>
        </w:rPr>
      </w:pPr>
      <w:r>
        <w:rPr>
          <w:noProof/>
          <w:color w:val="000000"/>
          <w:lang w:eastAsia="en-GB"/>
        </w:rPr>
        <w:t xml:space="preserve">No impact is foreseen on EU citizens. As regards HSW, the non-legislative actions – particularly a better </w:t>
      </w:r>
      <w:r>
        <w:rPr>
          <w:noProof/>
          <w:color w:val="000000"/>
          <w:lang w:eastAsia="en-GB"/>
        </w:rPr>
        <w:t>promotion of the Blue Card with foreign nationals or measures to facilitate recognition of qualifications – would add to the success of the EU Blue Card to a certain extent, and thereby slightly increase their number in the EU. However, the impact would re</w:t>
      </w:r>
      <w:r>
        <w:rPr>
          <w:noProof/>
          <w:color w:val="000000"/>
          <w:lang w:eastAsia="en-GB"/>
        </w:rPr>
        <w:t>main limited and continue to depend mostly on national HSW migration policies: the HSW would still have to find his/her way among 25 different systems and, in case of moving to a second Member State, again in a new permit and a full application procedure w</w:t>
      </w:r>
      <w:r>
        <w:rPr>
          <w:noProof/>
          <w:color w:val="000000"/>
          <w:lang w:eastAsia="en-GB"/>
        </w:rPr>
        <w:t>ould be required.</w:t>
      </w:r>
    </w:p>
    <w:p w:rsidR="007306CA" w:rsidRDefault="00576025">
      <w:pPr>
        <w:spacing w:after="120"/>
        <w:rPr>
          <w:b/>
          <w:i/>
          <w:noProof/>
        </w:rPr>
      </w:pPr>
      <w:r>
        <w:rPr>
          <w:b/>
          <w:i/>
          <w:noProof/>
        </w:rPr>
        <w:tab/>
        <w:t>Impact on international relations (rating: 0/+1)</w:t>
      </w:r>
    </w:p>
    <w:p w:rsidR="007306CA" w:rsidRDefault="00576025">
      <w:pPr>
        <w:spacing w:after="120"/>
        <w:rPr>
          <w:b/>
          <w:noProof/>
          <w:color w:val="000000"/>
          <w:lang w:eastAsia="en-GB"/>
        </w:rPr>
      </w:pPr>
      <w:r>
        <w:rPr>
          <w:noProof/>
          <w:color w:val="000000"/>
          <w:lang w:eastAsia="en-GB"/>
        </w:rPr>
        <w:t xml:space="preserve">There would be a slightly positive impact due to the fact that advertising actions and measures to facilitate recognition of qualifications could marginally increase the number of TCN HSW </w:t>
      </w:r>
      <w:r>
        <w:rPr>
          <w:noProof/>
          <w:color w:val="000000"/>
          <w:lang w:eastAsia="en-GB"/>
        </w:rPr>
        <w:t>being admitted.</w:t>
      </w:r>
    </w:p>
    <w:p w:rsidR="007306CA" w:rsidRDefault="00576025">
      <w:pPr>
        <w:spacing w:after="120"/>
        <w:rPr>
          <w:b/>
          <w:i/>
          <w:noProof/>
          <w:color w:val="000000"/>
          <w:lang w:eastAsia="en-GB"/>
        </w:rPr>
      </w:pPr>
      <w:r>
        <w:rPr>
          <w:b/>
          <w:i/>
          <w:noProof/>
          <w:color w:val="000000"/>
          <w:lang w:eastAsia="en-GB"/>
        </w:rPr>
        <w:tab/>
        <w:t>Efficiency (rating: +1)</w:t>
      </w:r>
    </w:p>
    <w:p w:rsidR="007306CA" w:rsidRDefault="00576025">
      <w:pPr>
        <w:spacing w:after="120"/>
        <w:rPr>
          <w:noProof/>
        </w:rPr>
      </w:pPr>
      <w:r>
        <w:rPr>
          <w:noProof/>
          <w:color w:val="000000"/>
          <w:lang w:eastAsia="en-GB"/>
        </w:rPr>
        <w:t>Enhanced implementation and promotional activities, as well as, facilitation of recognition of foreign qualifications would generate moderate additional administrative costs. However, if the recognition for unregula</w:t>
      </w:r>
      <w:r>
        <w:rPr>
          <w:noProof/>
          <w:color w:val="000000"/>
          <w:lang w:eastAsia="en-GB"/>
        </w:rPr>
        <w:t xml:space="preserve">ted professions is limited to a light check of the qualifications instead of an in-depth check, as several Member States do, this would significantly lower these costs. Improving skills and job matching would generate some additional costs.  However, this </w:t>
      </w:r>
      <w:r>
        <w:rPr>
          <w:noProof/>
          <w:color w:val="000000"/>
          <w:lang w:eastAsia="en-GB"/>
        </w:rPr>
        <w:t>would be offset by the economic gains of a more efficient (re)allocation on the labour markets and better response to demands for HSW and skills shortages.  There are no practical or technical difficulties as the option is non-regulatory.</w:t>
      </w:r>
    </w:p>
    <w:p w:rsidR="007306CA" w:rsidRDefault="00576025">
      <w:pPr>
        <w:spacing w:after="120" w:line="240" w:lineRule="atLeast"/>
        <w:rPr>
          <w:rFonts w:eastAsiaTheme="majorEastAsia"/>
          <w:b/>
          <w:bCs/>
          <w:noProof/>
        </w:rPr>
      </w:pPr>
      <w:r>
        <w:rPr>
          <w:rFonts w:eastAsiaTheme="majorEastAsia"/>
          <w:b/>
          <w:bCs/>
          <w:noProof/>
        </w:rPr>
        <w:t>PO-B: Extending t</w:t>
      </w:r>
      <w:r>
        <w:rPr>
          <w:rFonts w:eastAsiaTheme="majorEastAsia"/>
          <w:b/>
          <w:bCs/>
          <w:noProof/>
        </w:rPr>
        <w:t>he Blue Card to innovative entrepreneurs</w:t>
      </w:r>
    </w:p>
    <w:p w:rsidR="007306CA" w:rsidRDefault="00576025">
      <w:pPr>
        <w:spacing w:after="120"/>
        <w:rPr>
          <w:b/>
          <w:i/>
          <w:noProof/>
          <w:lang w:eastAsia="en-GB"/>
        </w:rPr>
      </w:pPr>
      <w:r>
        <w:rPr>
          <w:noProof/>
        </w:rPr>
        <w:t>Economic literature repeatedly reports that migrants may have a somewhat higher entrepreneurial spirit than natives, due to the selective dimension of migration processes and the immigrants' tendency to take greater</w:t>
      </w:r>
      <w:r>
        <w:rPr>
          <w:noProof/>
        </w:rPr>
        <w:t xml:space="preserve"> risks. Migrant entrepreneurs' contribution to their host country is not limited to job creation but migrant entrepreneurship has a significant impact on innovative sectors. This is why several EU and third countries have recently adopted policies targetin</w:t>
      </w:r>
      <w:r>
        <w:rPr>
          <w:noProof/>
        </w:rPr>
        <w:t>g migrant entrepreneurs, both those already residing in the country (through mainstream or targeted business support programs), and those willing to immigrate (through specific admission policy that regulate the entry and stay in the country)</w:t>
      </w:r>
      <w:r>
        <w:rPr>
          <w:rStyle w:val="FootnoteReference"/>
          <w:noProof/>
        </w:rPr>
        <w:footnoteReference w:id="156"/>
      </w:r>
      <w:r>
        <w:rPr>
          <w:noProof/>
        </w:rPr>
        <w:t xml:space="preserve">. </w:t>
      </w:r>
      <w:r>
        <w:rPr>
          <w:noProof/>
          <w:color w:val="000000"/>
          <w:lang w:eastAsia="en-GB"/>
        </w:rPr>
        <w:t xml:space="preserve"> While 35 %</w:t>
      </w:r>
      <w:r>
        <w:rPr>
          <w:noProof/>
          <w:color w:val="000000"/>
          <w:lang w:eastAsia="en-GB"/>
        </w:rPr>
        <w:t xml:space="preserve"> of the respondents to the public consultation supported the inclusion of self-employed and entrepreneurs into the scope of the Blue Card</w:t>
      </w:r>
      <w:r>
        <w:rPr>
          <w:noProof/>
          <w:color w:val="000000"/>
          <w:vertAlign w:val="superscript"/>
          <w:lang w:eastAsia="en-GB"/>
        </w:rPr>
        <w:footnoteReference w:id="157"/>
      </w:r>
      <w:r>
        <w:rPr>
          <w:noProof/>
          <w:color w:val="000000"/>
          <w:lang w:eastAsia="en-GB"/>
        </w:rPr>
        <w:t>, most experts and many social and economic stakeholders were striking a more cautionary note, arguing that this categ</w:t>
      </w:r>
      <w:r>
        <w:rPr>
          <w:noProof/>
          <w:color w:val="000000"/>
          <w:lang w:eastAsia="en-GB"/>
        </w:rPr>
        <w:t>ory would require a very different regulatory framework and different selection criteria than employees, as well as other non-migration related support measures. In terms of consistency with other EU policies, it would be in line with initiatives on "start</w:t>
      </w:r>
      <w:r>
        <w:rPr>
          <w:noProof/>
          <w:color w:val="000000"/>
          <w:lang w:eastAsia="en-GB"/>
        </w:rPr>
        <w:t>-ups" and non-legislative support measures for entrepreneurs in the context of research and innovation.</w:t>
      </w:r>
    </w:p>
    <w:p w:rsidR="007306CA" w:rsidRDefault="00576025">
      <w:pPr>
        <w:spacing w:after="120"/>
        <w:rPr>
          <w:b/>
          <w:i/>
          <w:noProof/>
          <w:lang w:eastAsia="en-GB"/>
        </w:rPr>
      </w:pPr>
      <w:r>
        <w:rPr>
          <w:b/>
          <w:i/>
          <w:noProof/>
          <w:lang w:eastAsia="en-GB"/>
        </w:rPr>
        <w:tab/>
        <w:t>Effectiveness (rating: +1)</w:t>
      </w:r>
    </w:p>
    <w:p w:rsidR="007306CA" w:rsidRDefault="00576025">
      <w:pPr>
        <w:spacing w:after="120"/>
        <w:rPr>
          <w:noProof/>
          <w:color w:val="000000"/>
          <w:lang w:eastAsia="en-GB"/>
        </w:rPr>
      </w:pPr>
      <w:r>
        <w:rPr>
          <w:noProof/>
          <w:color w:val="000000"/>
          <w:lang w:eastAsia="en-GB"/>
        </w:rPr>
        <w:t>By extending the Blue Card to innovative entrepreneurs some contribution to the EU’s growth and competitiveness can be assum</w:t>
      </w:r>
      <w:r>
        <w:rPr>
          <w:noProof/>
          <w:color w:val="000000"/>
          <w:lang w:eastAsia="en-GB"/>
        </w:rPr>
        <w:t xml:space="preserve">ed (general objective 1), though it was not possible to quantify it due to lack of comprehensive data. It would also be difficult to estimate the extent to which this would improve the EU’s ability to effectively and promptly respond to demands for highly </w:t>
      </w:r>
      <w:r>
        <w:rPr>
          <w:noProof/>
          <w:color w:val="000000"/>
          <w:lang w:eastAsia="en-GB"/>
        </w:rPr>
        <w:t>skilled TCNs and to skill shortages (general objective 2). Entrepreneurs would not come to the EU as workers to take up employment and the job creation linked to entrepreneurial activities may take some time.</w:t>
      </w:r>
    </w:p>
    <w:p w:rsidR="007306CA" w:rsidRDefault="00576025">
      <w:pPr>
        <w:spacing w:after="120"/>
        <w:rPr>
          <w:noProof/>
        </w:rPr>
      </w:pPr>
      <w:r>
        <w:rPr>
          <w:noProof/>
          <w:color w:val="000000"/>
          <w:lang w:eastAsia="en-GB"/>
        </w:rPr>
        <w:t xml:space="preserve">Moreover, including a new and different category into the EU Blue Card (an instrument specifically designed for highly skilled </w:t>
      </w:r>
      <w:r>
        <w:rPr>
          <w:i/>
          <w:noProof/>
          <w:color w:val="000000"/>
          <w:lang w:eastAsia="en-GB"/>
        </w:rPr>
        <w:t>workers)</w:t>
      </w:r>
      <w:r>
        <w:rPr>
          <w:noProof/>
          <w:color w:val="000000"/>
          <w:lang w:eastAsia="en-GB"/>
        </w:rPr>
        <w:t xml:space="preserve"> would run counter some of the specific objectives such as creating a coherent, efficient and effective common immigratio</w:t>
      </w:r>
      <w:r>
        <w:rPr>
          <w:noProof/>
          <w:color w:val="000000"/>
          <w:lang w:eastAsia="en-GB"/>
        </w:rPr>
        <w:t xml:space="preserve">n system for </w:t>
      </w:r>
      <w:r>
        <w:rPr>
          <w:noProof/>
        </w:rPr>
        <w:t>highly skilled third-country nationals</w:t>
      </w:r>
      <w:r>
        <w:rPr>
          <w:noProof/>
          <w:color w:val="000000"/>
          <w:lang w:eastAsia="en-GB"/>
        </w:rPr>
        <w:t>. Including entrepreneurs in the scope of the EU Blue Card Directive would require sub-sets of different rules within the same instrument which would increase the complexity of the legal framework, undermi</w:t>
      </w:r>
      <w:r>
        <w:rPr>
          <w:noProof/>
          <w:color w:val="000000"/>
          <w:lang w:eastAsia="en-GB"/>
        </w:rPr>
        <w:t xml:space="preserve">ning its coherence, efficiency and effectiveness. </w:t>
      </w:r>
    </w:p>
    <w:p w:rsidR="007306CA" w:rsidRDefault="00576025">
      <w:pPr>
        <w:spacing w:after="120"/>
        <w:rPr>
          <w:b/>
          <w:i/>
          <w:noProof/>
          <w:color w:val="000000"/>
          <w:lang w:eastAsia="en-GB"/>
        </w:rPr>
      </w:pPr>
      <w:r>
        <w:rPr>
          <w:b/>
          <w:i/>
          <w:noProof/>
          <w:color w:val="000000"/>
          <w:lang w:eastAsia="en-GB"/>
        </w:rPr>
        <w:tab/>
        <w:t>Economic impacts (rating: +1)</w:t>
      </w:r>
    </w:p>
    <w:p w:rsidR="007306CA" w:rsidRDefault="00576025">
      <w:pPr>
        <w:spacing w:after="120"/>
        <w:rPr>
          <w:noProof/>
          <w:color w:val="000000"/>
          <w:lang w:eastAsia="en-GB"/>
        </w:rPr>
      </w:pPr>
      <w:r>
        <w:rPr>
          <w:noProof/>
          <w:color w:val="000000"/>
          <w:lang w:eastAsia="en-GB"/>
        </w:rPr>
        <w:t>Also for this option, even if a certain contribution to the EU’s competitiveness and potential for growth can be assumed by extending the Blue Card to innovative entrepreneurs, it is very difficult to estimate the potential for additional permits, due to i</w:t>
      </w:r>
      <w:r>
        <w:rPr>
          <w:noProof/>
          <w:color w:val="000000"/>
          <w:lang w:eastAsia="en-GB"/>
        </w:rPr>
        <w:t>nsufficient data, and thus quantify the economic impact. Moreover, this is a category for which facilitated admissions rules would need to be combined with complementary measures financial and operational support measures, in order to have a significant im</w:t>
      </w:r>
      <w:r>
        <w:rPr>
          <w:noProof/>
          <w:color w:val="000000"/>
          <w:lang w:eastAsia="en-GB"/>
        </w:rPr>
        <w:t>pact the EU’s competitiveness and growth. Impact on SMEs would also be limited as entrepreneurs would not come to the EU as workers to fill shortages. At the same time, increased access possibilities to the EU for (innovative) entrepreneurs via the Blue Ca</w:t>
      </w:r>
      <w:r>
        <w:rPr>
          <w:noProof/>
          <w:color w:val="000000"/>
          <w:lang w:eastAsia="en-GB"/>
        </w:rPr>
        <w:t xml:space="preserve">rd would have a positive impact on entrepreneurial activity which may lead to the creation of new start-up companies, in particular SMEs. </w:t>
      </w:r>
    </w:p>
    <w:p w:rsidR="007306CA" w:rsidRDefault="00576025">
      <w:pPr>
        <w:spacing w:after="120"/>
        <w:rPr>
          <w:b/>
          <w:i/>
          <w:noProof/>
          <w:color w:val="000000"/>
          <w:lang w:eastAsia="en-GB"/>
        </w:rPr>
      </w:pPr>
      <w:r>
        <w:rPr>
          <w:noProof/>
          <w:color w:val="000000"/>
          <w:lang w:eastAsia="en-GB"/>
        </w:rPr>
        <w:t xml:space="preserve">Increased entrepreneurial activity is likely to have a positive impact on innovation and research. However, the Blue </w:t>
      </w:r>
      <w:r>
        <w:rPr>
          <w:noProof/>
          <w:color w:val="000000"/>
          <w:lang w:eastAsia="en-GB"/>
        </w:rPr>
        <w:t xml:space="preserve">Card would only provide a permit/facilitated admission conditions, while other operational support measures would also be needed to create a fertile environment. </w:t>
      </w:r>
    </w:p>
    <w:p w:rsidR="007306CA" w:rsidRDefault="00576025">
      <w:pPr>
        <w:spacing w:after="120"/>
        <w:rPr>
          <w:b/>
          <w:i/>
          <w:noProof/>
          <w:color w:val="000000"/>
          <w:lang w:eastAsia="en-GB"/>
        </w:rPr>
      </w:pPr>
      <w:r>
        <w:rPr>
          <w:b/>
          <w:i/>
          <w:noProof/>
          <w:color w:val="000000"/>
          <w:lang w:eastAsia="en-GB"/>
        </w:rPr>
        <w:tab/>
        <w:t>Social impacts (rating: +1/+2)</w:t>
      </w:r>
    </w:p>
    <w:p w:rsidR="007306CA" w:rsidRDefault="00576025">
      <w:pPr>
        <w:spacing w:after="120"/>
        <w:rPr>
          <w:noProof/>
          <w:color w:val="000000"/>
          <w:lang w:eastAsia="en-GB"/>
        </w:rPr>
      </w:pPr>
      <w:r>
        <w:rPr>
          <w:noProof/>
          <w:color w:val="000000"/>
          <w:lang w:eastAsia="en-GB"/>
        </w:rPr>
        <w:t>Introducing an EU scheme for innovative entrepreneurs would b</w:t>
      </w:r>
      <w:r>
        <w:rPr>
          <w:noProof/>
          <w:color w:val="000000"/>
          <w:lang w:eastAsia="en-GB"/>
        </w:rPr>
        <w:t>e expected to have a positive though limited impact on overall economic growth, innovations and job creation in the EU, which would benefit EU citizens alike. If there was a scheme in place for entrepreneurs, it would add competition in the EU market.</w:t>
      </w:r>
    </w:p>
    <w:p w:rsidR="007306CA" w:rsidRDefault="00576025">
      <w:pPr>
        <w:spacing w:after="120"/>
        <w:rPr>
          <w:noProof/>
          <w:color w:val="000000"/>
          <w:lang w:eastAsia="en-GB"/>
        </w:rPr>
      </w:pPr>
      <w:r>
        <w:rPr>
          <w:noProof/>
          <w:color w:val="000000"/>
          <w:lang w:eastAsia="en-GB"/>
        </w:rPr>
        <w:t>Incl</w:t>
      </w:r>
      <w:r>
        <w:rPr>
          <w:noProof/>
          <w:color w:val="000000"/>
          <w:lang w:eastAsia="en-GB"/>
        </w:rPr>
        <w:t xml:space="preserve">uding innovative entrepreneurs in the Blue Card would provide more access possibilities to the EU and their rights and mobility – if made similar to those of HSW under the Blue Card scheme – would be enhanced. No significant impact is expected in on </w:t>
      </w:r>
      <w:r>
        <w:rPr>
          <w:b/>
          <w:noProof/>
          <w:color w:val="000000"/>
          <w:lang w:eastAsia="en-GB"/>
        </w:rPr>
        <w:t>intern</w:t>
      </w:r>
      <w:r>
        <w:rPr>
          <w:b/>
          <w:noProof/>
          <w:color w:val="000000"/>
          <w:lang w:eastAsia="en-GB"/>
        </w:rPr>
        <w:t>ational relations/third countries</w:t>
      </w:r>
      <w:r>
        <w:rPr>
          <w:noProof/>
          <w:color w:val="000000"/>
          <w:lang w:eastAsia="en-GB"/>
        </w:rPr>
        <w:t>.</w:t>
      </w:r>
    </w:p>
    <w:p w:rsidR="007306CA" w:rsidRDefault="00576025">
      <w:pPr>
        <w:spacing w:after="120"/>
        <w:rPr>
          <w:b/>
          <w:i/>
          <w:noProof/>
        </w:rPr>
      </w:pPr>
      <w:r>
        <w:rPr>
          <w:b/>
          <w:i/>
          <w:noProof/>
          <w:color w:val="000000"/>
          <w:lang w:eastAsia="en-GB"/>
        </w:rPr>
        <w:tab/>
      </w:r>
      <w:r>
        <w:rPr>
          <w:b/>
          <w:i/>
          <w:noProof/>
        </w:rPr>
        <w:t>Efficiency (rating: +1)</w:t>
      </w:r>
    </w:p>
    <w:p w:rsidR="007306CA" w:rsidRDefault="00576025">
      <w:pPr>
        <w:spacing w:after="120"/>
        <w:rPr>
          <w:noProof/>
          <w:color w:val="000000"/>
          <w:lang w:eastAsia="en-GB"/>
        </w:rPr>
      </w:pPr>
      <w:r>
        <w:rPr>
          <w:noProof/>
          <w:color w:val="000000"/>
          <w:lang w:eastAsia="en-GB"/>
        </w:rPr>
        <w:t>The administrative cost to public administrations would be expected to be significantly higher, as it would mean administering several Blue Cards systems next to each other. While there would be s</w:t>
      </w:r>
      <w:r>
        <w:rPr>
          <w:noProof/>
          <w:color w:val="000000"/>
          <w:lang w:eastAsia="en-GB"/>
        </w:rPr>
        <w:t>ome limited common elements, in order to differentiate between the different categories, there would have to be different entry conditions and corresponding rights. In practice this would also mean that different residence cards would need to issued and ke</w:t>
      </w:r>
      <w:r>
        <w:rPr>
          <w:noProof/>
          <w:color w:val="000000"/>
          <w:lang w:eastAsia="en-GB"/>
        </w:rPr>
        <w:t xml:space="preserve">pt track of which would require additional administrative efforts. The administrative burden for the TCN entrepreneurs would lower substantially with a more harmonised and simplified system, without many parallel schemes in all Member States, and improved </w:t>
      </w:r>
      <w:r>
        <w:rPr>
          <w:noProof/>
          <w:color w:val="000000"/>
          <w:lang w:eastAsia="en-GB"/>
        </w:rPr>
        <w:t>intra-EU mobility possibilities. There would be no relevant administrative burden for businesses.</w:t>
      </w:r>
    </w:p>
    <w:p w:rsidR="007306CA" w:rsidRDefault="00576025">
      <w:pPr>
        <w:spacing w:after="120"/>
        <w:rPr>
          <w:noProof/>
          <w:color w:val="000000"/>
          <w:lang w:eastAsia="en-GB"/>
        </w:rPr>
      </w:pPr>
      <w:r>
        <w:rPr>
          <w:noProof/>
          <w:color w:val="000000"/>
          <w:lang w:eastAsia="en-GB"/>
        </w:rPr>
        <w:t>In terms of practical or technical difficulties introducing an EU scheme for innovative entrepreneurs, would effectively require a separate subset of entry co</w:t>
      </w:r>
      <w:r>
        <w:rPr>
          <w:noProof/>
          <w:color w:val="000000"/>
          <w:lang w:eastAsia="en-GB"/>
        </w:rPr>
        <w:t>nditions and rights next to those for HSW in an employment relationship. While technically feasible, regulating these very different categories in one single instrument would affect legal clarity and add complexity.</w:t>
      </w:r>
    </w:p>
    <w:p w:rsidR="007306CA" w:rsidRDefault="00576025">
      <w:pPr>
        <w:spacing w:after="120" w:line="240" w:lineRule="atLeast"/>
        <w:rPr>
          <w:rFonts w:eastAsiaTheme="majorEastAsia"/>
          <w:b/>
          <w:bCs/>
          <w:noProof/>
        </w:rPr>
      </w:pPr>
      <w:r>
        <w:rPr>
          <w:rFonts w:eastAsiaTheme="majorEastAsia"/>
          <w:b/>
          <w:bCs/>
          <w:noProof/>
        </w:rPr>
        <w:t xml:space="preserve">PO-C: Extending the Blue Card to highly </w:t>
      </w:r>
      <w:r>
        <w:rPr>
          <w:rFonts w:eastAsiaTheme="majorEastAsia"/>
          <w:b/>
          <w:bCs/>
          <w:noProof/>
        </w:rPr>
        <w:t>skilled beneficiaries of international protection and asylum applicants</w:t>
      </w:r>
    </w:p>
    <w:p w:rsidR="007306CA" w:rsidRDefault="00576025">
      <w:pPr>
        <w:spacing w:after="120"/>
        <w:rPr>
          <w:noProof/>
        </w:rPr>
      </w:pPr>
      <w:r>
        <w:rPr>
          <w:noProof/>
        </w:rPr>
        <w:t>Many stakeholders have either no outspoken opinion on the matter or a negative opinion from a principled and traditional perspective of keeping international protection and labour migr</w:t>
      </w:r>
      <w:r>
        <w:rPr>
          <w:noProof/>
        </w:rPr>
        <w:t>ation separate). On the other hand, several stakeholders, and employers in particular, support the swift labour market integration of beneficiaries of international protection, including the possibility to apply for the Blue Card. Views are more split as r</w:t>
      </w:r>
      <w:r>
        <w:rPr>
          <w:noProof/>
        </w:rPr>
        <w:t xml:space="preserve">egards asylum seekers, due to the more complex interaction with the parallel asylum procedure.  </w:t>
      </w:r>
    </w:p>
    <w:p w:rsidR="007306CA" w:rsidRDefault="00576025">
      <w:pPr>
        <w:spacing w:after="120"/>
        <w:rPr>
          <w:b/>
          <w:i/>
          <w:noProof/>
        </w:rPr>
      </w:pPr>
      <w:r>
        <w:rPr>
          <w:b/>
          <w:i/>
          <w:noProof/>
        </w:rPr>
        <w:tab/>
        <w:t>Effectiveness (rating: 0/+1)</w:t>
      </w:r>
    </w:p>
    <w:p w:rsidR="007306CA" w:rsidRDefault="00576025">
      <w:pPr>
        <w:spacing w:after="120"/>
        <w:rPr>
          <w:noProof/>
          <w:color w:val="000000"/>
          <w:lang w:eastAsia="en-GB"/>
        </w:rPr>
      </w:pPr>
      <w:r>
        <w:rPr>
          <w:noProof/>
        </w:rPr>
        <w:t xml:space="preserve">Given that a possible extension of the Blue Card to beneficiaries of international protection and/or asylum seekers (with labour </w:t>
      </w:r>
      <w:r>
        <w:rPr>
          <w:noProof/>
        </w:rPr>
        <w:t>market access) would only concern those with high skills and qualification, the number of refugees/asylum seekers eligible for the Blue Card would be rather small. Impact on the achievements of the objective would thus be very limited. For the same reason,</w:t>
      </w:r>
      <w:r>
        <w:rPr>
          <w:noProof/>
        </w:rPr>
        <w:t xml:space="preserve"> this would </w:t>
      </w:r>
      <w:r>
        <w:rPr>
          <w:noProof/>
          <w:color w:val="000000"/>
          <w:lang w:eastAsia="en-GB"/>
        </w:rPr>
        <w:t>not significantly improve the EU’s ability to effectively and promptly respond to demands for HSW and to skill shortages..</w:t>
      </w:r>
    </w:p>
    <w:p w:rsidR="007306CA" w:rsidRDefault="00576025">
      <w:pPr>
        <w:spacing w:after="120"/>
        <w:rPr>
          <w:b/>
          <w:i/>
          <w:noProof/>
        </w:rPr>
      </w:pPr>
      <w:r>
        <w:rPr>
          <w:noProof/>
          <w:color w:val="000000"/>
          <w:lang w:eastAsia="en-GB"/>
        </w:rPr>
        <w:t>In terms of coherence the legal framework, this would require some specific rules and  add legal complexity especially as</w:t>
      </w:r>
      <w:r>
        <w:rPr>
          <w:noProof/>
          <w:color w:val="000000"/>
          <w:lang w:eastAsia="en-GB"/>
        </w:rPr>
        <w:t xml:space="preserve"> regards asylum seekers because it would have to be determined what happens with the two separate procedures (run in parallel or put the asylum one on hold). Also, a specific status would have to be created for beneficiaries to guarantee the necessary elem</w:t>
      </w:r>
      <w:r>
        <w:rPr>
          <w:noProof/>
          <w:color w:val="000000"/>
          <w:lang w:eastAsia="en-GB"/>
        </w:rPr>
        <w:t xml:space="preserve">ents of the protection status in the Blue Card status. </w:t>
      </w:r>
    </w:p>
    <w:p w:rsidR="007306CA" w:rsidRDefault="00576025">
      <w:pPr>
        <w:spacing w:after="120"/>
        <w:rPr>
          <w:b/>
          <w:i/>
          <w:noProof/>
        </w:rPr>
      </w:pPr>
      <w:r>
        <w:rPr>
          <w:b/>
          <w:i/>
          <w:noProof/>
        </w:rPr>
        <w:tab/>
        <w:t>Economic impact (rating: 0)</w:t>
      </w:r>
    </w:p>
    <w:p w:rsidR="007306CA" w:rsidRDefault="00576025">
      <w:pPr>
        <w:spacing w:after="120"/>
        <w:rPr>
          <w:noProof/>
        </w:rPr>
      </w:pPr>
      <w:r>
        <w:rPr>
          <w:noProof/>
          <w:color w:val="000000"/>
          <w:lang w:eastAsia="en-GB"/>
        </w:rPr>
        <w:t>The economic impact is difficult to quantify but would be limited,   given the relatively limited number of people who would be eligible for a Blue Card and the variety of</w:t>
      </w:r>
      <w:r>
        <w:rPr>
          <w:noProof/>
          <w:color w:val="000000"/>
          <w:lang w:eastAsia="en-GB"/>
        </w:rPr>
        <w:t xml:space="preserve"> skills level of recently admitted refugees and asylum seekers (see Annex 16). For the same reasons, impact on SMEs and innovation and research would be negligible.</w:t>
      </w:r>
    </w:p>
    <w:p w:rsidR="007306CA" w:rsidRDefault="00576025">
      <w:pPr>
        <w:spacing w:after="120"/>
        <w:rPr>
          <w:b/>
          <w:i/>
          <w:noProof/>
        </w:rPr>
      </w:pPr>
      <w:r>
        <w:rPr>
          <w:b/>
          <w:i/>
          <w:noProof/>
        </w:rPr>
        <w:tab/>
        <w:t>Social impacts (rating: +1)</w:t>
      </w:r>
    </w:p>
    <w:p w:rsidR="007306CA" w:rsidRDefault="00576025">
      <w:pPr>
        <w:spacing w:after="120"/>
        <w:rPr>
          <w:noProof/>
          <w:color w:val="000000"/>
          <w:lang w:eastAsia="en-GB"/>
        </w:rPr>
      </w:pPr>
      <w:r>
        <w:rPr>
          <w:noProof/>
          <w:color w:val="000000"/>
          <w:lang w:eastAsia="en-GB"/>
        </w:rPr>
        <w:t>The social impact would overall be positive, especially for th</w:t>
      </w:r>
      <w:r>
        <w:rPr>
          <w:noProof/>
          <w:color w:val="000000"/>
          <w:lang w:eastAsia="en-GB"/>
        </w:rPr>
        <w:t>e third country nationals concerned, though it would not provide more access possibilities to the EU as this is regulated by the asylum acquis. There would be a positive impact also on the freedom of movement and residence due to enhanced mobility and to t</w:t>
      </w:r>
      <w:r>
        <w:rPr>
          <w:noProof/>
          <w:color w:val="000000"/>
          <w:lang w:eastAsia="en-GB"/>
        </w:rPr>
        <w:t>he quicker access to long-term resident status included in the Blue Card scheme. Allowing beneficiaries of international protection to apply for a Blue Card would enhance their mobility rights under EU law and enable to have their skills best used within t</w:t>
      </w:r>
      <w:r>
        <w:rPr>
          <w:noProof/>
          <w:color w:val="000000"/>
          <w:lang w:eastAsia="en-GB"/>
        </w:rPr>
        <w:t xml:space="preserve">he EU, thereby contributing to a greater economic and social cohesion. </w:t>
      </w:r>
    </w:p>
    <w:p w:rsidR="007306CA" w:rsidRDefault="00576025">
      <w:pPr>
        <w:spacing w:after="120"/>
        <w:rPr>
          <w:noProof/>
          <w:color w:val="000000"/>
          <w:lang w:eastAsia="en-GB"/>
        </w:rPr>
      </w:pPr>
      <w:r>
        <w:rPr>
          <w:noProof/>
          <w:color w:val="000000"/>
          <w:lang w:eastAsia="en-GB"/>
        </w:rPr>
        <w:t>No negative impacts are foreseen for EU citizens as it would concern people already in the EU and contribute to using the talent already here.  In addition, the overall number of migra</w:t>
      </w:r>
      <w:r>
        <w:rPr>
          <w:noProof/>
          <w:color w:val="000000"/>
          <w:lang w:eastAsia="en-GB"/>
        </w:rPr>
        <w:t>nts in this group that would be eligible for an EU Blue Card is not expected to be high.</w:t>
      </w:r>
    </w:p>
    <w:p w:rsidR="007306CA" w:rsidRDefault="00576025">
      <w:pPr>
        <w:spacing w:after="120"/>
        <w:rPr>
          <w:b/>
          <w:i/>
          <w:noProof/>
          <w:color w:val="000000"/>
          <w:lang w:eastAsia="en-GB"/>
        </w:rPr>
      </w:pPr>
      <w:r>
        <w:rPr>
          <w:noProof/>
          <w:color w:val="000000"/>
          <w:lang w:eastAsia="en-GB"/>
        </w:rPr>
        <w:tab/>
      </w:r>
      <w:r>
        <w:rPr>
          <w:b/>
          <w:i/>
          <w:noProof/>
          <w:color w:val="000000"/>
          <w:lang w:eastAsia="en-GB"/>
        </w:rPr>
        <w:t>Efficiency (rating: +1)</w:t>
      </w:r>
    </w:p>
    <w:p w:rsidR="007306CA" w:rsidRDefault="00576025">
      <w:pPr>
        <w:spacing w:after="120"/>
        <w:rPr>
          <w:noProof/>
          <w:color w:val="000000"/>
          <w:lang w:eastAsia="en-GB"/>
        </w:rPr>
      </w:pPr>
      <w:r>
        <w:rPr>
          <w:noProof/>
          <w:color w:val="000000"/>
          <w:lang w:eastAsia="en-GB"/>
        </w:rPr>
        <w:t>The administrative cost to public administrations</w:t>
      </w:r>
      <w:r>
        <w:rPr>
          <w:b/>
          <w:noProof/>
          <w:color w:val="000000"/>
          <w:lang w:eastAsia="en-GB"/>
        </w:rPr>
        <w:t xml:space="preserve"> </w:t>
      </w:r>
      <w:r>
        <w:rPr>
          <w:noProof/>
          <w:color w:val="000000"/>
          <w:lang w:eastAsia="en-GB"/>
        </w:rPr>
        <w:t>would be expected to be slightly higher, especially when two procedures would run in paralle</w:t>
      </w:r>
      <w:r>
        <w:rPr>
          <w:noProof/>
          <w:color w:val="000000"/>
          <w:lang w:eastAsia="en-GB"/>
        </w:rPr>
        <w:t xml:space="preserve">l (asylum and Blue Card). </w:t>
      </w:r>
    </w:p>
    <w:p w:rsidR="007306CA" w:rsidRDefault="00576025">
      <w:pPr>
        <w:spacing w:after="120"/>
        <w:rPr>
          <w:b/>
          <w:i/>
          <w:noProof/>
        </w:rPr>
      </w:pPr>
      <w:r>
        <w:rPr>
          <w:noProof/>
          <w:color w:val="000000"/>
          <w:lang w:eastAsia="en-GB"/>
        </w:rPr>
        <w:t>In terms of practical or technical difficulties, labour migration and asylum are very different strands and have therefore traditionally been kept separate. Including them in the Blue Card would raise some practical questions reg</w:t>
      </w:r>
      <w:r>
        <w:rPr>
          <w:noProof/>
          <w:color w:val="000000"/>
          <w:lang w:eastAsia="en-GB"/>
        </w:rPr>
        <w:t xml:space="preserve">arding the resulting double procedure/status, but they should be manageable in the Member States. Furthermore, there could be a risk of encouraging other persons than those in need of protection to choose the asylum route. However, the exclusive nature of </w:t>
      </w:r>
      <w:r>
        <w:rPr>
          <w:noProof/>
          <w:color w:val="000000"/>
          <w:lang w:eastAsia="en-GB"/>
        </w:rPr>
        <w:t>the EU Blue Card and the fact that a job offer is always required would offset the risk of creating a pull factor. In addition, for someone who is eligible for a Blue Card and has found a job in the EU, irregular channels would appear to entail an unreason</w:t>
      </w:r>
      <w:r>
        <w:rPr>
          <w:noProof/>
          <w:color w:val="000000"/>
          <w:lang w:eastAsia="en-GB"/>
        </w:rPr>
        <w:t xml:space="preserve">ably high risk and cost. Sufficient safeguards should be foreseen to address any abuses.The effect of this inclusion might not end up being significant in numbers, but it would make the skills and professional potential of refugees and other beneficiaries </w:t>
      </w:r>
      <w:r>
        <w:rPr>
          <w:noProof/>
          <w:color w:val="000000"/>
          <w:lang w:eastAsia="en-GB"/>
        </w:rPr>
        <w:t>of international protection more visible in the host communities.</w:t>
      </w:r>
    </w:p>
    <w:p w:rsidR="007306CA" w:rsidRDefault="00576025">
      <w:pPr>
        <w:pStyle w:val="Heading1"/>
        <w:spacing w:after="120"/>
        <w:ind w:left="482" w:hanging="482"/>
        <w:rPr>
          <w:noProof/>
        </w:rPr>
      </w:pPr>
      <w:bookmarkStart w:id="54" w:name="_Toc441850302"/>
      <w:bookmarkStart w:id="55" w:name="_Toc440474355"/>
      <w:bookmarkStart w:id="56" w:name="_Toc441850388"/>
      <w:bookmarkStart w:id="57" w:name="_Toc452679063"/>
      <w:bookmarkEnd w:id="54"/>
      <w:bookmarkEnd w:id="55"/>
      <w:bookmarkEnd w:id="56"/>
      <w:r>
        <w:rPr>
          <w:noProof/>
        </w:rPr>
        <w:t>Comparison of the policy option packages</w:t>
      </w:r>
      <w:bookmarkEnd w:id="57"/>
      <w:r>
        <w:rPr>
          <w:noProof/>
        </w:rPr>
        <w:t xml:space="preserve"> </w:t>
      </w:r>
      <w:bookmarkEnd w:id="53"/>
    </w:p>
    <w:p w:rsidR="007306CA" w:rsidRDefault="00576025">
      <w:pPr>
        <w:pStyle w:val="Heading2"/>
        <w:tabs>
          <w:tab w:val="num" w:pos="851"/>
        </w:tabs>
        <w:spacing w:after="120"/>
        <w:ind w:left="709"/>
        <w:rPr>
          <w:noProof/>
        </w:rPr>
      </w:pPr>
      <w:bookmarkStart w:id="58" w:name="_Toc452679064"/>
      <w:r>
        <w:rPr>
          <w:noProof/>
        </w:rPr>
        <w:t>Overview</w:t>
      </w:r>
      <w:bookmarkEnd w:id="58"/>
    </w:p>
    <w:p w:rsidR="007306CA" w:rsidRDefault="00576025">
      <w:pPr>
        <w:spacing w:after="120"/>
        <w:rPr>
          <w:noProof/>
        </w:rPr>
      </w:pPr>
      <w:r>
        <w:rPr>
          <w:noProof/>
        </w:rPr>
        <w:t xml:space="preserve">The left side of the table below presents an overview of the ratings of the impacts of each policy options package. It should be noted </w:t>
      </w:r>
      <w:r>
        <w:rPr>
          <w:noProof/>
        </w:rPr>
        <w:t>that, while these ratings allow for a comparison between POPs, the various ratings for a particular PO cannot be cumulated since there is no objective basis to weigh one assessment criterion over another. The options that have been discarded are not includ</w:t>
      </w:r>
      <w:r>
        <w:rPr>
          <w:noProof/>
        </w:rPr>
        <w:t>ed. The right side of the table rates the impact of the horizontal options.</w:t>
      </w:r>
    </w:p>
    <w:tbl>
      <w:tblPr>
        <w:tblW w:w="8736" w:type="dxa"/>
        <w:jc w:val="center"/>
        <w:tblLayout w:type="fixed"/>
        <w:tblLook w:val="04A0" w:firstRow="1" w:lastRow="0" w:firstColumn="1" w:lastColumn="0" w:noHBand="0" w:noVBand="1"/>
      </w:tblPr>
      <w:tblGrid>
        <w:gridCol w:w="4000"/>
        <w:gridCol w:w="560"/>
        <w:gridCol w:w="560"/>
        <w:gridCol w:w="560"/>
        <w:gridCol w:w="560"/>
        <w:gridCol w:w="560"/>
        <w:gridCol w:w="236"/>
        <w:gridCol w:w="569"/>
        <w:gridCol w:w="571"/>
        <w:gridCol w:w="560"/>
      </w:tblGrid>
      <w:tr w:rsidR="007306CA">
        <w:trPr>
          <w:trHeight w:val="300"/>
          <w:jc w:val="center"/>
        </w:trPr>
        <w:tc>
          <w:tcPr>
            <w:tcW w:w="4000" w:type="dxa"/>
            <w:tcBorders>
              <w:top w:val="single" w:sz="8" w:space="0" w:color="auto"/>
              <w:left w:val="single" w:sz="8" w:space="0" w:color="auto"/>
              <w:bottom w:val="nil"/>
              <w:right w:val="single" w:sz="8" w:space="0" w:color="auto"/>
            </w:tcBorders>
            <w:shd w:val="clear" w:color="auto" w:fill="auto"/>
            <w:noWrap/>
            <w:vAlign w:val="center"/>
            <w:hideMark/>
          </w:tcPr>
          <w:p w:rsidR="007306CA" w:rsidRDefault="00576025">
            <w:pPr>
              <w:spacing w:after="0"/>
              <w:jc w:val="left"/>
              <w:rPr>
                <w:rFonts w:ascii="Calibri" w:hAnsi="Calibri" w:cs="Calibri"/>
                <w:noProof/>
                <w:color w:val="000000"/>
                <w:sz w:val="22"/>
                <w:szCs w:val="22"/>
                <w:lang w:eastAsia="en-GB"/>
              </w:rPr>
            </w:pPr>
            <w:r>
              <w:rPr>
                <w:rFonts w:ascii="Calibri" w:hAnsi="Calibri" w:cs="Calibri"/>
                <w:noProof/>
                <w:color w:val="000000"/>
                <w:sz w:val="22"/>
                <w:szCs w:val="22"/>
                <w:lang w:eastAsia="en-GB"/>
              </w:rPr>
              <w:t> </w:t>
            </w:r>
          </w:p>
        </w:tc>
        <w:tc>
          <w:tcPr>
            <w:tcW w:w="2800" w:type="dxa"/>
            <w:gridSpan w:val="5"/>
            <w:tcBorders>
              <w:top w:val="single" w:sz="8" w:space="0" w:color="auto"/>
              <w:left w:val="nil"/>
              <w:bottom w:val="single" w:sz="4" w:space="0" w:color="auto"/>
              <w:right w:val="single" w:sz="4" w:space="0" w:color="auto"/>
            </w:tcBorders>
            <w:shd w:val="clear" w:color="auto" w:fill="auto"/>
            <w:noWrap/>
            <w:vAlign w:val="center"/>
            <w:hideMark/>
          </w:tcPr>
          <w:p w:rsidR="007306CA" w:rsidRDefault="00576025">
            <w:pPr>
              <w:spacing w:after="0"/>
              <w:jc w:val="center"/>
              <w:rPr>
                <w:b/>
                <w:bCs/>
                <w:noProof/>
                <w:color w:val="000000"/>
                <w:sz w:val="20"/>
                <w:szCs w:val="20"/>
                <w:lang w:eastAsia="en-GB"/>
              </w:rPr>
            </w:pPr>
            <w:r>
              <w:rPr>
                <w:b/>
                <w:bCs/>
                <w:noProof/>
                <w:color w:val="000000"/>
                <w:sz w:val="20"/>
                <w:szCs w:val="20"/>
                <w:lang w:eastAsia="en-GB"/>
              </w:rPr>
              <w:t>Legislative options</w:t>
            </w:r>
          </w:p>
        </w:tc>
        <w:tc>
          <w:tcPr>
            <w:tcW w:w="236" w:type="dxa"/>
            <w:tcBorders>
              <w:top w:val="single" w:sz="4" w:space="0" w:color="auto"/>
              <w:left w:val="single" w:sz="4" w:space="0" w:color="auto"/>
              <w:bottom w:val="nil"/>
              <w:right w:val="single" w:sz="4" w:space="0" w:color="auto"/>
            </w:tcBorders>
            <w:shd w:val="clear" w:color="000000" w:fill="8DB4E2"/>
            <w:textDirection w:val="btLr"/>
            <w:vAlign w:val="center"/>
            <w:hideMark/>
          </w:tcPr>
          <w:p w:rsidR="007306CA" w:rsidRDefault="007306CA">
            <w:pPr>
              <w:spacing w:after="0"/>
              <w:jc w:val="center"/>
              <w:rPr>
                <w:b/>
                <w:bCs/>
                <w:noProof/>
                <w:color w:val="000000"/>
                <w:sz w:val="20"/>
                <w:szCs w:val="20"/>
                <w:lang w:eastAsia="en-GB"/>
              </w:rPr>
            </w:pPr>
          </w:p>
        </w:tc>
        <w:tc>
          <w:tcPr>
            <w:tcW w:w="1700" w:type="dxa"/>
            <w:gridSpan w:val="3"/>
            <w:tcBorders>
              <w:top w:val="single" w:sz="8" w:space="0" w:color="auto"/>
              <w:left w:val="single" w:sz="4" w:space="0" w:color="auto"/>
              <w:bottom w:val="single" w:sz="4" w:space="0" w:color="auto"/>
              <w:right w:val="single" w:sz="8" w:space="0" w:color="000000"/>
            </w:tcBorders>
            <w:shd w:val="clear" w:color="auto" w:fill="auto"/>
            <w:noWrap/>
            <w:vAlign w:val="center"/>
            <w:hideMark/>
          </w:tcPr>
          <w:p w:rsidR="007306CA" w:rsidRDefault="00576025">
            <w:pPr>
              <w:spacing w:after="0"/>
              <w:jc w:val="center"/>
              <w:rPr>
                <w:b/>
                <w:bCs/>
                <w:noProof/>
                <w:color w:val="000000"/>
                <w:sz w:val="20"/>
                <w:szCs w:val="20"/>
                <w:lang w:eastAsia="en-GB"/>
              </w:rPr>
            </w:pPr>
            <w:r>
              <w:rPr>
                <w:b/>
                <w:bCs/>
                <w:noProof/>
                <w:color w:val="000000"/>
                <w:sz w:val="20"/>
                <w:szCs w:val="20"/>
                <w:lang w:eastAsia="en-GB"/>
              </w:rPr>
              <w:t>Horizontal options</w:t>
            </w:r>
          </w:p>
        </w:tc>
      </w:tr>
      <w:tr w:rsidR="007306CA">
        <w:trPr>
          <w:trHeight w:val="810"/>
          <w:jc w:val="center"/>
        </w:trPr>
        <w:tc>
          <w:tcPr>
            <w:tcW w:w="4000" w:type="dxa"/>
            <w:tcBorders>
              <w:top w:val="single" w:sz="4" w:space="0" w:color="auto"/>
              <w:left w:val="single" w:sz="8" w:space="0" w:color="auto"/>
              <w:bottom w:val="nil"/>
              <w:right w:val="single" w:sz="8" w:space="0" w:color="auto"/>
            </w:tcBorders>
            <w:shd w:val="clear" w:color="000000" w:fill="8DB4E2"/>
            <w:vAlign w:val="center"/>
            <w:hideMark/>
          </w:tcPr>
          <w:p w:rsidR="007306CA" w:rsidRDefault="00576025">
            <w:pPr>
              <w:spacing w:after="0"/>
              <w:jc w:val="left"/>
              <w:rPr>
                <w:b/>
                <w:bCs/>
                <w:noProof/>
                <w:color w:val="000000"/>
                <w:sz w:val="20"/>
                <w:szCs w:val="20"/>
                <w:lang w:eastAsia="en-GB"/>
              </w:rPr>
            </w:pPr>
            <w:r>
              <w:rPr>
                <w:b/>
                <w:bCs/>
                <w:noProof/>
                <w:color w:val="000000"/>
                <w:sz w:val="20"/>
                <w:szCs w:val="20"/>
                <w:lang w:eastAsia="en-GB"/>
              </w:rPr>
              <w:t> </w:t>
            </w:r>
          </w:p>
        </w:tc>
        <w:tc>
          <w:tcPr>
            <w:tcW w:w="560" w:type="dxa"/>
            <w:tcBorders>
              <w:top w:val="nil"/>
              <w:left w:val="nil"/>
              <w:bottom w:val="nil"/>
              <w:right w:val="single" w:sz="4" w:space="0" w:color="auto"/>
            </w:tcBorders>
            <w:shd w:val="clear" w:color="000000" w:fill="8DB4E2"/>
            <w:textDirection w:val="btLr"/>
            <w:vAlign w:val="center"/>
            <w:hideMark/>
          </w:tcPr>
          <w:p w:rsidR="007306CA" w:rsidRDefault="00576025">
            <w:pPr>
              <w:spacing w:after="0"/>
              <w:jc w:val="center"/>
              <w:rPr>
                <w:b/>
                <w:bCs/>
                <w:noProof/>
                <w:color w:val="000000"/>
                <w:sz w:val="20"/>
                <w:szCs w:val="20"/>
                <w:lang w:eastAsia="en-GB"/>
              </w:rPr>
            </w:pPr>
            <w:r>
              <w:rPr>
                <w:b/>
                <w:bCs/>
                <w:noProof/>
                <w:color w:val="000000"/>
                <w:sz w:val="20"/>
                <w:szCs w:val="20"/>
                <w:lang w:eastAsia="en-GB"/>
              </w:rPr>
              <w:t>POP1</w:t>
            </w:r>
          </w:p>
        </w:tc>
        <w:tc>
          <w:tcPr>
            <w:tcW w:w="560" w:type="dxa"/>
            <w:tcBorders>
              <w:top w:val="nil"/>
              <w:left w:val="nil"/>
              <w:bottom w:val="nil"/>
              <w:right w:val="single" w:sz="4" w:space="0" w:color="auto"/>
            </w:tcBorders>
            <w:shd w:val="clear" w:color="000000" w:fill="8DB4E2"/>
            <w:textDirection w:val="btLr"/>
            <w:vAlign w:val="center"/>
            <w:hideMark/>
          </w:tcPr>
          <w:p w:rsidR="007306CA" w:rsidRDefault="00576025">
            <w:pPr>
              <w:spacing w:after="0"/>
              <w:jc w:val="center"/>
              <w:rPr>
                <w:b/>
                <w:bCs/>
                <w:noProof/>
                <w:color w:val="000000"/>
                <w:sz w:val="20"/>
                <w:szCs w:val="20"/>
                <w:lang w:eastAsia="en-GB"/>
              </w:rPr>
            </w:pPr>
            <w:r>
              <w:rPr>
                <w:b/>
                <w:bCs/>
                <w:noProof/>
                <w:color w:val="000000"/>
                <w:sz w:val="20"/>
                <w:szCs w:val="20"/>
                <w:lang w:eastAsia="en-GB"/>
              </w:rPr>
              <w:t>POP2(a)</w:t>
            </w:r>
          </w:p>
        </w:tc>
        <w:tc>
          <w:tcPr>
            <w:tcW w:w="560" w:type="dxa"/>
            <w:tcBorders>
              <w:top w:val="nil"/>
              <w:left w:val="nil"/>
              <w:bottom w:val="nil"/>
              <w:right w:val="single" w:sz="4" w:space="0" w:color="auto"/>
            </w:tcBorders>
            <w:shd w:val="clear" w:color="000000" w:fill="8DB4E2"/>
            <w:textDirection w:val="btLr"/>
            <w:vAlign w:val="center"/>
            <w:hideMark/>
          </w:tcPr>
          <w:p w:rsidR="007306CA" w:rsidRDefault="00576025">
            <w:pPr>
              <w:spacing w:after="0"/>
              <w:jc w:val="center"/>
              <w:rPr>
                <w:b/>
                <w:bCs/>
                <w:noProof/>
                <w:color w:val="000000"/>
                <w:sz w:val="20"/>
                <w:szCs w:val="20"/>
                <w:lang w:eastAsia="en-GB"/>
              </w:rPr>
            </w:pPr>
            <w:r>
              <w:rPr>
                <w:b/>
                <w:bCs/>
                <w:noProof/>
                <w:color w:val="000000"/>
                <w:sz w:val="20"/>
                <w:szCs w:val="20"/>
                <w:lang w:eastAsia="en-GB"/>
              </w:rPr>
              <w:t>POP2(b)</w:t>
            </w:r>
          </w:p>
        </w:tc>
        <w:tc>
          <w:tcPr>
            <w:tcW w:w="560" w:type="dxa"/>
            <w:tcBorders>
              <w:top w:val="nil"/>
              <w:left w:val="nil"/>
              <w:bottom w:val="nil"/>
              <w:right w:val="single" w:sz="4" w:space="0" w:color="auto"/>
            </w:tcBorders>
            <w:shd w:val="clear" w:color="000000" w:fill="8DB4E2"/>
            <w:textDirection w:val="btLr"/>
            <w:vAlign w:val="center"/>
            <w:hideMark/>
          </w:tcPr>
          <w:p w:rsidR="007306CA" w:rsidRDefault="00576025">
            <w:pPr>
              <w:spacing w:after="0"/>
              <w:jc w:val="center"/>
              <w:rPr>
                <w:b/>
                <w:bCs/>
                <w:noProof/>
                <w:color w:val="000000"/>
                <w:sz w:val="20"/>
                <w:szCs w:val="20"/>
                <w:lang w:eastAsia="en-GB"/>
              </w:rPr>
            </w:pPr>
            <w:r>
              <w:rPr>
                <w:b/>
                <w:bCs/>
                <w:noProof/>
                <w:color w:val="000000"/>
                <w:sz w:val="20"/>
                <w:szCs w:val="20"/>
                <w:lang w:eastAsia="en-GB"/>
              </w:rPr>
              <w:t>POP2(c)</w:t>
            </w:r>
          </w:p>
        </w:tc>
        <w:tc>
          <w:tcPr>
            <w:tcW w:w="560" w:type="dxa"/>
            <w:tcBorders>
              <w:top w:val="nil"/>
              <w:left w:val="nil"/>
              <w:bottom w:val="nil"/>
              <w:right w:val="single" w:sz="4" w:space="0" w:color="auto"/>
            </w:tcBorders>
            <w:shd w:val="clear" w:color="000000" w:fill="8DB4E2"/>
            <w:textDirection w:val="btLr"/>
            <w:vAlign w:val="center"/>
            <w:hideMark/>
          </w:tcPr>
          <w:p w:rsidR="007306CA" w:rsidRDefault="00576025">
            <w:pPr>
              <w:spacing w:after="0"/>
              <w:jc w:val="center"/>
              <w:rPr>
                <w:b/>
                <w:bCs/>
                <w:noProof/>
                <w:color w:val="000000"/>
                <w:sz w:val="20"/>
                <w:szCs w:val="20"/>
                <w:lang w:eastAsia="en-GB"/>
              </w:rPr>
            </w:pPr>
            <w:r>
              <w:rPr>
                <w:b/>
                <w:bCs/>
                <w:noProof/>
                <w:color w:val="000000"/>
                <w:sz w:val="20"/>
                <w:szCs w:val="20"/>
                <w:lang w:eastAsia="en-GB"/>
              </w:rPr>
              <w:t>POP3</w:t>
            </w:r>
          </w:p>
        </w:tc>
        <w:tc>
          <w:tcPr>
            <w:tcW w:w="236" w:type="dxa"/>
            <w:tcBorders>
              <w:top w:val="nil"/>
              <w:left w:val="single" w:sz="4" w:space="0" w:color="auto"/>
              <w:bottom w:val="nil"/>
              <w:right w:val="single" w:sz="4" w:space="0" w:color="auto"/>
            </w:tcBorders>
            <w:shd w:val="clear" w:color="000000" w:fill="8DB4E2"/>
            <w:textDirection w:val="btLr"/>
            <w:vAlign w:val="center"/>
            <w:hideMark/>
          </w:tcPr>
          <w:p w:rsidR="007306CA" w:rsidRDefault="00576025">
            <w:pPr>
              <w:spacing w:after="0"/>
              <w:jc w:val="center"/>
              <w:rPr>
                <w:b/>
                <w:bCs/>
                <w:noProof/>
                <w:color w:val="000000"/>
                <w:sz w:val="20"/>
                <w:szCs w:val="20"/>
                <w:lang w:eastAsia="en-GB"/>
              </w:rPr>
            </w:pPr>
            <w:r>
              <w:rPr>
                <w:b/>
                <w:bCs/>
                <w:noProof/>
                <w:color w:val="000000"/>
                <w:sz w:val="20"/>
                <w:szCs w:val="20"/>
                <w:lang w:eastAsia="en-GB"/>
              </w:rPr>
              <w:t> </w:t>
            </w:r>
          </w:p>
        </w:tc>
        <w:tc>
          <w:tcPr>
            <w:tcW w:w="569" w:type="dxa"/>
            <w:tcBorders>
              <w:top w:val="nil"/>
              <w:left w:val="single" w:sz="4" w:space="0" w:color="auto"/>
              <w:bottom w:val="nil"/>
              <w:right w:val="single" w:sz="4" w:space="0" w:color="auto"/>
            </w:tcBorders>
            <w:shd w:val="clear" w:color="000000" w:fill="8DB4E2"/>
            <w:textDirection w:val="btLr"/>
            <w:vAlign w:val="center"/>
            <w:hideMark/>
          </w:tcPr>
          <w:p w:rsidR="007306CA" w:rsidRDefault="00576025">
            <w:pPr>
              <w:spacing w:after="0"/>
              <w:jc w:val="center"/>
              <w:rPr>
                <w:b/>
                <w:bCs/>
                <w:noProof/>
                <w:color w:val="000000"/>
                <w:sz w:val="20"/>
                <w:szCs w:val="20"/>
                <w:lang w:eastAsia="en-GB"/>
              </w:rPr>
            </w:pPr>
            <w:r>
              <w:rPr>
                <w:b/>
                <w:bCs/>
                <w:noProof/>
                <w:color w:val="000000"/>
                <w:sz w:val="20"/>
                <w:szCs w:val="20"/>
                <w:lang w:eastAsia="en-GB"/>
              </w:rPr>
              <w:t>PO-A</w:t>
            </w:r>
          </w:p>
        </w:tc>
        <w:tc>
          <w:tcPr>
            <w:tcW w:w="571" w:type="dxa"/>
            <w:tcBorders>
              <w:top w:val="nil"/>
              <w:left w:val="nil"/>
              <w:bottom w:val="nil"/>
              <w:right w:val="single" w:sz="4" w:space="0" w:color="auto"/>
            </w:tcBorders>
            <w:shd w:val="clear" w:color="000000" w:fill="8DB4E2"/>
            <w:textDirection w:val="btLr"/>
            <w:vAlign w:val="center"/>
            <w:hideMark/>
          </w:tcPr>
          <w:p w:rsidR="007306CA" w:rsidRDefault="00576025">
            <w:pPr>
              <w:spacing w:after="0"/>
              <w:jc w:val="center"/>
              <w:rPr>
                <w:b/>
                <w:bCs/>
                <w:noProof/>
                <w:color w:val="000000"/>
                <w:sz w:val="20"/>
                <w:szCs w:val="20"/>
                <w:lang w:eastAsia="en-GB"/>
              </w:rPr>
            </w:pPr>
            <w:r>
              <w:rPr>
                <w:b/>
                <w:bCs/>
                <w:noProof/>
                <w:color w:val="000000"/>
                <w:sz w:val="20"/>
                <w:szCs w:val="20"/>
                <w:lang w:eastAsia="en-GB"/>
              </w:rPr>
              <w:t>PO-B</w:t>
            </w:r>
          </w:p>
        </w:tc>
        <w:tc>
          <w:tcPr>
            <w:tcW w:w="560" w:type="dxa"/>
            <w:tcBorders>
              <w:top w:val="nil"/>
              <w:left w:val="nil"/>
              <w:bottom w:val="nil"/>
              <w:right w:val="single" w:sz="8" w:space="0" w:color="auto"/>
            </w:tcBorders>
            <w:shd w:val="clear" w:color="000000" w:fill="8DB4E2"/>
            <w:textDirection w:val="btLr"/>
            <w:vAlign w:val="center"/>
            <w:hideMark/>
          </w:tcPr>
          <w:p w:rsidR="007306CA" w:rsidRDefault="00576025">
            <w:pPr>
              <w:spacing w:after="0"/>
              <w:jc w:val="center"/>
              <w:rPr>
                <w:b/>
                <w:bCs/>
                <w:noProof/>
                <w:color w:val="000000"/>
                <w:sz w:val="20"/>
                <w:szCs w:val="20"/>
                <w:lang w:eastAsia="en-GB"/>
              </w:rPr>
            </w:pPr>
            <w:r>
              <w:rPr>
                <w:b/>
                <w:bCs/>
                <w:noProof/>
                <w:color w:val="000000"/>
                <w:sz w:val="20"/>
                <w:szCs w:val="20"/>
                <w:lang w:eastAsia="en-GB"/>
              </w:rPr>
              <w:t>PO-C</w:t>
            </w:r>
          </w:p>
        </w:tc>
      </w:tr>
      <w:tr w:rsidR="007306CA">
        <w:trPr>
          <w:trHeight w:val="315"/>
          <w:jc w:val="center"/>
        </w:trPr>
        <w:tc>
          <w:tcPr>
            <w:tcW w:w="4000" w:type="dxa"/>
            <w:tcBorders>
              <w:top w:val="single" w:sz="4" w:space="0" w:color="auto"/>
              <w:left w:val="single" w:sz="8" w:space="0" w:color="auto"/>
              <w:bottom w:val="single" w:sz="8" w:space="0" w:color="auto"/>
              <w:right w:val="single" w:sz="8" w:space="0" w:color="auto"/>
            </w:tcBorders>
            <w:shd w:val="clear" w:color="000000" w:fill="DCE6F1"/>
            <w:vAlign w:val="center"/>
            <w:hideMark/>
          </w:tcPr>
          <w:p w:rsidR="007306CA" w:rsidRDefault="00576025">
            <w:pPr>
              <w:spacing w:after="0"/>
              <w:jc w:val="left"/>
              <w:rPr>
                <w:b/>
                <w:bCs/>
                <w:noProof/>
                <w:color w:val="000000"/>
                <w:sz w:val="20"/>
                <w:szCs w:val="20"/>
                <w:lang w:eastAsia="en-GB"/>
              </w:rPr>
            </w:pPr>
            <w:r>
              <w:rPr>
                <w:b/>
                <w:bCs/>
                <w:noProof/>
                <w:color w:val="000000"/>
                <w:sz w:val="20"/>
                <w:szCs w:val="20"/>
                <w:lang w:eastAsia="en-GB"/>
              </w:rPr>
              <w:t>Effectiveness in achieving the objectives</w:t>
            </w:r>
            <w:r>
              <w:rPr>
                <w:noProof/>
                <w:color w:val="000000"/>
                <w:sz w:val="16"/>
                <w:szCs w:val="16"/>
                <w:lang w:eastAsia="en-GB"/>
              </w:rPr>
              <w:t> </w:t>
            </w:r>
          </w:p>
        </w:tc>
        <w:tc>
          <w:tcPr>
            <w:tcW w:w="560" w:type="dxa"/>
            <w:tcBorders>
              <w:top w:val="single" w:sz="4" w:space="0" w:color="auto"/>
              <w:left w:val="nil"/>
              <w:bottom w:val="single" w:sz="8" w:space="0" w:color="auto"/>
              <w:right w:val="single" w:sz="4" w:space="0" w:color="auto"/>
            </w:tcBorders>
            <w:shd w:val="clear" w:color="000000" w:fill="DCE6F1"/>
            <w:vAlign w:val="center"/>
            <w:hideMark/>
          </w:tcPr>
          <w:p w:rsidR="007306CA" w:rsidRDefault="00576025">
            <w:pPr>
              <w:spacing w:after="0"/>
              <w:jc w:val="center"/>
              <w:rPr>
                <w:b/>
                <w:bCs/>
                <w:noProof/>
                <w:color w:val="000000"/>
                <w:sz w:val="20"/>
                <w:szCs w:val="20"/>
                <w:lang w:eastAsia="en-GB"/>
              </w:rPr>
            </w:pPr>
            <w:r>
              <w:rPr>
                <w:b/>
                <w:bCs/>
                <w:noProof/>
                <w:color w:val="000000"/>
                <w:sz w:val="20"/>
                <w:szCs w:val="20"/>
                <w:lang w:eastAsia="en-GB"/>
              </w:rPr>
              <w:t> </w:t>
            </w:r>
          </w:p>
        </w:tc>
        <w:tc>
          <w:tcPr>
            <w:tcW w:w="560" w:type="dxa"/>
            <w:tcBorders>
              <w:top w:val="single" w:sz="4" w:space="0" w:color="auto"/>
              <w:left w:val="nil"/>
              <w:bottom w:val="single" w:sz="8" w:space="0" w:color="auto"/>
              <w:right w:val="single" w:sz="4" w:space="0" w:color="auto"/>
            </w:tcBorders>
            <w:shd w:val="clear" w:color="000000" w:fill="DCE6F1"/>
            <w:vAlign w:val="center"/>
            <w:hideMark/>
          </w:tcPr>
          <w:p w:rsidR="007306CA" w:rsidRDefault="00576025">
            <w:pPr>
              <w:spacing w:after="0"/>
              <w:jc w:val="center"/>
              <w:rPr>
                <w:b/>
                <w:bCs/>
                <w:noProof/>
                <w:color w:val="000000"/>
                <w:sz w:val="20"/>
                <w:szCs w:val="20"/>
                <w:lang w:eastAsia="en-GB"/>
              </w:rPr>
            </w:pPr>
            <w:r>
              <w:rPr>
                <w:b/>
                <w:bCs/>
                <w:noProof/>
                <w:color w:val="000000"/>
                <w:sz w:val="20"/>
                <w:szCs w:val="20"/>
                <w:lang w:eastAsia="en-GB"/>
              </w:rPr>
              <w:t> </w:t>
            </w:r>
          </w:p>
        </w:tc>
        <w:tc>
          <w:tcPr>
            <w:tcW w:w="560" w:type="dxa"/>
            <w:tcBorders>
              <w:top w:val="single" w:sz="4" w:space="0" w:color="auto"/>
              <w:left w:val="nil"/>
              <w:bottom w:val="single" w:sz="8" w:space="0" w:color="auto"/>
              <w:right w:val="single" w:sz="4" w:space="0" w:color="auto"/>
            </w:tcBorders>
            <w:shd w:val="clear" w:color="000000" w:fill="DCE6F1"/>
            <w:vAlign w:val="center"/>
            <w:hideMark/>
          </w:tcPr>
          <w:p w:rsidR="007306CA" w:rsidRDefault="00576025">
            <w:pPr>
              <w:spacing w:after="0"/>
              <w:jc w:val="center"/>
              <w:rPr>
                <w:b/>
                <w:bCs/>
                <w:noProof/>
                <w:color w:val="000000"/>
                <w:sz w:val="20"/>
                <w:szCs w:val="20"/>
                <w:lang w:eastAsia="en-GB"/>
              </w:rPr>
            </w:pPr>
            <w:r>
              <w:rPr>
                <w:b/>
                <w:bCs/>
                <w:noProof/>
                <w:color w:val="000000"/>
                <w:sz w:val="20"/>
                <w:szCs w:val="20"/>
                <w:lang w:eastAsia="en-GB"/>
              </w:rPr>
              <w:t> </w:t>
            </w:r>
          </w:p>
        </w:tc>
        <w:tc>
          <w:tcPr>
            <w:tcW w:w="560" w:type="dxa"/>
            <w:tcBorders>
              <w:top w:val="single" w:sz="4" w:space="0" w:color="auto"/>
              <w:left w:val="nil"/>
              <w:bottom w:val="single" w:sz="8" w:space="0" w:color="auto"/>
              <w:right w:val="single" w:sz="4" w:space="0" w:color="auto"/>
            </w:tcBorders>
            <w:shd w:val="clear" w:color="000000" w:fill="DCE6F1"/>
            <w:vAlign w:val="center"/>
            <w:hideMark/>
          </w:tcPr>
          <w:p w:rsidR="007306CA" w:rsidRDefault="00576025">
            <w:pPr>
              <w:spacing w:after="0"/>
              <w:jc w:val="center"/>
              <w:rPr>
                <w:b/>
                <w:bCs/>
                <w:noProof/>
                <w:color w:val="000000"/>
                <w:sz w:val="20"/>
                <w:szCs w:val="20"/>
                <w:lang w:eastAsia="en-GB"/>
              </w:rPr>
            </w:pPr>
            <w:r>
              <w:rPr>
                <w:b/>
                <w:bCs/>
                <w:noProof/>
                <w:color w:val="000000"/>
                <w:sz w:val="20"/>
                <w:szCs w:val="20"/>
                <w:lang w:eastAsia="en-GB"/>
              </w:rPr>
              <w:t> </w:t>
            </w:r>
          </w:p>
        </w:tc>
        <w:tc>
          <w:tcPr>
            <w:tcW w:w="560" w:type="dxa"/>
            <w:tcBorders>
              <w:top w:val="single" w:sz="4" w:space="0" w:color="auto"/>
              <w:left w:val="nil"/>
              <w:bottom w:val="single" w:sz="8" w:space="0" w:color="auto"/>
              <w:right w:val="single" w:sz="4" w:space="0" w:color="auto"/>
            </w:tcBorders>
            <w:shd w:val="clear" w:color="000000" w:fill="DCE6F1"/>
            <w:vAlign w:val="center"/>
            <w:hideMark/>
          </w:tcPr>
          <w:p w:rsidR="007306CA" w:rsidRDefault="00576025">
            <w:pPr>
              <w:spacing w:after="0"/>
              <w:jc w:val="center"/>
              <w:rPr>
                <w:b/>
                <w:bCs/>
                <w:noProof/>
                <w:color w:val="000000"/>
                <w:sz w:val="20"/>
                <w:szCs w:val="20"/>
                <w:lang w:eastAsia="en-GB"/>
              </w:rPr>
            </w:pPr>
            <w:r>
              <w:rPr>
                <w:b/>
                <w:bCs/>
                <w:noProof/>
                <w:color w:val="000000"/>
                <w:sz w:val="20"/>
                <w:szCs w:val="20"/>
                <w:lang w:eastAsia="en-GB"/>
              </w:rPr>
              <w:t> </w:t>
            </w:r>
          </w:p>
        </w:tc>
        <w:tc>
          <w:tcPr>
            <w:tcW w:w="236" w:type="dxa"/>
            <w:tcBorders>
              <w:left w:val="single" w:sz="4" w:space="0" w:color="auto"/>
              <w:right w:val="single" w:sz="4" w:space="0" w:color="auto"/>
            </w:tcBorders>
            <w:shd w:val="clear" w:color="000000" w:fill="8DB4E2"/>
            <w:textDirection w:val="btLr"/>
            <w:vAlign w:val="center"/>
            <w:hideMark/>
          </w:tcPr>
          <w:p w:rsidR="007306CA" w:rsidRDefault="00576025">
            <w:pPr>
              <w:spacing w:after="0"/>
              <w:jc w:val="center"/>
              <w:rPr>
                <w:b/>
                <w:bCs/>
                <w:noProof/>
                <w:color w:val="000000"/>
                <w:sz w:val="20"/>
                <w:szCs w:val="20"/>
                <w:lang w:eastAsia="en-GB"/>
              </w:rPr>
            </w:pPr>
            <w:r>
              <w:rPr>
                <w:b/>
                <w:bCs/>
                <w:noProof/>
                <w:color w:val="000000"/>
                <w:sz w:val="20"/>
                <w:szCs w:val="20"/>
                <w:lang w:eastAsia="en-GB"/>
              </w:rPr>
              <w:t> </w:t>
            </w:r>
          </w:p>
        </w:tc>
        <w:tc>
          <w:tcPr>
            <w:tcW w:w="569" w:type="dxa"/>
            <w:tcBorders>
              <w:top w:val="single" w:sz="4" w:space="0" w:color="auto"/>
              <w:left w:val="single" w:sz="4" w:space="0" w:color="auto"/>
              <w:bottom w:val="single" w:sz="8" w:space="0" w:color="auto"/>
              <w:right w:val="single" w:sz="4" w:space="0" w:color="auto"/>
            </w:tcBorders>
            <w:shd w:val="clear" w:color="000000" w:fill="DCE6F1"/>
            <w:vAlign w:val="center"/>
            <w:hideMark/>
          </w:tcPr>
          <w:p w:rsidR="007306CA" w:rsidRDefault="00576025">
            <w:pPr>
              <w:spacing w:after="0"/>
              <w:jc w:val="center"/>
              <w:rPr>
                <w:b/>
                <w:bCs/>
                <w:noProof/>
                <w:color w:val="000000"/>
                <w:sz w:val="20"/>
                <w:szCs w:val="20"/>
                <w:lang w:eastAsia="en-GB"/>
              </w:rPr>
            </w:pPr>
            <w:r>
              <w:rPr>
                <w:b/>
                <w:bCs/>
                <w:noProof/>
                <w:color w:val="000000"/>
                <w:sz w:val="20"/>
                <w:szCs w:val="20"/>
                <w:lang w:eastAsia="en-GB"/>
              </w:rPr>
              <w:t> </w:t>
            </w:r>
          </w:p>
        </w:tc>
        <w:tc>
          <w:tcPr>
            <w:tcW w:w="571" w:type="dxa"/>
            <w:tcBorders>
              <w:top w:val="single" w:sz="4" w:space="0" w:color="auto"/>
              <w:left w:val="nil"/>
              <w:bottom w:val="single" w:sz="8" w:space="0" w:color="auto"/>
              <w:right w:val="single" w:sz="4" w:space="0" w:color="auto"/>
            </w:tcBorders>
            <w:shd w:val="clear" w:color="000000" w:fill="DCE6F1"/>
            <w:vAlign w:val="center"/>
            <w:hideMark/>
          </w:tcPr>
          <w:p w:rsidR="007306CA" w:rsidRDefault="00576025">
            <w:pPr>
              <w:spacing w:after="0"/>
              <w:jc w:val="center"/>
              <w:rPr>
                <w:b/>
                <w:bCs/>
                <w:noProof/>
                <w:color w:val="000000"/>
                <w:sz w:val="20"/>
                <w:szCs w:val="20"/>
                <w:lang w:eastAsia="en-GB"/>
              </w:rPr>
            </w:pPr>
            <w:r>
              <w:rPr>
                <w:b/>
                <w:bCs/>
                <w:noProof/>
                <w:color w:val="000000"/>
                <w:sz w:val="20"/>
                <w:szCs w:val="20"/>
                <w:lang w:eastAsia="en-GB"/>
              </w:rPr>
              <w:t> </w:t>
            </w:r>
          </w:p>
        </w:tc>
        <w:tc>
          <w:tcPr>
            <w:tcW w:w="560" w:type="dxa"/>
            <w:tcBorders>
              <w:top w:val="single" w:sz="4" w:space="0" w:color="auto"/>
              <w:left w:val="nil"/>
              <w:bottom w:val="single" w:sz="8" w:space="0" w:color="auto"/>
              <w:right w:val="single" w:sz="8" w:space="0" w:color="auto"/>
            </w:tcBorders>
            <w:shd w:val="clear" w:color="000000" w:fill="DCE6F1"/>
            <w:vAlign w:val="center"/>
            <w:hideMark/>
          </w:tcPr>
          <w:p w:rsidR="007306CA" w:rsidRDefault="00576025">
            <w:pPr>
              <w:spacing w:after="0"/>
              <w:jc w:val="center"/>
              <w:rPr>
                <w:b/>
                <w:bCs/>
                <w:noProof/>
                <w:color w:val="000000"/>
                <w:sz w:val="20"/>
                <w:szCs w:val="20"/>
                <w:lang w:eastAsia="en-GB"/>
              </w:rPr>
            </w:pPr>
            <w:r>
              <w:rPr>
                <w:b/>
                <w:bCs/>
                <w:noProof/>
                <w:color w:val="000000"/>
                <w:sz w:val="20"/>
                <w:szCs w:val="20"/>
                <w:lang w:eastAsia="en-GB"/>
              </w:rPr>
              <w:t> </w:t>
            </w:r>
          </w:p>
        </w:tc>
      </w:tr>
      <w:tr w:rsidR="007306CA">
        <w:trPr>
          <w:trHeight w:val="1092"/>
          <w:jc w:val="center"/>
        </w:trPr>
        <w:tc>
          <w:tcPr>
            <w:tcW w:w="400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7306CA" w:rsidRDefault="00576025">
            <w:pPr>
              <w:spacing w:after="0"/>
              <w:jc w:val="left"/>
              <w:rPr>
                <w:noProof/>
                <w:color w:val="000000"/>
                <w:sz w:val="20"/>
                <w:szCs w:val="20"/>
                <w:lang w:eastAsia="en-GB"/>
              </w:rPr>
            </w:pPr>
            <w:r>
              <w:rPr>
                <w:noProof/>
                <w:color w:val="000000"/>
                <w:sz w:val="20"/>
                <w:szCs w:val="20"/>
                <w:lang w:eastAsia="en-GB"/>
              </w:rPr>
              <w:t xml:space="preserve">GO1: improve ability </w:t>
            </w:r>
            <w:r>
              <w:rPr>
                <w:noProof/>
                <w:color w:val="000000"/>
                <w:sz w:val="20"/>
                <w:szCs w:val="20"/>
                <w:lang w:eastAsia="en-GB"/>
              </w:rPr>
              <w:t>to attract and retain to enhance competitiveness and demographic ageing; SO2: increase numbers of highly skilled TCNs; SO3: lower barriers to entry; SO4: promote social and economic integration via favourable residence conditions and rights; SO6: ensure ‘E</w:t>
            </w:r>
            <w:r>
              <w:rPr>
                <w:noProof/>
                <w:color w:val="000000"/>
                <w:sz w:val="20"/>
                <w:szCs w:val="20"/>
                <w:lang w:eastAsia="en-GB"/>
              </w:rPr>
              <w:t>U Blue Card’ brand</w:t>
            </w:r>
          </w:p>
        </w:tc>
        <w:tc>
          <w:tcPr>
            <w:tcW w:w="560" w:type="dxa"/>
            <w:tcBorders>
              <w:top w:val="single" w:sz="4" w:space="0" w:color="auto"/>
              <w:left w:val="nil"/>
              <w:bottom w:val="single" w:sz="4" w:space="0" w:color="auto"/>
              <w:right w:val="single" w:sz="4" w:space="0" w:color="auto"/>
            </w:tcBorders>
            <w:shd w:val="clear" w:color="auto" w:fill="auto"/>
            <w:vAlign w:val="center"/>
            <w:hideMark/>
          </w:tcPr>
          <w:p w:rsidR="007306CA" w:rsidRDefault="00576025">
            <w:pPr>
              <w:spacing w:after="0"/>
              <w:jc w:val="center"/>
              <w:rPr>
                <w:noProof/>
                <w:color w:val="000000"/>
                <w:sz w:val="20"/>
                <w:szCs w:val="20"/>
                <w:lang w:eastAsia="en-GB"/>
              </w:rPr>
            </w:pPr>
            <w:r>
              <w:rPr>
                <w:noProof/>
                <w:color w:val="000000"/>
                <w:sz w:val="20"/>
                <w:szCs w:val="20"/>
                <w:lang w:eastAsia="en-GB"/>
              </w:rPr>
              <w:t>+3</w:t>
            </w:r>
          </w:p>
        </w:tc>
        <w:tc>
          <w:tcPr>
            <w:tcW w:w="560" w:type="dxa"/>
            <w:tcBorders>
              <w:top w:val="single" w:sz="4" w:space="0" w:color="auto"/>
              <w:left w:val="nil"/>
              <w:bottom w:val="single" w:sz="4" w:space="0" w:color="auto"/>
              <w:right w:val="single" w:sz="4" w:space="0" w:color="auto"/>
            </w:tcBorders>
            <w:shd w:val="clear" w:color="auto" w:fill="auto"/>
            <w:vAlign w:val="center"/>
            <w:hideMark/>
          </w:tcPr>
          <w:p w:rsidR="007306CA" w:rsidRDefault="00576025">
            <w:pPr>
              <w:spacing w:after="0"/>
              <w:jc w:val="center"/>
              <w:rPr>
                <w:noProof/>
                <w:color w:val="000000"/>
                <w:sz w:val="20"/>
                <w:szCs w:val="20"/>
                <w:lang w:eastAsia="en-GB"/>
              </w:rPr>
            </w:pPr>
            <w:r>
              <w:rPr>
                <w:noProof/>
                <w:color w:val="000000"/>
                <w:sz w:val="20"/>
                <w:szCs w:val="20"/>
                <w:lang w:eastAsia="en-GB"/>
              </w:rPr>
              <w:t>+2</w:t>
            </w:r>
          </w:p>
        </w:tc>
        <w:tc>
          <w:tcPr>
            <w:tcW w:w="560" w:type="dxa"/>
            <w:tcBorders>
              <w:top w:val="single" w:sz="4" w:space="0" w:color="auto"/>
              <w:left w:val="nil"/>
              <w:bottom w:val="single" w:sz="4" w:space="0" w:color="auto"/>
              <w:right w:val="single" w:sz="4" w:space="0" w:color="auto"/>
            </w:tcBorders>
            <w:shd w:val="clear" w:color="auto" w:fill="auto"/>
            <w:vAlign w:val="center"/>
            <w:hideMark/>
          </w:tcPr>
          <w:p w:rsidR="007306CA" w:rsidRDefault="00576025">
            <w:pPr>
              <w:spacing w:after="0"/>
              <w:jc w:val="center"/>
              <w:rPr>
                <w:noProof/>
                <w:color w:val="000000"/>
                <w:sz w:val="20"/>
                <w:szCs w:val="20"/>
                <w:lang w:eastAsia="en-GB"/>
              </w:rPr>
            </w:pPr>
            <w:r>
              <w:rPr>
                <w:noProof/>
                <w:color w:val="000000"/>
                <w:sz w:val="18"/>
                <w:szCs w:val="18"/>
                <w:lang w:eastAsia="en-GB"/>
              </w:rPr>
              <w:t>+1/ +2</w:t>
            </w:r>
          </w:p>
        </w:tc>
        <w:tc>
          <w:tcPr>
            <w:tcW w:w="560" w:type="dxa"/>
            <w:tcBorders>
              <w:top w:val="single" w:sz="4" w:space="0" w:color="auto"/>
              <w:left w:val="nil"/>
              <w:bottom w:val="single" w:sz="4" w:space="0" w:color="auto"/>
              <w:right w:val="single" w:sz="4" w:space="0" w:color="auto"/>
            </w:tcBorders>
            <w:shd w:val="clear" w:color="auto" w:fill="auto"/>
            <w:vAlign w:val="center"/>
            <w:hideMark/>
          </w:tcPr>
          <w:p w:rsidR="007306CA" w:rsidRDefault="00576025">
            <w:pPr>
              <w:spacing w:after="0"/>
              <w:jc w:val="center"/>
              <w:rPr>
                <w:noProof/>
                <w:color w:val="000000"/>
                <w:sz w:val="20"/>
                <w:szCs w:val="20"/>
                <w:lang w:eastAsia="en-GB"/>
              </w:rPr>
            </w:pPr>
            <w:r>
              <w:rPr>
                <w:noProof/>
                <w:color w:val="000000"/>
                <w:sz w:val="18"/>
                <w:szCs w:val="18"/>
                <w:lang w:eastAsia="en-GB"/>
              </w:rPr>
              <w:t>+2/+3</w:t>
            </w:r>
          </w:p>
        </w:tc>
        <w:tc>
          <w:tcPr>
            <w:tcW w:w="560" w:type="dxa"/>
            <w:tcBorders>
              <w:top w:val="single" w:sz="4" w:space="0" w:color="auto"/>
              <w:left w:val="nil"/>
              <w:bottom w:val="single" w:sz="4" w:space="0" w:color="auto"/>
              <w:right w:val="single" w:sz="4" w:space="0" w:color="auto"/>
            </w:tcBorders>
            <w:shd w:val="clear" w:color="auto" w:fill="auto"/>
            <w:vAlign w:val="center"/>
            <w:hideMark/>
          </w:tcPr>
          <w:p w:rsidR="007306CA" w:rsidRDefault="00576025">
            <w:pPr>
              <w:spacing w:after="0"/>
              <w:jc w:val="center"/>
              <w:rPr>
                <w:noProof/>
                <w:color w:val="000000"/>
                <w:sz w:val="20"/>
                <w:szCs w:val="20"/>
                <w:lang w:eastAsia="en-GB"/>
              </w:rPr>
            </w:pPr>
            <w:r>
              <w:rPr>
                <w:noProof/>
                <w:color w:val="000000"/>
                <w:sz w:val="20"/>
                <w:szCs w:val="20"/>
                <w:lang w:eastAsia="en-GB"/>
              </w:rPr>
              <w:t>+2</w:t>
            </w:r>
          </w:p>
        </w:tc>
        <w:tc>
          <w:tcPr>
            <w:tcW w:w="236" w:type="dxa"/>
            <w:tcBorders>
              <w:top w:val="nil"/>
              <w:left w:val="single" w:sz="4" w:space="0" w:color="auto"/>
              <w:bottom w:val="nil"/>
              <w:right w:val="single" w:sz="4" w:space="0" w:color="auto"/>
            </w:tcBorders>
            <w:shd w:val="clear" w:color="000000" w:fill="8DB4E2"/>
            <w:textDirection w:val="btLr"/>
            <w:vAlign w:val="center"/>
            <w:hideMark/>
          </w:tcPr>
          <w:p w:rsidR="007306CA" w:rsidRDefault="00576025">
            <w:pPr>
              <w:spacing w:after="0"/>
              <w:jc w:val="center"/>
              <w:rPr>
                <w:b/>
                <w:bCs/>
                <w:noProof/>
                <w:color w:val="000000"/>
                <w:sz w:val="20"/>
                <w:szCs w:val="20"/>
                <w:lang w:eastAsia="en-GB"/>
              </w:rPr>
            </w:pPr>
            <w:r>
              <w:rPr>
                <w:b/>
                <w:bCs/>
                <w:noProof/>
                <w:color w:val="000000"/>
                <w:sz w:val="20"/>
                <w:szCs w:val="20"/>
                <w:lang w:eastAsia="en-GB"/>
              </w:rPr>
              <w:t> </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06CA" w:rsidRDefault="00576025">
            <w:pPr>
              <w:spacing w:after="0"/>
              <w:jc w:val="center"/>
              <w:rPr>
                <w:noProof/>
                <w:color w:val="000000"/>
                <w:sz w:val="20"/>
                <w:szCs w:val="20"/>
                <w:lang w:eastAsia="en-GB"/>
              </w:rPr>
            </w:pPr>
            <w:r>
              <w:rPr>
                <w:noProof/>
                <w:color w:val="000000"/>
                <w:sz w:val="20"/>
                <w:szCs w:val="20"/>
                <w:lang w:eastAsia="en-GB"/>
              </w:rPr>
              <w:t>0</w:t>
            </w:r>
          </w:p>
        </w:tc>
        <w:tc>
          <w:tcPr>
            <w:tcW w:w="571" w:type="dxa"/>
            <w:tcBorders>
              <w:top w:val="single" w:sz="4" w:space="0" w:color="auto"/>
              <w:left w:val="nil"/>
              <w:bottom w:val="single" w:sz="4" w:space="0" w:color="auto"/>
              <w:right w:val="single" w:sz="4" w:space="0" w:color="auto"/>
            </w:tcBorders>
            <w:shd w:val="clear" w:color="auto" w:fill="auto"/>
            <w:vAlign w:val="center"/>
            <w:hideMark/>
          </w:tcPr>
          <w:p w:rsidR="007306CA" w:rsidRDefault="00576025">
            <w:pPr>
              <w:spacing w:after="0"/>
              <w:jc w:val="center"/>
              <w:rPr>
                <w:noProof/>
                <w:color w:val="000000"/>
                <w:sz w:val="20"/>
                <w:szCs w:val="20"/>
                <w:lang w:eastAsia="en-GB"/>
              </w:rPr>
            </w:pPr>
            <w:r>
              <w:rPr>
                <w:noProof/>
                <w:color w:val="000000"/>
                <w:sz w:val="20"/>
                <w:szCs w:val="20"/>
                <w:lang w:eastAsia="en-GB"/>
              </w:rPr>
              <w:t>+2</w:t>
            </w:r>
          </w:p>
        </w:tc>
        <w:tc>
          <w:tcPr>
            <w:tcW w:w="560" w:type="dxa"/>
            <w:tcBorders>
              <w:top w:val="single" w:sz="4" w:space="0" w:color="auto"/>
              <w:left w:val="nil"/>
              <w:bottom w:val="single" w:sz="4" w:space="0" w:color="auto"/>
              <w:right w:val="single" w:sz="8" w:space="0" w:color="auto"/>
            </w:tcBorders>
            <w:shd w:val="clear" w:color="auto" w:fill="auto"/>
            <w:vAlign w:val="center"/>
            <w:hideMark/>
          </w:tcPr>
          <w:p w:rsidR="007306CA" w:rsidRDefault="00576025">
            <w:pPr>
              <w:spacing w:after="0"/>
              <w:jc w:val="center"/>
              <w:rPr>
                <w:noProof/>
                <w:color w:val="000000"/>
                <w:sz w:val="20"/>
                <w:szCs w:val="20"/>
                <w:lang w:eastAsia="en-GB"/>
              </w:rPr>
            </w:pPr>
            <w:r>
              <w:rPr>
                <w:noProof/>
                <w:color w:val="000000"/>
                <w:sz w:val="20"/>
                <w:szCs w:val="20"/>
                <w:lang w:eastAsia="en-GB"/>
              </w:rPr>
              <w:t>0</w:t>
            </w:r>
          </w:p>
        </w:tc>
      </w:tr>
      <w:tr w:rsidR="007306CA">
        <w:trPr>
          <w:trHeight w:val="80"/>
          <w:jc w:val="center"/>
        </w:trPr>
        <w:tc>
          <w:tcPr>
            <w:tcW w:w="4000" w:type="dxa"/>
            <w:tcBorders>
              <w:top w:val="nil"/>
              <w:left w:val="single" w:sz="8" w:space="0" w:color="auto"/>
              <w:bottom w:val="single" w:sz="4" w:space="0" w:color="auto"/>
              <w:right w:val="single" w:sz="8" w:space="0" w:color="auto"/>
            </w:tcBorders>
            <w:shd w:val="clear" w:color="auto" w:fill="auto"/>
            <w:vAlign w:val="center"/>
            <w:hideMark/>
          </w:tcPr>
          <w:p w:rsidR="007306CA" w:rsidRDefault="00576025">
            <w:pPr>
              <w:spacing w:after="0"/>
              <w:jc w:val="left"/>
              <w:rPr>
                <w:noProof/>
                <w:color w:val="000000"/>
                <w:sz w:val="20"/>
                <w:szCs w:val="20"/>
                <w:lang w:eastAsia="en-GB"/>
              </w:rPr>
            </w:pPr>
            <w:r>
              <w:rPr>
                <w:noProof/>
                <w:color w:val="000000"/>
                <w:sz w:val="20"/>
                <w:szCs w:val="20"/>
                <w:lang w:eastAsia="en-GB"/>
              </w:rPr>
              <w:t xml:space="preserve">GO2: improve ability to respond to demands for highly skilled TCNs and offset skill shortages by enhancing inflows, occupational and geographical (intra-EU) mobility; SO5: ensure more flexible intra-EU </w:t>
            </w:r>
            <w:r>
              <w:rPr>
                <w:noProof/>
                <w:color w:val="000000"/>
                <w:sz w:val="20"/>
                <w:szCs w:val="20"/>
                <w:lang w:eastAsia="en-GB"/>
              </w:rPr>
              <w:t>mobility and more efficient (re)allocation of highly skilled TCNs in EU</w:t>
            </w:r>
          </w:p>
        </w:tc>
        <w:tc>
          <w:tcPr>
            <w:tcW w:w="560" w:type="dxa"/>
            <w:tcBorders>
              <w:top w:val="nil"/>
              <w:left w:val="nil"/>
              <w:bottom w:val="single" w:sz="4" w:space="0" w:color="auto"/>
              <w:right w:val="single" w:sz="4" w:space="0" w:color="auto"/>
            </w:tcBorders>
            <w:shd w:val="clear" w:color="auto" w:fill="auto"/>
            <w:vAlign w:val="center"/>
            <w:hideMark/>
          </w:tcPr>
          <w:p w:rsidR="007306CA" w:rsidRDefault="00576025">
            <w:pPr>
              <w:spacing w:after="0"/>
              <w:jc w:val="center"/>
              <w:rPr>
                <w:noProof/>
                <w:color w:val="000000"/>
                <w:sz w:val="20"/>
                <w:szCs w:val="20"/>
                <w:lang w:eastAsia="en-GB"/>
              </w:rPr>
            </w:pPr>
            <w:r>
              <w:rPr>
                <w:noProof/>
                <w:color w:val="000000"/>
                <w:sz w:val="20"/>
                <w:szCs w:val="20"/>
                <w:lang w:eastAsia="en-GB"/>
              </w:rPr>
              <w:t>+2</w:t>
            </w:r>
          </w:p>
        </w:tc>
        <w:tc>
          <w:tcPr>
            <w:tcW w:w="560" w:type="dxa"/>
            <w:tcBorders>
              <w:top w:val="nil"/>
              <w:left w:val="nil"/>
              <w:bottom w:val="single" w:sz="4" w:space="0" w:color="auto"/>
              <w:right w:val="single" w:sz="4" w:space="0" w:color="auto"/>
            </w:tcBorders>
            <w:shd w:val="clear" w:color="auto" w:fill="auto"/>
            <w:vAlign w:val="center"/>
            <w:hideMark/>
          </w:tcPr>
          <w:p w:rsidR="007306CA" w:rsidRDefault="00576025">
            <w:pPr>
              <w:spacing w:after="0"/>
              <w:jc w:val="center"/>
              <w:rPr>
                <w:noProof/>
                <w:color w:val="000000"/>
                <w:sz w:val="20"/>
                <w:szCs w:val="20"/>
                <w:lang w:eastAsia="en-GB"/>
              </w:rPr>
            </w:pPr>
            <w:r>
              <w:rPr>
                <w:noProof/>
                <w:color w:val="000000"/>
                <w:sz w:val="20"/>
                <w:szCs w:val="20"/>
                <w:lang w:eastAsia="en-GB"/>
              </w:rPr>
              <w:t>+2</w:t>
            </w:r>
          </w:p>
        </w:tc>
        <w:tc>
          <w:tcPr>
            <w:tcW w:w="560" w:type="dxa"/>
            <w:tcBorders>
              <w:top w:val="nil"/>
              <w:left w:val="nil"/>
              <w:bottom w:val="single" w:sz="4" w:space="0" w:color="auto"/>
              <w:right w:val="single" w:sz="4" w:space="0" w:color="auto"/>
            </w:tcBorders>
            <w:shd w:val="clear" w:color="auto" w:fill="auto"/>
            <w:vAlign w:val="center"/>
            <w:hideMark/>
          </w:tcPr>
          <w:p w:rsidR="007306CA" w:rsidRDefault="00576025">
            <w:pPr>
              <w:spacing w:after="0"/>
              <w:jc w:val="center"/>
              <w:rPr>
                <w:noProof/>
                <w:color w:val="000000"/>
                <w:sz w:val="20"/>
                <w:szCs w:val="20"/>
                <w:lang w:eastAsia="en-GB"/>
              </w:rPr>
            </w:pPr>
            <w:r>
              <w:rPr>
                <w:noProof/>
                <w:color w:val="000000"/>
                <w:sz w:val="20"/>
                <w:szCs w:val="20"/>
                <w:lang w:eastAsia="en-GB"/>
              </w:rPr>
              <w:t>+1</w:t>
            </w:r>
          </w:p>
        </w:tc>
        <w:tc>
          <w:tcPr>
            <w:tcW w:w="560" w:type="dxa"/>
            <w:tcBorders>
              <w:top w:val="nil"/>
              <w:left w:val="nil"/>
              <w:bottom w:val="single" w:sz="4" w:space="0" w:color="auto"/>
              <w:right w:val="single" w:sz="4" w:space="0" w:color="auto"/>
            </w:tcBorders>
            <w:shd w:val="clear" w:color="auto" w:fill="auto"/>
            <w:vAlign w:val="center"/>
            <w:hideMark/>
          </w:tcPr>
          <w:p w:rsidR="007306CA" w:rsidRDefault="00576025">
            <w:pPr>
              <w:spacing w:after="0"/>
              <w:jc w:val="center"/>
              <w:rPr>
                <w:noProof/>
                <w:color w:val="000000"/>
                <w:sz w:val="20"/>
                <w:szCs w:val="20"/>
                <w:lang w:eastAsia="en-GB"/>
              </w:rPr>
            </w:pPr>
            <w:r>
              <w:rPr>
                <w:noProof/>
                <w:color w:val="000000"/>
                <w:sz w:val="20"/>
                <w:szCs w:val="20"/>
                <w:lang w:eastAsia="en-GB"/>
              </w:rPr>
              <w:t>+2</w:t>
            </w:r>
          </w:p>
        </w:tc>
        <w:tc>
          <w:tcPr>
            <w:tcW w:w="560" w:type="dxa"/>
            <w:tcBorders>
              <w:top w:val="nil"/>
              <w:left w:val="nil"/>
              <w:bottom w:val="single" w:sz="4" w:space="0" w:color="auto"/>
              <w:right w:val="single" w:sz="4" w:space="0" w:color="auto"/>
            </w:tcBorders>
            <w:shd w:val="clear" w:color="auto" w:fill="auto"/>
            <w:vAlign w:val="center"/>
            <w:hideMark/>
          </w:tcPr>
          <w:p w:rsidR="007306CA" w:rsidRDefault="00576025">
            <w:pPr>
              <w:spacing w:after="0"/>
              <w:jc w:val="center"/>
              <w:rPr>
                <w:noProof/>
                <w:color w:val="000000"/>
                <w:sz w:val="20"/>
                <w:szCs w:val="20"/>
                <w:lang w:eastAsia="en-GB"/>
              </w:rPr>
            </w:pPr>
            <w:r>
              <w:rPr>
                <w:noProof/>
                <w:color w:val="000000"/>
                <w:sz w:val="20"/>
                <w:szCs w:val="20"/>
                <w:lang w:eastAsia="en-GB"/>
              </w:rPr>
              <w:t>+2</w:t>
            </w:r>
          </w:p>
        </w:tc>
        <w:tc>
          <w:tcPr>
            <w:tcW w:w="236" w:type="dxa"/>
            <w:tcBorders>
              <w:top w:val="nil"/>
              <w:left w:val="single" w:sz="4" w:space="0" w:color="auto"/>
              <w:bottom w:val="nil"/>
              <w:right w:val="single" w:sz="4" w:space="0" w:color="auto"/>
            </w:tcBorders>
            <w:shd w:val="clear" w:color="000000" w:fill="8DB4E2"/>
            <w:textDirection w:val="btLr"/>
            <w:vAlign w:val="center"/>
            <w:hideMark/>
          </w:tcPr>
          <w:p w:rsidR="007306CA" w:rsidRDefault="00576025">
            <w:pPr>
              <w:spacing w:after="0"/>
              <w:jc w:val="center"/>
              <w:rPr>
                <w:b/>
                <w:bCs/>
                <w:noProof/>
                <w:color w:val="000000"/>
                <w:sz w:val="20"/>
                <w:szCs w:val="20"/>
                <w:lang w:eastAsia="en-GB"/>
              </w:rPr>
            </w:pPr>
            <w:r>
              <w:rPr>
                <w:b/>
                <w:bCs/>
                <w:noProof/>
                <w:color w:val="000000"/>
                <w:sz w:val="20"/>
                <w:szCs w:val="20"/>
                <w:lang w:eastAsia="en-GB"/>
              </w:rPr>
              <w:t> </w:t>
            </w:r>
          </w:p>
        </w:tc>
        <w:tc>
          <w:tcPr>
            <w:tcW w:w="569" w:type="dxa"/>
            <w:tcBorders>
              <w:top w:val="nil"/>
              <w:left w:val="single" w:sz="4" w:space="0" w:color="auto"/>
              <w:bottom w:val="single" w:sz="4" w:space="0" w:color="auto"/>
              <w:right w:val="single" w:sz="4" w:space="0" w:color="auto"/>
            </w:tcBorders>
            <w:shd w:val="clear" w:color="auto" w:fill="auto"/>
            <w:vAlign w:val="center"/>
            <w:hideMark/>
          </w:tcPr>
          <w:p w:rsidR="007306CA" w:rsidRDefault="00576025">
            <w:pPr>
              <w:spacing w:after="0"/>
              <w:jc w:val="center"/>
              <w:rPr>
                <w:noProof/>
                <w:color w:val="000000"/>
                <w:sz w:val="20"/>
                <w:szCs w:val="20"/>
                <w:lang w:eastAsia="en-GB"/>
              </w:rPr>
            </w:pPr>
            <w:r>
              <w:rPr>
                <w:noProof/>
                <w:color w:val="000000"/>
                <w:sz w:val="20"/>
                <w:szCs w:val="20"/>
                <w:lang w:eastAsia="en-GB"/>
              </w:rPr>
              <w:t>+1</w:t>
            </w:r>
          </w:p>
        </w:tc>
        <w:tc>
          <w:tcPr>
            <w:tcW w:w="571" w:type="dxa"/>
            <w:tcBorders>
              <w:top w:val="nil"/>
              <w:left w:val="nil"/>
              <w:bottom w:val="single" w:sz="4" w:space="0" w:color="auto"/>
              <w:right w:val="single" w:sz="4" w:space="0" w:color="auto"/>
            </w:tcBorders>
            <w:shd w:val="clear" w:color="auto" w:fill="auto"/>
            <w:vAlign w:val="center"/>
            <w:hideMark/>
          </w:tcPr>
          <w:p w:rsidR="007306CA" w:rsidRDefault="00576025">
            <w:pPr>
              <w:spacing w:after="0"/>
              <w:jc w:val="center"/>
              <w:rPr>
                <w:noProof/>
                <w:color w:val="000000"/>
                <w:sz w:val="20"/>
                <w:szCs w:val="20"/>
                <w:lang w:eastAsia="en-GB"/>
              </w:rPr>
            </w:pPr>
            <w:r>
              <w:rPr>
                <w:noProof/>
                <w:color w:val="000000"/>
                <w:sz w:val="20"/>
                <w:szCs w:val="20"/>
                <w:lang w:eastAsia="en-GB"/>
              </w:rPr>
              <w:t>0</w:t>
            </w:r>
          </w:p>
        </w:tc>
        <w:tc>
          <w:tcPr>
            <w:tcW w:w="560" w:type="dxa"/>
            <w:tcBorders>
              <w:top w:val="nil"/>
              <w:left w:val="nil"/>
              <w:bottom w:val="single" w:sz="4" w:space="0" w:color="auto"/>
              <w:right w:val="single" w:sz="8" w:space="0" w:color="auto"/>
            </w:tcBorders>
            <w:shd w:val="clear" w:color="auto" w:fill="auto"/>
            <w:vAlign w:val="center"/>
            <w:hideMark/>
          </w:tcPr>
          <w:p w:rsidR="007306CA" w:rsidRDefault="00576025">
            <w:pPr>
              <w:spacing w:after="0"/>
              <w:jc w:val="center"/>
              <w:rPr>
                <w:noProof/>
                <w:color w:val="000000"/>
                <w:sz w:val="20"/>
                <w:szCs w:val="20"/>
                <w:lang w:eastAsia="en-GB"/>
              </w:rPr>
            </w:pPr>
            <w:r>
              <w:rPr>
                <w:noProof/>
                <w:color w:val="000000"/>
                <w:sz w:val="20"/>
                <w:szCs w:val="20"/>
                <w:lang w:eastAsia="en-GB"/>
              </w:rPr>
              <w:t>+1</w:t>
            </w:r>
          </w:p>
        </w:tc>
      </w:tr>
      <w:tr w:rsidR="007306CA">
        <w:trPr>
          <w:trHeight w:val="510"/>
          <w:jc w:val="center"/>
        </w:trPr>
        <w:tc>
          <w:tcPr>
            <w:tcW w:w="4000" w:type="dxa"/>
            <w:tcBorders>
              <w:top w:val="nil"/>
              <w:left w:val="single" w:sz="8" w:space="0" w:color="auto"/>
              <w:bottom w:val="single" w:sz="4" w:space="0" w:color="auto"/>
              <w:right w:val="single" w:sz="8" w:space="0" w:color="auto"/>
            </w:tcBorders>
            <w:shd w:val="clear" w:color="auto" w:fill="auto"/>
            <w:vAlign w:val="center"/>
            <w:hideMark/>
          </w:tcPr>
          <w:p w:rsidR="007306CA" w:rsidRDefault="00576025">
            <w:pPr>
              <w:spacing w:after="0"/>
              <w:jc w:val="left"/>
              <w:rPr>
                <w:noProof/>
                <w:color w:val="000000"/>
                <w:sz w:val="20"/>
                <w:szCs w:val="20"/>
                <w:lang w:eastAsia="en-GB"/>
              </w:rPr>
            </w:pPr>
            <w:r>
              <w:rPr>
                <w:noProof/>
                <w:color w:val="000000"/>
                <w:sz w:val="20"/>
                <w:szCs w:val="20"/>
                <w:lang w:eastAsia="en-GB"/>
              </w:rPr>
              <w:t>SO1: create a coherent, efficient and effective common immigration system for highly skilled TCNs</w:t>
            </w:r>
          </w:p>
        </w:tc>
        <w:tc>
          <w:tcPr>
            <w:tcW w:w="560" w:type="dxa"/>
            <w:tcBorders>
              <w:top w:val="nil"/>
              <w:left w:val="nil"/>
              <w:bottom w:val="single" w:sz="4" w:space="0" w:color="auto"/>
              <w:right w:val="single" w:sz="4" w:space="0" w:color="auto"/>
            </w:tcBorders>
            <w:shd w:val="clear" w:color="auto" w:fill="auto"/>
            <w:vAlign w:val="center"/>
            <w:hideMark/>
          </w:tcPr>
          <w:p w:rsidR="007306CA" w:rsidRDefault="00576025">
            <w:pPr>
              <w:spacing w:after="0"/>
              <w:jc w:val="center"/>
              <w:rPr>
                <w:noProof/>
                <w:color w:val="000000"/>
                <w:sz w:val="20"/>
                <w:szCs w:val="20"/>
                <w:lang w:eastAsia="en-GB"/>
              </w:rPr>
            </w:pPr>
            <w:r>
              <w:rPr>
                <w:noProof/>
                <w:color w:val="000000"/>
                <w:sz w:val="20"/>
                <w:szCs w:val="20"/>
                <w:lang w:eastAsia="en-GB"/>
              </w:rPr>
              <w:t>-1</w:t>
            </w:r>
          </w:p>
        </w:tc>
        <w:tc>
          <w:tcPr>
            <w:tcW w:w="560" w:type="dxa"/>
            <w:tcBorders>
              <w:top w:val="nil"/>
              <w:left w:val="nil"/>
              <w:bottom w:val="single" w:sz="4" w:space="0" w:color="auto"/>
              <w:right w:val="single" w:sz="4" w:space="0" w:color="auto"/>
            </w:tcBorders>
            <w:shd w:val="clear" w:color="auto" w:fill="auto"/>
            <w:vAlign w:val="center"/>
            <w:hideMark/>
          </w:tcPr>
          <w:p w:rsidR="007306CA" w:rsidRDefault="00576025">
            <w:pPr>
              <w:spacing w:after="0"/>
              <w:jc w:val="center"/>
              <w:rPr>
                <w:noProof/>
                <w:color w:val="000000"/>
                <w:sz w:val="20"/>
                <w:szCs w:val="20"/>
                <w:lang w:eastAsia="en-GB"/>
              </w:rPr>
            </w:pPr>
            <w:r>
              <w:rPr>
                <w:noProof/>
                <w:color w:val="000000"/>
                <w:sz w:val="20"/>
                <w:szCs w:val="20"/>
                <w:lang w:eastAsia="en-GB"/>
              </w:rPr>
              <w:t>+3</w:t>
            </w:r>
          </w:p>
        </w:tc>
        <w:tc>
          <w:tcPr>
            <w:tcW w:w="560" w:type="dxa"/>
            <w:tcBorders>
              <w:top w:val="nil"/>
              <w:left w:val="nil"/>
              <w:bottom w:val="single" w:sz="4" w:space="0" w:color="auto"/>
              <w:right w:val="single" w:sz="4" w:space="0" w:color="auto"/>
            </w:tcBorders>
            <w:shd w:val="clear" w:color="auto" w:fill="auto"/>
            <w:vAlign w:val="center"/>
            <w:hideMark/>
          </w:tcPr>
          <w:p w:rsidR="007306CA" w:rsidRDefault="00576025">
            <w:pPr>
              <w:spacing w:after="0"/>
              <w:jc w:val="center"/>
              <w:rPr>
                <w:noProof/>
                <w:color w:val="000000"/>
                <w:sz w:val="20"/>
                <w:szCs w:val="20"/>
                <w:lang w:eastAsia="en-GB"/>
              </w:rPr>
            </w:pPr>
            <w:r>
              <w:rPr>
                <w:noProof/>
                <w:color w:val="000000"/>
                <w:sz w:val="20"/>
                <w:szCs w:val="20"/>
                <w:lang w:eastAsia="en-GB"/>
              </w:rPr>
              <w:t>+1</w:t>
            </w:r>
          </w:p>
        </w:tc>
        <w:tc>
          <w:tcPr>
            <w:tcW w:w="560" w:type="dxa"/>
            <w:tcBorders>
              <w:top w:val="nil"/>
              <w:left w:val="nil"/>
              <w:bottom w:val="single" w:sz="4" w:space="0" w:color="auto"/>
              <w:right w:val="single" w:sz="4" w:space="0" w:color="auto"/>
            </w:tcBorders>
            <w:shd w:val="clear" w:color="auto" w:fill="auto"/>
            <w:vAlign w:val="center"/>
            <w:hideMark/>
          </w:tcPr>
          <w:p w:rsidR="007306CA" w:rsidRDefault="00576025">
            <w:pPr>
              <w:spacing w:after="0"/>
              <w:jc w:val="center"/>
              <w:rPr>
                <w:noProof/>
                <w:color w:val="000000"/>
                <w:sz w:val="20"/>
                <w:szCs w:val="20"/>
                <w:lang w:eastAsia="en-GB"/>
              </w:rPr>
            </w:pPr>
            <w:r>
              <w:rPr>
                <w:noProof/>
                <w:color w:val="000000"/>
                <w:sz w:val="20"/>
                <w:szCs w:val="20"/>
                <w:lang w:eastAsia="en-GB"/>
              </w:rPr>
              <w:t>+1</w:t>
            </w:r>
          </w:p>
        </w:tc>
        <w:tc>
          <w:tcPr>
            <w:tcW w:w="560" w:type="dxa"/>
            <w:tcBorders>
              <w:top w:val="nil"/>
              <w:left w:val="nil"/>
              <w:bottom w:val="single" w:sz="4" w:space="0" w:color="auto"/>
              <w:right w:val="single" w:sz="4" w:space="0" w:color="auto"/>
            </w:tcBorders>
            <w:shd w:val="clear" w:color="auto" w:fill="auto"/>
            <w:vAlign w:val="center"/>
            <w:hideMark/>
          </w:tcPr>
          <w:p w:rsidR="007306CA" w:rsidRDefault="00576025">
            <w:pPr>
              <w:spacing w:after="0"/>
              <w:jc w:val="center"/>
              <w:rPr>
                <w:noProof/>
                <w:color w:val="000000"/>
                <w:sz w:val="20"/>
                <w:szCs w:val="20"/>
                <w:lang w:eastAsia="en-GB"/>
              </w:rPr>
            </w:pPr>
            <w:r>
              <w:rPr>
                <w:noProof/>
                <w:color w:val="000000"/>
                <w:sz w:val="20"/>
                <w:szCs w:val="20"/>
                <w:lang w:eastAsia="en-GB"/>
              </w:rPr>
              <w:t>+1</w:t>
            </w:r>
          </w:p>
        </w:tc>
        <w:tc>
          <w:tcPr>
            <w:tcW w:w="236" w:type="dxa"/>
            <w:tcBorders>
              <w:top w:val="nil"/>
              <w:left w:val="single" w:sz="4" w:space="0" w:color="auto"/>
              <w:bottom w:val="nil"/>
              <w:right w:val="single" w:sz="4" w:space="0" w:color="auto"/>
            </w:tcBorders>
            <w:shd w:val="clear" w:color="000000" w:fill="8DB4E2"/>
            <w:textDirection w:val="btLr"/>
            <w:vAlign w:val="center"/>
            <w:hideMark/>
          </w:tcPr>
          <w:p w:rsidR="007306CA" w:rsidRDefault="00576025">
            <w:pPr>
              <w:spacing w:after="0"/>
              <w:jc w:val="center"/>
              <w:rPr>
                <w:b/>
                <w:bCs/>
                <w:noProof/>
                <w:color w:val="000000"/>
                <w:sz w:val="20"/>
                <w:szCs w:val="20"/>
                <w:lang w:eastAsia="en-GB"/>
              </w:rPr>
            </w:pPr>
            <w:r>
              <w:rPr>
                <w:b/>
                <w:bCs/>
                <w:noProof/>
                <w:color w:val="000000"/>
                <w:sz w:val="20"/>
                <w:szCs w:val="20"/>
                <w:lang w:eastAsia="en-GB"/>
              </w:rPr>
              <w:t> </w:t>
            </w:r>
          </w:p>
        </w:tc>
        <w:tc>
          <w:tcPr>
            <w:tcW w:w="569" w:type="dxa"/>
            <w:tcBorders>
              <w:top w:val="nil"/>
              <w:left w:val="single" w:sz="4" w:space="0" w:color="auto"/>
              <w:bottom w:val="single" w:sz="4" w:space="0" w:color="auto"/>
              <w:right w:val="single" w:sz="4" w:space="0" w:color="auto"/>
            </w:tcBorders>
            <w:shd w:val="clear" w:color="auto" w:fill="auto"/>
            <w:vAlign w:val="center"/>
            <w:hideMark/>
          </w:tcPr>
          <w:p w:rsidR="007306CA" w:rsidRDefault="00576025">
            <w:pPr>
              <w:spacing w:after="0"/>
              <w:jc w:val="center"/>
              <w:rPr>
                <w:noProof/>
                <w:color w:val="000000"/>
                <w:sz w:val="20"/>
                <w:szCs w:val="20"/>
                <w:lang w:eastAsia="en-GB"/>
              </w:rPr>
            </w:pPr>
            <w:r>
              <w:rPr>
                <w:noProof/>
                <w:color w:val="000000"/>
                <w:sz w:val="20"/>
                <w:szCs w:val="20"/>
                <w:lang w:eastAsia="en-GB"/>
              </w:rPr>
              <w:t>0</w:t>
            </w:r>
          </w:p>
        </w:tc>
        <w:tc>
          <w:tcPr>
            <w:tcW w:w="571" w:type="dxa"/>
            <w:tcBorders>
              <w:top w:val="nil"/>
              <w:left w:val="nil"/>
              <w:bottom w:val="single" w:sz="4" w:space="0" w:color="auto"/>
              <w:right w:val="single" w:sz="4" w:space="0" w:color="auto"/>
            </w:tcBorders>
            <w:shd w:val="clear" w:color="auto" w:fill="auto"/>
            <w:vAlign w:val="center"/>
            <w:hideMark/>
          </w:tcPr>
          <w:p w:rsidR="007306CA" w:rsidRDefault="00576025">
            <w:pPr>
              <w:spacing w:after="0"/>
              <w:jc w:val="center"/>
              <w:rPr>
                <w:noProof/>
                <w:color w:val="000000"/>
                <w:sz w:val="20"/>
                <w:szCs w:val="20"/>
                <w:lang w:eastAsia="en-GB"/>
              </w:rPr>
            </w:pPr>
            <w:r>
              <w:rPr>
                <w:noProof/>
                <w:color w:val="000000"/>
                <w:sz w:val="20"/>
                <w:szCs w:val="20"/>
                <w:lang w:eastAsia="en-GB"/>
              </w:rPr>
              <w:t>-1</w:t>
            </w:r>
          </w:p>
        </w:tc>
        <w:tc>
          <w:tcPr>
            <w:tcW w:w="560" w:type="dxa"/>
            <w:tcBorders>
              <w:top w:val="nil"/>
              <w:left w:val="nil"/>
              <w:bottom w:val="single" w:sz="4" w:space="0" w:color="auto"/>
              <w:right w:val="single" w:sz="8" w:space="0" w:color="auto"/>
            </w:tcBorders>
            <w:shd w:val="clear" w:color="auto" w:fill="auto"/>
            <w:vAlign w:val="center"/>
            <w:hideMark/>
          </w:tcPr>
          <w:p w:rsidR="007306CA" w:rsidRDefault="00576025">
            <w:pPr>
              <w:spacing w:after="0"/>
              <w:jc w:val="center"/>
              <w:rPr>
                <w:noProof/>
                <w:color w:val="000000"/>
                <w:sz w:val="20"/>
                <w:szCs w:val="20"/>
                <w:lang w:eastAsia="en-GB"/>
              </w:rPr>
            </w:pPr>
            <w:r>
              <w:rPr>
                <w:noProof/>
                <w:color w:val="000000"/>
                <w:sz w:val="20"/>
                <w:szCs w:val="20"/>
                <w:lang w:eastAsia="en-GB"/>
              </w:rPr>
              <w:t>0</w:t>
            </w:r>
          </w:p>
        </w:tc>
      </w:tr>
      <w:tr w:rsidR="007306CA">
        <w:trPr>
          <w:trHeight w:val="330"/>
          <w:jc w:val="center"/>
        </w:trPr>
        <w:tc>
          <w:tcPr>
            <w:tcW w:w="4000" w:type="dxa"/>
            <w:tcBorders>
              <w:top w:val="nil"/>
              <w:left w:val="single" w:sz="8" w:space="0" w:color="auto"/>
              <w:bottom w:val="single" w:sz="8" w:space="0" w:color="auto"/>
              <w:right w:val="single" w:sz="8" w:space="0" w:color="auto"/>
            </w:tcBorders>
            <w:shd w:val="clear" w:color="000000" w:fill="DCE6F1"/>
            <w:vAlign w:val="center"/>
            <w:hideMark/>
          </w:tcPr>
          <w:p w:rsidR="007306CA" w:rsidRDefault="00576025">
            <w:pPr>
              <w:spacing w:after="0"/>
              <w:jc w:val="left"/>
              <w:rPr>
                <w:b/>
                <w:bCs/>
                <w:noProof/>
                <w:color w:val="000000"/>
                <w:sz w:val="20"/>
                <w:szCs w:val="20"/>
                <w:lang w:eastAsia="en-GB"/>
              </w:rPr>
            </w:pPr>
            <w:r>
              <w:rPr>
                <w:b/>
                <w:bCs/>
                <w:noProof/>
                <w:color w:val="000000"/>
                <w:sz w:val="20"/>
                <w:szCs w:val="20"/>
                <w:lang w:eastAsia="en-GB"/>
              </w:rPr>
              <w:t>Economic impacts</w:t>
            </w:r>
          </w:p>
        </w:tc>
        <w:tc>
          <w:tcPr>
            <w:tcW w:w="560" w:type="dxa"/>
            <w:tcBorders>
              <w:top w:val="nil"/>
              <w:left w:val="nil"/>
              <w:bottom w:val="single" w:sz="8" w:space="0" w:color="auto"/>
              <w:right w:val="single" w:sz="4" w:space="0" w:color="auto"/>
            </w:tcBorders>
            <w:shd w:val="clear" w:color="000000" w:fill="DCE6F1"/>
            <w:vAlign w:val="center"/>
            <w:hideMark/>
          </w:tcPr>
          <w:p w:rsidR="007306CA" w:rsidRDefault="00576025">
            <w:pPr>
              <w:spacing w:after="0"/>
              <w:jc w:val="center"/>
              <w:rPr>
                <w:b/>
                <w:bCs/>
                <w:noProof/>
                <w:color w:val="000000"/>
                <w:sz w:val="20"/>
                <w:szCs w:val="20"/>
                <w:lang w:eastAsia="en-GB"/>
              </w:rPr>
            </w:pPr>
            <w:r>
              <w:rPr>
                <w:b/>
                <w:bCs/>
                <w:noProof/>
                <w:color w:val="000000"/>
                <w:sz w:val="20"/>
                <w:szCs w:val="20"/>
                <w:lang w:eastAsia="en-GB"/>
              </w:rPr>
              <w:t> </w:t>
            </w:r>
          </w:p>
        </w:tc>
        <w:tc>
          <w:tcPr>
            <w:tcW w:w="560" w:type="dxa"/>
            <w:tcBorders>
              <w:top w:val="nil"/>
              <w:left w:val="nil"/>
              <w:bottom w:val="single" w:sz="8" w:space="0" w:color="auto"/>
              <w:right w:val="single" w:sz="4" w:space="0" w:color="auto"/>
            </w:tcBorders>
            <w:shd w:val="clear" w:color="000000" w:fill="DCE6F1"/>
            <w:vAlign w:val="center"/>
            <w:hideMark/>
          </w:tcPr>
          <w:p w:rsidR="007306CA" w:rsidRDefault="00576025">
            <w:pPr>
              <w:spacing w:after="0"/>
              <w:jc w:val="center"/>
              <w:rPr>
                <w:noProof/>
                <w:color w:val="000000"/>
                <w:sz w:val="20"/>
                <w:szCs w:val="20"/>
                <w:lang w:eastAsia="en-GB"/>
              </w:rPr>
            </w:pPr>
            <w:r>
              <w:rPr>
                <w:noProof/>
                <w:color w:val="000000"/>
                <w:sz w:val="20"/>
                <w:szCs w:val="20"/>
                <w:lang w:eastAsia="en-GB"/>
              </w:rPr>
              <w:t> </w:t>
            </w:r>
          </w:p>
        </w:tc>
        <w:tc>
          <w:tcPr>
            <w:tcW w:w="560" w:type="dxa"/>
            <w:tcBorders>
              <w:top w:val="nil"/>
              <w:left w:val="nil"/>
              <w:bottom w:val="single" w:sz="8" w:space="0" w:color="auto"/>
              <w:right w:val="single" w:sz="4" w:space="0" w:color="auto"/>
            </w:tcBorders>
            <w:shd w:val="clear" w:color="000000" w:fill="DCE6F1"/>
            <w:vAlign w:val="center"/>
            <w:hideMark/>
          </w:tcPr>
          <w:p w:rsidR="007306CA" w:rsidRDefault="00576025">
            <w:pPr>
              <w:spacing w:after="0"/>
              <w:jc w:val="center"/>
              <w:rPr>
                <w:noProof/>
                <w:color w:val="000000"/>
                <w:sz w:val="20"/>
                <w:szCs w:val="20"/>
                <w:lang w:eastAsia="en-GB"/>
              </w:rPr>
            </w:pPr>
            <w:r>
              <w:rPr>
                <w:noProof/>
                <w:color w:val="000000"/>
                <w:sz w:val="20"/>
                <w:szCs w:val="20"/>
                <w:lang w:eastAsia="en-GB"/>
              </w:rPr>
              <w:t> </w:t>
            </w:r>
          </w:p>
        </w:tc>
        <w:tc>
          <w:tcPr>
            <w:tcW w:w="560" w:type="dxa"/>
            <w:tcBorders>
              <w:top w:val="nil"/>
              <w:left w:val="nil"/>
              <w:bottom w:val="single" w:sz="8" w:space="0" w:color="auto"/>
              <w:right w:val="single" w:sz="4" w:space="0" w:color="auto"/>
            </w:tcBorders>
            <w:shd w:val="clear" w:color="000000" w:fill="DCE6F1"/>
            <w:vAlign w:val="center"/>
            <w:hideMark/>
          </w:tcPr>
          <w:p w:rsidR="007306CA" w:rsidRDefault="00576025">
            <w:pPr>
              <w:spacing w:after="0"/>
              <w:jc w:val="center"/>
              <w:rPr>
                <w:b/>
                <w:bCs/>
                <w:noProof/>
                <w:color w:val="000000"/>
                <w:sz w:val="20"/>
                <w:szCs w:val="20"/>
                <w:lang w:eastAsia="en-GB"/>
              </w:rPr>
            </w:pPr>
            <w:r>
              <w:rPr>
                <w:b/>
                <w:bCs/>
                <w:noProof/>
                <w:color w:val="000000"/>
                <w:sz w:val="20"/>
                <w:szCs w:val="20"/>
                <w:lang w:eastAsia="en-GB"/>
              </w:rPr>
              <w:t> </w:t>
            </w:r>
          </w:p>
        </w:tc>
        <w:tc>
          <w:tcPr>
            <w:tcW w:w="560" w:type="dxa"/>
            <w:tcBorders>
              <w:top w:val="nil"/>
              <w:left w:val="nil"/>
              <w:bottom w:val="single" w:sz="8" w:space="0" w:color="auto"/>
              <w:right w:val="single" w:sz="4" w:space="0" w:color="auto"/>
            </w:tcBorders>
            <w:shd w:val="clear" w:color="000000" w:fill="DCE6F1"/>
            <w:vAlign w:val="center"/>
            <w:hideMark/>
          </w:tcPr>
          <w:p w:rsidR="007306CA" w:rsidRDefault="00576025">
            <w:pPr>
              <w:spacing w:after="0"/>
              <w:jc w:val="center"/>
              <w:rPr>
                <w:b/>
                <w:bCs/>
                <w:noProof/>
                <w:color w:val="000000"/>
                <w:sz w:val="20"/>
                <w:szCs w:val="20"/>
                <w:lang w:eastAsia="en-GB"/>
              </w:rPr>
            </w:pPr>
            <w:r>
              <w:rPr>
                <w:b/>
                <w:bCs/>
                <w:noProof/>
                <w:color w:val="000000"/>
                <w:sz w:val="20"/>
                <w:szCs w:val="20"/>
                <w:lang w:eastAsia="en-GB"/>
              </w:rPr>
              <w:t> </w:t>
            </w:r>
          </w:p>
        </w:tc>
        <w:tc>
          <w:tcPr>
            <w:tcW w:w="236" w:type="dxa"/>
            <w:tcBorders>
              <w:top w:val="nil"/>
              <w:left w:val="single" w:sz="4" w:space="0" w:color="auto"/>
              <w:right w:val="single" w:sz="4" w:space="0" w:color="auto"/>
            </w:tcBorders>
            <w:shd w:val="clear" w:color="000000" w:fill="8DB4E2"/>
            <w:textDirection w:val="btLr"/>
            <w:vAlign w:val="center"/>
            <w:hideMark/>
          </w:tcPr>
          <w:p w:rsidR="007306CA" w:rsidRDefault="00576025">
            <w:pPr>
              <w:spacing w:after="0"/>
              <w:jc w:val="center"/>
              <w:rPr>
                <w:b/>
                <w:bCs/>
                <w:noProof/>
                <w:color w:val="000000"/>
                <w:sz w:val="20"/>
                <w:szCs w:val="20"/>
                <w:lang w:eastAsia="en-GB"/>
              </w:rPr>
            </w:pPr>
            <w:r>
              <w:rPr>
                <w:b/>
                <w:bCs/>
                <w:noProof/>
                <w:color w:val="000000"/>
                <w:sz w:val="20"/>
                <w:szCs w:val="20"/>
                <w:lang w:eastAsia="en-GB"/>
              </w:rPr>
              <w:t> </w:t>
            </w:r>
          </w:p>
        </w:tc>
        <w:tc>
          <w:tcPr>
            <w:tcW w:w="569" w:type="dxa"/>
            <w:tcBorders>
              <w:top w:val="nil"/>
              <w:left w:val="single" w:sz="4" w:space="0" w:color="auto"/>
              <w:bottom w:val="single" w:sz="8" w:space="0" w:color="auto"/>
              <w:right w:val="single" w:sz="4" w:space="0" w:color="auto"/>
            </w:tcBorders>
            <w:shd w:val="clear" w:color="000000" w:fill="DCE6F1"/>
            <w:vAlign w:val="center"/>
            <w:hideMark/>
          </w:tcPr>
          <w:p w:rsidR="007306CA" w:rsidRDefault="00576025">
            <w:pPr>
              <w:spacing w:after="0"/>
              <w:jc w:val="center"/>
              <w:rPr>
                <w:noProof/>
                <w:color w:val="000000"/>
                <w:sz w:val="20"/>
                <w:szCs w:val="20"/>
                <w:lang w:eastAsia="en-GB"/>
              </w:rPr>
            </w:pPr>
            <w:r>
              <w:rPr>
                <w:noProof/>
                <w:color w:val="000000"/>
                <w:sz w:val="20"/>
                <w:szCs w:val="20"/>
                <w:lang w:eastAsia="en-GB"/>
              </w:rPr>
              <w:t> </w:t>
            </w:r>
          </w:p>
        </w:tc>
        <w:tc>
          <w:tcPr>
            <w:tcW w:w="571" w:type="dxa"/>
            <w:tcBorders>
              <w:top w:val="nil"/>
              <w:left w:val="nil"/>
              <w:bottom w:val="single" w:sz="8" w:space="0" w:color="auto"/>
              <w:right w:val="single" w:sz="4" w:space="0" w:color="auto"/>
            </w:tcBorders>
            <w:shd w:val="clear" w:color="000000" w:fill="DCE6F1"/>
            <w:vAlign w:val="center"/>
            <w:hideMark/>
          </w:tcPr>
          <w:p w:rsidR="007306CA" w:rsidRDefault="00576025">
            <w:pPr>
              <w:spacing w:after="0"/>
              <w:jc w:val="center"/>
              <w:rPr>
                <w:b/>
                <w:bCs/>
                <w:noProof/>
                <w:color w:val="000000"/>
                <w:sz w:val="20"/>
                <w:szCs w:val="20"/>
                <w:lang w:eastAsia="en-GB"/>
              </w:rPr>
            </w:pPr>
            <w:r>
              <w:rPr>
                <w:b/>
                <w:bCs/>
                <w:noProof/>
                <w:color w:val="000000"/>
                <w:sz w:val="20"/>
                <w:szCs w:val="20"/>
                <w:lang w:eastAsia="en-GB"/>
              </w:rPr>
              <w:t> </w:t>
            </w:r>
          </w:p>
        </w:tc>
        <w:tc>
          <w:tcPr>
            <w:tcW w:w="560" w:type="dxa"/>
            <w:tcBorders>
              <w:top w:val="nil"/>
              <w:left w:val="nil"/>
              <w:bottom w:val="single" w:sz="8" w:space="0" w:color="auto"/>
              <w:right w:val="single" w:sz="8" w:space="0" w:color="auto"/>
            </w:tcBorders>
            <w:shd w:val="clear" w:color="000000" w:fill="DCE6F1"/>
            <w:vAlign w:val="center"/>
            <w:hideMark/>
          </w:tcPr>
          <w:p w:rsidR="007306CA" w:rsidRDefault="00576025">
            <w:pPr>
              <w:spacing w:after="0"/>
              <w:jc w:val="center"/>
              <w:rPr>
                <w:b/>
                <w:bCs/>
                <w:noProof/>
                <w:color w:val="000000"/>
                <w:sz w:val="20"/>
                <w:szCs w:val="20"/>
                <w:lang w:eastAsia="en-GB"/>
              </w:rPr>
            </w:pPr>
            <w:r>
              <w:rPr>
                <w:b/>
                <w:bCs/>
                <w:noProof/>
                <w:color w:val="000000"/>
                <w:sz w:val="20"/>
                <w:szCs w:val="20"/>
                <w:lang w:eastAsia="en-GB"/>
              </w:rPr>
              <w:t> </w:t>
            </w:r>
          </w:p>
        </w:tc>
      </w:tr>
      <w:tr w:rsidR="007306CA">
        <w:trPr>
          <w:trHeight w:val="300"/>
          <w:jc w:val="center"/>
        </w:trPr>
        <w:tc>
          <w:tcPr>
            <w:tcW w:w="4000" w:type="dxa"/>
            <w:tcBorders>
              <w:top w:val="nil"/>
              <w:left w:val="single" w:sz="8" w:space="0" w:color="auto"/>
              <w:bottom w:val="single" w:sz="4" w:space="0" w:color="auto"/>
              <w:right w:val="single" w:sz="8" w:space="0" w:color="auto"/>
            </w:tcBorders>
            <w:shd w:val="clear" w:color="auto" w:fill="auto"/>
            <w:vAlign w:val="center"/>
            <w:hideMark/>
          </w:tcPr>
          <w:p w:rsidR="007306CA" w:rsidRDefault="00576025">
            <w:pPr>
              <w:spacing w:after="0"/>
              <w:jc w:val="left"/>
              <w:rPr>
                <w:noProof/>
                <w:color w:val="000000"/>
                <w:sz w:val="20"/>
                <w:szCs w:val="20"/>
                <w:lang w:eastAsia="en-GB"/>
              </w:rPr>
            </w:pPr>
            <w:r>
              <w:rPr>
                <w:noProof/>
                <w:color w:val="000000"/>
                <w:sz w:val="20"/>
                <w:szCs w:val="20"/>
                <w:lang w:eastAsia="en-GB"/>
              </w:rPr>
              <w:t>- Impact on growth and competitiveness</w:t>
            </w:r>
          </w:p>
        </w:tc>
        <w:tc>
          <w:tcPr>
            <w:tcW w:w="560" w:type="dxa"/>
            <w:tcBorders>
              <w:top w:val="nil"/>
              <w:left w:val="nil"/>
              <w:bottom w:val="single" w:sz="4" w:space="0" w:color="auto"/>
              <w:right w:val="single" w:sz="4" w:space="0" w:color="auto"/>
            </w:tcBorders>
            <w:shd w:val="clear" w:color="auto" w:fill="auto"/>
            <w:vAlign w:val="center"/>
            <w:hideMark/>
          </w:tcPr>
          <w:p w:rsidR="007306CA" w:rsidRDefault="00576025">
            <w:pPr>
              <w:spacing w:after="0"/>
              <w:jc w:val="center"/>
              <w:rPr>
                <w:noProof/>
                <w:color w:val="000000"/>
                <w:sz w:val="20"/>
                <w:szCs w:val="20"/>
                <w:lang w:eastAsia="en-GB"/>
              </w:rPr>
            </w:pPr>
            <w:r>
              <w:rPr>
                <w:noProof/>
                <w:color w:val="000000"/>
                <w:sz w:val="20"/>
                <w:szCs w:val="20"/>
                <w:lang w:eastAsia="en-GB"/>
              </w:rPr>
              <w:t>+3</w:t>
            </w:r>
          </w:p>
        </w:tc>
        <w:tc>
          <w:tcPr>
            <w:tcW w:w="560" w:type="dxa"/>
            <w:tcBorders>
              <w:top w:val="nil"/>
              <w:left w:val="nil"/>
              <w:bottom w:val="single" w:sz="4" w:space="0" w:color="auto"/>
              <w:right w:val="single" w:sz="4" w:space="0" w:color="auto"/>
            </w:tcBorders>
            <w:shd w:val="clear" w:color="auto" w:fill="auto"/>
            <w:vAlign w:val="center"/>
            <w:hideMark/>
          </w:tcPr>
          <w:p w:rsidR="007306CA" w:rsidRDefault="00576025">
            <w:pPr>
              <w:spacing w:after="0"/>
              <w:jc w:val="center"/>
              <w:rPr>
                <w:noProof/>
                <w:color w:val="000000"/>
                <w:sz w:val="20"/>
                <w:szCs w:val="20"/>
                <w:lang w:eastAsia="en-GB"/>
              </w:rPr>
            </w:pPr>
            <w:r>
              <w:rPr>
                <w:noProof/>
                <w:color w:val="000000"/>
                <w:sz w:val="20"/>
                <w:szCs w:val="20"/>
                <w:lang w:eastAsia="en-GB"/>
              </w:rPr>
              <w:t>+2</w:t>
            </w:r>
          </w:p>
        </w:tc>
        <w:tc>
          <w:tcPr>
            <w:tcW w:w="560" w:type="dxa"/>
            <w:tcBorders>
              <w:top w:val="nil"/>
              <w:left w:val="nil"/>
              <w:bottom w:val="single" w:sz="4" w:space="0" w:color="auto"/>
              <w:right w:val="single" w:sz="4" w:space="0" w:color="auto"/>
            </w:tcBorders>
            <w:shd w:val="clear" w:color="auto" w:fill="auto"/>
            <w:vAlign w:val="center"/>
            <w:hideMark/>
          </w:tcPr>
          <w:p w:rsidR="007306CA" w:rsidRDefault="00576025">
            <w:pPr>
              <w:spacing w:after="0"/>
              <w:jc w:val="center"/>
              <w:rPr>
                <w:noProof/>
                <w:color w:val="000000"/>
                <w:sz w:val="20"/>
                <w:szCs w:val="20"/>
                <w:lang w:eastAsia="en-GB"/>
              </w:rPr>
            </w:pPr>
            <w:r>
              <w:rPr>
                <w:noProof/>
                <w:color w:val="000000"/>
                <w:sz w:val="20"/>
                <w:szCs w:val="20"/>
                <w:lang w:eastAsia="en-GB"/>
              </w:rPr>
              <w:t>-1/0</w:t>
            </w:r>
          </w:p>
        </w:tc>
        <w:tc>
          <w:tcPr>
            <w:tcW w:w="560" w:type="dxa"/>
            <w:tcBorders>
              <w:top w:val="nil"/>
              <w:left w:val="nil"/>
              <w:bottom w:val="single" w:sz="4" w:space="0" w:color="auto"/>
              <w:right w:val="single" w:sz="4" w:space="0" w:color="auto"/>
            </w:tcBorders>
            <w:shd w:val="clear" w:color="auto" w:fill="auto"/>
            <w:vAlign w:val="center"/>
            <w:hideMark/>
          </w:tcPr>
          <w:p w:rsidR="007306CA" w:rsidRDefault="00576025">
            <w:pPr>
              <w:spacing w:after="0"/>
              <w:jc w:val="center"/>
              <w:rPr>
                <w:noProof/>
                <w:color w:val="000000"/>
                <w:sz w:val="20"/>
                <w:szCs w:val="20"/>
                <w:lang w:eastAsia="en-GB"/>
              </w:rPr>
            </w:pPr>
            <w:r>
              <w:rPr>
                <w:noProof/>
                <w:color w:val="000000"/>
                <w:sz w:val="18"/>
                <w:szCs w:val="18"/>
                <w:lang w:eastAsia="en-GB"/>
              </w:rPr>
              <w:t>+1/ +2</w:t>
            </w:r>
          </w:p>
        </w:tc>
        <w:tc>
          <w:tcPr>
            <w:tcW w:w="560" w:type="dxa"/>
            <w:tcBorders>
              <w:top w:val="nil"/>
              <w:left w:val="nil"/>
              <w:bottom w:val="single" w:sz="4" w:space="0" w:color="auto"/>
              <w:right w:val="single" w:sz="4" w:space="0" w:color="auto"/>
            </w:tcBorders>
            <w:shd w:val="clear" w:color="auto" w:fill="auto"/>
            <w:vAlign w:val="center"/>
            <w:hideMark/>
          </w:tcPr>
          <w:p w:rsidR="007306CA" w:rsidRDefault="00576025">
            <w:pPr>
              <w:spacing w:after="0"/>
              <w:jc w:val="center"/>
              <w:rPr>
                <w:noProof/>
                <w:color w:val="000000"/>
                <w:sz w:val="20"/>
                <w:szCs w:val="20"/>
                <w:lang w:eastAsia="en-GB"/>
              </w:rPr>
            </w:pPr>
            <w:r>
              <w:rPr>
                <w:noProof/>
                <w:color w:val="000000"/>
                <w:sz w:val="20"/>
                <w:szCs w:val="20"/>
                <w:lang w:eastAsia="en-GB"/>
              </w:rPr>
              <w:t>+2</w:t>
            </w:r>
          </w:p>
        </w:tc>
        <w:tc>
          <w:tcPr>
            <w:tcW w:w="236" w:type="dxa"/>
            <w:tcBorders>
              <w:top w:val="nil"/>
              <w:left w:val="single" w:sz="4" w:space="0" w:color="auto"/>
              <w:bottom w:val="nil"/>
              <w:right w:val="single" w:sz="4" w:space="0" w:color="auto"/>
            </w:tcBorders>
            <w:shd w:val="clear" w:color="000000" w:fill="8DB4E2"/>
            <w:textDirection w:val="btLr"/>
            <w:vAlign w:val="center"/>
            <w:hideMark/>
          </w:tcPr>
          <w:p w:rsidR="007306CA" w:rsidRDefault="00576025">
            <w:pPr>
              <w:spacing w:after="0"/>
              <w:jc w:val="center"/>
              <w:rPr>
                <w:b/>
                <w:bCs/>
                <w:noProof/>
                <w:color w:val="000000"/>
                <w:sz w:val="20"/>
                <w:szCs w:val="20"/>
                <w:lang w:eastAsia="en-GB"/>
              </w:rPr>
            </w:pPr>
            <w:r>
              <w:rPr>
                <w:b/>
                <w:bCs/>
                <w:noProof/>
                <w:color w:val="000000"/>
                <w:sz w:val="20"/>
                <w:szCs w:val="20"/>
                <w:lang w:eastAsia="en-GB"/>
              </w:rPr>
              <w:t> </w:t>
            </w:r>
          </w:p>
        </w:tc>
        <w:tc>
          <w:tcPr>
            <w:tcW w:w="569" w:type="dxa"/>
            <w:tcBorders>
              <w:top w:val="nil"/>
              <w:left w:val="single" w:sz="4" w:space="0" w:color="auto"/>
              <w:bottom w:val="single" w:sz="4" w:space="0" w:color="auto"/>
              <w:right w:val="single" w:sz="4" w:space="0" w:color="auto"/>
            </w:tcBorders>
            <w:shd w:val="clear" w:color="auto" w:fill="auto"/>
            <w:vAlign w:val="center"/>
            <w:hideMark/>
          </w:tcPr>
          <w:p w:rsidR="007306CA" w:rsidRDefault="00576025">
            <w:pPr>
              <w:spacing w:after="0"/>
              <w:jc w:val="center"/>
              <w:rPr>
                <w:noProof/>
                <w:color w:val="000000"/>
                <w:sz w:val="20"/>
                <w:szCs w:val="20"/>
                <w:lang w:eastAsia="en-GB"/>
              </w:rPr>
            </w:pPr>
            <w:r>
              <w:rPr>
                <w:noProof/>
                <w:color w:val="000000"/>
                <w:sz w:val="20"/>
                <w:szCs w:val="20"/>
                <w:lang w:eastAsia="en-GB"/>
              </w:rPr>
              <w:t>0</w:t>
            </w:r>
          </w:p>
        </w:tc>
        <w:tc>
          <w:tcPr>
            <w:tcW w:w="571" w:type="dxa"/>
            <w:tcBorders>
              <w:top w:val="nil"/>
              <w:left w:val="nil"/>
              <w:bottom w:val="single" w:sz="4" w:space="0" w:color="auto"/>
              <w:right w:val="single" w:sz="4" w:space="0" w:color="auto"/>
            </w:tcBorders>
            <w:shd w:val="clear" w:color="auto" w:fill="auto"/>
            <w:vAlign w:val="center"/>
            <w:hideMark/>
          </w:tcPr>
          <w:p w:rsidR="007306CA" w:rsidRDefault="00576025">
            <w:pPr>
              <w:spacing w:after="0"/>
              <w:jc w:val="center"/>
              <w:rPr>
                <w:noProof/>
                <w:color w:val="000000"/>
                <w:sz w:val="20"/>
                <w:szCs w:val="20"/>
                <w:lang w:eastAsia="en-GB"/>
              </w:rPr>
            </w:pPr>
            <w:r>
              <w:rPr>
                <w:noProof/>
                <w:color w:val="000000"/>
                <w:sz w:val="20"/>
                <w:szCs w:val="20"/>
                <w:lang w:eastAsia="en-GB"/>
              </w:rPr>
              <w:t>+1</w:t>
            </w:r>
          </w:p>
        </w:tc>
        <w:tc>
          <w:tcPr>
            <w:tcW w:w="560" w:type="dxa"/>
            <w:tcBorders>
              <w:top w:val="nil"/>
              <w:left w:val="nil"/>
              <w:bottom w:val="single" w:sz="4" w:space="0" w:color="auto"/>
              <w:right w:val="single" w:sz="8" w:space="0" w:color="auto"/>
            </w:tcBorders>
            <w:shd w:val="clear" w:color="auto" w:fill="auto"/>
            <w:vAlign w:val="center"/>
            <w:hideMark/>
          </w:tcPr>
          <w:p w:rsidR="007306CA" w:rsidRDefault="00576025">
            <w:pPr>
              <w:spacing w:after="0"/>
              <w:jc w:val="center"/>
              <w:rPr>
                <w:noProof/>
                <w:color w:val="000000"/>
                <w:sz w:val="20"/>
                <w:szCs w:val="20"/>
                <w:lang w:eastAsia="en-GB"/>
              </w:rPr>
            </w:pPr>
            <w:r>
              <w:rPr>
                <w:noProof/>
                <w:color w:val="000000"/>
                <w:sz w:val="20"/>
                <w:szCs w:val="20"/>
                <w:lang w:eastAsia="en-GB"/>
              </w:rPr>
              <w:t>0</w:t>
            </w:r>
          </w:p>
        </w:tc>
      </w:tr>
      <w:tr w:rsidR="007306CA">
        <w:trPr>
          <w:trHeight w:val="300"/>
          <w:jc w:val="center"/>
        </w:trPr>
        <w:tc>
          <w:tcPr>
            <w:tcW w:w="4000" w:type="dxa"/>
            <w:tcBorders>
              <w:top w:val="nil"/>
              <w:left w:val="single" w:sz="8" w:space="0" w:color="auto"/>
              <w:bottom w:val="single" w:sz="4" w:space="0" w:color="auto"/>
              <w:right w:val="single" w:sz="8" w:space="0" w:color="auto"/>
            </w:tcBorders>
            <w:shd w:val="clear" w:color="auto" w:fill="auto"/>
            <w:vAlign w:val="center"/>
            <w:hideMark/>
          </w:tcPr>
          <w:p w:rsidR="007306CA" w:rsidRDefault="00576025">
            <w:pPr>
              <w:spacing w:after="0"/>
              <w:jc w:val="left"/>
              <w:rPr>
                <w:noProof/>
                <w:color w:val="000000"/>
                <w:sz w:val="20"/>
                <w:szCs w:val="20"/>
                <w:lang w:eastAsia="en-GB"/>
              </w:rPr>
            </w:pPr>
            <w:r>
              <w:rPr>
                <w:noProof/>
                <w:color w:val="000000"/>
                <w:sz w:val="20"/>
                <w:szCs w:val="20"/>
                <w:lang w:eastAsia="en-GB"/>
              </w:rPr>
              <w:t>- Impact on SMEs</w:t>
            </w:r>
          </w:p>
        </w:tc>
        <w:tc>
          <w:tcPr>
            <w:tcW w:w="560" w:type="dxa"/>
            <w:tcBorders>
              <w:top w:val="nil"/>
              <w:left w:val="nil"/>
              <w:bottom w:val="single" w:sz="4" w:space="0" w:color="auto"/>
              <w:right w:val="single" w:sz="4" w:space="0" w:color="auto"/>
            </w:tcBorders>
            <w:shd w:val="clear" w:color="auto" w:fill="auto"/>
            <w:vAlign w:val="center"/>
            <w:hideMark/>
          </w:tcPr>
          <w:p w:rsidR="007306CA" w:rsidRDefault="00576025">
            <w:pPr>
              <w:spacing w:after="0"/>
              <w:jc w:val="center"/>
              <w:rPr>
                <w:noProof/>
                <w:color w:val="000000"/>
                <w:sz w:val="20"/>
                <w:szCs w:val="20"/>
                <w:lang w:eastAsia="en-GB"/>
              </w:rPr>
            </w:pPr>
            <w:r>
              <w:rPr>
                <w:noProof/>
                <w:color w:val="000000"/>
                <w:sz w:val="20"/>
                <w:szCs w:val="20"/>
                <w:lang w:eastAsia="en-GB"/>
              </w:rPr>
              <w:t>+3</w:t>
            </w:r>
          </w:p>
        </w:tc>
        <w:tc>
          <w:tcPr>
            <w:tcW w:w="560" w:type="dxa"/>
            <w:tcBorders>
              <w:top w:val="nil"/>
              <w:left w:val="nil"/>
              <w:bottom w:val="single" w:sz="4" w:space="0" w:color="auto"/>
              <w:right w:val="single" w:sz="4" w:space="0" w:color="auto"/>
            </w:tcBorders>
            <w:shd w:val="clear" w:color="auto" w:fill="auto"/>
            <w:vAlign w:val="center"/>
            <w:hideMark/>
          </w:tcPr>
          <w:p w:rsidR="007306CA" w:rsidRDefault="00576025">
            <w:pPr>
              <w:spacing w:after="0"/>
              <w:jc w:val="center"/>
              <w:rPr>
                <w:noProof/>
                <w:color w:val="000000"/>
                <w:sz w:val="20"/>
                <w:szCs w:val="20"/>
                <w:lang w:eastAsia="en-GB"/>
              </w:rPr>
            </w:pPr>
            <w:r>
              <w:rPr>
                <w:noProof/>
                <w:color w:val="000000"/>
                <w:sz w:val="20"/>
                <w:szCs w:val="20"/>
                <w:lang w:eastAsia="en-GB"/>
              </w:rPr>
              <w:t>+2</w:t>
            </w:r>
          </w:p>
        </w:tc>
        <w:tc>
          <w:tcPr>
            <w:tcW w:w="560" w:type="dxa"/>
            <w:tcBorders>
              <w:top w:val="nil"/>
              <w:left w:val="nil"/>
              <w:bottom w:val="single" w:sz="4" w:space="0" w:color="auto"/>
              <w:right w:val="single" w:sz="4" w:space="0" w:color="auto"/>
            </w:tcBorders>
            <w:shd w:val="clear" w:color="auto" w:fill="auto"/>
            <w:vAlign w:val="center"/>
            <w:hideMark/>
          </w:tcPr>
          <w:p w:rsidR="007306CA" w:rsidRDefault="00576025">
            <w:pPr>
              <w:spacing w:after="0"/>
              <w:jc w:val="center"/>
              <w:rPr>
                <w:noProof/>
                <w:color w:val="000000"/>
                <w:sz w:val="20"/>
                <w:szCs w:val="20"/>
                <w:lang w:eastAsia="en-GB"/>
              </w:rPr>
            </w:pPr>
            <w:r>
              <w:rPr>
                <w:noProof/>
                <w:color w:val="000000"/>
                <w:sz w:val="20"/>
                <w:szCs w:val="20"/>
                <w:lang w:eastAsia="en-GB"/>
              </w:rPr>
              <w:t>0</w:t>
            </w:r>
          </w:p>
        </w:tc>
        <w:tc>
          <w:tcPr>
            <w:tcW w:w="560" w:type="dxa"/>
            <w:tcBorders>
              <w:top w:val="nil"/>
              <w:left w:val="nil"/>
              <w:bottom w:val="single" w:sz="4" w:space="0" w:color="auto"/>
              <w:right w:val="single" w:sz="4" w:space="0" w:color="auto"/>
            </w:tcBorders>
            <w:shd w:val="clear" w:color="auto" w:fill="auto"/>
            <w:vAlign w:val="center"/>
            <w:hideMark/>
          </w:tcPr>
          <w:p w:rsidR="007306CA" w:rsidRDefault="00576025">
            <w:pPr>
              <w:spacing w:after="0"/>
              <w:jc w:val="center"/>
              <w:rPr>
                <w:noProof/>
                <w:color w:val="000000"/>
                <w:sz w:val="20"/>
                <w:szCs w:val="20"/>
                <w:lang w:eastAsia="en-GB"/>
              </w:rPr>
            </w:pPr>
            <w:r>
              <w:rPr>
                <w:noProof/>
                <w:color w:val="000000"/>
                <w:sz w:val="20"/>
                <w:szCs w:val="20"/>
                <w:lang w:eastAsia="en-GB"/>
              </w:rPr>
              <w:t>+2</w:t>
            </w:r>
          </w:p>
        </w:tc>
        <w:tc>
          <w:tcPr>
            <w:tcW w:w="560" w:type="dxa"/>
            <w:tcBorders>
              <w:top w:val="nil"/>
              <w:left w:val="nil"/>
              <w:bottom w:val="single" w:sz="4" w:space="0" w:color="auto"/>
              <w:right w:val="single" w:sz="4" w:space="0" w:color="auto"/>
            </w:tcBorders>
            <w:shd w:val="clear" w:color="auto" w:fill="auto"/>
            <w:vAlign w:val="center"/>
            <w:hideMark/>
          </w:tcPr>
          <w:p w:rsidR="007306CA" w:rsidRDefault="00576025">
            <w:pPr>
              <w:spacing w:after="0"/>
              <w:jc w:val="center"/>
              <w:rPr>
                <w:noProof/>
                <w:color w:val="000000"/>
                <w:sz w:val="20"/>
                <w:szCs w:val="20"/>
                <w:lang w:eastAsia="en-GB"/>
              </w:rPr>
            </w:pPr>
            <w:r>
              <w:rPr>
                <w:noProof/>
                <w:color w:val="000000"/>
                <w:sz w:val="20"/>
                <w:szCs w:val="20"/>
                <w:lang w:eastAsia="en-GB"/>
              </w:rPr>
              <w:t>+1</w:t>
            </w:r>
          </w:p>
        </w:tc>
        <w:tc>
          <w:tcPr>
            <w:tcW w:w="236" w:type="dxa"/>
            <w:tcBorders>
              <w:top w:val="nil"/>
              <w:left w:val="single" w:sz="4" w:space="0" w:color="auto"/>
              <w:bottom w:val="nil"/>
              <w:right w:val="single" w:sz="4" w:space="0" w:color="auto"/>
            </w:tcBorders>
            <w:shd w:val="clear" w:color="000000" w:fill="8DB4E2"/>
            <w:textDirection w:val="btLr"/>
            <w:vAlign w:val="center"/>
            <w:hideMark/>
          </w:tcPr>
          <w:p w:rsidR="007306CA" w:rsidRDefault="00576025">
            <w:pPr>
              <w:spacing w:after="0"/>
              <w:jc w:val="center"/>
              <w:rPr>
                <w:b/>
                <w:bCs/>
                <w:noProof/>
                <w:color w:val="000000"/>
                <w:sz w:val="20"/>
                <w:szCs w:val="20"/>
                <w:lang w:eastAsia="en-GB"/>
              </w:rPr>
            </w:pPr>
            <w:r>
              <w:rPr>
                <w:b/>
                <w:bCs/>
                <w:noProof/>
                <w:color w:val="000000"/>
                <w:sz w:val="20"/>
                <w:szCs w:val="20"/>
                <w:lang w:eastAsia="en-GB"/>
              </w:rPr>
              <w:t> </w:t>
            </w:r>
          </w:p>
        </w:tc>
        <w:tc>
          <w:tcPr>
            <w:tcW w:w="569" w:type="dxa"/>
            <w:tcBorders>
              <w:top w:val="nil"/>
              <w:left w:val="single" w:sz="4" w:space="0" w:color="auto"/>
              <w:bottom w:val="single" w:sz="4" w:space="0" w:color="auto"/>
              <w:right w:val="single" w:sz="4" w:space="0" w:color="auto"/>
            </w:tcBorders>
            <w:shd w:val="clear" w:color="auto" w:fill="auto"/>
            <w:vAlign w:val="center"/>
            <w:hideMark/>
          </w:tcPr>
          <w:p w:rsidR="007306CA" w:rsidRDefault="00576025">
            <w:pPr>
              <w:spacing w:after="0"/>
              <w:jc w:val="center"/>
              <w:rPr>
                <w:noProof/>
                <w:color w:val="000000"/>
                <w:sz w:val="20"/>
                <w:szCs w:val="20"/>
                <w:lang w:eastAsia="en-GB"/>
              </w:rPr>
            </w:pPr>
            <w:r>
              <w:rPr>
                <w:noProof/>
                <w:color w:val="000000"/>
                <w:sz w:val="20"/>
                <w:szCs w:val="20"/>
                <w:lang w:eastAsia="en-GB"/>
              </w:rPr>
              <w:t>0</w:t>
            </w:r>
          </w:p>
        </w:tc>
        <w:tc>
          <w:tcPr>
            <w:tcW w:w="571" w:type="dxa"/>
            <w:tcBorders>
              <w:top w:val="nil"/>
              <w:left w:val="nil"/>
              <w:bottom w:val="single" w:sz="4" w:space="0" w:color="auto"/>
              <w:right w:val="single" w:sz="4" w:space="0" w:color="auto"/>
            </w:tcBorders>
            <w:shd w:val="clear" w:color="auto" w:fill="auto"/>
            <w:vAlign w:val="center"/>
            <w:hideMark/>
          </w:tcPr>
          <w:p w:rsidR="007306CA" w:rsidRDefault="00576025">
            <w:pPr>
              <w:spacing w:after="0"/>
              <w:jc w:val="center"/>
              <w:rPr>
                <w:noProof/>
                <w:color w:val="000000"/>
                <w:sz w:val="20"/>
                <w:szCs w:val="20"/>
                <w:lang w:eastAsia="en-GB"/>
              </w:rPr>
            </w:pPr>
            <w:r>
              <w:rPr>
                <w:noProof/>
                <w:color w:val="000000"/>
                <w:sz w:val="20"/>
                <w:szCs w:val="20"/>
                <w:lang w:eastAsia="en-GB"/>
              </w:rPr>
              <w:t>+1</w:t>
            </w:r>
          </w:p>
        </w:tc>
        <w:tc>
          <w:tcPr>
            <w:tcW w:w="560" w:type="dxa"/>
            <w:tcBorders>
              <w:top w:val="nil"/>
              <w:left w:val="nil"/>
              <w:bottom w:val="single" w:sz="4" w:space="0" w:color="auto"/>
              <w:right w:val="single" w:sz="8" w:space="0" w:color="auto"/>
            </w:tcBorders>
            <w:shd w:val="clear" w:color="auto" w:fill="auto"/>
            <w:vAlign w:val="center"/>
            <w:hideMark/>
          </w:tcPr>
          <w:p w:rsidR="007306CA" w:rsidRDefault="00576025">
            <w:pPr>
              <w:spacing w:after="0"/>
              <w:jc w:val="center"/>
              <w:rPr>
                <w:noProof/>
                <w:color w:val="000000"/>
                <w:sz w:val="20"/>
                <w:szCs w:val="20"/>
                <w:lang w:eastAsia="en-GB"/>
              </w:rPr>
            </w:pPr>
            <w:r>
              <w:rPr>
                <w:noProof/>
                <w:color w:val="000000"/>
                <w:sz w:val="20"/>
                <w:szCs w:val="20"/>
                <w:lang w:eastAsia="en-GB"/>
              </w:rPr>
              <w:t>0</w:t>
            </w:r>
          </w:p>
        </w:tc>
      </w:tr>
      <w:tr w:rsidR="007306CA">
        <w:trPr>
          <w:trHeight w:val="300"/>
          <w:jc w:val="center"/>
        </w:trPr>
        <w:tc>
          <w:tcPr>
            <w:tcW w:w="4000" w:type="dxa"/>
            <w:tcBorders>
              <w:top w:val="nil"/>
              <w:left w:val="single" w:sz="8" w:space="0" w:color="auto"/>
              <w:bottom w:val="single" w:sz="4" w:space="0" w:color="auto"/>
              <w:right w:val="single" w:sz="8" w:space="0" w:color="auto"/>
            </w:tcBorders>
            <w:shd w:val="clear" w:color="auto" w:fill="auto"/>
            <w:vAlign w:val="center"/>
            <w:hideMark/>
          </w:tcPr>
          <w:p w:rsidR="007306CA" w:rsidRDefault="00576025">
            <w:pPr>
              <w:spacing w:after="0"/>
              <w:jc w:val="left"/>
              <w:rPr>
                <w:noProof/>
                <w:color w:val="000000"/>
                <w:sz w:val="20"/>
                <w:szCs w:val="20"/>
                <w:lang w:eastAsia="en-GB"/>
              </w:rPr>
            </w:pPr>
            <w:r>
              <w:rPr>
                <w:noProof/>
                <w:color w:val="000000"/>
                <w:sz w:val="20"/>
                <w:szCs w:val="20"/>
                <w:lang w:eastAsia="en-GB"/>
              </w:rPr>
              <w:t>- Impact on innovation and research</w:t>
            </w:r>
          </w:p>
        </w:tc>
        <w:tc>
          <w:tcPr>
            <w:tcW w:w="560" w:type="dxa"/>
            <w:tcBorders>
              <w:top w:val="nil"/>
              <w:left w:val="nil"/>
              <w:bottom w:val="single" w:sz="4" w:space="0" w:color="auto"/>
              <w:right w:val="single" w:sz="4" w:space="0" w:color="auto"/>
            </w:tcBorders>
            <w:shd w:val="clear" w:color="auto" w:fill="auto"/>
            <w:vAlign w:val="center"/>
            <w:hideMark/>
          </w:tcPr>
          <w:p w:rsidR="007306CA" w:rsidRDefault="00576025">
            <w:pPr>
              <w:spacing w:after="0"/>
              <w:jc w:val="center"/>
              <w:rPr>
                <w:noProof/>
                <w:color w:val="000000"/>
                <w:sz w:val="20"/>
                <w:szCs w:val="20"/>
                <w:lang w:eastAsia="en-GB"/>
              </w:rPr>
            </w:pPr>
            <w:r>
              <w:rPr>
                <w:noProof/>
                <w:color w:val="000000"/>
                <w:sz w:val="20"/>
                <w:szCs w:val="20"/>
                <w:lang w:eastAsia="en-GB"/>
              </w:rPr>
              <w:t>+2</w:t>
            </w:r>
          </w:p>
        </w:tc>
        <w:tc>
          <w:tcPr>
            <w:tcW w:w="560" w:type="dxa"/>
            <w:tcBorders>
              <w:top w:val="nil"/>
              <w:left w:val="nil"/>
              <w:bottom w:val="single" w:sz="4" w:space="0" w:color="auto"/>
              <w:right w:val="single" w:sz="4" w:space="0" w:color="auto"/>
            </w:tcBorders>
            <w:shd w:val="clear" w:color="auto" w:fill="auto"/>
            <w:vAlign w:val="center"/>
            <w:hideMark/>
          </w:tcPr>
          <w:p w:rsidR="007306CA" w:rsidRDefault="00576025">
            <w:pPr>
              <w:spacing w:after="0"/>
              <w:jc w:val="center"/>
              <w:rPr>
                <w:noProof/>
                <w:color w:val="000000"/>
                <w:sz w:val="20"/>
                <w:szCs w:val="20"/>
                <w:lang w:eastAsia="en-GB"/>
              </w:rPr>
            </w:pPr>
            <w:r>
              <w:rPr>
                <w:noProof/>
                <w:color w:val="000000"/>
                <w:sz w:val="20"/>
                <w:szCs w:val="20"/>
                <w:lang w:eastAsia="en-GB"/>
              </w:rPr>
              <w:t>+2</w:t>
            </w:r>
          </w:p>
        </w:tc>
        <w:tc>
          <w:tcPr>
            <w:tcW w:w="560" w:type="dxa"/>
            <w:tcBorders>
              <w:top w:val="nil"/>
              <w:left w:val="nil"/>
              <w:bottom w:val="single" w:sz="4" w:space="0" w:color="auto"/>
              <w:right w:val="single" w:sz="4" w:space="0" w:color="auto"/>
            </w:tcBorders>
            <w:shd w:val="clear" w:color="auto" w:fill="auto"/>
            <w:vAlign w:val="center"/>
            <w:hideMark/>
          </w:tcPr>
          <w:p w:rsidR="007306CA" w:rsidRDefault="00576025">
            <w:pPr>
              <w:spacing w:after="0"/>
              <w:jc w:val="center"/>
              <w:rPr>
                <w:noProof/>
                <w:color w:val="000000"/>
                <w:sz w:val="20"/>
                <w:szCs w:val="20"/>
                <w:lang w:eastAsia="en-GB"/>
              </w:rPr>
            </w:pPr>
            <w:r>
              <w:rPr>
                <w:noProof/>
                <w:color w:val="000000"/>
                <w:sz w:val="20"/>
                <w:szCs w:val="20"/>
                <w:lang w:eastAsia="en-GB"/>
              </w:rPr>
              <w:t>+1</w:t>
            </w:r>
          </w:p>
        </w:tc>
        <w:tc>
          <w:tcPr>
            <w:tcW w:w="560" w:type="dxa"/>
            <w:tcBorders>
              <w:top w:val="nil"/>
              <w:left w:val="nil"/>
              <w:bottom w:val="single" w:sz="4" w:space="0" w:color="auto"/>
              <w:right w:val="single" w:sz="4" w:space="0" w:color="auto"/>
            </w:tcBorders>
            <w:shd w:val="clear" w:color="auto" w:fill="auto"/>
            <w:vAlign w:val="center"/>
            <w:hideMark/>
          </w:tcPr>
          <w:p w:rsidR="007306CA" w:rsidRDefault="00576025">
            <w:pPr>
              <w:spacing w:after="0"/>
              <w:jc w:val="center"/>
              <w:rPr>
                <w:noProof/>
                <w:color w:val="000000"/>
                <w:sz w:val="20"/>
                <w:szCs w:val="20"/>
                <w:lang w:eastAsia="en-GB"/>
              </w:rPr>
            </w:pPr>
            <w:r>
              <w:rPr>
                <w:noProof/>
                <w:color w:val="000000"/>
                <w:sz w:val="20"/>
                <w:szCs w:val="20"/>
                <w:lang w:eastAsia="en-GB"/>
              </w:rPr>
              <w:t>+2</w:t>
            </w:r>
          </w:p>
        </w:tc>
        <w:tc>
          <w:tcPr>
            <w:tcW w:w="560" w:type="dxa"/>
            <w:tcBorders>
              <w:top w:val="nil"/>
              <w:left w:val="nil"/>
              <w:bottom w:val="single" w:sz="4" w:space="0" w:color="auto"/>
              <w:right w:val="single" w:sz="4" w:space="0" w:color="auto"/>
            </w:tcBorders>
            <w:shd w:val="clear" w:color="auto" w:fill="auto"/>
            <w:vAlign w:val="center"/>
            <w:hideMark/>
          </w:tcPr>
          <w:p w:rsidR="007306CA" w:rsidRDefault="00576025">
            <w:pPr>
              <w:spacing w:after="0"/>
              <w:jc w:val="center"/>
              <w:rPr>
                <w:noProof/>
                <w:color w:val="000000"/>
                <w:sz w:val="20"/>
                <w:szCs w:val="20"/>
                <w:lang w:eastAsia="en-GB"/>
              </w:rPr>
            </w:pPr>
            <w:r>
              <w:rPr>
                <w:noProof/>
                <w:color w:val="000000"/>
                <w:sz w:val="18"/>
                <w:szCs w:val="18"/>
                <w:lang w:eastAsia="en-GB"/>
              </w:rPr>
              <w:t>+1/ +2</w:t>
            </w:r>
          </w:p>
        </w:tc>
        <w:tc>
          <w:tcPr>
            <w:tcW w:w="236" w:type="dxa"/>
            <w:tcBorders>
              <w:top w:val="nil"/>
              <w:left w:val="single" w:sz="4" w:space="0" w:color="auto"/>
              <w:bottom w:val="nil"/>
              <w:right w:val="single" w:sz="4" w:space="0" w:color="auto"/>
            </w:tcBorders>
            <w:shd w:val="clear" w:color="000000" w:fill="8DB4E2"/>
            <w:textDirection w:val="btLr"/>
            <w:vAlign w:val="center"/>
            <w:hideMark/>
          </w:tcPr>
          <w:p w:rsidR="007306CA" w:rsidRDefault="00576025">
            <w:pPr>
              <w:spacing w:after="0"/>
              <w:jc w:val="center"/>
              <w:rPr>
                <w:b/>
                <w:bCs/>
                <w:noProof/>
                <w:color w:val="000000"/>
                <w:sz w:val="20"/>
                <w:szCs w:val="20"/>
                <w:lang w:eastAsia="en-GB"/>
              </w:rPr>
            </w:pPr>
            <w:r>
              <w:rPr>
                <w:b/>
                <w:bCs/>
                <w:noProof/>
                <w:color w:val="000000"/>
                <w:sz w:val="20"/>
                <w:szCs w:val="20"/>
                <w:lang w:eastAsia="en-GB"/>
              </w:rPr>
              <w:t> </w:t>
            </w:r>
          </w:p>
        </w:tc>
        <w:tc>
          <w:tcPr>
            <w:tcW w:w="569" w:type="dxa"/>
            <w:tcBorders>
              <w:top w:val="nil"/>
              <w:left w:val="single" w:sz="4" w:space="0" w:color="auto"/>
              <w:bottom w:val="single" w:sz="4" w:space="0" w:color="auto"/>
              <w:right w:val="single" w:sz="4" w:space="0" w:color="auto"/>
            </w:tcBorders>
            <w:shd w:val="clear" w:color="auto" w:fill="auto"/>
            <w:vAlign w:val="center"/>
            <w:hideMark/>
          </w:tcPr>
          <w:p w:rsidR="007306CA" w:rsidRDefault="00576025">
            <w:pPr>
              <w:spacing w:after="0"/>
              <w:jc w:val="center"/>
              <w:rPr>
                <w:noProof/>
                <w:color w:val="000000"/>
                <w:sz w:val="20"/>
                <w:szCs w:val="20"/>
                <w:lang w:eastAsia="en-GB"/>
              </w:rPr>
            </w:pPr>
            <w:r>
              <w:rPr>
                <w:noProof/>
                <w:color w:val="000000"/>
                <w:sz w:val="20"/>
                <w:szCs w:val="20"/>
                <w:lang w:eastAsia="en-GB"/>
              </w:rPr>
              <w:t>0</w:t>
            </w:r>
          </w:p>
        </w:tc>
        <w:tc>
          <w:tcPr>
            <w:tcW w:w="571" w:type="dxa"/>
            <w:tcBorders>
              <w:top w:val="nil"/>
              <w:left w:val="nil"/>
              <w:bottom w:val="single" w:sz="4" w:space="0" w:color="auto"/>
              <w:right w:val="single" w:sz="4" w:space="0" w:color="auto"/>
            </w:tcBorders>
            <w:shd w:val="clear" w:color="auto" w:fill="auto"/>
            <w:vAlign w:val="center"/>
            <w:hideMark/>
          </w:tcPr>
          <w:p w:rsidR="007306CA" w:rsidRDefault="00576025">
            <w:pPr>
              <w:spacing w:after="0"/>
              <w:jc w:val="center"/>
              <w:rPr>
                <w:noProof/>
                <w:color w:val="000000"/>
                <w:sz w:val="20"/>
                <w:szCs w:val="20"/>
                <w:lang w:eastAsia="en-GB"/>
              </w:rPr>
            </w:pPr>
            <w:r>
              <w:rPr>
                <w:noProof/>
                <w:color w:val="000000"/>
                <w:sz w:val="20"/>
                <w:szCs w:val="20"/>
                <w:lang w:eastAsia="en-GB"/>
              </w:rPr>
              <w:t>+1</w:t>
            </w:r>
          </w:p>
        </w:tc>
        <w:tc>
          <w:tcPr>
            <w:tcW w:w="560" w:type="dxa"/>
            <w:tcBorders>
              <w:top w:val="nil"/>
              <w:left w:val="nil"/>
              <w:bottom w:val="single" w:sz="4" w:space="0" w:color="auto"/>
              <w:right w:val="single" w:sz="8" w:space="0" w:color="auto"/>
            </w:tcBorders>
            <w:shd w:val="clear" w:color="auto" w:fill="auto"/>
            <w:vAlign w:val="center"/>
            <w:hideMark/>
          </w:tcPr>
          <w:p w:rsidR="007306CA" w:rsidRDefault="00576025">
            <w:pPr>
              <w:spacing w:after="0"/>
              <w:jc w:val="center"/>
              <w:rPr>
                <w:noProof/>
                <w:color w:val="000000"/>
                <w:sz w:val="20"/>
                <w:szCs w:val="20"/>
                <w:lang w:eastAsia="en-GB"/>
              </w:rPr>
            </w:pPr>
            <w:r>
              <w:rPr>
                <w:noProof/>
                <w:color w:val="000000"/>
                <w:sz w:val="20"/>
                <w:szCs w:val="20"/>
                <w:lang w:eastAsia="en-GB"/>
              </w:rPr>
              <w:t>0</w:t>
            </w:r>
          </w:p>
        </w:tc>
      </w:tr>
      <w:tr w:rsidR="007306CA">
        <w:trPr>
          <w:trHeight w:val="330"/>
          <w:jc w:val="center"/>
        </w:trPr>
        <w:tc>
          <w:tcPr>
            <w:tcW w:w="4000" w:type="dxa"/>
            <w:tcBorders>
              <w:top w:val="nil"/>
              <w:left w:val="single" w:sz="8" w:space="0" w:color="auto"/>
              <w:bottom w:val="single" w:sz="8" w:space="0" w:color="auto"/>
              <w:right w:val="single" w:sz="8" w:space="0" w:color="auto"/>
            </w:tcBorders>
            <w:shd w:val="clear" w:color="000000" w:fill="DCE6F1"/>
            <w:vAlign w:val="center"/>
            <w:hideMark/>
          </w:tcPr>
          <w:p w:rsidR="007306CA" w:rsidRDefault="00576025">
            <w:pPr>
              <w:spacing w:after="0"/>
              <w:jc w:val="left"/>
              <w:rPr>
                <w:b/>
                <w:bCs/>
                <w:noProof/>
                <w:color w:val="000000"/>
                <w:sz w:val="20"/>
                <w:szCs w:val="20"/>
                <w:lang w:eastAsia="en-GB"/>
              </w:rPr>
            </w:pPr>
            <w:r>
              <w:rPr>
                <w:b/>
                <w:bCs/>
                <w:noProof/>
                <w:color w:val="000000"/>
                <w:sz w:val="20"/>
                <w:szCs w:val="20"/>
                <w:lang w:eastAsia="en-GB"/>
              </w:rPr>
              <w:t>Social impacts</w:t>
            </w:r>
          </w:p>
        </w:tc>
        <w:tc>
          <w:tcPr>
            <w:tcW w:w="560" w:type="dxa"/>
            <w:tcBorders>
              <w:top w:val="nil"/>
              <w:left w:val="nil"/>
              <w:bottom w:val="single" w:sz="8" w:space="0" w:color="auto"/>
              <w:right w:val="single" w:sz="4" w:space="0" w:color="auto"/>
            </w:tcBorders>
            <w:shd w:val="clear" w:color="000000" w:fill="DCE6F1"/>
            <w:vAlign w:val="center"/>
            <w:hideMark/>
          </w:tcPr>
          <w:p w:rsidR="007306CA" w:rsidRDefault="00576025">
            <w:pPr>
              <w:spacing w:after="0"/>
              <w:jc w:val="center"/>
              <w:rPr>
                <w:b/>
                <w:bCs/>
                <w:noProof/>
                <w:color w:val="000000"/>
                <w:sz w:val="20"/>
                <w:szCs w:val="20"/>
                <w:lang w:eastAsia="en-GB"/>
              </w:rPr>
            </w:pPr>
            <w:r>
              <w:rPr>
                <w:b/>
                <w:bCs/>
                <w:noProof/>
                <w:color w:val="000000"/>
                <w:sz w:val="20"/>
                <w:szCs w:val="20"/>
                <w:lang w:eastAsia="en-GB"/>
              </w:rPr>
              <w:t> </w:t>
            </w:r>
          </w:p>
        </w:tc>
        <w:tc>
          <w:tcPr>
            <w:tcW w:w="560" w:type="dxa"/>
            <w:tcBorders>
              <w:top w:val="nil"/>
              <w:left w:val="nil"/>
              <w:bottom w:val="single" w:sz="8" w:space="0" w:color="auto"/>
              <w:right w:val="single" w:sz="4" w:space="0" w:color="auto"/>
            </w:tcBorders>
            <w:shd w:val="clear" w:color="000000" w:fill="DCE6F1"/>
            <w:vAlign w:val="center"/>
            <w:hideMark/>
          </w:tcPr>
          <w:p w:rsidR="007306CA" w:rsidRDefault="00576025">
            <w:pPr>
              <w:spacing w:after="0"/>
              <w:jc w:val="center"/>
              <w:rPr>
                <w:noProof/>
                <w:color w:val="000000"/>
                <w:sz w:val="20"/>
                <w:szCs w:val="20"/>
                <w:lang w:eastAsia="en-GB"/>
              </w:rPr>
            </w:pPr>
            <w:r>
              <w:rPr>
                <w:noProof/>
                <w:color w:val="000000"/>
                <w:sz w:val="20"/>
                <w:szCs w:val="20"/>
                <w:lang w:eastAsia="en-GB"/>
              </w:rPr>
              <w:t> </w:t>
            </w:r>
          </w:p>
        </w:tc>
        <w:tc>
          <w:tcPr>
            <w:tcW w:w="560" w:type="dxa"/>
            <w:tcBorders>
              <w:top w:val="nil"/>
              <w:left w:val="nil"/>
              <w:bottom w:val="single" w:sz="8" w:space="0" w:color="auto"/>
              <w:right w:val="single" w:sz="4" w:space="0" w:color="auto"/>
            </w:tcBorders>
            <w:shd w:val="clear" w:color="000000" w:fill="DCE6F1"/>
            <w:vAlign w:val="center"/>
            <w:hideMark/>
          </w:tcPr>
          <w:p w:rsidR="007306CA" w:rsidRDefault="00576025">
            <w:pPr>
              <w:spacing w:after="0"/>
              <w:jc w:val="center"/>
              <w:rPr>
                <w:noProof/>
                <w:color w:val="000000"/>
                <w:sz w:val="20"/>
                <w:szCs w:val="20"/>
                <w:lang w:eastAsia="en-GB"/>
              </w:rPr>
            </w:pPr>
            <w:r>
              <w:rPr>
                <w:noProof/>
                <w:color w:val="000000"/>
                <w:sz w:val="20"/>
                <w:szCs w:val="20"/>
                <w:lang w:eastAsia="en-GB"/>
              </w:rPr>
              <w:t> </w:t>
            </w:r>
          </w:p>
        </w:tc>
        <w:tc>
          <w:tcPr>
            <w:tcW w:w="560" w:type="dxa"/>
            <w:tcBorders>
              <w:top w:val="nil"/>
              <w:left w:val="nil"/>
              <w:bottom w:val="single" w:sz="8" w:space="0" w:color="auto"/>
              <w:right w:val="single" w:sz="4" w:space="0" w:color="auto"/>
            </w:tcBorders>
            <w:shd w:val="clear" w:color="000000" w:fill="DCE6F1"/>
            <w:vAlign w:val="center"/>
            <w:hideMark/>
          </w:tcPr>
          <w:p w:rsidR="007306CA" w:rsidRDefault="00576025">
            <w:pPr>
              <w:spacing w:after="0"/>
              <w:jc w:val="center"/>
              <w:rPr>
                <w:b/>
                <w:bCs/>
                <w:noProof/>
                <w:color w:val="000000"/>
                <w:sz w:val="20"/>
                <w:szCs w:val="20"/>
                <w:lang w:eastAsia="en-GB"/>
              </w:rPr>
            </w:pPr>
            <w:r>
              <w:rPr>
                <w:b/>
                <w:bCs/>
                <w:noProof/>
                <w:color w:val="000000"/>
                <w:sz w:val="20"/>
                <w:szCs w:val="20"/>
                <w:lang w:eastAsia="en-GB"/>
              </w:rPr>
              <w:t> </w:t>
            </w:r>
          </w:p>
        </w:tc>
        <w:tc>
          <w:tcPr>
            <w:tcW w:w="560" w:type="dxa"/>
            <w:tcBorders>
              <w:top w:val="nil"/>
              <w:left w:val="nil"/>
              <w:bottom w:val="single" w:sz="8" w:space="0" w:color="auto"/>
              <w:right w:val="single" w:sz="4" w:space="0" w:color="auto"/>
            </w:tcBorders>
            <w:shd w:val="clear" w:color="000000" w:fill="DCE6F1"/>
            <w:vAlign w:val="center"/>
            <w:hideMark/>
          </w:tcPr>
          <w:p w:rsidR="007306CA" w:rsidRDefault="00576025">
            <w:pPr>
              <w:spacing w:after="0"/>
              <w:jc w:val="center"/>
              <w:rPr>
                <w:b/>
                <w:bCs/>
                <w:noProof/>
                <w:color w:val="000000"/>
                <w:sz w:val="20"/>
                <w:szCs w:val="20"/>
                <w:lang w:eastAsia="en-GB"/>
              </w:rPr>
            </w:pPr>
            <w:r>
              <w:rPr>
                <w:b/>
                <w:bCs/>
                <w:noProof/>
                <w:color w:val="000000"/>
                <w:sz w:val="20"/>
                <w:szCs w:val="20"/>
                <w:lang w:eastAsia="en-GB"/>
              </w:rPr>
              <w:t> </w:t>
            </w:r>
          </w:p>
        </w:tc>
        <w:tc>
          <w:tcPr>
            <w:tcW w:w="236" w:type="dxa"/>
            <w:tcBorders>
              <w:top w:val="nil"/>
              <w:left w:val="single" w:sz="4" w:space="0" w:color="auto"/>
              <w:right w:val="single" w:sz="4" w:space="0" w:color="auto"/>
            </w:tcBorders>
            <w:shd w:val="clear" w:color="000000" w:fill="8DB4E2"/>
            <w:textDirection w:val="btLr"/>
            <w:vAlign w:val="center"/>
            <w:hideMark/>
          </w:tcPr>
          <w:p w:rsidR="007306CA" w:rsidRDefault="00576025">
            <w:pPr>
              <w:spacing w:after="0"/>
              <w:jc w:val="center"/>
              <w:rPr>
                <w:b/>
                <w:bCs/>
                <w:noProof/>
                <w:color w:val="000000"/>
                <w:sz w:val="20"/>
                <w:szCs w:val="20"/>
                <w:lang w:eastAsia="en-GB"/>
              </w:rPr>
            </w:pPr>
            <w:r>
              <w:rPr>
                <w:b/>
                <w:bCs/>
                <w:noProof/>
                <w:color w:val="000000"/>
                <w:sz w:val="20"/>
                <w:szCs w:val="20"/>
                <w:lang w:eastAsia="en-GB"/>
              </w:rPr>
              <w:t> </w:t>
            </w:r>
          </w:p>
        </w:tc>
        <w:tc>
          <w:tcPr>
            <w:tcW w:w="569" w:type="dxa"/>
            <w:tcBorders>
              <w:top w:val="nil"/>
              <w:left w:val="single" w:sz="4" w:space="0" w:color="auto"/>
              <w:bottom w:val="single" w:sz="8" w:space="0" w:color="auto"/>
              <w:right w:val="single" w:sz="4" w:space="0" w:color="auto"/>
            </w:tcBorders>
            <w:shd w:val="clear" w:color="000000" w:fill="DCE6F1"/>
            <w:vAlign w:val="center"/>
            <w:hideMark/>
          </w:tcPr>
          <w:p w:rsidR="007306CA" w:rsidRDefault="00576025">
            <w:pPr>
              <w:spacing w:after="0"/>
              <w:jc w:val="center"/>
              <w:rPr>
                <w:noProof/>
                <w:color w:val="000000"/>
                <w:sz w:val="20"/>
                <w:szCs w:val="20"/>
                <w:lang w:eastAsia="en-GB"/>
              </w:rPr>
            </w:pPr>
            <w:r>
              <w:rPr>
                <w:noProof/>
                <w:color w:val="000000"/>
                <w:sz w:val="20"/>
                <w:szCs w:val="20"/>
                <w:lang w:eastAsia="en-GB"/>
              </w:rPr>
              <w:t> </w:t>
            </w:r>
          </w:p>
        </w:tc>
        <w:tc>
          <w:tcPr>
            <w:tcW w:w="571" w:type="dxa"/>
            <w:tcBorders>
              <w:top w:val="nil"/>
              <w:left w:val="nil"/>
              <w:bottom w:val="single" w:sz="8" w:space="0" w:color="auto"/>
              <w:right w:val="single" w:sz="4" w:space="0" w:color="auto"/>
            </w:tcBorders>
            <w:shd w:val="clear" w:color="000000" w:fill="DCE6F1"/>
            <w:vAlign w:val="center"/>
            <w:hideMark/>
          </w:tcPr>
          <w:p w:rsidR="007306CA" w:rsidRDefault="00576025">
            <w:pPr>
              <w:spacing w:after="0"/>
              <w:jc w:val="center"/>
              <w:rPr>
                <w:b/>
                <w:bCs/>
                <w:noProof/>
                <w:color w:val="000000"/>
                <w:sz w:val="20"/>
                <w:szCs w:val="20"/>
                <w:lang w:eastAsia="en-GB"/>
              </w:rPr>
            </w:pPr>
            <w:r>
              <w:rPr>
                <w:b/>
                <w:bCs/>
                <w:noProof/>
                <w:color w:val="000000"/>
                <w:sz w:val="20"/>
                <w:szCs w:val="20"/>
                <w:lang w:eastAsia="en-GB"/>
              </w:rPr>
              <w:t> </w:t>
            </w:r>
          </w:p>
        </w:tc>
        <w:tc>
          <w:tcPr>
            <w:tcW w:w="560" w:type="dxa"/>
            <w:tcBorders>
              <w:top w:val="nil"/>
              <w:left w:val="nil"/>
              <w:bottom w:val="single" w:sz="8" w:space="0" w:color="auto"/>
              <w:right w:val="single" w:sz="8" w:space="0" w:color="auto"/>
            </w:tcBorders>
            <w:shd w:val="clear" w:color="000000" w:fill="DCE6F1"/>
            <w:vAlign w:val="center"/>
            <w:hideMark/>
          </w:tcPr>
          <w:p w:rsidR="007306CA" w:rsidRDefault="00576025">
            <w:pPr>
              <w:spacing w:after="0"/>
              <w:jc w:val="center"/>
              <w:rPr>
                <w:b/>
                <w:bCs/>
                <w:noProof/>
                <w:color w:val="000000"/>
                <w:sz w:val="20"/>
                <w:szCs w:val="20"/>
                <w:lang w:eastAsia="en-GB"/>
              </w:rPr>
            </w:pPr>
            <w:r>
              <w:rPr>
                <w:b/>
                <w:bCs/>
                <w:noProof/>
                <w:color w:val="000000"/>
                <w:sz w:val="20"/>
                <w:szCs w:val="20"/>
                <w:lang w:eastAsia="en-GB"/>
              </w:rPr>
              <w:t> </w:t>
            </w:r>
          </w:p>
        </w:tc>
      </w:tr>
      <w:tr w:rsidR="007306CA">
        <w:trPr>
          <w:trHeight w:val="300"/>
          <w:jc w:val="center"/>
        </w:trPr>
        <w:tc>
          <w:tcPr>
            <w:tcW w:w="4000" w:type="dxa"/>
            <w:tcBorders>
              <w:top w:val="nil"/>
              <w:left w:val="single" w:sz="8" w:space="0" w:color="auto"/>
              <w:bottom w:val="single" w:sz="4" w:space="0" w:color="auto"/>
              <w:right w:val="single" w:sz="8" w:space="0" w:color="auto"/>
            </w:tcBorders>
            <w:shd w:val="clear" w:color="auto" w:fill="auto"/>
            <w:vAlign w:val="center"/>
            <w:hideMark/>
          </w:tcPr>
          <w:p w:rsidR="007306CA" w:rsidRDefault="00576025">
            <w:pPr>
              <w:spacing w:after="0"/>
              <w:jc w:val="left"/>
              <w:rPr>
                <w:noProof/>
                <w:color w:val="000000"/>
                <w:sz w:val="20"/>
                <w:szCs w:val="20"/>
                <w:lang w:eastAsia="en-GB"/>
              </w:rPr>
            </w:pPr>
            <w:r>
              <w:rPr>
                <w:noProof/>
                <w:color w:val="000000"/>
                <w:sz w:val="20"/>
                <w:szCs w:val="20"/>
                <w:lang w:eastAsia="en-GB"/>
              </w:rPr>
              <w:t>- Impact on EU citizens</w:t>
            </w:r>
          </w:p>
        </w:tc>
        <w:tc>
          <w:tcPr>
            <w:tcW w:w="560" w:type="dxa"/>
            <w:tcBorders>
              <w:top w:val="nil"/>
              <w:left w:val="nil"/>
              <w:bottom w:val="single" w:sz="4" w:space="0" w:color="auto"/>
              <w:right w:val="single" w:sz="4" w:space="0" w:color="auto"/>
            </w:tcBorders>
            <w:shd w:val="clear" w:color="auto" w:fill="auto"/>
            <w:vAlign w:val="center"/>
            <w:hideMark/>
          </w:tcPr>
          <w:p w:rsidR="007306CA" w:rsidRDefault="00576025">
            <w:pPr>
              <w:spacing w:after="0"/>
              <w:jc w:val="center"/>
              <w:rPr>
                <w:noProof/>
                <w:color w:val="000000"/>
                <w:sz w:val="20"/>
                <w:szCs w:val="20"/>
                <w:lang w:eastAsia="en-GB"/>
              </w:rPr>
            </w:pPr>
            <w:r>
              <w:rPr>
                <w:noProof/>
                <w:color w:val="000000"/>
                <w:sz w:val="18"/>
                <w:szCs w:val="18"/>
                <w:lang w:eastAsia="en-GB"/>
              </w:rPr>
              <w:t>-1/</w:t>
            </w:r>
            <w:r>
              <w:rPr>
                <w:noProof/>
                <w:color w:val="000000"/>
                <w:sz w:val="18"/>
                <w:szCs w:val="18"/>
                <w:lang w:eastAsia="en-GB"/>
              </w:rPr>
              <w:br/>
              <w:t>-2</w:t>
            </w:r>
          </w:p>
        </w:tc>
        <w:tc>
          <w:tcPr>
            <w:tcW w:w="560" w:type="dxa"/>
            <w:tcBorders>
              <w:top w:val="nil"/>
              <w:left w:val="nil"/>
              <w:bottom w:val="single" w:sz="4" w:space="0" w:color="auto"/>
              <w:right w:val="single" w:sz="4" w:space="0" w:color="auto"/>
            </w:tcBorders>
            <w:shd w:val="clear" w:color="auto" w:fill="auto"/>
            <w:vAlign w:val="center"/>
            <w:hideMark/>
          </w:tcPr>
          <w:p w:rsidR="007306CA" w:rsidRDefault="00576025">
            <w:pPr>
              <w:spacing w:after="0"/>
              <w:jc w:val="center"/>
              <w:rPr>
                <w:noProof/>
                <w:color w:val="000000"/>
                <w:sz w:val="20"/>
                <w:szCs w:val="20"/>
                <w:lang w:eastAsia="en-GB"/>
              </w:rPr>
            </w:pPr>
            <w:r>
              <w:rPr>
                <w:noProof/>
                <w:color w:val="000000"/>
                <w:sz w:val="20"/>
                <w:szCs w:val="20"/>
                <w:lang w:eastAsia="en-GB"/>
              </w:rPr>
              <w:t>+2</w:t>
            </w:r>
          </w:p>
        </w:tc>
        <w:tc>
          <w:tcPr>
            <w:tcW w:w="560" w:type="dxa"/>
            <w:tcBorders>
              <w:top w:val="nil"/>
              <w:left w:val="nil"/>
              <w:bottom w:val="single" w:sz="4" w:space="0" w:color="auto"/>
              <w:right w:val="single" w:sz="4" w:space="0" w:color="auto"/>
            </w:tcBorders>
            <w:shd w:val="clear" w:color="auto" w:fill="auto"/>
            <w:vAlign w:val="center"/>
            <w:hideMark/>
          </w:tcPr>
          <w:p w:rsidR="007306CA" w:rsidRDefault="00576025">
            <w:pPr>
              <w:spacing w:after="0"/>
              <w:jc w:val="center"/>
              <w:rPr>
                <w:noProof/>
                <w:color w:val="000000"/>
                <w:sz w:val="20"/>
                <w:szCs w:val="20"/>
                <w:lang w:eastAsia="en-GB"/>
              </w:rPr>
            </w:pPr>
            <w:r>
              <w:rPr>
                <w:noProof/>
                <w:color w:val="000000"/>
                <w:sz w:val="20"/>
                <w:szCs w:val="20"/>
                <w:lang w:eastAsia="en-GB"/>
              </w:rPr>
              <w:t>+1</w:t>
            </w:r>
          </w:p>
        </w:tc>
        <w:tc>
          <w:tcPr>
            <w:tcW w:w="560" w:type="dxa"/>
            <w:tcBorders>
              <w:top w:val="nil"/>
              <w:left w:val="nil"/>
              <w:bottom w:val="single" w:sz="4" w:space="0" w:color="auto"/>
              <w:right w:val="single" w:sz="4" w:space="0" w:color="auto"/>
            </w:tcBorders>
            <w:shd w:val="clear" w:color="auto" w:fill="auto"/>
            <w:vAlign w:val="center"/>
            <w:hideMark/>
          </w:tcPr>
          <w:p w:rsidR="007306CA" w:rsidRDefault="00576025">
            <w:pPr>
              <w:spacing w:after="0"/>
              <w:jc w:val="center"/>
              <w:rPr>
                <w:noProof/>
                <w:color w:val="000000"/>
                <w:sz w:val="20"/>
                <w:szCs w:val="20"/>
                <w:lang w:eastAsia="en-GB"/>
              </w:rPr>
            </w:pPr>
            <w:r>
              <w:rPr>
                <w:noProof/>
                <w:color w:val="000000"/>
                <w:sz w:val="20"/>
                <w:szCs w:val="20"/>
                <w:lang w:eastAsia="en-GB"/>
              </w:rPr>
              <w:t>+2 </w:t>
            </w:r>
          </w:p>
        </w:tc>
        <w:tc>
          <w:tcPr>
            <w:tcW w:w="560" w:type="dxa"/>
            <w:tcBorders>
              <w:top w:val="nil"/>
              <w:left w:val="nil"/>
              <w:bottom w:val="single" w:sz="4" w:space="0" w:color="auto"/>
              <w:right w:val="single" w:sz="4" w:space="0" w:color="auto"/>
            </w:tcBorders>
            <w:shd w:val="clear" w:color="auto" w:fill="auto"/>
            <w:vAlign w:val="center"/>
            <w:hideMark/>
          </w:tcPr>
          <w:p w:rsidR="007306CA" w:rsidRDefault="00576025">
            <w:pPr>
              <w:spacing w:after="0"/>
              <w:jc w:val="center"/>
              <w:rPr>
                <w:noProof/>
                <w:color w:val="000000"/>
                <w:sz w:val="20"/>
                <w:szCs w:val="20"/>
                <w:lang w:eastAsia="en-GB"/>
              </w:rPr>
            </w:pPr>
            <w:r>
              <w:rPr>
                <w:noProof/>
                <w:color w:val="000000"/>
                <w:sz w:val="20"/>
                <w:szCs w:val="20"/>
                <w:lang w:eastAsia="en-GB"/>
              </w:rPr>
              <w:t>+1</w:t>
            </w:r>
          </w:p>
        </w:tc>
        <w:tc>
          <w:tcPr>
            <w:tcW w:w="236" w:type="dxa"/>
            <w:tcBorders>
              <w:top w:val="nil"/>
              <w:left w:val="single" w:sz="4" w:space="0" w:color="auto"/>
              <w:bottom w:val="nil"/>
              <w:right w:val="single" w:sz="4" w:space="0" w:color="auto"/>
            </w:tcBorders>
            <w:shd w:val="clear" w:color="000000" w:fill="8DB4E2"/>
            <w:textDirection w:val="btLr"/>
            <w:vAlign w:val="center"/>
            <w:hideMark/>
          </w:tcPr>
          <w:p w:rsidR="007306CA" w:rsidRDefault="00576025">
            <w:pPr>
              <w:spacing w:after="0"/>
              <w:jc w:val="center"/>
              <w:rPr>
                <w:b/>
                <w:bCs/>
                <w:noProof/>
                <w:color w:val="000000"/>
                <w:sz w:val="20"/>
                <w:szCs w:val="20"/>
                <w:lang w:eastAsia="en-GB"/>
              </w:rPr>
            </w:pPr>
            <w:r>
              <w:rPr>
                <w:b/>
                <w:bCs/>
                <w:noProof/>
                <w:color w:val="000000"/>
                <w:sz w:val="20"/>
                <w:szCs w:val="20"/>
                <w:lang w:eastAsia="en-GB"/>
              </w:rPr>
              <w:t> </w:t>
            </w:r>
          </w:p>
        </w:tc>
        <w:tc>
          <w:tcPr>
            <w:tcW w:w="569" w:type="dxa"/>
            <w:tcBorders>
              <w:top w:val="nil"/>
              <w:left w:val="single" w:sz="4" w:space="0" w:color="auto"/>
              <w:bottom w:val="single" w:sz="4" w:space="0" w:color="auto"/>
              <w:right w:val="single" w:sz="4" w:space="0" w:color="auto"/>
            </w:tcBorders>
            <w:shd w:val="clear" w:color="auto" w:fill="auto"/>
            <w:vAlign w:val="center"/>
            <w:hideMark/>
          </w:tcPr>
          <w:p w:rsidR="007306CA" w:rsidRDefault="00576025">
            <w:pPr>
              <w:spacing w:after="0"/>
              <w:jc w:val="center"/>
              <w:rPr>
                <w:noProof/>
                <w:color w:val="000000"/>
                <w:sz w:val="20"/>
                <w:szCs w:val="20"/>
                <w:lang w:eastAsia="en-GB"/>
              </w:rPr>
            </w:pPr>
            <w:r>
              <w:rPr>
                <w:noProof/>
                <w:color w:val="000000"/>
                <w:sz w:val="20"/>
                <w:szCs w:val="20"/>
                <w:lang w:eastAsia="en-GB"/>
              </w:rPr>
              <w:t>0</w:t>
            </w:r>
          </w:p>
        </w:tc>
        <w:tc>
          <w:tcPr>
            <w:tcW w:w="571" w:type="dxa"/>
            <w:tcBorders>
              <w:top w:val="nil"/>
              <w:left w:val="nil"/>
              <w:bottom w:val="single" w:sz="4" w:space="0" w:color="auto"/>
              <w:right w:val="single" w:sz="4" w:space="0" w:color="auto"/>
            </w:tcBorders>
            <w:shd w:val="clear" w:color="auto" w:fill="auto"/>
            <w:vAlign w:val="center"/>
            <w:hideMark/>
          </w:tcPr>
          <w:p w:rsidR="007306CA" w:rsidRDefault="00576025">
            <w:pPr>
              <w:spacing w:after="0"/>
              <w:jc w:val="center"/>
              <w:rPr>
                <w:noProof/>
                <w:color w:val="000000"/>
                <w:sz w:val="20"/>
                <w:szCs w:val="20"/>
                <w:lang w:eastAsia="en-GB"/>
              </w:rPr>
            </w:pPr>
            <w:r>
              <w:rPr>
                <w:noProof/>
                <w:color w:val="000000"/>
                <w:sz w:val="20"/>
                <w:szCs w:val="20"/>
                <w:lang w:eastAsia="en-GB"/>
              </w:rPr>
              <w:t>+2</w:t>
            </w:r>
          </w:p>
        </w:tc>
        <w:tc>
          <w:tcPr>
            <w:tcW w:w="560" w:type="dxa"/>
            <w:tcBorders>
              <w:top w:val="nil"/>
              <w:left w:val="nil"/>
              <w:bottom w:val="single" w:sz="4" w:space="0" w:color="auto"/>
              <w:right w:val="single" w:sz="8" w:space="0" w:color="auto"/>
            </w:tcBorders>
            <w:shd w:val="clear" w:color="auto" w:fill="auto"/>
            <w:vAlign w:val="center"/>
            <w:hideMark/>
          </w:tcPr>
          <w:p w:rsidR="007306CA" w:rsidRDefault="00576025">
            <w:pPr>
              <w:spacing w:after="0"/>
              <w:jc w:val="center"/>
              <w:rPr>
                <w:noProof/>
                <w:color w:val="000000"/>
                <w:sz w:val="20"/>
                <w:szCs w:val="20"/>
                <w:lang w:eastAsia="en-GB"/>
              </w:rPr>
            </w:pPr>
            <w:r>
              <w:rPr>
                <w:noProof/>
                <w:color w:val="000000"/>
                <w:sz w:val="20"/>
                <w:szCs w:val="20"/>
                <w:lang w:eastAsia="en-GB"/>
              </w:rPr>
              <w:t>0</w:t>
            </w:r>
          </w:p>
        </w:tc>
      </w:tr>
      <w:tr w:rsidR="007306CA">
        <w:trPr>
          <w:trHeight w:val="58"/>
          <w:jc w:val="center"/>
        </w:trPr>
        <w:tc>
          <w:tcPr>
            <w:tcW w:w="4000" w:type="dxa"/>
            <w:tcBorders>
              <w:top w:val="nil"/>
              <w:left w:val="single" w:sz="8" w:space="0" w:color="auto"/>
              <w:bottom w:val="single" w:sz="4" w:space="0" w:color="auto"/>
              <w:right w:val="single" w:sz="8" w:space="0" w:color="auto"/>
            </w:tcBorders>
            <w:shd w:val="clear" w:color="auto" w:fill="auto"/>
            <w:vAlign w:val="center"/>
            <w:hideMark/>
          </w:tcPr>
          <w:p w:rsidR="007306CA" w:rsidRDefault="00576025">
            <w:pPr>
              <w:spacing w:after="0"/>
              <w:jc w:val="left"/>
              <w:rPr>
                <w:noProof/>
                <w:color w:val="000000"/>
                <w:sz w:val="20"/>
                <w:szCs w:val="20"/>
                <w:lang w:eastAsia="en-GB"/>
              </w:rPr>
            </w:pPr>
            <w:r>
              <w:rPr>
                <w:noProof/>
                <w:color w:val="000000"/>
                <w:sz w:val="20"/>
                <w:szCs w:val="20"/>
                <w:lang w:eastAsia="en-GB"/>
              </w:rPr>
              <w:t>- Impact on third country national HSW and on their fundamental rights</w:t>
            </w:r>
          </w:p>
        </w:tc>
        <w:tc>
          <w:tcPr>
            <w:tcW w:w="560" w:type="dxa"/>
            <w:tcBorders>
              <w:top w:val="nil"/>
              <w:left w:val="nil"/>
              <w:bottom w:val="single" w:sz="4" w:space="0" w:color="auto"/>
              <w:right w:val="single" w:sz="4" w:space="0" w:color="auto"/>
            </w:tcBorders>
            <w:shd w:val="clear" w:color="auto" w:fill="auto"/>
            <w:vAlign w:val="center"/>
            <w:hideMark/>
          </w:tcPr>
          <w:p w:rsidR="007306CA" w:rsidRDefault="00576025">
            <w:pPr>
              <w:spacing w:after="0"/>
              <w:jc w:val="center"/>
              <w:rPr>
                <w:noProof/>
                <w:color w:val="000000"/>
                <w:sz w:val="20"/>
                <w:szCs w:val="20"/>
                <w:lang w:eastAsia="en-GB"/>
              </w:rPr>
            </w:pPr>
            <w:r>
              <w:rPr>
                <w:noProof/>
                <w:color w:val="000000"/>
                <w:sz w:val="18"/>
                <w:szCs w:val="18"/>
                <w:lang w:eastAsia="en-GB"/>
              </w:rPr>
              <w:t>+2/ +3</w:t>
            </w:r>
          </w:p>
        </w:tc>
        <w:tc>
          <w:tcPr>
            <w:tcW w:w="560" w:type="dxa"/>
            <w:tcBorders>
              <w:top w:val="nil"/>
              <w:left w:val="nil"/>
              <w:bottom w:val="single" w:sz="4" w:space="0" w:color="auto"/>
              <w:right w:val="single" w:sz="4" w:space="0" w:color="auto"/>
            </w:tcBorders>
            <w:shd w:val="clear" w:color="auto" w:fill="auto"/>
            <w:vAlign w:val="center"/>
            <w:hideMark/>
          </w:tcPr>
          <w:p w:rsidR="007306CA" w:rsidRDefault="00576025">
            <w:pPr>
              <w:spacing w:after="0"/>
              <w:jc w:val="center"/>
              <w:rPr>
                <w:noProof/>
                <w:color w:val="000000"/>
                <w:sz w:val="20"/>
                <w:szCs w:val="20"/>
                <w:lang w:eastAsia="en-GB"/>
              </w:rPr>
            </w:pPr>
            <w:r>
              <w:rPr>
                <w:noProof/>
                <w:color w:val="000000"/>
                <w:sz w:val="20"/>
                <w:szCs w:val="20"/>
                <w:lang w:eastAsia="en-GB"/>
              </w:rPr>
              <w:t>+2</w:t>
            </w:r>
          </w:p>
        </w:tc>
        <w:tc>
          <w:tcPr>
            <w:tcW w:w="560" w:type="dxa"/>
            <w:tcBorders>
              <w:top w:val="nil"/>
              <w:left w:val="nil"/>
              <w:bottom w:val="single" w:sz="4" w:space="0" w:color="auto"/>
              <w:right w:val="single" w:sz="4" w:space="0" w:color="auto"/>
            </w:tcBorders>
            <w:shd w:val="clear" w:color="auto" w:fill="auto"/>
            <w:vAlign w:val="center"/>
            <w:hideMark/>
          </w:tcPr>
          <w:p w:rsidR="007306CA" w:rsidRDefault="00576025">
            <w:pPr>
              <w:spacing w:after="0"/>
              <w:jc w:val="center"/>
              <w:rPr>
                <w:noProof/>
                <w:color w:val="000000"/>
                <w:sz w:val="20"/>
                <w:szCs w:val="20"/>
                <w:lang w:eastAsia="en-GB"/>
              </w:rPr>
            </w:pPr>
            <w:r>
              <w:rPr>
                <w:noProof/>
                <w:color w:val="000000"/>
                <w:sz w:val="20"/>
                <w:szCs w:val="20"/>
                <w:lang w:eastAsia="en-GB"/>
              </w:rPr>
              <w:t>+1</w:t>
            </w:r>
          </w:p>
        </w:tc>
        <w:tc>
          <w:tcPr>
            <w:tcW w:w="560" w:type="dxa"/>
            <w:tcBorders>
              <w:top w:val="nil"/>
              <w:left w:val="nil"/>
              <w:bottom w:val="single" w:sz="4" w:space="0" w:color="auto"/>
              <w:right w:val="single" w:sz="4" w:space="0" w:color="auto"/>
            </w:tcBorders>
            <w:shd w:val="clear" w:color="auto" w:fill="auto"/>
            <w:vAlign w:val="center"/>
            <w:hideMark/>
          </w:tcPr>
          <w:p w:rsidR="007306CA" w:rsidRDefault="00576025">
            <w:pPr>
              <w:spacing w:after="0"/>
              <w:jc w:val="center"/>
              <w:rPr>
                <w:noProof/>
                <w:color w:val="000000"/>
                <w:sz w:val="20"/>
                <w:szCs w:val="20"/>
                <w:lang w:eastAsia="en-GB"/>
              </w:rPr>
            </w:pPr>
            <w:r>
              <w:rPr>
                <w:noProof/>
                <w:color w:val="000000"/>
                <w:sz w:val="20"/>
                <w:szCs w:val="20"/>
                <w:lang w:eastAsia="en-GB"/>
              </w:rPr>
              <w:t>+2 </w:t>
            </w:r>
          </w:p>
        </w:tc>
        <w:tc>
          <w:tcPr>
            <w:tcW w:w="560" w:type="dxa"/>
            <w:tcBorders>
              <w:top w:val="nil"/>
              <w:left w:val="nil"/>
              <w:bottom w:val="single" w:sz="4" w:space="0" w:color="auto"/>
              <w:right w:val="single" w:sz="4" w:space="0" w:color="auto"/>
            </w:tcBorders>
            <w:shd w:val="clear" w:color="auto" w:fill="auto"/>
            <w:vAlign w:val="center"/>
            <w:hideMark/>
          </w:tcPr>
          <w:p w:rsidR="007306CA" w:rsidRDefault="00576025">
            <w:pPr>
              <w:spacing w:after="0"/>
              <w:jc w:val="center"/>
              <w:rPr>
                <w:noProof/>
                <w:color w:val="000000"/>
                <w:sz w:val="20"/>
                <w:szCs w:val="20"/>
                <w:lang w:eastAsia="en-GB"/>
              </w:rPr>
            </w:pPr>
            <w:r>
              <w:rPr>
                <w:noProof/>
                <w:color w:val="000000"/>
                <w:sz w:val="20"/>
                <w:szCs w:val="20"/>
                <w:lang w:eastAsia="en-GB"/>
              </w:rPr>
              <w:t>+2</w:t>
            </w:r>
          </w:p>
        </w:tc>
        <w:tc>
          <w:tcPr>
            <w:tcW w:w="236" w:type="dxa"/>
            <w:tcBorders>
              <w:top w:val="nil"/>
              <w:left w:val="single" w:sz="4" w:space="0" w:color="auto"/>
              <w:bottom w:val="nil"/>
              <w:right w:val="single" w:sz="4" w:space="0" w:color="auto"/>
            </w:tcBorders>
            <w:shd w:val="clear" w:color="000000" w:fill="8DB4E2"/>
            <w:textDirection w:val="btLr"/>
            <w:vAlign w:val="center"/>
            <w:hideMark/>
          </w:tcPr>
          <w:p w:rsidR="007306CA" w:rsidRDefault="00576025">
            <w:pPr>
              <w:spacing w:after="0"/>
              <w:jc w:val="center"/>
              <w:rPr>
                <w:b/>
                <w:bCs/>
                <w:noProof/>
                <w:color w:val="000000"/>
                <w:sz w:val="20"/>
                <w:szCs w:val="20"/>
                <w:lang w:eastAsia="en-GB"/>
              </w:rPr>
            </w:pPr>
            <w:r>
              <w:rPr>
                <w:b/>
                <w:bCs/>
                <w:noProof/>
                <w:color w:val="000000"/>
                <w:sz w:val="20"/>
                <w:szCs w:val="20"/>
                <w:lang w:eastAsia="en-GB"/>
              </w:rPr>
              <w:t> </w:t>
            </w:r>
          </w:p>
        </w:tc>
        <w:tc>
          <w:tcPr>
            <w:tcW w:w="569" w:type="dxa"/>
            <w:tcBorders>
              <w:top w:val="nil"/>
              <w:left w:val="single" w:sz="4" w:space="0" w:color="auto"/>
              <w:bottom w:val="single" w:sz="4" w:space="0" w:color="auto"/>
              <w:right w:val="single" w:sz="4" w:space="0" w:color="auto"/>
            </w:tcBorders>
            <w:shd w:val="clear" w:color="auto" w:fill="auto"/>
            <w:vAlign w:val="center"/>
            <w:hideMark/>
          </w:tcPr>
          <w:p w:rsidR="007306CA" w:rsidRDefault="00576025">
            <w:pPr>
              <w:spacing w:after="0"/>
              <w:jc w:val="center"/>
              <w:rPr>
                <w:noProof/>
                <w:color w:val="000000"/>
                <w:sz w:val="20"/>
                <w:szCs w:val="20"/>
                <w:lang w:eastAsia="en-GB"/>
              </w:rPr>
            </w:pPr>
            <w:r>
              <w:rPr>
                <w:noProof/>
                <w:color w:val="000000"/>
                <w:sz w:val="20"/>
                <w:szCs w:val="20"/>
                <w:lang w:eastAsia="en-GB"/>
              </w:rPr>
              <w:t>+1</w:t>
            </w:r>
          </w:p>
        </w:tc>
        <w:tc>
          <w:tcPr>
            <w:tcW w:w="571" w:type="dxa"/>
            <w:tcBorders>
              <w:top w:val="nil"/>
              <w:left w:val="nil"/>
              <w:bottom w:val="single" w:sz="4" w:space="0" w:color="auto"/>
              <w:right w:val="single" w:sz="4" w:space="0" w:color="auto"/>
            </w:tcBorders>
            <w:shd w:val="clear" w:color="auto" w:fill="auto"/>
            <w:vAlign w:val="center"/>
            <w:hideMark/>
          </w:tcPr>
          <w:p w:rsidR="007306CA" w:rsidRDefault="00576025">
            <w:pPr>
              <w:spacing w:after="0"/>
              <w:jc w:val="center"/>
              <w:rPr>
                <w:noProof/>
                <w:color w:val="000000"/>
                <w:sz w:val="20"/>
                <w:szCs w:val="20"/>
                <w:lang w:eastAsia="en-GB"/>
              </w:rPr>
            </w:pPr>
            <w:r>
              <w:rPr>
                <w:noProof/>
                <w:color w:val="000000"/>
                <w:sz w:val="20"/>
                <w:szCs w:val="20"/>
                <w:lang w:eastAsia="en-GB"/>
              </w:rPr>
              <w:t>+1</w:t>
            </w:r>
          </w:p>
        </w:tc>
        <w:tc>
          <w:tcPr>
            <w:tcW w:w="560" w:type="dxa"/>
            <w:tcBorders>
              <w:top w:val="nil"/>
              <w:left w:val="nil"/>
              <w:bottom w:val="single" w:sz="4" w:space="0" w:color="auto"/>
              <w:right w:val="single" w:sz="8" w:space="0" w:color="auto"/>
            </w:tcBorders>
            <w:shd w:val="clear" w:color="auto" w:fill="auto"/>
            <w:vAlign w:val="center"/>
            <w:hideMark/>
          </w:tcPr>
          <w:p w:rsidR="007306CA" w:rsidRDefault="00576025">
            <w:pPr>
              <w:spacing w:after="0"/>
              <w:jc w:val="center"/>
              <w:rPr>
                <w:noProof/>
                <w:color w:val="000000"/>
                <w:sz w:val="20"/>
                <w:szCs w:val="20"/>
                <w:lang w:eastAsia="en-GB"/>
              </w:rPr>
            </w:pPr>
            <w:r>
              <w:rPr>
                <w:noProof/>
                <w:color w:val="000000"/>
                <w:sz w:val="20"/>
                <w:szCs w:val="20"/>
                <w:lang w:eastAsia="en-GB"/>
              </w:rPr>
              <w:t>+2</w:t>
            </w:r>
          </w:p>
        </w:tc>
      </w:tr>
      <w:tr w:rsidR="007306CA">
        <w:trPr>
          <w:trHeight w:val="330"/>
          <w:jc w:val="center"/>
        </w:trPr>
        <w:tc>
          <w:tcPr>
            <w:tcW w:w="4000" w:type="dxa"/>
            <w:tcBorders>
              <w:top w:val="nil"/>
              <w:left w:val="single" w:sz="8" w:space="0" w:color="auto"/>
              <w:bottom w:val="single" w:sz="8" w:space="0" w:color="auto"/>
              <w:right w:val="single" w:sz="8" w:space="0" w:color="auto"/>
            </w:tcBorders>
            <w:shd w:val="clear" w:color="000000" w:fill="DCE6F1"/>
            <w:vAlign w:val="center"/>
            <w:hideMark/>
          </w:tcPr>
          <w:p w:rsidR="007306CA" w:rsidRDefault="00576025">
            <w:pPr>
              <w:spacing w:after="0"/>
              <w:jc w:val="left"/>
              <w:rPr>
                <w:b/>
                <w:bCs/>
                <w:noProof/>
                <w:color w:val="000000"/>
                <w:sz w:val="20"/>
                <w:szCs w:val="20"/>
                <w:lang w:eastAsia="en-GB"/>
              </w:rPr>
            </w:pPr>
            <w:r>
              <w:rPr>
                <w:b/>
                <w:bCs/>
                <w:noProof/>
                <w:color w:val="000000"/>
                <w:sz w:val="20"/>
                <w:szCs w:val="20"/>
                <w:lang w:eastAsia="en-GB"/>
              </w:rPr>
              <w:t>Impact on International Relations</w:t>
            </w:r>
          </w:p>
        </w:tc>
        <w:tc>
          <w:tcPr>
            <w:tcW w:w="560" w:type="dxa"/>
            <w:tcBorders>
              <w:top w:val="nil"/>
              <w:left w:val="nil"/>
              <w:bottom w:val="single" w:sz="8" w:space="0" w:color="auto"/>
              <w:right w:val="single" w:sz="4" w:space="0" w:color="auto"/>
            </w:tcBorders>
            <w:shd w:val="clear" w:color="000000" w:fill="DCE6F1"/>
            <w:vAlign w:val="center"/>
            <w:hideMark/>
          </w:tcPr>
          <w:p w:rsidR="007306CA" w:rsidRDefault="00576025">
            <w:pPr>
              <w:spacing w:after="0"/>
              <w:jc w:val="center"/>
              <w:rPr>
                <w:b/>
                <w:bCs/>
                <w:noProof/>
                <w:color w:val="000000"/>
                <w:sz w:val="20"/>
                <w:szCs w:val="20"/>
                <w:lang w:eastAsia="en-GB"/>
              </w:rPr>
            </w:pPr>
            <w:r>
              <w:rPr>
                <w:b/>
                <w:bCs/>
                <w:noProof/>
                <w:color w:val="000000"/>
                <w:sz w:val="20"/>
                <w:szCs w:val="20"/>
                <w:lang w:eastAsia="en-GB"/>
              </w:rPr>
              <w:t> </w:t>
            </w:r>
          </w:p>
        </w:tc>
        <w:tc>
          <w:tcPr>
            <w:tcW w:w="560" w:type="dxa"/>
            <w:tcBorders>
              <w:top w:val="nil"/>
              <w:left w:val="nil"/>
              <w:bottom w:val="single" w:sz="8" w:space="0" w:color="auto"/>
              <w:right w:val="single" w:sz="4" w:space="0" w:color="auto"/>
            </w:tcBorders>
            <w:shd w:val="clear" w:color="000000" w:fill="DCE6F1"/>
            <w:vAlign w:val="center"/>
            <w:hideMark/>
          </w:tcPr>
          <w:p w:rsidR="007306CA" w:rsidRDefault="00576025">
            <w:pPr>
              <w:spacing w:after="0"/>
              <w:jc w:val="center"/>
              <w:rPr>
                <w:noProof/>
                <w:color w:val="000000"/>
                <w:sz w:val="20"/>
                <w:szCs w:val="20"/>
                <w:lang w:eastAsia="en-GB"/>
              </w:rPr>
            </w:pPr>
            <w:r>
              <w:rPr>
                <w:noProof/>
                <w:color w:val="000000"/>
                <w:sz w:val="20"/>
                <w:szCs w:val="20"/>
                <w:lang w:eastAsia="en-GB"/>
              </w:rPr>
              <w:t> </w:t>
            </w:r>
          </w:p>
        </w:tc>
        <w:tc>
          <w:tcPr>
            <w:tcW w:w="560" w:type="dxa"/>
            <w:tcBorders>
              <w:top w:val="nil"/>
              <w:left w:val="nil"/>
              <w:bottom w:val="single" w:sz="8" w:space="0" w:color="auto"/>
              <w:right w:val="single" w:sz="4" w:space="0" w:color="auto"/>
            </w:tcBorders>
            <w:shd w:val="clear" w:color="000000" w:fill="DCE6F1"/>
            <w:vAlign w:val="center"/>
            <w:hideMark/>
          </w:tcPr>
          <w:p w:rsidR="007306CA" w:rsidRDefault="00576025">
            <w:pPr>
              <w:spacing w:after="0"/>
              <w:jc w:val="center"/>
              <w:rPr>
                <w:noProof/>
                <w:color w:val="000000"/>
                <w:sz w:val="20"/>
                <w:szCs w:val="20"/>
                <w:lang w:eastAsia="en-GB"/>
              </w:rPr>
            </w:pPr>
            <w:r>
              <w:rPr>
                <w:noProof/>
                <w:color w:val="000000"/>
                <w:sz w:val="20"/>
                <w:szCs w:val="20"/>
                <w:lang w:eastAsia="en-GB"/>
              </w:rPr>
              <w:t> </w:t>
            </w:r>
          </w:p>
        </w:tc>
        <w:tc>
          <w:tcPr>
            <w:tcW w:w="560" w:type="dxa"/>
            <w:tcBorders>
              <w:top w:val="nil"/>
              <w:left w:val="nil"/>
              <w:bottom w:val="single" w:sz="8" w:space="0" w:color="auto"/>
              <w:right w:val="single" w:sz="4" w:space="0" w:color="auto"/>
            </w:tcBorders>
            <w:shd w:val="clear" w:color="000000" w:fill="DCE6F1"/>
            <w:vAlign w:val="center"/>
            <w:hideMark/>
          </w:tcPr>
          <w:p w:rsidR="007306CA" w:rsidRDefault="00576025">
            <w:pPr>
              <w:spacing w:after="0"/>
              <w:jc w:val="center"/>
              <w:rPr>
                <w:b/>
                <w:bCs/>
                <w:noProof/>
                <w:color w:val="000000"/>
                <w:sz w:val="20"/>
                <w:szCs w:val="20"/>
                <w:lang w:eastAsia="en-GB"/>
              </w:rPr>
            </w:pPr>
            <w:r>
              <w:rPr>
                <w:b/>
                <w:bCs/>
                <w:noProof/>
                <w:color w:val="000000"/>
                <w:sz w:val="20"/>
                <w:szCs w:val="20"/>
                <w:lang w:eastAsia="en-GB"/>
              </w:rPr>
              <w:t> </w:t>
            </w:r>
          </w:p>
        </w:tc>
        <w:tc>
          <w:tcPr>
            <w:tcW w:w="560" w:type="dxa"/>
            <w:tcBorders>
              <w:top w:val="nil"/>
              <w:left w:val="nil"/>
              <w:bottom w:val="single" w:sz="8" w:space="0" w:color="auto"/>
              <w:right w:val="single" w:sz="4" w:space="0" w:color="auto"/>
            </w:tcBorders>
            <w:shd w:val="clear" w:color="000000" w:fill="DCE6F1"/>
            <w:vAlign w:val="center"/>
            <w:hideMark/>
          </w:tcPr>
          <w:p w:rsidR="007306CA" w:rsidRDefault="00576025">
            <w:pPr>
              <w:spacing w:after="0"/>
              <w:jc w:val="center"/>
              <w:rPr>
                <w:b/>
                <w:bCs/>
                <w:noProof/>
                <w:color w:val="000000"/>
                <w:sz w:val="20"/>
                <w:szCs w:val="20"/>
                <w:lang w:eastAsia="en-GB"/>
              </w:rPr>
            </w:pPr>
            <w:r>
              <w:rPr>
                <w:b/>
                <w:bCs/>
                <w:noProof/>
                <w:color w:val="000000"/>
                <w:sz w:val="20"/>
                <w:szCs w:val="20"/>
                <w:lang w:eastAsia="en-GB"/>
              </w:rPr>
              <w:t> </w:t>
            </w:r>
          </w:p>
        </w:tc>
        <w:tc>
          <w:tcPr>
            <w:tcW w:w="236" w:type="dxa"/>
            <w:tcBorders>
              <w:top w:val="nil"/>
              <w:left w:val="single" w:sz="4" w:space="0" w:color="auto"/>
              <w:right w:val="single" w:sz="4" w:space="0" w:color="auto"/>
            </w:tcBorders>
            <w:shd w:val="clear" w:color="000000" w:fill="8DB4E2"/>
            <w:textDirection w:val="btLr"/>
            <w:vAlign w:val="center"/>
            <w:hideMark/>
          </w:tcPr>
          <w:p w:rsidR="007306CA" w:rsidRDefault="00576025">
            <w:pPr>
              <w:spacing w:after="0"/>
              <w:jc w:val="center"/>
              <w:rPr>
                <w:b/>
                <w:bCs/>
                <w:noProof/>
                <w:color w:val="000000"/>
                <w:sz w:val="20"/>
                <w:szCs w:val="20"/>
                <w:lang w:eastAsia="en-GB"/>
              </w:rPr>
            </w:pPr>
            <w:r>
              <w:rPr>
                <w:b/>
                <w:bCs/>
                <w:noProof/>
                <w:color w:val="000000"/>
                <w:sz w:val="20"/>
                <w:szCs w:val="20"/>
                <w:lang w:eastAsia="en-GB"/>
              </w:rPr>
              <w:t> </w:t>
            </w:r>
          </w:p>
        </w:tc>
        <w:tc>
          <w:tcPr>
            <w:tcW w:w="569" w:type="dxa"/>
            <w:tcBorders>
              <w:top w:val="nil"/>
              <w:left w:val="single" w:sz="4" w:space="0" w:color="auto"/>
              <w:bottom w:val="single" w:sz="8" w:space="0" w:color="auto"/>
              <w:right w:val="single" w:sz="4" w:space="0" w:color="auto"/>
            </w:tcBorders>
            <w:shd w:val="clear" w:color="000000" w:fill="DCE6F1"/>
            <w:vAlign w:val="center"/>
            <w:hideMark/>
          </w:tcPr>
          <w:p w:rsidR="007306CA" w:rsidRDefault="00576025">
            <w:pPr>
              <w:spacing w:after="0"/>
              <w:jc w:val="center"/>
              <w:rPr>
                <w:noProof/>
                <w:color w:val="000000"/>
                <w:sz w:val="20"/>
                <w:szCs w:val="20"/>
                <w:lang w:eastAsia="en-GB"/>
              </w:rPr>
            </w:pPr>
            <w:r>
              <w:rPr>
                <w:noProof/>
                <w:color w:val="000000"/>
                <w:sz w:val="20"/>
                <w:szCs w:val="20"/>
                <w:lang w:eastAsia="en-GB"/>
              </w:rPr>
              <w:t> </w:t>
            </w:r>
          </w:p>
        </w:tc>
        <w:tc>
          <w:tcPr>
            <w:tcW w:w="571" w:type="dxa"/>
            <w:tcBorders>
              <w:top w:val="nil"/>
              <w:left w:val="nil"/>
              <w:bottom w:val="single" w:sz="8" w:space="0" w:color="auto"/>
              <w:right w:val="single" w:sz="4" w:space="0" w:color="auto"/>
            </w:tcBorders>
            <w:shd w:val="clear" w:color="000000" w:fill="DCE6F1"/>
            <w:vAlign w:val="center"/>
            <w:hideMark/>
          </w:tcPr>
          <w:p w:rsidR="007306CA" w:rsidRDefault="00576025">
            <w:pPr>
              <w:spacing w:after="0"/>
              <w:jc w:val="center"/>
              <w:rPr>
                <w:b/>
                <w:bCs/>
                <w:noProof/>
                <w:color w:val="000000"/>
                <w:sz w:val="20"/>
                <w:szCs w:val="20"/>
                <w:lang w:eastAsia="en-GB"/>
              </w:rPr>
            </w:pPr>
            <w:r>
              <w:rPr>
                <w:b/>
                <w:bCs/>
                <w:noProof/>
                <w:color w:val="000000"/>
                <w:sz w:val="20"/>
                <w:szCs w:val="20"/>
                <w:lang w:eastAsia="en-GB"/>
              </w:rPr>
              <w:t> </w:t>
            </w:r>
          </w:p>
        </w:tc>
        <w:tc>
          <w:tcPr>
            <w:tcW w:w="560" w:type="dxa"/>
            <w:tcBorders>
              <w:top w:val="nil"/>
              <w:left w:val="nil"/>
              <w:bottom w:val="single" w:sz="8" w:space="0" w:color="auto"/>
              <w:right w:val="single" w:sz="8" w:space="0" w:color="auto"/>
            </w:tcBorders>
            <w:shd w:val="clear" w:color="000000" w:fill="DCE6F1"/>
            <w:vAlign w:val="center"/>
            <w:hideMark/>
          </w:tcPr>
          <w:p w:rsidR="007306CA" w:rsidRDefault="00576025">
            <w:pPr>
              <w:spacing w:after="0"/>
              <w:jc w:val="center"/>
              <w:rPr>
                <w:b/>
                <w:bCs/>
                <w:noProof/>
                <w:color w:val="000000"/>
                <w:sz w:val="20"/>
                <w:szCs w:val="20"/>
                <w:lang w:eastAsia="en-GB"/>
              </w:rPr>
            </w:pPr>
            <w:r>
              <w:rPr>
                <w:b/>
                <w:bCs/>
                <w:noProof/>
                <w:color w:val="000000"/>
                <w:sz w:val="20"/>
                <w:szCs w:val="20"/>
                <w:lang w:eastAsia="en-GB"/>
              </w:rPr>
              <w:t> </w:t>
            </w:r>
          </w:p>
        </w:tc>
      </w:tr>
      <w:tr w:rsidR="007306CA">
        <w:trPr>
          <w:trHeight w:val="300"/>
          <w:jc w:val="center"/>
        </w:trPr>
        <w:tc>
          <w:tcPr>
            <w:tcW w:w="4000" w:type="dxa"/>
            <w:tcBorders>
              <w:top w:val="nil"/>
              <w:left w:val="single" w:sz="8" w:space="0" w:color="auto"/>
              <w:bottom w:val="single" w:sz="4" w:space="0" w:color="auto"/>
              <w:right w:val="single" w:sz="8" w:space="0" w:color="auto"/>
            </w:tcBorders>
            <w:shd w:val="clear" w:color="auto" w:fill="auto"/>
            <w:vAlign w:val="center"/>
            <w:hideMark/>
          </w:tcPr>
          <w:p w:rsidR="007306CA" w:rsidRDefault="00576025">
            <w:pPr>
              <w:spacing w:after="0"/>
              <w:jc w:val="left"/>
              <w:rPr>
                <w:noProof/>
                <w:color w:val="000000"/>
                <w:sz w:val="20"/>
                <w:szCs w:val="20"/>
                <w:lang w:eastAsia="en-GB"/>
              </w:rPr>
            </w:pPr>
            <w:r>
              <w:rPr>
                <w:noProof/>
                <w:color w:val="000000"/>
                <w:sz w:val="20"/>
                <w:szCs w:val="20"/>
                <w:lang w:eastAsia="en-GB"/>
              </w:rPr>
              <w:t>-  Impacts on third countries</w:t>
            </w:r>
          </w:p>
        </w:tc>
        <w:tc>
          <w:tcPr>
            <w:tcW w:w="560" w:type="dxa"/>
            <w:tcBorders>
              <w:top w:val="nil"/>
              <w:left w:val="nil"/>
              <w:bottom w:val="single" w:sz="4" w:space="0" w:color="auto"/>
              <w:right w:val="single" w:sz="4" w:space="0" w:color="auto"/>
            </w:tcBorders>
            <w:shd w:val="clear" w:color="auto" w:fill="auto"/>
            <w:vAlign w:val="center"/>
            <w:hideMark/>
          </w:tcPr>
          <w:p w:rsidR="007306CA" w:rsidRDefault="00576025">
            <w:pPr>
              <w:spacing w:after="0"/>
              <w:jc w:val="center"/>
              <w:rPr>
                <w:noProof/>
                <w:color w:val="000000"/>
                <w:sz w:val="20"/>
                <w:szCs w:val="20"/>
                <w:lang w:eastAsia="en-GB"/>
              </w:rPr>
            </w:pPr>
            <w:r>
              <w:rPr>
                <w:noProof/>
                <w:color w:val="000000"/>
                <w:sz w:val="20"/>
                <w:szCs w:val="20"/>
                <w:lang w:eastAsia="en-GB"/>
              </w:rPr>
              <w:t>+2</w:t>
            </w:r>
          </w:p>
        </w:tc>
        <w:tc>
          <w:tcPr>
            <w:tcW w:w="560" w:type="dxa"/>
            <w:tcBorders>
              <w:top w:val="nil"/>
              <w:left w:val="nil"/>
              <w:bottom w:val="single" w:sz="4" w:space="0" w:color="auto"/>
              <w:right w:val="single" w:sz="4" w:space="0" w:color="auto"/>
            </w:tcBorders>
            <w:shd w:val="clear" w:color="auto" w:fill="auto"/>
            <w:vAlign w:val="center"/>
            <w:hideMark/>
          </w:tcPr>
          <w:p w:rsidR="007306CA" w:rsidRDefault="00576025">
            <w:pPr>
              <w:spacing w:after="0"/>
              <w:jc w:val="center"/>
              <w:rPr>
                <w:noProof/>
                <w:color w:val="000000"/>
                <w:sz w:val="20"/>
                <w:szCs w:val="20"/>
                <w:lang w:eastAsia="en-GB"/>
              </w:rPr>
            </w:pPr>
            <w:r>
              <w:rPr>
                <w:noProof/>
                <w:color w:val="000000"/>
                <w:sz w:val="20"/>
                <w:szCs w:val="20"/>
                <w:lang w:eastAsia="en-GB"/>
              </w:rPr>
              <w:t>+1 </w:t>
            </w:r>
          </w:p>
        </w:tc>
        <w:tc>
          <w:tcPr>
            <w:tcW w:w="560" w:type="dxa"/>
            <w:tcBorders>
              <w:top w:val="nil"/>
              <w:left w:val="nil"/>
              <w:bottom w:val="single" w:sz="4" w:space="0" w:color="auto"/>
              <w:right w:val="single" w:sz="4" w:space="0" w:color="auto"/>
            </w:tcBorders>
            <w:shd w:val="clear" w:color="auto" w:fill="auto"/>
            <w:vAlign w:val="center"/>
            <w:hideMark/>
          </w:tcPr>
          <w:p w:rsidR="007306CA" w:rsidRDefault="00576025">
            <w:pPr>
              <w:spacing w:after="0"/>
              <w:jc w:val="center"/>
              <w:rPr>
                <w:noProof/>
                <w:color w:val="000000"/>
                <w:sz w:val="20"/>
                <w:szCs w:val="20"/>
                <w:lang w:eastAsia="en-GB"/>
              </w:rPr>
            </w:pPr>
            <w:r>
              <w:rPr>
                <w:noProof/>
                <w:color w:val="000000"/>
                <w:sz w:val="20"/>
                <w:szCs w:val="20"/>
                <w:lang w:eastAsia="en-GB"/>
              </w:rPr>
              <w:t> </w:t>
            </w:r>
            <w:r>
              <w:rPr>
                <w:noProof/>
                <w:color w:val="000000"/>
                <w:sz w:val="18"/>
                <w:szCs w:val="18"/>
                <w:lang w:eastAsia="en-GB"/>
              </w:rPr>
              <w:t>0/ +1</w:t>
            </w:r>
          </w:p>
        </w:tc>
        <w:tc>
          <w:tcPr>
            <w:tcW w:w="560" w:type="dxa"/>
            <w:tcBorders>
              <w:top w:val="nil"/>
              <w:left w:val="nil"/>
              <w:bottom w:val="single" w:sz="4" w:space="0" w:color="auto"/>
              <w:right w:val="single" w:sz="4" w:space="0" w:color="auto"/>
            </w:tcBorders>
            <w:shd w:val="clear" w:color="auto" w:fill="auto"/>
            <w:vAlign w:val="center"/>
            <w:hideMark/>
          </w:tcPr>
          <w:p w:rsidR="007306CA" w:rsidRDefault="00576025">
            <w:pPr>
              <w:spacing w:after="0"/>
              <w:jc w:val="center"/>
              <w:rPr>
                <w:noProof/>
                <w:color w:val="000000"/>
                <w:sz w:val="20"/>
                <w:szCs w:val="20"/>
                <w:lang w:eastAsia="en-GB"/>
              </w:rPr>
            </w:pPr>
            <w:r>
              <w:rPr>
                <w:noProof/>
                <w:color w:val="000000"/>
                <w:sz w:val="20"/>
                <w:szCs w:val="20"/>
                <w:lang w:eastAsia="en-GB"/>
              </w:rPr>
              <w:t>+1 </w:t>
            </w:r>
          </w:p>
        </w:tc>
        <w:tc>
          <w:tcPr>
            <w:tcW w:w="560" w:type="dxa"/>
            <w:tcBorders>
              <w:top w:val="nil"/>
              <w:left w:val="nil"/>
              <w:bottom w:val="single" w:sz="4" w:space="0" w:color="auto"/>
              <w:right w:val="single" w:sz="4" w:space="0" w:color="auto"/>
            </w:tcBorders>
            <w:shd w:val="clear" w:color="auto" w:fill="auto"/>
            <w:vAlign w:val="center"/>
            <w:hideMark/>
          </w:tcPr>
          <w:p w:rsidR="007306CA" w:rsidRDefault="00576025">
            <w:pPr>
              <w:spacing w:after="0"/>
              <w:jc w:val="center"/>
              <w:rPr>
                <w:noProof/>
                <w:color w:val="000000"/>
                <w:sz w:val="20"/>
                <w:szCs w:val="20"/>
                <w:lang w:eastAsia="en-GB"/>
              </w:rPr>
            </w:pPr>
            <w:r>
              <w:rPr>
                <w:noProof/>
                <w:color w:val="000000"/>
                <w:sz w:val="20"/>
                <w:szCs w:val="20"/>
                <w:lang w:eastAsia="en-GB"/>
              </w:rPr>
              <w:t>+2 </w:t>
            </w:r>
          </w:p>
        </w:tc>
        <w:tc>
          <w:tcPr>
            <w:tcW w:w="236" w:type="dxa"/>
            <w:tcBorders>
              <w:top w:val="nil"/>
              <w:left w:val="single" w:sz="4" w:space="0" w:color="auto"/>
              <w:bottom w:val="nil"/>
              <w:right w:val="single" w:sz="4" w:space="0" w:color="auto"/>
            </w:tcBorders>
            <w:shd w:val="clear" w:color="000000" w:fill="8DB4E2"/>
            <w:textDirection w:val="btLr"/>
            <w:vAlign w:val="center"/>
            <w:hideMark/>
          </w:tcPr>
          <w:p w:rsidR="007306CA" w:rsidRDefault="00576025">
            <w:pPr>
              <w:spacing w:after="0"/>
              <w:jc w:val="center"/>
              <w:rPr>
                <w:b/>
                <w:bCs/>
                <w:noProof/>
                <w:color w:val="000000"/>
                <w:sz w:val="20"/>
                <w:szCs w:val="20"/>
                <w:lang w:eastAsia="en-GB"/>
              </w:rPr>
            </w:pPr>
            <w:r>
              <w:rPr>
                <w:b/>
                <w:bCs/>
                <w:noProof/>
                <w:color w:val="000000"/>
                <w:sz w:val="20"/>
                <w:szCs w:val="20"/>
                <w:lang w:eastAsia="en-GB"/>
              </w:rPr>
              <w:t> </w:t>
            </w:r>
          </w:p>
        </w:tc>
        <w:tc>
          <w:tcPr>
            <w:tcW w:w="569" w:type="dxa"/>
            <w:tcBorders>
              <w:top w:val="nil"/>
              <w:left w:val="single" w:sz="4" w:space="0" w:color="auto"/>
              <w:bottom w:val="single" w:sz="4" w:space="0" w:color="auto"/>
              <w:right w:val="single" w:sz="4" w:space="0" w:color="auto"/>
            </w:tcBorders>
            <w:shd w:val="clear" w:color="auto" w:fill="auto"/>
            <w:vAlign w:val="center"/>
            <w:hideMark/>
          </w:tcPr>
          <w:p w:rsidR="007306CA" w:rsidRDefault="00576025">
            <w:pPr>
              <w:spacing w:after="0"/>
              <w:jc w:val="center"/>
              <w:rPr>
                <w:noProof/>
                <w:color w:val="000000"/>
                <w:sz w:val="20"/>
                <w:szCs w:val="20"/>
                <w:lang w:eastAsia="en-GB"/>
              </w:rPr>
            </w:pPr>
            <w:r>
              <w:rPr>
                <w:noProof/>
                <w:color w:val="000000"/>
                <w:sz w:val="20"/>
                <w:szCs w:val="20"/>
                <w:lang w:eastAsia="en-GB"/>
              </w:rPr>
              <w:t>0/ +1 </w:t>
            </w:r>
          </w:p>
        </w:tc>
        <w:tc>
          <w:tcPr>
            <w:tcW w:w="571" w:type="dxa"/>
            <w:tcBorders>
              <w:top w:val="nil"/>
              <w:left w:val="nil"/>
              <w:bottom w:val="single" w:sz="4" w:space="0" w:color="auto"/>
              <w:right w:val="single" w:sz="4" w:space="0" w:color="auto"/>
            </w:tcBorders>
            <w:shd w:val="clear" w:color="auto" w:fill="auto"/>
            <w:vAlign w:val="center"/>
            <w:hideMark/>
          </w:tcPr>
          <w:p w:rsidR="007306CA" w:rsidRDefault="00576025">
            <w:pPr>
              <w:spacing w:after="0"/>
              <w:jc w:val="center"/>
              <w:rPr>
                <w:noProof/>
                <w:color w:val="000000"/>
                <w:sz w:val="20"/>
                <w:szCs w:val="20"/>
                <w:lang w:eastAsia="en-GB"/>
              </w:rPr>
            </w:pPr>
            <w:r>
              <w:rPr>
                <w:noProof/>
                <w:color w:val="000000"/>
                <w:sz w:val="20"/>
                <w:szCs w:val="20"/>
                <w:lang w:eastAsia="en-GB"/>
              </w:rPr>
              <w:t>0</w:t>
            </w:r>
          </w:p>
        </w:tc>
        <w:tc>
          <w:tcPr>
            <w:tcW w:w="560" w:type="dxa"/>
            <w:tcBorders>
              <w:top w:val="nil"/>
              <w:left w:val="nil"/>
              <w:bottom w:val="single" w:sz="4" w:space="0" w:color="auto"/>
              <w:right w:val="single" w:sz="8" w:space="0" w:color="auto"/>
            </w:tcBorders>
            <w:shd w:val="clear" w:color="auto" w:fill="auto"/>
            <w:vAlign w:val="center"/>
            <w:hideMark/>
          </w:tcPr>
          <w:p w:rsidR="007306CA" w:rsidRDefault="00576025">
            <w:pPr>
              <w:spacing w:after="0"/>
              <w:jc w:val="center"/>
              <w:rPr>
                <w:noProof/>
                <w:color w:val="000000"/>
                <w:sz w:val="20"/>
                <w:szCs w:val="20"/>
                <w:lang w:eastAsia="en-GB"/>
              </w:rPr>
            </w:pPr>
            <w:r>
              <w:rPr>
                <w:noProof/>
                <w:color w:val="000000"/>
                <w:sz w:val="20"/>
                <w:szCs w:val="20"/>
                <w:lang w:eastAsia="en-GB"/>
              </w:rPr>
              <w:t>0</w:t>
            </w:r>
          </w:p>
        </w:tc>
      </w:tr>
      <w:tr w:rsidR="007306CA">
        <w:trPr>
          <w:trHeight w:val="330"/>
          <w:jc w:val="center"/>
        </w:trPr>
        <w:tc>
          <w:tcPr>
            <w:tcW w:w="4000" w:type="dxa"/>
            <w:tcBorders>
              <w:top w:val="nil"/>
              <w:left w:val="single" w:sz="8" w:space="0" w:color="auto"/>
              <w:bottom w:val="single" w:sz="8" w:space="0" w:color="auto"/>
              <w:right w:val="single" w:sz="8" w:space="0" w:color="auto"/>
            </w:tcBorders>
            <w:shd w:val="clear" w:color="000000" w:fill="DCE6F1"/>
            <w:vAlign w:val="center"/>
            <w:hideMark/>
          </w:tcPr>
          <w:p w:rsidR="007306CA" w:rsidRDefault="00576025">
            <w:pPr>
              <w:spacing w:after="0"/>
              <w:jc w:val="left"/>
              <w:rPr>
                <w:b/>
                <w:bCs/>
                <w:noProof/>
                <w:color w:val="000000"/>
                <w:sz w:val="20"/>
                <w:szCs w:val="20"/>
                <w:lang w:eastAsia="en-GB"/>
              </w:rPr>
            </w:pPr>
            <w:r>
              <w:rPr>
                <w:b/>
                <w:bCs/>
                <w:noProof/>
                <w:color w:val="000000"/>
                <w:sz w:val="20"/>
                <w:szCs w:val="20"/>
                <w:lang w:eastAsia="en-GB"/>
              </w:rPr>
              <w:t>Efficiency</w:t>
            </w:r>
          </w:p>
        </w:tc>
        <w:tc>
          <w:tcPr>
            <w:tcW w:w="560" w:type="dxa"/>
            <w:tcBorders>
              <w:top w:val="nil"/>
              <w:left w:val="nil"/>
              <w:bottom w:val="single" w:sz="8" w:space="0" w:color="auto"/>
              <w:right w:val="single" w:sz="4" w:space="0" w:color="auto"/>
            </w:tcBorders>
            <w:shd w:val="clear" w:color="000000" w:fill="DCE6F1"/>
            <w:vAlign w:val="center"/>
            <w:hideMark/>
          </w:tcPr>
          <w:p w:rsidR="007306CA" w:rsidRDefault="00576025">
            <w:pPr>
              <w:spacing w:after="0"/>
              <w:jc w:val="center"/>
              <w:rPr>
                <w:b/>
                <w:bCs/>
                <w:noProof/>
                <w:color w:val="000000"/>
                <w:sz w:val="20"/>
                <w:szCs w:val="20"/>
                <w:lang w:eastAsia="en-GB"/>
              </w:rPr>
            </w:pPr>
            <w:r>
              <w:rPr>
                <w:b/>
                <w:bCs/>
                <w:noProof/>
                <w:color w:val="000000"/>
                <w:sz w:val="20"/>
                <w:szCs w:val="20"/>
                <w:lang w:eastAsia="en-GB"/>
              </w:rPr>
              <w:t> </w:t>
            </w:r>
          </w:p>
        </w:tc>
        <w:tc>
          <w:tcPr>
            <w:tcW w:w="560" w:type="dxa"/>
            <w:tcBorders>
              <w:top w:val="nil"/>
              <w:left w:val="nil"/>
              <w:bottom w:val="single" w:sz="8" w:space="0" w:color="auto"/>
              <w:right w:val="single" w:sz="4" w:space="0" w:color="auto"/>
            </w:tcBorders>
            <w:shd w:val="clear" w:color="000000" w:fill="DCE6F1"/>
            <w:vAlign w:val="center"/>
            <w:hideMark/>
          </w:tcPr>
          <w:p w:rsidR="007306CA" w:rsidRDefault="00576025">
            <w:pPr>
              <w:spacing w:after="0"/>
              <w:jc w:val="center"/>
              <w:rPr>
                <w:noProof/>
                <w:color w:val="000000"/>
                <w:sz w:val="20"/>
                <w:szCs w:val="20"/>
                <w:lang w:eastAsia="en-GB"/>
              </w:rPr>
            </w:pPr>
            <w:r>
              <w:rPr>
                <w:noProof/>
                <w:color w:val="000000"/>
                <w:sz w:val="20"/>
                <w:szCs w:val="20"/>
                <w:lang w:eastAsia="en-GB"/>
              </w:rPr>
              <w:t> </w:t>
            </w:r>
          </w:p>
        </w:tc>
        <w:tc>
          <w:tcPr>
            <w:tcW w:w="560" w:type="dxa"/>
            <w:tcBorders>
              <w:top w:val="nil"/>
              <w:left w:val="nil"/>
              <w:bottom w:val="single" w:sz="8" w:space="0" w:color="auto"/>
              <w:right w:val="single" w:sz="4" w:space="0" w:color="auto"/>
            </w:tcBorders>
            <w:shd w:val="clear" w:color="000000" w:fill="DCE6F1"/>
            <w:vAlign w:val="center"/>
            <w:hideMark/>
          </w:tcPr>
          <w:p w:rsidR="007306CA" w:rsidRDefault="00576025">
            <w:pPr>
              <w:spacing w:after="0"/>
              <w:jc w:val="center"/>
              <w:rPr>
                <w:noProof/>
                <w:color w:val="000000"/>
                <w:sz w:val="20"/>
                <w:szCs w:val="20"/>
                <w:lang w:eastAsia="en-GB"/>
              </w:rPr>
            </w:pPr>
            <w:r>
              <w:rPr>
                <w:noProof/>
                <w:color w:val="000000"/>
                <w:sz w:val="20"/>
                <w:szCs w:val="20"/>
                <w:lang w:eastAsia="en-GB"/>
              </w:rPr>
              <w:t> </w:t>
            </w:r>
          </w:p>
        </w:tc>
        <w:tc>
          <w:tcPr>
            <w:tcW w:w="560" w:type="dxa"/>
            <w:tcBorders>
              <w:top w:val="nil"/>
              <w:left w:val="nil"/>
              <w:bottom w:val="single" w:sz="8" w:space="0" w:color="auto"/>
              <w:right w:val="single" w:sz="4" w:space="0" w:color="auto"/>
            </w:tcBorders>
            <w:shd w:val="clear" w:color="000000" w:fill="DCE6F1"/>
            <w:vAlign w:val="center"/>
            <w:hideMark/>
          </w:tcPr>
          <w:p w:rsidR="007306CA" w:rsidRDefault="00576025">
            <w:pPr>
              <w:spacing w:after="0"/>
              <w:jc w:val="center"/>
              <w:rPr>
                <w:b/>
                <w:bCs/>
                <w:noProof/>
                <w:color w:val="000000"/>
                <w:sz w:val="20"/>
                <w:szCs w:val="20"/>
                <w:lang w:eastAsia="en-GB"/>
              </w:rPr>
            </w:pPr>
            <w:r>
              <w:rPr>
                <w:b/>
                <w:bCs/>
                <w:noProof/>
                <w:color w:val="000000"/>
                <w:sz w:val="20"/>
                <w:szCs w:val="20"/>
                <w:lang w:eastAsia="en-GB"/>
              </w:rPr>
              <w:t> </w:t>
            </w:r>
          </w:p>
        </w:tc>
        <w:tc>
          <w:tcPr>
            <w:tcW w:w="560" w:type="dxa"/>
            <w:tcBorders>
              <w:top w:val="nil"/>
              <w:left w:val="nil"/>
              <w:bottom w:val="single" w:sz="8" w:space="0" w:color="auto"/>
              <w:right w:val="single" w:sz="4" w:space="0" w:color="auto"/>
            </w:tcBorders>
            <w:shd w:val="clear" w:color="000000" w:fill="DCE6F1"/>
            <w:vAlign w:val="center"/>
            <w:hideMark/>
          </w:tcPr>
          <w:p w:rsidR="007306CA" w:rsidRDefault="00576025">
            <w:pPr>
              <w:spacing w:after="0"/>
              <w:jc w:val="center"/>
              <w:rPr>
                <w:b/>
                <w:bCs/>
                <w:noProof/>
                <w:color w:val="000000"/>
                <w:sz w:val="20"/>
                <w:szCs w:val="20"/>
                <w:lang w:eastAsia="en-GB"/>
              </w:rPr>
            </w:pPr>
            <w:r>
              <w:rPr>
                <w:b/>
                <w:bCs/>
                <w:noProof/>
                <w:color w:val="000000"/>
                <w:sz w:val="20"/>
                <w:szCs w:val="20"/>
                <w:lang w:eastAsia="en-GB"/>
              </w:rPr>
              <w:t> </w:t>
            </w:r>
          </w:p>
        </w:tc>
        <w:tc>
          <w:tcPr>
            <w:tcW w:w="236" w:type="dxa"/>
            <w:tcBorders>
              <w:top w:val="nil"/>
              <w:left w:val="single" w:sz="4" w:space="0" w:color="auto"/>
              <w:right w:val="single" w:sz="4" w:space="0" w:color="auto"/>
            </w:tcBorders>
            <w:shd w:val="clear" w:color="000000" w:fill="8DB4E2"/>
            <w:textDirection w:val="btLr"/>
            <w:vAlign w:val="center"/>
            <w:hideMark/>
          </w:tcPr>
          <w:p w:rsidR="007306CA" w:rsidRDefault="00576025">
            <w:pPr>
              <w:spacing w:after="0"/>
              <w:jc w:val="center"/>
              <w:rPr>
                <w:b/>
                <w:bCs/>
                <w:noProof/>
                <w:color w:val="000000"/>
                <w:sz w:val="20"/>
                <w:szCs w:val="20"/>
                <w:lang w:eastAsia="en-GB"/>
              </w:rPr>
            </w:pPr>
            <w:r>
              <w:rPr>
                <w:b/>
                <w:bCs/>
                <w:noProof/>
                <w:color w:val="000000"/>
                <w:sz w:val="20"/>
                <w:szCs w:val="20"/>
                <w:lang w:eastAsia="en-GB"/>
              </w:rPr>
              <w:t> </w:t>
            </w:r>
          </w:p>
        </w:tc>
        <w:tc>
          <w:tcPr>
            <w:tcW w:w="569" w:type="dxa"/>
            <w:tcBorders>
              <w:top w:val="nil"/>
              <w:left w:val="single" w:sz="4" w:space="0" w:color="auto"/>
              <w:bottom w:val="single" w:sz="8" w:space="0" w:color="auto"/>
              <w:right w:val="single" w:sz="4" w:space="0" w:color="auto"/>
            </w:tcBorders>
            <w:shd w:val="clear" w:color="000000" w:fill="DCE6F1"/>
            <w:vAlign w:val="center"/>
            <w:hideMark/>
          </w:tcPr>
          <w:p w:rsidR="007306CA" w:rsidRDefault="00576025">
            <w:pPr>
              <w:spacing w:after="0"/>
              <w:jc w:val="center"/>
              <w:rPr>
                <w:noProof/>
                <w:color w:val="000000"/>
                <w:sz w:val="20"/>
                <w:szCs w:val="20"/>
                <w:lang w:eastAsia="en-GB"/>
              </w:rPr>
            </w:pPr>
            <w:r>
              <w:rPr>
                <w:noProof/>
                <w:color w:val="000000"/>
                <w:sz w:val="20"/>
                <w:szCs w:val="20"/>
                <w:lang w:eastAsia="en-GB"/>
              </w:rPr>
              <w:t> </w:t>
            </w:r>
          </w:p>
        </w:tc>
        <w:tc>
          <w:tcPr>
            <w:tcW w:w="571" w:type="dxa"/>
            <w:tcBorders>
              <w:top w:val="nil"/>
              <w:left w:val="nil"/>
              <w:bottom w:val="single" w:sz="8" w:space="0" w:color="auto"/>
              <w:right w:val="single" w:sz="4" w:space="0" w:color="auto"/>
            </w:tcBorders>
            <w:shd w:val="clear" w:color="000000" w:fill="DCE6F1"/>
            <w:vAlign w:val="center"/>
            <w:hideMark/>
          </w:tcPr>
          <w:p w:rsidR="007306CA" w:rsidRDefault="00576025">
            <w:pPr>
              <w:spacing w:after="0"/>
              <w:jc w:val="center"/>
              <w:rPr>
                <w:b/>
                <w:bCs/>
                <w:noProof/>
                <w:color w:val="000000"/>
                <w:sz w:val="20"/>
                <w:szCs w:val="20"/>
                <w:lang w:eastAsia="en-GB"/>
              </w:rPr>
            </w:pPr>
            <w:r>
              <w:rPr>
                <w:b/>
                <w:bCs/>
                <w:noProof/>
                <w:color w:val="000000"/>
                <w:sz w:val="20"/>
                <w:szCs w:val="20"/>
                <w:lang w:eastAsia="en-GB"/>
              </w:rPr>
              <w:t> </w:t>
            </w:r>
          </w:p>
        </w:tc>
        <w:tc>
          <w:tcPr>
            <w:tcW w:w="560" w:type="dxa"/>
            <w:tcBorders>
              <w:top w:val="nil"/>
              <w:left w:val="nil"/>
              <w:bottom w:val="single" w:sz="8" w:space="0" w:color="auto"/>
              <w:right w:val="single" w:sz="8" w:space="0" w:color="auto"/>
            </w:tcBorders>
            <w:shd w:val="clear" w:color="000000" w:fill="DCE6F1"/>
            <w:vAlign w:val="center"/>
            <w:hideMark/>
          </w:tcPr>
          <w:p w:rsidR="007306CA" w:rsidRDefault="00576025">
            <w:pPr>
              <w:spacing w:after="0"/>
              <w:jc w:val="center"/>
              <w:rPr>
                <w:b/>
                <w:bCs/>
                <w:noProof/>
                <w:color w:val="000000"/>
                <w:sz w:val="20"/>
                <w:szCs w:val="20"/>
                <w:lang w:eastAsia="en-GB"/>
              </w:rPr>
            </w:pPr>
            <w:r>
              <w:rPr>
                <w:b/>
                <w:bCs/>
                <w:noProof/>
                <w:color w:val="000000"/>
                <w:sz w:val="20"/>
                <w:szCs w:val="20"/>
                <w:lang w:eastAsia="en-GB"/>
              </w:rPr>
              <w:t> </w:t>
            </w:r>
          </w:p>
        </w:tc>
      </w:tr>
      <w:tr w:rsidR="007306CA">
        <w:trPr>
          <w:trHeight w:val="70"/>
          <w:jc w:val="center"/>
        </w:trPr>
        <w:tc>
          <w:tcPr>
            <w:tcW w:w="4000" w:type="dxa"/>
            <w:tcBorders>
              <w:top w:val="nil"/>
              <w:left w:val="single" w:sz="8" w:space="0" w:color="auto"/>
              <w:bottom w:val="single" w:sz="8" w:space="0" w:color="auto"/>
              <w:right w:val="single" w:sz="8" w:space="0" w:color="auto"/>
            </w:tcBorders>
            <w:shd w:val="clear" w:color="auto" w:fill="auto"/>
            <w:vAlign w:val="center"/>
            <w:hideMark/>
          </w:tcPr>
          <w:p w:rsidR="007306CA" w:rsidRDefault="00576025">
            <w:pPr>
              <w:spacing w:after="0"/>
              <w:jc w:val="left"/>
              <w:rPr>
                <w:noProof/>
                <w:color w:val="000000"/>
                <w:sz w:val="20"/>
                <w:szCs w:val="20"/>
                <w:lang w:eastAsia="en-GB"/>
              </w:rPr>
            </w:pPr>
            <w:r>
              <w:rPr>
                <w:noProof/>
                <w:color w:val="000000"/>
                <w:sz w:val="20"/>
                <w:szCs w:val="20"/>
                <w:lang w:eastAsia="en-GB"/>
              </w:rPr>
              <w:t>- Administrative costs, cost/benefit effectiveness and practical or technical feasibility</w:t>
            </w:r>
          </w:p>
        </w:tc>
        <w:tc>
          <w:tcPr>
            <w:tcW w:w="560" w:type="dxa"/>
            <w:tcBorders>
              <w:top w:val="nil"/>
              <w:left w:val="nil"/>
              <w:bottom w:val="single" w:sz="8" w:space="0" w:color="auto"/>
              <w:right w:val="single" w:sz="4" w:space="0" w:color="auto"/>
            </w:tcBorders>
            <w:shd w:val="clear" w:color="auto" w:fill="auto"/>
            <w:vAlign w:val="center"/>
            <w:hideMark/>
          </w:tcPr>
          <w:p w:rsidR="007306CA" w:rsidRDefault="00576025">
            <w:pPr>
              <w:spacing w:after="0"/>
              <w:jc w:val="center"/>
              <w:rPr>
                <w:noProof/>
                <w:color w:val="000000"/>
                <w:sz w:val="20"/>
                <w:szCs w:val="20"/>
                <w:lang w:eastAsia="en-GB"/>
              </w:rPr>
            </w:pPr>
            <w:r>
              <w:rPr>
                <w:noProof/>
                <w:color w:val="000000"/>
                <w:sz w:val="20"/>
                <w:szCs w:val="20"/>
                <w:lang w:eastAsia="en-GB"/>
              </w:rPr>
              <w:t>+1</w:t>
            </w:r>
          </w:p>
        </w:tc>
        <w:tc>
          <w:tcPr>
            <w:tcW w:w="560" w:type="dxa"/>
            <w:tcBorders>
              <w:top w:val="nil"/>
              <w:left w:val="nil"/>
              <w:bottom w:val="single" w:sz="8" w:space="0" w:color="auto"/>
              <w:right w:val="single" w:sz="4" w:space="0" w:color="auto"/>
            </w:tcBorders>
            <w:shd w:val="clear" w:color="auto" w:fill="auto"/>
            <w:vAlign w:val="center"/>
            <w:hideMark/>
          </w:tcPr>
          <w:p w:rsidR="007306CA" w:rsidRDefault="00576025">
            <w:pPr>
              <w:spacing w:after="0"/>
              <w:jc w:val="center"/>
              <w:rPr>
                <w:noProof/>
                <w:color w:val="000000"/>
                <w:sz w:val="20"/>
                <w:szCs w:val="20"/>
                <w:lang w:eastAsia="en-GB"/>
              </w:rPr>
            </w:pPr>
            <w:r>
              <w:rPr>
                <w:noProof/>
                <w:color w:val="000000"/>
                <w:sz w:val="20"/>
                <w:szCs w:val="20"/>
                <w:lang w:eastAsia="en-GB"/>
              </w:rPr>
              <w:t>+3</w:t>
            </w:r>
          </w:p>
        </w:tc>
        <w:tc>
          <w:tcPr>
            <w:tcW w:w="560" w:type="dxa"/>
            <w:tcBorders>
              <w:top w:val="nil"/>
              <w:left w:val="nil"/>
              <w:bottom w:val="single" w:sz="8" w:space="0" w:color="auto"/>
              <w:right w:val="single" w:sz="4" w:space="0" w:color="auto"/>
            </w:tcBorders>
            <w:shd w:val="clear" w:color="auto" w:fill="auto"/>
            <w:vAlign w:val="center"/>
            <w:hideMark/>
          </w:tcPr>
          <w:p w:rsidR="007306CA" w:rsidRDefault="00576025">
            <w:pPr>
              <w:spacing w:after="0"/>
              <w:jc w:val="center"/>
              <w:rPr>
                <w:noProof/>
                <w:color w:val="000000"/>
                <w:sz w:val="20"/>
                <w:szCs w:val="20"/>
                <w:lang w:eastAsia="en-GB"/>
              </w:rPr>
            </w:pPr>
            <w:r>
              <w:rPr>
                <w:noProof/>
                <w:color w:val="000000"/>
                <w:sz w:val="20"/>
                <w:szCs w:val="20"/>
                <w:lang w:eastAsia="en-GB"/>
              </w:rPr>
              <w:t>0</w:t>
            </w:r>
          </w:p>
        </w:tc>
        <w:tc>
          <w:tcPr>
            <w:tcW w:w="560" w:type="dxa"/>
            <w:tcBorders>
              <w:top w:val="nil"/>
              <w:left w:val="nil"/>
              <w:bottom w:val="single" w:sz="8" w:space="0" w:color="auto"/>
              <w:right w:val="single" w:sz="4" w:space="0" w:color="auto"/>
            </w:tcBorders>
            <w:shd w:val="clear" w:color="auto" w:fill="auto"/>
            <w:vAlign w:val="center"/>
            <w:hideMark/>
          </w:tcPr>
          <w:p w:rsidR="007306CA" w:rsidRDefault="00576025">
            <w:pPr>
              <w:spacing w:after="0"/>
              <w:jc w:val="center"/>
              <w:rPr>
                <w:noProof/>
                <w:color w:val="000000"/>
                <w:sz w:val="20"/>
                <w:szCs w:val="20"/>
                <w:lang w:eastAsia="en-GB"/>
              </w:rPr>
            </w:pPr>
            <w:r>
              <w:rPr>
                <w:noProof/>
                <w:color w:val="000000"/>
                <w:sz w:val="20"/>
                <w:szCs w:val="20"/>
                <w:lang w:eastAsia="en-GB"/>
              </w:rPr>
              <w:t>+1</w:t>
            </w:r>
          </w:p>
        </w:tc>
        <w:tc>
          <w:tcPr>
            <w:tcW w:w="560" w:type="dxa"/>
            <w:tcBorders>
              <w:top w:val="nil"/>
              <w:left w:val="nil"/>
              <w:bottom w:val="single" w:sz="8" w:space="0" w:color="auto"/>
              <w:right w:val="single" w:sz="4" w:space="0" w:color="auto"/>
            </w:tcBorders>
            <w:shd w:val="clear" w:color="auto" w:fill="auto"/>
            <w:vAlign w:val="center"/>
            <w:hideMark/>
          </w:tcPr>
          <w:p w:rsidR="007306CA" w:rsidRDefault="00576025">
            <w:pPr>
              <w:spacing w:after="0"/>
              <w:jc w:val="center"/>
              <w:rPr>
                <w:noProof/>
                <w:color w:val="000000"/>
                <w:sz w:val="20"/>
                <w:szCs w:val="20"/>
                <w:lang w:eastAsia="en-GB"/>
              </w:rPr>
            </w:pPr>
            <w:r>
              <w:rPr>
                <w:noProof/>
                <w:color w:val="000000"/>
                <w:sz w:val="20"/>
                <w:szCs w:val="20"/>
                <w:lang w:eastAsia="en-GB"/>
              </w:rPr>
              <w:t>+2</w:t>
            </w:r>
          </w:p>
        </w:tc>
        <w:tc>
          <w:tcPr>
            <w:tcW w:w="236" w:type="dxa"/>
            <w:tcBorders>
              <w:top w:val="nil"/>
              <w:left w:val="single" w:sz="4" w:space="0" w:color="auto"/>
              <w:bottom w:val="single" w:sz="4" w:space="0" w:color="auto"/>
              <w:right w:val="single" w:sz="4" w:space="0" w:color="auto"/>
            </w:tcBorders>
            <w:shd w:val="clear" w:color="000000" w:fill="8DB4E2"/>
            <w:textDirection w:val="btLr"/>
            <w:vAlign w:val="center"/>
            <w:hideMark/>
          </w:tcPr>
          <w:p w:rsidR="007306CA" w:rsidRDefault="00576025">
            <w:pPr>
              <w:spacing w:after="0"/>
              <w:jc w:val="center"/>
              <w:rPr>
                <w:b/>
                <w:bCs/>
                <w:noProof/>
                <w:color w:val="000000"/>
                <w:sz w:val="20"/>
                <w:szCs w:val="20"/>
                <w:lang w:eastAsia="en-GB"/>
              </w:rPr>
            </w:pPr>
            <w:r>
              <w:rPr>
                <w:b/>
                <w:bCs/>
                <w:noProof/>
                <w:color w:val="000000"/>
                <w:sz w:val="20"/>
                <w:szCs w:val="20"/>
                <w:lang w:eastAsia="en-GB"/>
              </w:rPr>
              <w:t> </w:t>
            </w:r>
          </w:p>
        </w:tc>
        <w:tc>
          <w:tcPr>
            <w:tcW w:w="569" w:type="dxa"/>
            <w:tcBorders>
              <w:top w:val="nil"/>
              <w:left w:val="single" w:sz="4" w:space="0" w:color="auto"/>
              <w:bottom w:val="single" w:sz="8" w:space="0" w:color="auto"/>
              <w:right w:val="single" w:sz="4" w:space="0" w:color="auto"/>
            </w:tcBorders>
            <w:shd w:val="clear" w:color="auto" w:fill="auto"/>
            <w:vAlign w:val="center"/>
            <w:hideMark/>
          </w:tcPr>
          <w:p w:rsidR="007306CA" w:rsidRDefault="00576025">
            <w:pPr>
              <w:spacing w:after="0"/>
              <w:jc w:val="center"/>
              <w:rPr>
                <w:noProof/>
                <w:color w:val="000000"/>
                <w:sz w:val="20"/>
                <w:szCs w:val="20"/>
                <w:lang w:eastAsia="en-GB"/>
              </w:rPr>
            </w:pPr>
            <w:r>
              <w:rPr>
                <w:noProof/>
                <w:color w:val="000000"/>
                <w:sz w:val="20"/>
                <w:szCs w:val="20"/>
                <w:lang w:eastAsia="en-GB"/>
              </w:rPr>
              <w:t>+1</w:t>
            </w:r>
          </w:p>
        </w:tc>
        <w:tc>
          <w:tcPr>
            <w:tcW w:w="571" w:type="dxa"/>
            <w:tcBorders>
              <w:top w:val="nil"/>
              <w:left w:val="nil"/>
              <w:bottom w:val="single" w:sz="8" w:space="0" w:color="auto"/>
              <w:right w:val="single" w:sz="4" w:space="0" w:color="auto"/>
            </w:tcBorders>
            <w:shd w:val="clear" w:color="auto" w:fill="auto"/>
            <w:vAlign w:val="center"/>
            <w:hideMark/>
          </w:tcPr>
          <w:p w:rsidR="007306CA" w:rsidRDefault="00576025">
            <w:pPr>
              <w:spacing w:after="0"/>
              <w:jc w:val="center"/>
              <w:rPr>
                <w:noProof/>
                <w:color w:val="000000"/>
                <w:sz w:val="20"/>
                <w:szCs w:val="20"/>
                <w:lang w:eastAsia="en-GB"/>
              </w:rPr>
            </w:pPr>
            <w:r>
              <w:rPr>
                <w:noProof/>
                <w:color w:val="000000"/>
                <w:sz w:val="20"/>
                <w:szCs w:val="20"/>
                <w:lang w:eastAsia="en-GB"/>
              </w:rPr>
              <w:t>+1</w:t>
            </w:r>
          </w:p>
        </w:tc>
        <w:tc>
          <w:tcPr>
            <w:tcW w:w="560" w:type="dxa"/>
            <w:tcBorders>
              <w:top w:val="nil"/>
              <w:left w:val="nil"/>
              <w:bottom w:val="single" w:sz="8" w:space="0" w:color="auto"/>
              <w:right w:val="single" w:sz="8" w:space="0" w:color="auto"/>
            </w:tcBorders>
            <w:shd w:val="clear" w:color="auto" w:fill="auto"/>
            <w:vAlign w:val="center"/>
            <w:hideMark/>
          </w:tcPr>
          <w:p w:rsidR="007306CA" w:rsidRDefault="00576025">
            <w:pPr>
              <w:spacing w:after="0"/>
              <w:jc w:val="center"/>
              <w:rPr>
                <w:noProof/>
                <w:color w:val="000000"/>
                <w:sz w:val="20"/>
                <w:szCs w:val="20"/>
                <w:lang w:eastAsia="en-GB"/>
              </w:rPr>
            </w:pPr>
            <w:r>
              <w:rPr>
                <w:noProof/>
                <w:color w:val="000000"/>
                <w:sz w:val="20"/>
                <w:szCs w:val="20"/>
                <w:lang w:eastAsia="en-GB"/>
              </w:rPr>
              <w:t>+1</w:t>
            </w:r>
          </w:p>
        </w:tc>
      </w:tr>
    </w:tbl>
    <w:p w:rsidR="007306CA" w:rsidRDefault="007306CA">
      <w:pPr>
        <w:spacing w:after="120"/>
        <w:rPr>
          <w:noProof/>
        </w:rPr>
      </w:pPr>
    </w:p>
    <w:p w:rsidR="007306CA" w:rsidRDefault="00576025">
      <w:pPr>
        <w:spacing w:after="120"/>
        <w:rPr>
          <w:noProof/>
        </w:rPr>
      </w:pPr>
      <w:r>
        <w:rPr>
          <w:noProof/>
        </w:rPr>
        <w:t xml:space="preserve">In terms of </w:t>
      </w:r>
      <w:r>
        <w:rPr>
          <w:noProof/>
          <w:u w:val="single"/>
        </w:rPr>
        <w:t>effectiveness in achieving the objectives</w:t>
      </w:r>
      <w:r>
        <w:rPr>
          <w:noProof/>
        </w:rPr>
        <w:t>, the highest scoring packages of options are POP2(a), POP2(c) and POP3. POP1 would be effective in achieving some of the objectives and impacts (most additional permits, addressing shortages, also in medium-skilled occupations, and reach SMEs) but would n</w:t>
      </w:r>
      <w:r>
        <w:rPr>
          <w:noProof/>
        </w:rPr>
        <w:t>ot provide much procedural facilitation, nor improve rights or intra-EU mobility because of the trade-off with more facilitated entry conditions and the necessary safeguards against potential displacement, social dumping and abuse. Consequently, the attrac</w:t>
      </w:r>
      <w:r>
        <w:rPr>
          <w:noProof/>
        </w:rPr>
        <w:t>tiveness and retention potential for HSW would not enhance, and it would undermine the effectiveness of the Blue Card as a targeted instrument for highly skilled. PO-B would also be effective in achieving some of the objectives, but would have a less posit</w:t>
      </w:r>
      <w:r>
        <w:rPr>
          <w:noProof/>
        </w:rPr>
        <w:t xml:space="preserve">ive score and even negative on others. PO-A and PO-C would have a very limited effect on achieving the objectives and could lead to a slight increase of HSW and a (limited) positive economic benefit. </w:t>
      </w:r>
    </w:p>
    <w:p w:rsidR="007306CA" w:rsidRDefault="00576025">
      <w:pPr>
        <w:spacing w:after="120"/>
        <w:rPr>
          <w:noProof/>
        </w:rPr>
      </w:pPr>
      <w:r>
        <w:rPr>
          <w:noProof/>
        </w:rPr>
        <w:t xml:space="preserve">In terms of </w:t>
      </w:r>
      <w:r>
        <w:rPr>
          <w:noProof/>
          <w:u w:val="single"/>
        </w:rPr>
        <w:t>economic impacts</w:t>
      </w:r>
      <w:r>
        <w:rPr>
          <w:noProof/>
        </w:rPr>
        <w:t>, several options would hav</w:t>
      </w:r>
      <w:r>
        <w:rPr>
          <w:noProof/>
        </w:rPr>
        <w:t>e a positive impact, namely POP1, POP2 (a) and c)), POP3 and PO-B. However, in some of the packages, these would be countered by some negative effects, namely: the selective character of options POP2(b) and POP3 — with relatively rigid and exclusionary adm</w:t>
      </w:r>
      <w:r>
        <w:rPr>
          <w:noProof/>
        </w:rPr>
        <w:t>ission conditions — would limit the number of HSW being admitted through the scheme and bringing economic benefits. POP3 would also have very unequal impacts across the Member States. POP1 would lead to the highest number of  additional permits, addressing</w:t>
      </w:r>
      <w:r>
        <w:rPr>
          <w:noProof/>
        </w:rPr>
        <w:t xml:space="preserve"> also shortages in medium-skilled occupations, bringing benefits particularly to SMEs, and have the highest economic impact but would entail certain risks in terms social impacts. As regards POP2(c), the gain in reducing administrative burden through harmo</w:t>
      </w:r>
      <w:r>
        <w:rPr>
          <w:noProof/>
        </w:rPr>
        <w:t>nisation, simplification and abolishing the national schemes, would be slightly diminished through increased administrative burden due to the complexity of a two-tiered system. The overall economic gain of an extension to innovative entrepreneurs (PO-B) wo</w:t>
      </w:r>
      <w:r>
        <w:rPr>
          <w:noProof/>
        </w:rPr>
        <w:t xml:space="preserve">uld be expected to be limited also due to increased administrative cost for public administrations, though it is difficult to quantify given the limited data availability. The cost/benefit effectiveness is therefore only modestly positive. An extension to </w:t>
      </w:r>
      <w:r>
        <w:rPr>
          <w:noProof/>
        </w:rPr>
        <w:t>beneficiaries of international protection and asylum seekers (PO-C), would result in insignificant economic impacts given that only a small number of people would qualify (i.e. have the necessary qualifications and skills) but the administrative cost would</w:t>
      </w:r>
      <w:r>
        <w:rPr>
          <w:noProof/>
        </w:rPr>
        <w:t xml:space="preserve"> also remain limited so the cost benefit effectiveness would be slightly positive.</w:t>
      </w:r>
    </w:p>
    <w:p w:rsidR="007306CA" w:rsidRDefault="00576025">
      <w:pPr>
        <w:spacing w:after="120"/>
        <w:rPr>
          <w:noProof/>
        </w:rPr>
      </w:pPr>
      <w:r>
        <w:rPr>
          <w:noProof/>
        </w:rPr>
        <w:t xml:space="preserve">As regards </w:t>
      </w:r>
      <w:r>
        <w:rPr>
          <w:noProof/>
          <w:u w:val="single"/>
        </w:rPr>
        <w:t>social impacts</w:t>
      </w:r>
      <w:r>
        <w:rPr>
          <w:noProof/>
        </w:rPr>
        <w:t>, all packages of options would have, to a more or lesser extent, a positive impact on third-country national HSW, increasing their possibilities to</w:t>
      </w:r>
      <w:r>
        <w:rPr>
          <w:noProof/>
        </w:rPr>
        <w:t xml:space="preserve"> be admitted to the EU and enhancing intra-EU mobility and other rights. POP1 would be the most favourable as regards impact on TCN in quantitative terms, given the enlarged scope to cover also some medium skilled workers and occupations, but would provide</w:t>
      </w:r>
      <w:r>
        <w:rPr>
          <w:noProof/>
        </w:rPr>
        <w:t xml:space="preserve"> limited to no additional procedural facilitation, rights or intra-EU mobility. In addition, for the same reason, POP1 is likely to have a negative impact on EU citizens and the domestic labour markets, taking into account still high unemployment levels in</w:t>
      </w:r>
      <w:r>
        <w:rPr>
          <w:noProof/>
        </w:rPr>
        <w:t xml:space="preserve"> the EU and the risk of displacement of EU national workers and social dumping</w:t>
      </w:r>
      <w:r>
        <w:rPr>
          <w:noProof/>
          <w:vertAlign w:val="superscript"/>
        </w:rPr>
        <w:footnoteReference w:id="158"/>
      </w:r>
      <w:r>
        <w:rPr>
          <w:noProof/>
        </w:rPr>
        <w:t>. POP3 could prove problematic in terms of social impacts as it would risk giving more rights to third-country nationals than to EU citizens and other beneficiaries of free move</w:t>
      </w:r>
      <w:r>
        <w:rPr>
          <w:noProof/>
        </w:rPr>
        <w:t xml:space="preserve">ment rights. Most options would also have a positive impact on </w:t>
      </w:r>
      <w:r>
        <w:rPr>
          <w:noProof/>
          <w:u w:val="single"/>
        </w:rPr>
        <w:t>fundamental rights</w:t>
      </w:r>
      <w:r>
        <w:rPr>
          <w:noProof/>
        </w:rPr>
        <w:t>, which are maximised under POP2(b) and POP3, the most far-reaching in terms of intra-EU mobility.</w:t>
      </w:r>
    </w:p>
    <w:p w:rsidR="007306CA" w:rsidRDefault="00576025">
      <w:pPr>
        <w:spacing w:after="120"/>
        <w:rPr>
          <w:noProof/>
        </w:rPr>
      </w:pPr>
      <w:r>
        <w:rPr>
          <w:noProof/>
        </w:rPr>
        <w:t xml:space="preserve">As regards impact on </w:t>
      </w:r>
      <w:r>
        <w:rPr>
          <w:noProof/>
          <w:u w:val="single"/>
        </w:rPr>
        <w:t>international relations</w:t>
      </w:r>
      <w:r>
        <w:rPr>
          <w:noProof/>
        </w:rPr>
        <w:t xml:space="preserve">, in particular with developing </w:t>
      </w:r>
      <w:r>
        <w:rPr>
          <w:noProof/>
        </w:rPr>
        <w:t>third countries, all options would be neutral to positive. POP1 and POP3 would have the highest positive impact in terms of remittances and brain gain through increased possibilities for entry and access for new categories. For all options, the risk for br</w:t>
      </w:r>
      <w:r>
        <w:rPr>
          <w:noProof/>
        </w:rPr>
        <w:t>ain drain is expected to remain modest due to the limited numbers and existing safeguard mechanisms in the Blue Card. However, if the safeguards would not be respected, especially POP1 could have a negative effect due to the extension to (some) medium skil</w:t>
      </w:r>
      <w:r>
        <w:rPr>
          <w:noProof/>
        </w:rPr>
        <w:t xml:space="preserve">led and higher numbers. </w:t>
      </w:r>
    </w:p>
    <w:p w:rsidR="007306CA" w:rsidRDefault="00576025">
      <w:pPr>
        <w:spacing w:after="120"/>
        <w:rPr>
          <w:noProof/>
        </w:rPr>
      </w:pPr>
      <w:r>
        <w:rPr>
          <w:noProof/>
        </w:rPr>
        <w:t xml:space="preserve">As regards </w:t>
      </w:r>
      <w:r>
        <w:rPr>
          <w:noProof/>
          <w:u w:val="single"/>
        </w:rPr>
        <w:t>administrative costs, cost/benefit effectiveness and practical or technical feasibility</w:t>
      </w:r>
      <w:r>
        <w:rPr>
          <w:noProof/>
        </w:rPr>
        <w:t>, all options are rated neutral to positive. POP2(a) would have the most positive impact because it combines (a) a high inclusiveness</w:t>
      </w:r>
      <w:r>
        <w:rPr>
          <w:noProof/>
        </w:rPr>
        <w:t xml:space="preserve"> (reaching significantly more potential applicants), flexibility and adaptability to national situations, and a high substitution potential for parallel national schemes covering the same category of people, with (b) more procedural facilitation, a higher </w:t>
      </w:r>
      <w:r>
        <w:rPr>
          <w:noProof/>
        </w:rPr>
        <w:t>level of rights, further facilitation of intra-EU mobility, and a high harmonising value. As regards POP2(c), there would be increased administrative burden due to the complexity of administering a two-tier system. The cost/benefit effectiveness is therefo</w:t>
      </w:r>
      <w:r>
        <w:rPr>
          <w:noProof/>
        </w:rPr>
        <w:t>re only modestly positive. POP3 would also be challenging in terms of technical feasibility — at least in the short term — as it would entail the creation of a centralised EU Portal for managing applications. PO-B would also have a limited efficiency as ex</w:t>
      </w:r>
      <w:r>
        <w:rPr>
          <w:noProof/>
        </w:rPr>
        <w:t>tending the scope of the Blue Card to this very different category would practically lead to different "schemes within a scheme" which undermines the objective of simplifying and streamlining the Blue Card Directive as well as the clarity of the scheme for</w:t>
      </w:r>
      <w:r>
        <w:rPr>
          <w:noProof/>
        </w:rPr>
        <w:t xml:space="preserve"> entrepreneurs. </w:t>
      </w:r>
    </w:p>
    <w:p w:rsidR="007306CA" w:rsidRDefault="00576025">
      <w:pPr>
        <w:spacing w:after="120"/>
        <w:rPr>
          <w:noProof/>
        </w:rPr>
      </w:pPr>
      <w:r>
        <w:rPr>
          <w:noProof/>
        </w:rPr>
        <w:t xml:space="preserve">In terms of </w:t>
      </w:r>
      <w:r>
        <w:rPr>
          <w:noProof/>
          <w:u w:val="single"/>
        </w:rPr>
        <w:t>political feasibility</w:t>
      </w:r>
      <w:r>
        <w:rPr>
          <w:noProof/>
        </w:rPr>
        <w:t xml:space="preserve">, POP3 has a very low political acceptance potential because it would impose a uniform, and necessarily high, salary threshold across the EU without taking account of specific national circumstances or the </w:t>
      </w:r>
      <w:r>
        <w:rPr>
          <w:noProof/>
        </w:rPr>
        <w:t>labour market situations, in order to be able to provide unconditioned and unrestrained mobility. POP1 is also likely to have a low political acceptance potential because of the potential negative impact on EU citizens and the increased risk of displacemen</w:t>
      </w:r>
      <w:r>
        <w:rPr>
          <w:noProof/>
        </w:rPr>
        <w:t>t of EU national workers and social dumping. The abolition of parallel national schemes — included in POP1, POP2(a) and POP2(c) and POP3 — would also be problematic for most Member States and some economic stakeholders (including SMEs) who see advantages i</w:t>
      </w:r>
      <w:r>
        <w:rPr>
          <w:noProof/>
        </w:rPr>
        <w:t>n a scheme more adapted to the national context and labour market situation. This would be particularly the case if such abolition would be coupled with rigid admission conditions — as in POP2(b) or POP3 — and other elements restricting Member States' leew</w:t>
      </w:r>
      <w:r>
        <w:rPr>
          <w:noProof/>
        </w:rPr>
        <w:t xml:space="preserve">ay (e.g. prohibiting labour market tests). However, several of the policy options have a high to very high level of </w:t>
      </w:r>
      <w:r>
        <w:rPr>
          <w:i/>
          <w:noProof/>
        </w:rPr>
        <w:t>inclusiveness</w:t>
      </w:r>
      <w:r>
        <w:rPr>
          <w:noProof/>
        </w:rPr>
        <w:t xml:space="preserve"> and various degrees of substantial flexibility for Member States to adapt to their national situation (POP1, POP2(a) and  POP2</w:t>
      </w:r>
      <w:r>
        <w:rPr>
          <w:noProof/>
        </w:rPr>
        <w:t>(c)), which results in a high substitution potential for parallel national schemes covering the same category of people</w:t>
      </w:r>
      <w:r>
        <w:rPr>
          <w:noProof/>
          <w:vertAlign w:val="superscript"/>
        </w:rPr>
        <w:footnoteReference w:id="159"/>
      </w:r>
      <w:r>
        <w:rPr>
          <w:noProof/>
        </w:rPr>
        <w:t xml:space="preserve">. </w:t>
      </w:r>
    </w:p>
    <w:p w:rsidR="007306CA" w:rsidRDefault="00576025">
      <w:pPr>
        <w:spacing w:after="120"/>
        <w:rPr>
          <w:noProof/>
        </w:rPr>
      </w:pPr>
      <w:r>
        <w:rPr>
          <w:noProof/>
        </w:rPr>
        <w:t xml:space="preserve">As regards asylum seekers and beneficiaries of international protection, (PO-C) could also raise some political acceptance issues, </w:t>
      </w:r>
      <w:r>
        <w:rPr>
          <w:noProof/>
        </w:rPr>
        <w:t>particularly in relations to including asylum seekers. This was already a controversial point during the negotiations of the current Blue Card Directive. However, the EP is likely to see this favourably.</w:t>
      </w:r>
    </w:p>
    <w:p w:rsidR="007306CA" w:rsidRDefault="00576025">
      <w:pPr>
        <w:pStyle w:val="Heading2"/>
        <w:tabs>
          <w:tab w:val="num" w:pos="851"/>
        </w:tabs>
        <w:spacing w:after="120"/>
        <w:ind w:left="709"/>
        <w:rPr>
          <w:noProof/>
        </w:rPr>
      </w:pPr>
      <w:bookmarkStart w:id="59" w:name="_Toc452679065"/>
      <w:bookmarkStart w:id="60" w:name="_Toc442360094"/>
      <w:r>
        <w:rPr>
          <w:noProof/>
        </w:rPr>
        <w:t>Preferred option</w:t>
      </w:r>
      <w:bookmarkEnd w:id="59"/>
    </w:p>
    <w:p w:rsidR="007306CA" w:rsidRDefault="00576025">
      <w:pPr>
        <w:spacing w:after="120"/>
        <w:rPr>
          <w:noProof/>
        </w:rPr>
      </w:pPr>
      <w:r>
        <w:rPr>
          <w:noProof/>
        </w:rPr>
        <w:t>After the assessment of the impacts</w:t>
      </w:r>
      <w:r>
        <w:rPr>
          <w:noProof/>
        </w:rPr>
        <w:t xml:space="preserve">, effectiveness and efficiency of the retained options, as well as of their feasibility, the </w:t>
      </w:r>
      <w:r>
        <w:rPr>
          <w:b/>
          <w:noProof/>
        </w:rPr>
        <w:t xml:space="preserve">preferred option is POP2(a) </w:t>
      </w:r>
      <w:r>
        <w:rPr>
          <w:noProof/>
        </w:rPr>
        <w:t xml:space="preserve">in </w:t>
      </w:r>
      <w:r>
        <w:rPr>
          <w:b/>
          <w:noProof/>
        </w:rPr>
        <w:t>combination with the horizontal non-legislative option (PO-A).</w:t>
      </w:r>
    </w:p>
    <w:p w:rsidR="007306CA" w:rsidRDefault="00576025">
      <w:pPr>
        <w:spacing w:after="120"/>
        <w:rPr>
          <w:noProof/>
        </w:rPr>
      </w:pPr>
      <w:r>
        <w:rPr>
          <w:noProof/>
        </w:rPr>
        <w:t>Concerning PO-C: as emerged from the assessment of this option, its e</w:t>
      </w:r>
      <w:r>
        <w:rPr>
          <w:noProof/>
        </w:rPr>
        <w:t xml:space="preserve">ffectiveness (for both asylum seekers and beneficiaries of international protection), and particularly its economic impact, would be limited as the possible extension of the Blue Card to cover such categories would concern </w:t>
      </w:r>
      <w:r>
        <w:rPr>
          <w:i/>
          <w:noProof/>
        </w:rPr>
        <w:t xml:space="preserve">de facto </w:t>
      </w:r>
      <w:r>
        <w:rPr>
          <w:noProof/>
        </w:rPr>
        <w:t>a limited number of thir</w:t>
      </w:r>
      <w:r>
        <w:rPr>
          <w:noProof/>
        </w:rPr>
        <w:t>d-country nationals. However, given the positive social impacts and the potential political desirability for certain stakeholders, including EP, to include such categories in the scope, this option (or the sub-option covering only one of the two categories</w:t>
      </w:r>
      <w:r>
        <w:rPr>
          <w:noProof/>
        </w:rPr>
        <w:t>, the beneficiaries of international protection) could as well be added to the preferred option.</w:t>
      </w:r>
    </w:p>
    <w:p w:rsidR="007306CA" w:rsidRDefault="00576025">
      <w:pPr>
        <w:spacing w:after="120"/>
        <w:rPr>
          <w:noProof/>
        </w:rPr>
      </w:pPr>
      <w:r>
        <w:rPr>
          <w:noProof/>
        </w:rPr>
        <w:t>On the trade-off between inclusiveness and increased rights and facilitation, POP2(a) strikes a mid-way balance between, on the one hand, a high level of inclu</w:t>
      </w:r>
      <w:r>
        <w:rPr>
          <w:noProof/>
        </w:rPr>
        <w:t>siveness, substantial flexibility for Member States to adapt to their national situation, and a high substitution potential for parallel national schemes, and, on the other hand, further facilitation of procedures, a higher level of rights, further facilit</w:t>
      </w:r>
      <w:r>
        <w:rPr>
          <w:noProof/>
        </w:rPr>
        <w:t xml:space="preserve">ation of intra-EU mobility and a high level of harmonisation. Consequently, this preferred option represents a balanced combination between (high) effectiveness and efficiency, positive economic and social impacts and a relatively high degree of political </w:t>
      </w:r>
      <w:r>
        <w:rPr>
          <w:noProof/>
        </w:rPr>
        <w:t>feasibility. Such positive impacts would be maximised if combined with the horizontal non-legislative option.</w:t>
      </w:r>
    </w:p>
    <w:p w:rsidR="007306CA" w:rsidRDefault="00576025">
      <w:pPr>
        <w:spacing w:after="120"/>
        <w:rPr>
          <w:noProof/>
        </w:rPr>
      </w:pPr>
      <w:r>
        <w:rPr>
          <w:noProof/>
        </w:rPr>
        <w:t>The high effectiveness and efficiency of this option are the result, first of all, of more inclusive admission conditions, in particular the lower</w:t>
      </w:r>
      <w:r>
        <w:rPr>
          <w:noProof/>
        </w:rPr>
        <w:t xml:space="preserve"> level and flexibility of the salary threshold (set by Member States in a range between 1.0 and 1.4 of the average salary) and a reduction to 80 % of the normal threshold for recent graduates and shortage occupations. As shown clearly in Annexes 7 and 14, </w:t>
      </w:r>
      <w:r>
        <w:rPr>
          <w:noProof/>
        </w:rPr>
        <w:t>this reflects more accurately than the current threshold (minimum 1.5 the average salary) the reality for HSW on the labour markets in the Member States and will allow extending considerably the number of foreign HSW covered under the Blue Card scheme, wit</w:t>
      </w:r>
      <w:r>
        <w:rPr>
          <w:noProof/>
        </w:rPr>
        <w:t>h the potential to include nearly all of those HSW being admitted today under a parallel national scheme. At the same time, the scheme remains clearly a scheme for highly skilled, as the qualification and skills requirements are not lowered.</w:t>
      </w:r>
    </w:p>
    <w:p w:rsidR="007306CA" w:rsidRDefault="00576025">
      <w:pPr>
        <w:spacing w:after="120"/>
        <w:rPr>
          <w:noProof/>
        </w:rPr>
      </w:pPr>
      <w:r>
        <w:rPr>
          <w:noProof/>
        </w:rPr>
        <w:t>At the same ti</w:t>
      </w:r>
      <w:r>
        <w:rPr>
          <w:noProof/>
        </w:rPr>
        <w:t>me, the provisions facilitating the equivalence between the professional experience and the formal qualifications, the facilitation of labour market access, as well as those reducing the processing time and introducing a scheme for "trusted employers"- whi</w:t>
      </w:r>
      <w:r>
        <w:rPr>
          <w:noProof/>
        </w:rPr>
        <w:t xml:space="preserve">ch are elements already present in several national schemes on highly skilled - will have a positive economic impact in terms of reducing the administrative burden linked to the application. </w:t>
      </w:r>
    </w:p>
    <w:p w:rsidR="007306CA" w:rsidRDefault="00576025">
      <w:pPr>
        <w:spacing w:after="120"/>
        <w:rPr>
          <w:noProof/>
        </w:rPr>
      </w:pPr>
      <w:r>
        <w:rPr>
          <w:noProof/>
        </w:rPr>
        <w:t>Social impacts will also be positive, in particular for the Blue</w:t>
      </w:r>
      <w:r>
        <w:rPr>
          <w:noProof/>
        </w:rPr>
        <w:t xml:space="preserve"> Card holders in terms of enhanced family reunification rights, access to long term status and intra-EU mobility. </w:t>
      </w:r>
    </w:p>
    <w:p w:rsidR="007306CA" w:rsidRDefault="00576025">
      <w:pPr>
        <w:spacing w:after="120"/>
        <w:rPr>
          <w:noProof/>
        </w:rPr>
      </w:pPr>
      <w:r>
        <w:rPr>
          <w:noProof/>
        </w:rPr>
        <w:t>As regards the latter aspect, while in this option a second Blue Card would still be requested to move to a second Member State, the mobility</w:t>
      </w:r>
      <w:r>
        <w:rPr>
          <w:noProof/>
        </w:rPr>
        <w:t xml:space="preserve"> would be significantly facilitated by the waiving of several conditions (compared to first admission), the much shorter processing time (30 days maximum) and by the fact that the person would be allowed to start working immediately in the second Member St</w:t>
      </w:r>
      <w:r>
        <w:rPr>
          <w:noProof/>
        </w:rPr>
        <w:t>ates, while waiting for his/her application to be decided by the second Member State. This will have positive economic benefits as it would allow an easier cross-border mobility of highly skilled labour, contributing to the filling of shortages in key sect</w:t>
      </w:r>
      <w:r>
        <w:rPr>
          <w:noProof/>
        </w:rPr>
        <w:t>ors.  Although POP2(b), and especially POP3, go further in terms of mobility rights, they would be problematic in terms of political feasibility and particularly in terms of acceptability by Member States. On the contrary, the mobility scheme foreseen in P</w:t>
      </w:r>
      <w:r>
        <w:rPr>
          <w:noProof/>
        </w:rPr>
        <w:t xml:space="preserve">OP2(a) has already been accepted by the co-legislators in the context of the Intra-Corporate Transferees Directive covering a similar category of highly skilled workers. </w:t>
      </w:r>
    </w:p>
    <w:p w:rsidR="007306CA" w:rsidRDefault="00576025">
      <w:pPr>
        <w:spacing w:after="120"/>
        <w:rPr>
          <w:noProof/>
        </w:rPr>
      </w:pPr>
      <w:r>
        <w:rPr>
          <w:noProof/>
        </w:rPr>
        <w:t>No negative impacts are expected on EU citizens, given that there is no evidence of a</w:t>
      </w:r>
      <w:r>
        <w:rPr>
          <w:noProof/>
        </w:rPr>
        <w:t xml:space="preserve"> displacement effect caused by admitting highly skilled workers and favouring their mobility within the EU.   </w:t>
      </w:r>
    </w:p>
    <w:p w:rsidR="007306CA" w:rsidRDefault="00576025">
      <w:pPr>
        <w:spacing w:after="0"/>
        <w:rPr>
          <w:noProof/>
        </w:rPr>
      </w:pPr>
      <w:r>
        <w:rPr>
          <w:noProof/>
        </w:rPr>
        <w:t>As regards the relation with parallel national schemes, while their abolition is likely to raise objections by several Member States (while being</w:t>
      </w:r>
      <w:r>
        <w:rPr>
          <w:noProof/>
        </w:rPr>
        <w:t xml:space="preserve"> most likely welcome by the European Parliament</w:t>
      </w:r>
      <w:r>
        <w:rPr>
          <w:noProof/>
          <w:vertAlign w:val="superscript"/>
        </w:rPr>
        <w:footnoteReference w:id="160"/>
      </w:r>
      <w:r>
        <w:rPr>
          <w:noProof/>
        </w:rPr>
        <w:t xml:space="preserve">), the inclusiveness of this option – which incorporates several elements existing in national schemes today – is likely to eventually overcome their objections. </w:t>
      </w:r>
    </w:p>
    <w:p w:rsidR="007306CA" w:rsidRDefault="007306CA">
      <w:pPr>
        <w:spacing w:after="0"/>
        <w:rPr>
          <w:noProof/>
        </w:rPr>
      </w:pPr>
    </w:p>
    <w:p w:rsidR="007306CA" w:rsidRDefault="00576025">
      <w:pPr>
        <w:spacing w:after="0"/>
        <w:rPr>
          <w:noProof/>
          <w:lang w:eastAsia="en-GB"/>
        </w:rPr>
      </w:pPr>
      <w:r>
        <w:rPr>
          <w:noProof/>
        </w:rPr>
        <w:t>Moreover, having an</w:t>
      </w:r>
      <w:r>
        <w:rPr>
          <w:noProof/>
          <w:lang w:eastAsia="en-GB"/>
        </w:rPr>
        <w:t xml:space="preserve"> EU-wide scheme would not</w:t>
      </w:r>
      <w:r>
        <w:rPr>
          <w:noProof/>
          <w:lang w:eastAsia="en-GB"/>
        </w:rPr>
        <w:t xml:space="preserve"> mean that Member States lose their possibility to adapt to national labour market specificities because: </w:t>
      </w:r>
    </w:p>
    <w:p w:rsidR="007306CA" w:rsidRDefault="007306CA">
      <w:pPr>
        <w:spacing w:after="0"/>
        <w:rPr>
          <w:noProof/>
          <w:lang w:eastAsia="en-GB"/>
        </w:rPr>
      </w:pPr>
    </w:p>
    <w:p w:rsidR="007306CA" w:rsidRDefault="00576025">
      <w:pPr>
        <w:pStyle w:val="ListParagraph"/>
        <w:numPr>
          <w:ilvl w:val="0"/>
          <w:numId w:val="25"/>
        </w:numPr>
        <w:spacing w:after="0"/>
        <w:rPr>
          <w:noProof/>
          <w:lang w:eastAsia="en-GB"/>
        </w:rPr>
      </w:pPr>
      <w:r>
        <w:rPr>
          <w:noProof/>
          <w:lang w:eastAsia="en-GB"/>
        </w:rPr>
        <w:t>they would maintain in any case their Treaty- based prerogative of defining the volumes of Blue Card holders to be admitted. The scheme would remain</w:t>
      </w:r>
      <w:r>
        <w:rPr>
          <w:noProof/>
          <w:lang w:eastAsia="en-GB"/>
        </w:rPr>
        <w:t xml:space="preserve"> demand-driven. </w:t>
      </w:r>
    </w:p>
    <w:p w:rsidR="007306CA" w:rsidRDefault="00576025">
      <w:pPr>
        <w:pStyle w:val="ListParagraph"/>
        <w:numPr>
          <w:ilvl w:val="0"/>
          <w:numId w:val="25"/>
        </w:numPr>
        <w:spacing w:after="0"/>
        <w:rPr>
          <w:noProof/>
          <w:lang w:eastAsia="en-GB"/>
        </w:rPr>
      </w:pPr>
      <w:r>
        <w:rPr>
          <w:noProof/>
          <w:lang w:eastAsia="en-GB"/>
        </w:rPr>
        <w:t xml:space="preserve">the salary threshold – even if more harmonised– is not set at EU level, but calculated on a national average of the wages. </w:t>
      </w:r>
    </w:p>
    <w:p w:rsidR="007306CA" w:rsidRDefault="00576025">
      <w:pPr>
        <w:pStyle w:val="Heading1"/>
        <w:spacing w:after="120"/>
        <w:ind w:left="482" w:hanging="482"/>
        <w:rPr>
          <w:noProof/>
        </w:rPr>
      </w:pPr>
      <w:bookmarkStart w:id="61" w:name="_Toc428451209"/>
      <w:bookmarkStart w:id="62" w:name="_Toc311626712"/>
      <w:bookmarkStart w:id="63" w:name="_Toc452679066"/>
      <w:bookmarkEnd w:id="60"/>
      <w:r>
        <w:rPr>
          <w:noProof/>
        </w:rPr>
        <w:t>Monitoring and evaluation</w:t>
      </w:r>
      <w:bookmarkEnd w:id="61"/>
      <w:bookmarkEnd w:id="62"/>
      <w:bookmarkEnd w:id="63"/>
    </w:p>
    <w:p w:rsidR="007306CA" w:rsidRDefault="00576025">
      <w:pPr>
        <w:spacing w:after="120"/>
        <w:rPr>
          <w:noProof/>
        </w:rPr>
      </w:pPr>
      <w:r>
        <w:rPr>
          <w:noProof/>
        </w:rPr>
        <w:t>The monitoring and evaluation of a revised Blue Card Directive could be assured throughou</w:t>
      </w:r>
      <w:r>
        <w:rPr>
          <w:noProof/>
        </w:rPr>
        <w:t>t the separate stages of the policy cycle, in the following way:</w:t>
      </w:r>
    </w:p>
    <w:p w:rsidR="007306CA" w:rsidRDefault="00576025">
      <w:pPr>
        <w:pStyle w:val="Heading2"/>
        <w:tabs>
          <w:tab w:val="num" w:pos="851"/>
        </w:tabs>
        <w:spacing w:after="120"/>
        <w:ind w:left="709"/>
        <w:rPr>
          <w:noProof/>
        </w:rPr>
      </w:pPr>
      <w:bookmarkStart w:id="64" w:name="_Toc452679067"/>
      <w:r>
        <w:rPr>
          <w:noProof/>
        </w:rPr>
        <w:t>Operational objectives</w:t>
      </w:r>
      <w:bookmarkEnd w:id="64"/>
    </w:p>
    <w:p w:rsidR="007306CA" w:rsidRDefault="00576025">
      <w:pPr>
        <w:numPr>
          <w:ilvl w:val="0"/>
          <w:numId w:val="22"/>
        </w:numPr>
        <w:spacing w:after="0"/>
        <w:rPr>
          <w:noProof/>
        </w:rPr>
      </w:pPr>
      <w:r>
        <w:rPr>
          <w:noProof/>
        </w:rPr>
        <w:t>increasing the numbers of HSW immigrating to the EU in line with the technical projections of additional permits simulated for the POPs;</w:t>
      </w:r>
    </w:p>
    <w:p w:rsidR="007306CA" w:rsidRDefault="00576025">
      <w:pPr>
        <w:numPr>
          <w:ilvl w:val="0"/>
          <w:numId w:val="22"/>
        </w:numPr>
        <w:spacing w:after="0"/>
        <w:rPr>
          <w:noProof/>
        </w:rPr>
      </w:pPr>
      <w:r>
        <w:rPr>
          <w:noProof/>
        </w:rPr>
        <w:t>simplifying and harmonising the</w:t>
      </w:r>
      <w:r>
        <w:rPr>
          <w:noProof/>
        </w:rPr>
        <w:t xml:space="preserve"> admission procedures for HSW by significantly reducing the number of parallel schemes potentially applicable to the same person at the same time;</w:t>
      </w:r>
    </w:p>
    <w:p w:rsidR="007306CA" w:rsidRDefault="00576025">
      <w:pPr>
        <w:numPr>
          <w:ilvl w:val="0"/>
          <w:numId w:val="22"/>
        </w:numPr>
        <w:spacing w:after="0"/>
        <w:rPr>
          <w:noProof/>
        </w:rPr>
      </w:pPr>
      <w:r>
        <w:rPr>
          <w:noProof/>
        </w:rPr>
        <w:t>promoting the social and economic integration of HSW,</w:t>
      </w:r>
      <w:r>
        <w:rPr>
          <w:iCs/>
          <w:noProof/>
        </w:rPr>
        <w:t xml:space="preserve"> including labour market integration,</w:t>
      </w:r>
      <w:r>
        <w:rPr>
          <w:noProof/>
        </w:rPr>
        <w:t xml:space="preserve"> and rights by incr</w:t>
      </w:r>
      <w:r>
        <w:rPr>
          <w:noProof/>
        </w:rPr>
        <w:t xml:space="preserve">easing the retention rate of HSW and have more transition into long-term resident status or citizenship;  </w:t>
      </w:r>
    </w:p>
    <w:p w:rsidR="007306CA" w:rsidRDefault="00576025">
      <w:pPr>
        <w:numPr>
          <w:ilvl w:val="0"/>
          <w:numId w:val="22"/>
        </w:numPr>
        <w:spacing w:after="0"/>
        <w:rPr>
          <w:noProof/>
        </w:rPr>
      </w:pPr>
      <w:r>
        <w:rPr>
          <w:noProof/>
        </w:rPr>
        <w:t>ensuring more flexible possibilities for intra-EU mobility, remove unnecessary barriers and so allow a more efficient allocation of HSW through the E</w:t>
      </w:r>
      <w:r>
        <w:rPr>
          <w:noProof/>
        </w:rPr>
        <w:t>U by increased numbers of HSW making use of mobility provisions and employed in shortage occupations;</w:t>
      </w:r>
    </w:p>
    <w:p w:rsidR="007306CA" w:rsidRDefault="00576025">
      <w:pPr>
        <w:numPr>
          <w:ilvl w:val="0"/>
          <w:numId w:val="22"/>
        </w:numPr>
        <w:spacing w:after="120"/>
        <w:rPr>
          <w:noProof/>
        </w:rPr>
      </w:pPr>
      <w:r>
        <w:rPr>
          <w:noProof/>
        </w:rPr>
        <w:t>ensuring the further development of the ‘EU Blue Card’ brand in order to improve the image of the EU as an attractive destination by conducting promotiona</w:t>
      </w:r>
      <w:r>
        <w:rPr>
          <w:noProof/>
        </w:rPr>
        <w:t>l activities and surveys to measure the increased fame of the scheme.</w:t>
      </w:r>
    </w:p>
    <w:p w:rsidR="007306CA" w:rsidRDefault="00576025">
      <w:pPr>
        <w:pStyle w:val="Heading2"/>
        <w:tabs>
          <w:tab w:val="num" w:pos="851"/>
        </w:tabs>
        <w:spacing w:after="120"/>
        <w:ind w:left="709"/>
        <w:rPr>
          <w:noProof/>
        </w:rPr>
      </w:pPr>
      <w:bookmarkStart w:id="65" w:name="_Toc452679068"/>
      <w:r>
        <w:rPr>
          <w:noProof/>
        </w:rPr>
        <w:t>Implementation stage</w:t>
      </w:r>
      <w:bookmarkEnd w:id="65"/>
      <w:r>
        <w:rPr>
          <w:noProof/>
        </w:rPr>
        <w:t xml:space="preserve"> </w:t>
      </w:r>
    </w:p>
    <w:p w:rsidR="007306CA" w:rsidRDefault="00576025">
      <w:pPr>
        <w:spacing w:after="120"/>
        <w:rPr>
          <w:noProof/>
        </w:rPr>
      </w:pPr>
      <w:r>
        <w:rPr>
          <w:noProof/>
        </w:rPr>
        <w:t>Throughout the implementation phase the Commission will organise regular contact committee meetings with all Member States to discuss unclear issues that arise duri</w:t>
      </w:r>
      <w:r>
        <w:rPr>
          <w:noProof/>
        </w:rPr>
        <w:t>ng the transposition into national law. The Commission will also check the correct and effective transposition into national laws of all participating Member States. The Commission will present to the European Parliament and the Council a report evaluating</w:t>
      </w:r>
      <w:r>
        <w:rPr>
          <w:noProof/>
        </w:rPr>
        <w:t xml:space="preserve"> the implementation, functioning and impact of the EU Blue Card three years after the transposition deadline</w:t>
      </w:r>
      <w:r>
        <w:rPr>
          <w:rStyle w:val="FootnoteReference"/>
          <w:noProof/>
        </w:rPr>
        <w:footnoteReference w:id="161"/>
      </w:r>
      <w:r>
        <w:rPr>
          <w:noProof/>
        </w:rPr>
        <w:t>, and every three years thereafter.</w:t>
      </w:r>
    </w:p>
    <w:p w:rsidR="007306CA" w:rsidRDefault="00576025">
      <w:pPr>
        <w:pStyle w:val="Heading2"/>
        <w:tabs>
          <w:tab w:val="num" w:pos="851"/>
        </w:tabs>
        <w:spacing w:after="120"/>
        <w:ind w:left="709"/>
        <w:rPr>
          <w:noProof/>
        </w:rPr>
      </w:pPr>
      <w:bookmarkStart w:id="66" w:name="_Toc452679069"/>
      <w:r>
        <w:rPr>
          <w:noProof/>
        </w:rPr>
        <w:t>Application stage</w:t>
      </w:r>
      <w:bookmarkEnd w:id="66"/>
    </w:p>
    <w:p w:rsidR="007306CA" w:rsidRDefault="00576025">
      <w:pPr>
        <w:spacing w:after="120"/>
        <w:rPr>
          <w:noProof/>
        </w:rPr>
      </w:pPr>
      <w:r>
        <w:rPr>
          <w:noProof/>
        </w:rPr>
        <w:t>The application of the Blue Card Directive will be monitored against the main policy objectiv</w:t>
      </w:r>
      <w:r>
        <w:rPr>
          <w:noProof/>
        </w:rPr>
        <w:t>es using a number of relevant and measurable indicators based on easily available, accepted and credible data sources. The experience with the implementation of the current Directive</w:t>
      </w:r>
      <w:r>
        <w:rPr>
          <w:rStyle w:val="FootnoteReference"/>
          <w:noProof/>
        </w:rPr>
        <w:footnoteReference w:id="162"/>
      </w:r>
      <w:r>
        <w:rPr>
          <w:noProof/>
        </w:rPr>
        <w:t xml:space="preserve"> points at room for improvement in the timely provision and reliability o</w:t>
      </w:r>
      <w:r>
        <w:rPr>
          <w:noProof/>
        </w:rPr>
        <w:t>f this information. In addition, other data that would be valuable for the monitoring and evaluation of the highly skilled migration policy such as age, gender, education level, average length of stay, average length of validity of permits, etc. are curren</w:t>
      </w:r>
      <w:r>
        <w:rPr>
          <w:noProof/>
        </w:rPr>
        <w:t>tly not available at EU level.</w:t>
      </w:r>
    </w:p>
    <w:p w:rsidR="007306CA" w:rsidRDefault="00576025">
      <w:pPr>
        <w:spacing w:after="120"/>
        <w:rPr>
          <w:noProof/>
        </w:rPr>
      </w:pPr>
      <w:r>
        <w:rPr>
          <w:noProof/>
        </w:rPr>
        <w:t>These issues could be addressed by making the communication of more types of information mandatory in the revised Directive and stepping up enforcement of these obligations. In addition, this could be addressed by improving t</w:t>
      </w:r>
      <w:r>
        <w:rPr>
          <w:noProof/>
        </w:rPr>
        <w:t>he exchange of information via the National Contact Points on the Blue Card (BC NCPs).</w:t>
      </w:r>
    </w:p>
    <w:p w:rsidR="007306CA" w:rsidRDefault="00576025">
      <w:pPr>
        <w:spacing w:after="120"/>
        <w:rPr>
          <w:noProof/>
        </w:rPr>
      </w:pPr>
      <w:r>
        <w:rPr>
          <w:noProof/>
        </w:rPr>
        <w:t>The table below provides more detailed suggestions for potential indicators and for methods of data collection.</w:t>
      </w:r>
    </w:p>
    <w:p w:rsidR="007306CA" w:rsidRDefault="007306CA">
      <w:pPr>
        <w:spacing w:after="120"/>
        <w:rPr>
          <w:noProof/>
        </w:rPr>
      </w:pPr>
    </w:p>
    <w:tbl>
      <w:tblPr>
        <w:tblW w:w="9356" w:type="dxa"/>
        <w:tblInd w:w="-34" w:type="dxa"/>
        <w:tblLook w:val="04A0" w:firstRow="1" w:lastRow="0" w:firstColumn="1" w:lastColumn="0" w:noHBand="0" w:noVBand="1"/>
      </w:tblPr>
      <w:tblGrid>
        <w:gridCol w:w="2269"/>
        <w:gridCol w:w="4677"/>
        <w:gridCol w:w="2410"/>
      </w:tblGrid>
      <w:tr w:rsidR="007306CA">
        <w:trPr>
          <w:trHeight w:val="320"/>
        </w:trPr>
        <w:tc>
          <w:tcPr>
            <w:tcW w:w="2269" w:type="dxa"/>
            <w:tcBorders>
              <w:top w:val="single" w:sz="8" w:space="0" w:color="auto"/>
              <w:left w:val="single" w:sz="8" w:space="0" w:color="auto"/>
              <w:bottom w:val="single" w:sz="8" w:space="0" w:color="auto"/>
              <w:right w:val="single" w:sz="8" w:space="0" w:color="auto"/>
            </w:tcBorders>
            <w:shd w:val="clear" w:color="000000" w:fill="8DB4E2"/>
            <w:vAlign w:val="center"/>
            <w:hideMark/>
          </w:tcPr>
          <w:p w:rsidR="007306CA" w:rsidRDefault="00576025">
            <w:pPr>
              <w:spacing w:after="120"/>
              <w:jc w:val="center"/>
              <w:rPr>
                <w:b/>
                <w:bCs/>
                <w:noProof/>
                <w:color w:val="000000"/>
                <w:sz w:val="20"/>
                <w:szCs w:val="20"/>
              </w:rPr>
            </w:pPr>
            <w:r>
              <w:rPr>
                <w:b/>
                <w:bCs/>
                <w:noProof/>
                <w:color w:val="000000"/>
                <w:sz w:val="20"/>
                <w:szCs w:val="20"/>
              </w:rPr>
              <w:t xml:space="preserve">Main Objectives </w:t>
            </w:r>
          </w:p>
        </w:tc>
        <w:tc>
          <w:tcPr>
            <w:tcW w:w="4677" w:type="dxa"/>
            <w:tcBorders>
              <w:top w:val="single" w:sz="8" w:space="0" w:color="auto"/>
              <w:left w:val="nil"/>
              <w:bottom w:val="single" w:sz="8" w:space="0" w:color="auto"/>
              <w:right w:val="single" w:sz="8" w:space="0" w:color="auto"/>
            </w:tcBorders>
            <w:shd w:val="clear" w:color="000000" w:fill="8DB4E2"/>
            <w:vAlign w:val="center"/>
            <w:hideMark/>
          </w:tcPr>
          <w:p w:rsidR="007306CA" w:rsidRDefault="00576025">
            <w:pPr>
              <w:spacing w:after="120"/>
              <w:jc w:val="center"/>
              <w:rPr>
                <w:b/>
                <w:bCs/>
                <w:noProof/>
                <w:color w:val="000000"/>
                <w:sz w:val="20"/>
                <w:szCs w:val="20"/>
              </w:rPr>
            </w:pPr>
            <w:r>
              <w:rPr>
                <w:b/>
                <w:bCs/>
                <w:noProof/>
                <w:color w:val="000000"/>
                <w:sz w:val="20"/>
                <w:szCs w:val="20"/>
              </w:rPr>
              <w:t xml:space="preserve">Monitoring indicators </w:t>
            </w:r>
          </w:p>
        </w:tc>
        <w:tc>
          <w:tcPr>
            <w:tcW w:w="2410" w:type="dxa"/>
            <w:tcBorders>
              <w:top w:val="single" w:sz="8" w:space="0" w:color="auto"/>
              <w:left w:val="nil"/>
              <w:bottom w:val="single" w:sz="8" w:space="0" w:color="auto"/>
              <w:right w:val="single" w:sz="8" w:space="0" w:color="auto"/>
            </w:tcBorders>
            <w:shd w:val="clear" w:color="000000" w:fill="8DB4E2"/>
            <w:vAlign w:val="center"/>
            <w:hideMark/>
          </w:tcPr>
          <w:p w:rsidR="007306CA" w:rsidRDefault="00576025">
            <w:pPr>
              <w:spacing w:after="120"/>
              <w:jc w:val="center"/>
              <w:rPr>
                <w:b/>
                <w:bCs/>
                <w:noProof/>
                <w:color w:val="000000"/>
                <w:sz w:val="20"/>
                <w:szCs w:val="20"/>
              </w:rPr>
            </w:pPr>
            <w:r>
              <w:rPr>
                <w:b/>
                <w:bCs/>
                <w:noProof/>
                <w:color w:val="000000"/>
                <w:sz w:val="20"/>
                <w:szCs w:val="20"/>
              </w:rPr>
              <w:t>Data sources</w:t>
            </w:r>
          </w:p>
        </w:tc>
      </w:tr>
      <w:tr w:rsidR="007306CA">
        <w:trPr>
          <w:trHeight w:val="264"/>
        </w:trPr>
        <w:tc>
          <w:tcPr>
            <w:tcW w:w="2269" w:type="dxa"/>
            <w:tcBorders>
              <w:top w:val="nil"/>
              <w:left w:val="single" w:sz="8" w:space="0" w:color="auto"/>
              <w:bottom w:val="single" w:sz="8" w:space="0" w:color="auto"/>
              <w:right w:val="single" w:sz="8" w:space="0" w:color="auto"/>
            </w:tcBorders>
            <w:shd w:val="clear" w:color="auto" w:fill="auto"/>
            <w:hideMark/>
          </w:tcPr>
          <w:p w:rsidR="007306CA" w:rsidRDefault="00576025">
            <w:pPr>
              <w:spacing w:after="120"/>
              <w:jc w:val="left"/>
              <w:rPr>
                <w:noProof/>
                <w:color w:val="000000"/>
                <w:sz w:val="20"/>
                <w:szCs w:val="20"/>
              </w:rPr>
            </w:pPr>
            <w:r>
              <w:rPr>
                <w:noProof/>
                <w:color w:val="000000"/>
                <w:sz w:val="20"/>
                <w:szCs w:val="20"/>
              </w:rPr>
              <w:t xml:space="preserve">OO1: increasing the numbers HSW in line with the technical projections of additional permits simulated for the POPs </w:t>
            </w:r>
          </w:p>
          <w:p w:rsidR="007306CA" w:rsidRDefault="00576025">
            <w:pPr>
              <w:spacing w:after="120"/>
              <w:jc w:val="left"/>
              <w:rPr>
                <w:noProof/>
                <w:color w:val="000000"/>
                <w:sz w:val="20"/>
                <w:szCs w:val="20"/>
              </w:rPr>
            </w:pPr>
            <w:r>
              <w:rPr>
                <w:noProof/>
                <w:color w:val="000000"/>
                <w:sz w:val="20"/>
                <w:szCs w:val="20"/>
              </w:rPr>
              <w:t>OO3: increase the retention rate of HSW and have more transition into long-term resident status or citizenship</w:t>
            </w:r>
          </w:p>
          <w:p w:rsidR="007306CA" w:rsidRDefault="00576025">
            <w:pPr>
              <w:spacing w:after="120"/>
              <w:jc w:val="left"/>
              <w:rPr>
                <w:noProof/>
                <w:color w:val="000000"/>
                <w:sz w:val="20"/>
                <w:szCs w:val="20"/>
                <w:highlight w:val="yellow"/>
              </w:rPr>
            </w:pPr>
            <w:r>
              <w:rPr>
                <w:noProof/>
                <w:color w:val="000000"/>
                <w:sz w:val="20"/>
                <w:szCs w:val="20"/>
              </w:rPr>
              <w:t>OO5: conduct promotional act</w:t>
            </w:r>
            <w:r>
              <w:rPr>
                <w:noProof/>
                <w:color w:val="000000"/>
                <w:sz w:val="20"/>
                <w:szCs w:val="20"/>
              </w:rPr>
              <w:t>ivities and surveys to measure the increased fame of the scheme</w:t>
            </w:r>
          </w:p>
        </w:tc>
        <w:tc>
          <w:tcPr>
            <w:tcW w:w="4677" w:type="dxa"/>
            <w:tcBorders>
              <w:top w:val="nil"/>
              <w:left w:val="nil"/>
              <w:bottom w:val="single" w:sz="8" w:space="0" w:color="auto"/>
              <w:right w:val="single" w:sz="8" w:space="0" w:color="auto"/>
            </w:tcBorders>
            <w:shd w:val="clear" w:color="auto" w:fill="auto"/>
            <w:hideMark/>
          </w:tcPr>
          <w:p w:rsidR="007306CA" w:rsidRDefault="00576025">
            <w:pPr>
              <w:spacing w:after="120"/>
              <w:jc w:val="left"/>
              <w:rPr>
                <w:noProof/>
                <w:color w:val="000000"/>
                <w:sz w:val="20"/>
                <w:szCs w:val="20"/>
              </w:rPr>
            </w:pPr>
            <w:r>
              <w:rPr>
                <w:noProof/>
                <w:color w:val="000000"/>
                <w:sz w:val="20"/>
                <w:szCs w:val="20"/>
              </w:rPr>
              <w:t>Number of Blue Cards granted in EU</w:t>
            </w:r>
          </w:p>
          <w:p w:rsidR="007306CA" w:rsidRDefault="00576025">
            <w:pPr>
              <w:spacing w:after="120"/>
              <w:jc w:val="left"/>
              <w:rPr>
                <w:noProof/>
                <w:color w:val="000000"/>
                <w:sz w:val="20"/>
                <w:szCs w:val="20"/>
              </w:rPr>
            </w:pPr>
            <w:r>
              <w:rPr>
                <w:noProof/>
                <w:color w:val="000000"/>
                <w:sz w:val="20"/>
                <w:szCs w:val="20"/>
              </w:rPr>
              <w:t>Overall number of HSW admitted to EU</w:t>
            </w:r>
          </w:p>
          <w:p w:rsidR="007306CA" w:rsidRDefault="00576025">
            <w:pPr>
              <w:spacing w:after="120"/>
              <w:jc w:val="left"/>
              <w:rPr>
                <w:noProof/>
                <w:color w:val="000000"/>
                <w:sz w:val="20"/>
                <w:szCs w:val="20"/>
              </w:rPr>
            </w:pPr>
            <w:r>
              <w:rPr>
                <w:noProof/>
                <w:color w:val="000000"/>
                <w:sz w:val="20"/>
                <w:szCs w:val="20"/>
              </w:rPr>
              <w:t>Retention rates of third-country national (recent) graduates and former researchers</w:t>
            </w:r>
          </w:p>
          <w:p w:rsidR="007306CA" w:rsidRDefault="00576025">
            <w:pPr>
              <w:spacing w:after="120"/>
              <w:rPr>
                <w:noProof/>
                <w:color w:val="000000"/>
                <w:sz w:val="20"/>
                <w:szCs w:val="20"/>
              </w:rPr>
            </w:pPr>
            <w:r>
              <w:rPr>
                <w:noProof/>
                <w:color w:val="000000"/>
                <w:sz w:val="20"/>
                <w:szCs w:val="20"/>
              </w:rPr>
              <w:t xml:space="preserve">Number and proportion of HSW having </w:t>
            </w:r>
            <w:r>
              <w:rPr>
                <w:noProof/>
                <w:color w:val="000000"/>
                <w:sz w:val="20"/>
                <w:szCs w:val="20"/>
              </w:rPr>
              <w:t>chosen the EU as their definitive place of residence</w:t>
            </w:r>
            <w:r>
              <w:rPr>
                <w:rStyle w:val="FootnoteReference"/>
                <w:noProof/>
                <w:color w:val="000000"/>
                <w:sz w:val="20"/>
                <w:szCs w:val="20"/>
              </w:rPr>
              <w:footnoteReference w:id="163"/>
            </w:r>
            <w:r>
              <w:rPr>
                <w:noProof/>
                <w:color w:val="000000"/>
                <w:sz w:val="20"/>
                <w:szCs w:val="20"/>
              </w:rPr>
              <w:t xml:space="preserve"> </w:t>
            </w:r>
          </w:p>
          <w:p w:rsidR="007306CA" w:rsidRDefault="00576025">
            <w:pPr>
              <w:spacing w:after="120"/>
              <w:jc w:val="left"/>
              <w:rPr>
                <w:noProof/>
                <w:color w:val="000000"/>
                <w:sz w:val="20"/>
                <w:szCs w:val="20"/>
              </w:rPr>
            </w:pPr>
            <w:r>
              <w:rPr>
                <w:noProof/>
                <w:color w:val="000000"/>
                <w:sz w:val="20"/>
                <w:szCs w:val="20"/>
              </w:rPr>
              <w:t xml:space="preserve">Average period of residence in EU of HSW </w:t>
            </w:r>
          </w:p>
          <w:p w:rsidR="007306CA" w:rsidRDefault="00576025">
            <w:pPr>
              <w:spacing w:after="120"/>
              <w:jc w:val="left"/>
              <w:rPr>
                <w:noProof/>
                <w:color w:val="000000"/>
                <w:sz w:val="20"/>
                <w:szCs w:val="20"/>
              </w:rPr>
            </w:pPr>
            <w:r>
              <w:rPr>
                <w:noProof/>
                <w:color w:val="000000"/>
                <w:sz w:val="20"/>
                <w:szCs w:val="20"/>
              </w:rPr>
              <w:t>Size and composition</w:t>
            </w:r>
            <w:r>
              <w:rPr>
                <w:rStyle w:val="FootnoteReference"/>
                <w:noProof/>
                <w:color w:val="000000"/>
                <w:sz w:val="20"/>
                <w:szCs w:val="20"/>
              </w:rPr>
              <w:footnoteReference w:id="164"/>
            </w:r>
            <w:r>
              <w:rPr>
                <w:noProof/>
                <w:color w:val="000000"/>
                <w:sz w:val="20"/>
                <w:szCs w:val="20"/>
              </w:rPr>
              <w:t xml:space="preserve"> of HSW inflows in EU compared to international benchmark countries</w:t>
            </w:r>
          </w:p>
          <w:p w:rsidR="007306CA" w:rsidRDefault="00576025">
            <w:pPr>
              <w:spacing w:after="120"/>
              <w:jc w:val="left"/>
              <w:rPr>
                <w:noProof/>
                <w:color w:val="000000"/>
                <w:sz w:val="20"/>
                <w:szCs w:val="20"/>
              </w:rPr>
            </w:pPr>
            <w:r>
              <w:rPr>
                <w:noProof/>
                <w:color w:val="000000"/>
                <w:sz w:val="20"/>
                <w:szCs w:val="20"/>
              </w:rPr>
              <w:t xml:space="preserve">Proportion of HSW in the total highly skilled occupations </w:t>
            </w:r>
          </w:p>
          <w:p w:rsidR="007306CA" w:rsidRDefault="00576025">
            <w:pPr>
              <w:spacing w:after="120"/>
              <w:jc w:val="left"/>
              <w:rPr>
                <w:noProof/>
                <w:color w:val="000000"/>
                <w:sz w:val="20"/>
                <w:szCs w:val="20"/>
              </w:rPr>
            </w:pPr>
            <w:r>
              <w:rPr>
                <w:noProof/>
                <w:color w:val="000000"/>
                <w:sz w:val="20"/>
                <w:szCs w:val="20"/>
              </w:rPr>
              <w:t xml:space="preserve">Proportion </w:t>
            </w:r>
            <w:r>
              <w:rPr>
                <w:noProof/>
                <w:color w:val="000000"/>
                <w:sz w:val="20"/>
                <w:szCs w:val="20"/>
              </w:rPr>
              <w:t>of HSW in total immigration</w:t>
            </w:r>
          </w:p>
          <w:p w:rsidR="007306CA" w:rsidRDefault="00576025">
            <w:pPr>
              <w:spacing w:after="120"/>
              <w:rPr>
                <w:noProof/>
                <w:color w:val="000000"/>
                <w:sz w:val="20"/>
                <w:szCs w:val="20"/>
              </w:rPr>
            </w:pPr>
            <w:r>
              <w:rPr>
                <w:noProof/>
                <w:color w:val="000000"/>
                <w:sz w:val="20"/>
                <w:szCs w:val="20"/>
              </w:rPr>
              <w:t xml:space="preserve">Proportion of spouses and working age children of HSW with a regular or highly skilled job in EU </w:t>
            </w:r>
          </w:p>
          <w:p w:rsidR="007306CA" w:rsidRDefault="00576025">
            <w:pPr>
              <w:spacing w:after="120"/>
              <w:jc w:val="left"/>
              <w:rPr>
                <w:noProof/>
                <w:color w:val="000000"/>
                <w:sz w:val="20"/>
                <w:szCs w:val="20"/>
              </w:rPr>
            </w:pPr>
            <w:r>
              <w:rPr>
                <w:noProof/>
                <w:color w:val="000000"/>
                <w:sz w:val="20"/>
                <w:szCs w:val="20"/>
              </w:rPr>
              <w:t>Perception of EU citizens toward highly skilled migrants</w:t>
            </w:r>
          </w:p>
        </w:tc>
        <w:tc>
          <w:tcPr>
            <w:tcW w:w="2410" w:type="dxa"/>
            <w:tcBorders>
              <w:top w:val="nil"/>
              <w:left w:val="nil"/>
              <w:bottom w:val="single" w:sz="8" w:space="0" w:color="auto"/>
              <w:right w:val="single" w:sz="8" w:space="0" w:color="auto"/>
            </w:tcBorders>
            <w:shd w:val="clear" w:color="auto" w:fill="auto"/>
            <w:hideMark/>
          </w:tcPr>
          <w:p w:rsidR="007306CA" w:rsidRDefault="00576025">
            <w:pPr>
              <w:widowControl w:val="0"/>
              <w:autoSpaceDE w:val="0"/>
              <w:autoSpaceDN w:val="0"/>
              <w:adjustRightInd w:val="0"/>
              <w:spacing w:after="120"/>
              <w:jc w:val="left"/>
              <w:rPr>
                <w:noProof/>
                <w:color w:val="000000"/>
                <w:sz w:val="20"/>
                <w:szCs w:val="20"/>
              </w:rPr>
            </w:pPr>
            <w:r>
              <w:rPr>
                <w:noProof/>
                <w:color w:val="000000"/>
                <w:sz w:val="20"/>
                <w:szCs w:val="20"/>
              </w:rPr>
              <w:t xml:space="preserve">Eurostat statistics </w:t>
            </w:r>
          </w:p>
          <w:p w:rsidR="007306CA" w:rsidRDefault="00576025">
            <w:pPr>
              <w:widowControl w:val="0"/>
              <w:autoSpaceDE w:val="0"/>
              <w:autoSpaceDN w:val="0"/>
              <w:adjustRightInd w:val="0"/>
              <w:spacing w:after="120"/>
              <w:jc w:val="left"/>
              <w:rPr>
                <w:noProof/>
                <w:color w:val="000000"/>
                <w:sz w:val="20"/>
                <w:szCs w:val="20"/>
              </w:rPr>
            </w:pPr>
            <w:r>
              <w:rPr>
                <w:noProof/>
                <w:color w:val="000000"/>
                <w:sz w:val="20"/>
                <w:szCs w:val="20"/>
              </w:rPr>
              <w:t>Member State immigration authorities</w:t>
            </w:r>
          </w:p>
          <w:p w:rsidR="007306CA" w:rsidRDefault="00576025">
            <w:pPr>
              <w:widowControl w:val="0"/>
              <w:autoSpaceDE w:val="0"/>
              <w:autoSpaceDN w:val="0"/>
              <w:adjustRightInd w:val="0"/>
              <w:spacing w:after="120"/>
              <w:jc w:val="left"/>
              <w:rPr>
                <w:noProof/>
                <w:color w:val="000000"/>
                <w:sz w:val="20"/>
                <w:szCs w:val="20"/>
              </w:rPr>
            </w:pPr>
            <w:r>
              <w:rPr>
                <w:noProof/>
                <w:color w:val="000000"/>
                <w:sz w:val="20"/>
                <w:szCs w:val="20"/>
              </w:rPr>
              <w:t xml:space="preserve">Member State </w:t>
            </w:r>
            <w:r>
              <w:rPr>
                <w:noProof/>
                <w:color w:val="000000"/>
                <w:sz w:val="20"/>
                <w:szCs w:val="20"/>
              </w:rPr>
              <w:t>Employment Services</w:t>
            </w:r>
          </w:p>
          <w:p w:rsidR="007306CA" w:rsidRDefault="00576025">
            <w:pPr>
              <w:widowControl w:val="0"/>
              <w:autoSpaceDE w:val="0"/>
              <w:autoSpaceDN w:val="0"/>
              <w:adjustRightInd w:val="0"/>
              <w:spacing w:after="120"/>
              <w:jc w:val="left"/>
              <w:rPr>
                <w:noProof/>
                <w:color w:val="000000"/>
                <w:sz w:val="20"/>
                <w:szCs w:val="20"/>
              </w:rPr>
            </w:pPr>
            <w:r>
              <w:rPr>
                <w:noProof/>
                <w:color w:val="000000"/>
                <w:sz w:val="20"/>
                <w:szCs w:val="20"/>
              </w:rPr>
              <w:t>National statistics</w:t>
            </w:r>
          </w:p>
          <w:p w:rsidR="007306CA" w:rsidRDefault="00576025">
            <w:pPr>
              <w:widowControl w:val="0"/>
              <w:autoSpaceDE w:val="0"/>
              <w:autoSpaceDN w:val="0"/>
              <w:adjustRightInd w:val="0"/>
              <w:spacing w:after="120"/>
              <w:jc w:val="left"/>
              <w:rPr>
                <w:noProof/>
                <w:color w:val="000000"/>
                <w:sz w:val="20"/>
                <w:szCs w:val="20"/>
              </w:rPr>
            </w:pPr>
            <w:r>
              <w:rPr>
                <w:noProof/>
                <w:color w:val="000000"/>
                <w:sz w:val="20"/>
                <w:szCs w:val="20"/>
              </w:rPr>
              <w:t>Labour Force Survey (LFS)</w:t>
            </w:r>
          </w:p>
          <w:p w:rsidR="007306CA" w:rsidRDefault="00576025">
            <w:pPr>
              <w:widowControl w:val="0"/>
              <w:autoSpaceDE w:val="0"/>
              <w:autoSpaceDN w:val="0"/>
              <w:adjustRightInd w:val="0"/>
              <w:spacing w:after="120"/>
              <w:jc w:val="left"/>
              <w:rPr>
                <w:noProof/>
                <w:color w:val="000000"/>
                <w:sz w:val="20"/>
                <w:szCs w:val="20"/>
              </w:rPr>
            </w:pPr>
            <w:r>
              <w:rPr>
                <w:noProof/>
                <w:color w:val="000000"/>
                <w:sz w:val="20"/>
                <w:szCs w:val="20"/>
              </w:rPr>
              <w:t>Surveys at EU and national level (e.g. European Migration Network, Eurobarometer)</w:t>
            </w:r>
          </w:p>
          <w:p w:rsidR="007306CA" w:rsidRDefault="00576025">
            <w:pPr>
              <w:widowControl w:val="0"/>
              <w:autoSpaceDE w:val="0"/>
              <w:autoSpaceDN w:val="0"/>
              <w:adjustRightInd w:val="0"/>
              <w:spacing w:after="120"/>
              <w:jc w:val="left"/>
              <w:rPr>
                <w:noProof/>
                <w:color w:val="000000"/>
                <w:sz w:val="20"/>
                <w:szCs w:val="20"/>
              </w:rPr>
            </w:pPr>
            <w:r>
              <w:rPr>
                <w:noProof/>
                <w:color w:val="000000"/>
                <w:sz w:val="20"/>
                <w:szCs w:val="20"/>
              </w:rPr>
              <w:t>National Contact Points on the Blue Card (BC NCPs)</w:t>
            </w:r>
          </w:p>
          <w:p w:rsidR="007306CA" w:rsidRDefault="00576025">
            <w:pPr>
              <w:widowControl w:val="0"/>
              <w:autoSpaceDE w:val="0"/>
              <w:autoSpaceDN w:val="0"/>
              <w:adjustRightInd w:val="0"/>
              <w:spacing w:after="120"/>
              <w:jc w:val="left"/>
              <w:rPr>
                <w:noProof/>
                <w:color w:val="000000"/>
                <w:sz w:val="20"/>
                <w:szCs w:val="20"/>
              </w:rPr>
            </w:pPr>
            <w:r>
              <w:rPr>
                <w:noProof/>
                <w:color w:val="000000"/>
                <w:sz w:val="20"/>
                <w:szCs w:val="20"/>
              </w:rPr>
              <w:t>OECD data and reports</w:t>
            </w:r>
          </w:p>
          <w:p w:rsidR="007306CA" w:rsidRDefault="007306CA">
            <w:pPr>
              <w:widowControl w:val="0"/>
              <w:autoSpaceDE w:val="0"/>
              <w:autoSpaceDN w:val="0"/>
              <w:adjustRightInd w:val="0"/>
              <w:spacing w:after="120"/>
              <w:jc w:val="left"/>
              <w:rPr>
                <w:noProof/>
                <w:color w:val="000000"/>
                <w:sz w:val="20"/>
                <w:szCs w:val="20"/>
              </w:rPr>
            </w:pPr>
          </w:p>
        </w:tc>
      </w:tr>
      <w:tr w:rsidR="007306CA">
        <w:trPr>
          <w:trHeight w:val="2294"/>
        </w:trPr>
        <w:tc>
          <w:tcPr>
            <w:tcW w:w="2269" w:type="dxa"/>
            <w:tcBorders>
              <w:top w:val="nil"/>
              <w:left w:val="single" w:sz="8" w:space="0" w:color="auto"/>
              <w:bottom w:val="single" w:sz="8" w:space="0" w:color="auto"/>
              <w:right w:val="single" w:sz="8" w:space="0" w:color="auto"/>
            </w:tcBorders>
            <w:shd w:val="clear" w:color="auto" w:fill="auto"/>
            <w:hideMark/>
          </w:tcPr>
          <w:p w:rsidR="007306CA" w:rsidRDefault="00576025">
            <w:pPr>
              <w:spacing w:after="120"/>
              <w:jc w:val="left"/>
              <w:rPr>
                <w:noProof/>
                <w:color w:val="000000"/>
                <w:sz w:val="20"/>
                <w:szCs w:val="20"/>
                <w:highlight w:val="yellow"/>
              </w:rPr>
            </w:pPr>
            <w:r>
              <w:rPr>
                <w:noProof/>
                <w:color w:val="000000"/>
                <w:sz w:val="20"/>
                <w:szCs w:val="20"/>
              </w:rPr>
              <w:t>OO4: increase numbers of HSW maki</w:t>
            </w:r>
            <w:r>
              <w:rPr>
                <w:noProof/>
                <w:color w:val="000000"/>
                <w:sz w:val="20"/>
                <w:szCs w:val="20"/>
              </w:rPr>
              <w:t>ng use of mobility provisions and employed in shortage occupations</w:t>
            </w:r>
          </w:p>
        </w:tc>
        <w:tc>
          <w:tcPr>
            <w:tcW w:w="4677" w:type="dxa"/>
            <w:tcBorders>
              <w:top w:val="nil"/>
              <w:left w:val="nil"/>
              <w:bottom w:val="single" w:sz="8" w:space="0" w:color="auto"/>
              <w:right w:val="single" w:sz="8" w:space="0" w:color="auto"/>
            </w:tcBorders>
            <w:shd w:val="clear" w:color="auto" w:fill="auto"/>
            <w:hideMark/>
          </w:tcPr>
          <w:p w:rsidR="007306CA" w:rsidRDefault="00576025">
            <w:pPr>
              <w:spacing w:after="120"/>
              <w:jc w:val="left"/>
              <w:rPr>
                <w:noProof/>
                <w:color w:val="000000"/>
                <w:sz w:val="20"/>
                <w:szCs w:val="20"/>
              </w:rPr>
            </w:pPr>
            <w:r>
              <w:rPr>
                <w:noProof/>
                <w:color w:val="000000"/>
                <w:sz w:val="20"/>
                <w:szCs w:val="20"/>
              </w:rPr>
              <w:t xml:space="preserve">Estimated extent of the skill shortages at EU/Member State level filled by HSW </w:t>
            </w:r>
          </w:p>
          <w:p w:rsidR="007306CA" w:rsidRDefault="00576025">
            <w:pPr>
              <w:spacing w:after="120"/>
              <w:jc w:val="left"/>
              <w:rPr>
                <w:noProof/>
                <w:color w:val="000000"/>
                <w:sz w:val="20"/>
                <w:szCs w:val="20"/>
              </w:rPr>
            </w:pPr>
            <w:r>
              <w:rPr>
                <w:noProof/>
                <w:color w:val="000000"/>
                <w:sz w:val="20"/>
                <w:szCs w:val="20"/>
              </w:rPr>
              <w:t>Employment and unemployment rate of highly educated EU nationals and HSW</w:t>
            </w:r>
            <w:r>
              <w:rPr>
                <w:rStyle w:val="FootnoteReference"/>
                <w:noProof/>
                <w:color w:val="000000"/>
                <w:sz w:val="20"/>
                <w:szCs w:val="20"/>
              </w:rPr>
              <w:footnoteReference w:id="165"/>
            </w:r>
            <w:r>
              <w:rPr>
                <w:noProof/>
                <w:color w:val="000000"/>
                <w:sz w:val="20"/>
                <w:szCs w:val="20"/>
              </w:rPr>
              <w:t xml:space="preserve"> </w:t>
            </w:r>
          </w:p>
          <w:p w:rsidR="007306CA" w:rsidRDefault="00576025">
            <w:pPr>
              <w:spacing w:after="120"/>
              <w:jc w:val="left"/>
              <w:rPr>
                <w:noProof/>
                <w:color w:val="000000"/>
                <w:sz w:val="20"/>
                <w:szCs w:val="20"/>
              </w:rPr>
            </w:pPr>
            <w:r>
              <w:rPr>
                <w:noProof/>
                <w:color w:val="000000"/>
                <w:sz w:val="20"/>
                <w:szCs w:val="20"/>
              </w:rPr>
              <w:t xml:space="preserve">Mobility rate of HSW: Number of </w:t>
            </w:r>
            <w:r>
              <w:rPr>
                <w:noProof/>
                <w:color w:val="000000"/>
                <w:sz w:val="20"/>
                <w:szCs w:val="20"/>
              </w:rPr>
              <w:t>Blue Card holders moving to a second Member State for highly qualified work by making use of the possibility for intra-EU mobility</w:t>
            </w:r>
          </w:p>
        </w:tc>
        <w:tc>
          <w:tcPr>
            <w:tcW w:w="2410" w:type="dxa"/>
            <w:tcBorders>
              <w:top w:val="nil"/>
              <w:left w:val="nil"/>
              <w:bottom w:val="single" w:sz="8" w:space="0" w:color="auto"/>
              <w:right w:val="single" w:sz="8" w:space="0" w:color="auto"/>
            </w:tcBorders>
            <w:shd w:val="clear" w:color="auto" w:fill="auto"/>
            <w:hideMark/>
          </w:tcPr>
          <w:p w:rsidR="007306CA" w:rsidRDefault="00576025">
            <w:pPr>
              <w:spacing w:after="120"/>
              <w:rPr>
                <w:noProof/>
                <w:color w:val="000000"/>
                <w:sz w:val="20"/>
                <w:szCs w:val="20"/>
              </w:rPr>
            </w:pPr>
            <w:r>
              <w:rPr>
                <w:noProof/>
                <w:color w:val="000000"/>
                <w:sz w:val="20"/>
                <w:szCs w:val="20"/>
              </w:rPr>
              <w:t xml:space="preserve">Surveys at EU and national level (i.e. European Migration Network) </w:t>
            </w:r>
          </w:p>
          <w:p w:rsidR="007306CA" w:rsidRDefault="00576025">
            <w:pPr>
              <w:spacing w:after="120"/>
              <w:rPr>
                <w:noProof/>
                <w:color w:val="000000"/>
                <w:sz w:val="20"/>
                <w:szCs w:val="20"/>
              </w:rPr>
            </w:pPr>
            <w:r>
              <w:rPr>
                <w:noProof/>
                <w:color w:val="000000"/>
                <w:sz w:val="20"/>
                <w:szCs w:val="20"/>
              </w:rPr>
              <w:t xml:space="preserve">LFS </w:t>
            </w:r>
          </w:p>
          <w:p w:rsidR="007306CA" w:rsidRDefault="00576025">
            <w:pPr>
              <w:spacing w:after="120"/>
              <w:rPr>
                <w:noProof/>
                <w:color w:val="000000"/>
                <w:sz w:val="20"/>
                <w:szCs w:val="20"/>
              </w:rPr>
            </w:pPr>
            <w:r>
              <w:rPr>
                <w:noProof/>
                <w:color w:val="000000"/>
                <w:sz w:val="20"/>
                <w:szCs w:val="20"/>
              </w:rPr>
              <w:t xml:space="preserve">Eurostat statistics </w:t>
            </w:r>
          </w:p>
          <w:p w:rsidR="007306CA" w:rsidRDefault="00576025">
            <w:pPr>
              <w:widowControl w:val="0"/>
              <w:autoSpaceDE w:val="0"/>
              <w:autoSpaceDN w:val="0"/>
              <w:adjustRightInd w:val="0"/>
              <w:spacing w:after="120"/>
              <w:jc w:val="left"/>
              <w:rPr>
                <w:noProof/>
                <w:color w:val="000000"/>
                <w:sz w:val="20"/>
                <w:szCs w:val="20"/>
              </w:rPr>
            </w:pPr>
            <w:r>
              <w:rPr>
                <w:noProof/>
                <w:color w:val="000000"/>
                <w:sz w:val="20"/>
                <w:szCs w:val="20"/>
              </w:rPr>
              <w:t>Member State immigration author</w:t>
            </w:r>
            <w:r>
              <w:rPr>
                <w:noProof/>
                <w:color w:val="000000"/>
                <w:sz w:val="20"/>
                <w:szCs w:val="20"/>
              </w:rPr>
              <w:t xml:space="preserve">ities </w:t>
            </w:r>
          </w:p>
          <w:p w:rsidR="007306CA" w:rsidRDefault="00576025">
            <w:pPr>
              <w:widowControl w:val="0"/>
              <w:autoSpaceDE w:val="0"/>
              <w:autoSpaceDN w:val="0"/>
              <w:adjustRightInd w:val="0"/>
              <w:spacing w:after="120"/>
              <w:jc w:val="left"/>
              <w:rPr>
                <w:noProof/>
                <w:color w:val="000000"/>
                <w:sz w:val="20"/>
                <w:szCs w:val="20"/>
              </w:rPr>
            </w:pPr>
            <w:r>
              <w:rPr>
                <w:noProof/>
                <w:color w:val="000000"/>
                <w:sz w:val="20"/>
                <w:szCs w:val="20"/>
              </w:rPr>
              <w:t>National Contact Points on the Blue Card (BC NCPs)</w:t>
            </w:r>
          </w:p>
        </w:tc>
      </w:tr>
      <w:tr w:rsidR="007306CA">
        <w:trPr>
          <w:trHeight w:val="89"/>
        </w:trPr>
        <w:tc>
          <w:tcPr>
            <w:tcW w:w="2269" w:type="dxa"/>
            <w:tcBorders>
              <w:top w:val="nil"/>
              <w:left w:val="single" w:sz="8" w:space="0" w:color="auto"/>
              <w:bottom w:val="single" w:sz="8" w:space="0" w:color="auto"/>
              <w:right w:val="single" w:sz="8" w:space="0" w:color="auto"/>
            </w:tcBorders>
            <w:shd w:val="clear" w:color="auto" w:fill="auto"/>
            <w:hideMark/>
          </w:tcPr>
          <w:p w:rsidR="007306CA" w:rsidRDefault="00576025">
            <w:pPr>
              <w:spacing w:after="120"/>
              <w:jc w:val="left"/>
              <w:rPr>
                <w:noProof/>
                <w:color w:val="000000"/>
                <w:sz w:val="20"/>
                <w:szCs w:val="20"/>
                <w:highlight w:val="yellow"/>
              </w:rPr>
            </w:pPr>
            <w:r>
              <w:rPr>
                <w:noProof/>
                <w:color w:val="000000"/>
                <w:sz w:val="20"/>
                <w:szCs w:val="20"/>
              </w:rPr>
              <w:t>OO2: simplify and harmonise the admission procedures for HSW by significantly reducing the number of parallel schemes potentially applicable to the same person at the same time</w:t>
            </w:r>
          </w:p>
        </w:tc>
        <w:tc>
          <w:tcPr>
            <w:tcW w:w="4677" w:type="dxa"/>
            <w:tcBorders>
              <w:top w:val="nil"/>
              <w:left w:val="nil"/>
              <w:bottom w:val="single" w:sz="8" w:space="0" w:color="auto"/>
              <w:right w:val="single" w:sz="8" w:space="0" w:color="auto"/>
            </w:tcBorders>
            <w:shd w:val="clear" w:color="auto" w:fill="auto"/>
            <w:hideMark/>
          </w:tcPr>
          <w:p w:rsidR="007306CA" w:rsidRDefault="00576025">
            <w:pPr>
              <w:spacing w:after="120"/>
              <w:jc w:val="left"/>
              <w:rPr>
                <w:noProof/>
                <w:color w:val="000000"/>
                <w:sz w:val="20"/>
                <w:szCs w:val="20"/>
              </w:rPr>
            </w:pPr>
            <w:r>
              <w:rPr>
                <w:noProof/>
                <w:color w:val="000000"/>
                <w:sz w:val="20"/>
                <w:szCs w:val="20"/>
              </w:rPr>
              <w:t>Effective and correc</w:t>
            </w:r>
            <w:r>
              <w:rPr>
                <w:noProof/>
                <w:color w:val="000000"/>
                <w:sz w:val="20"/>
                <w:szCs w:val="20"/>
              </w:rPr>
              <w:t>t transposition and application of a common EU Directive on HSW at all levels in Member States</w:t>
            </w:r>
          </w:p>
          <w:p w:rsidR="007306CA" w:rsidRDefault="00576025">
            <w:pPr>
              <w:spacing w:after="120"/>
              <w:jc w:val="left"/>
              <w:rPr>
                <w:noProof/>
                <w:color w:val="000000"/>
                <w:sz w:val="20"/>
                <w:szCs w:val="20"/>
              </w:rPr>
            </w:pPr>
            <w:r>
              <w:rPr>
                <w:noProof/>
                <w:color w:val="000000"/>
                <w:sz w:val="20"/>
                <w:szCs w:val="20"/>
              </w:rPr>
              <w:t>Degree of coherence and harmonisation of Member States rules for HSW in terms of diminished complexity and the number of parallel and divergent schemes</w:t>
            </w:r>
          </w:p>
          <w:p w:rsidR="007306CA" w:rsidRDefault="00576025">
            <w:pPr>
              <w:spacing w:after="120"/>
              <w:jc w:val="left"/>
              <w:rPr>
                <w:noProof/>
                <w:color w:val="000000"/>
                <w:sz w:val="20"/>
                <w:szCs w:val="20"/>
              </w:rPr>
            </w:pPr>
            <w:r>
              <w:rPr>
                <w:noProof/>
                <w:color w:val="000000"/>
                <w:sz w:val="20"/>
                <w:szCs w:val="20"/>
              </w:rPr>
              <w:t>Average a</w:t>
            </w:r>
            <w:r>
              <w:rPr>
                <w:noProof/>
                <w:color w:val="000000"/>
                <w:sz w:val="20"/>
                <w:szCs w:val="20"/>
              </w:rPr>
              <w:t>dministrative processing times for applications to be admitted as a Blue Card holder and a family member of a Blue Card holder</w:t>
            </w:r>
          </w:p>
        </w:tc>
        <w:tc>
          <w:tcPr>
            <w:tcW w:w="2410" w:type="dxa"/>
            <w:tcBorders>
              <w:top w:val="nil"/>
              <w:left w:val="nil"/>
              <w:bottom w:val="single" w:sz="8" w:space="0" w:color="auto"/>
              <w:right w:val="single" w:sz="8" w:space="0" w:color="auto"/>
            </w:tcBorders>
            <w:shd w:val="clear" w:color="auto" w:fill="auto"/>
            <w:hideMark/>
          </w:tcPr>
          <w:p w:rsidR="007306CA" w:rsidRDefault="00576025">
            <w:pPr>
              <w:spacing w:after="120"/>
              <w:rPr>
                <w:noProof/>
                <w:color w:val="000000"/>
                <w:sz w:val="20"/>
                <w:szCs w:val="20"/>
              </w:rPr>
            </w:pPr>
            <w:r>
              <w:rPr>
                <w:noProof/>
                <w:color w:val="000000"/>
                <w:sz w:val="20"/>
                <w:szCs w:val="20"/>
              </w:rPr>
              <w:t>EU level monitoring</w:t>
            </w:r>
          </w:p>
          <w:p w:rsidR="007306CA" w:rsidRDefault="00576025">
            <w:pPr>
              <w:spacing w:after="120"/>
              <w:rPr>
                <w:noProof/>
                <w:color w:val="000000"/>
                <w:sz w:val="20"/>
                <w:szCs w:val="20"/>
              </w:rPr>
            </w:pPr>
            <w:r>
              <w:rPr>
                <w:noProof/>
                <w:color w:val="000000"/>
                <w:sz w:val="20"/>
                <w:szCs w:val="20"/>
              </w:rPr>
              <w:t>MS monitoring reports</w:t>
            </w:r>
          </w:p>
          <w:p w:rsidR="007306CA" w:rsidRDefault="00576025">
            <w:pPr>
              <w:spacing w:after="120"/>
              <w:rPr>
                <w:noProof/>
                <w:color w:val="000000"/>
                <w:sz w:val="20"/>
                <w:szCs w:val="20"/>
              </w:rPr>
            </w:pPr>
            <w:r>
              <w:rPr>
                <w:noProof/>
                <w:color w:val="000000"/>
                <w:sz w:val="20"/>
                <w:szCs w:val="20"/>
              </w:rPr>
              <w:t>Legal transposition studies</w:t>
            </w:r>
          </w:p>
          <w:p w:rsidR="007306CA" w:rsidRDefault="00576025">
            <w:pPr>
              <w:spacing w:after="120"/>
              <w:rPr>
                <w:noProof/>
                <w:color w:val="000000"/>
                <w:sz w:val="20"/>
                <w:szCs w:val="20"/>
              </w:rPr>
            </w:pPr>
            <w:r>
              <w:rPr>
                <w:noProof/>
                <w:color w:val="000000"/>
                <w:sz w:val="20"/>
                <w:szCs w:val="20"/>
              </w:rPr>
              <w:t>Expert networks</w:t>
            </w:r>
          </w:p>
          <w:p w:rsidR="007306CA" w:rsidRDefault="00576025">
            <w:pPr>
              <w:spacing w:after="120"/>
              <w:rPr>
                <w:noProof/>
                <w:color w:val="000000"/>
                <w:sz w:val="20"/>
                <w:szCs w:val="20"/>
              </w:rPr>
            </w:pPr>
            <w:r>
              <w:rPr>
                <w:noProof/>
                <w:color w:val="000000"/>
                <w:sz w:val="20"/>
                <w:szCs w:val="20"/>
              </w:rPr>
              <w:t>Member State statistics reporting</w:t>
            </w:r>
          </w:p>
          <w:p w:rsidR="007306CA" w:rsidRDefault="00576025">
            <w:pPr>
              <w:spacing w:after="120"/>
              <w:rPr>
                <w:noProof/>
                <w:color w:val="000000"/>
                <w:sz w:val="20"/>
                <w:szCs w:val="20"/>
              </w:rPr>
            </w:pPr>
            <w:r>
              <w:rPr>
                <w:noProof/>
                <w:color w:val="000000"/>
                <w:sz w:val="20"/>
                <w:szCs w:val="20"/>
              </w:rPr>
              <w:t xml:space="preserve">National </w:t>
            </w:r>
            <w:r>
              <w:rPr>
                <w:noProof/>
                <w:color w:val="000000"/>
                <w:sz w:val="20"/>
                <w:szCs w:val="20"/>
              </w:rPr>
              <w:t>Contact Points on the Blue Card (BC NCPs)</w:t>
            </w:r>
          </w:p>
        </w:tc>
      </w:tr>
    </w:tbl>
    <w:p w:rsidR="007306CA" w:rsidRDefault="00576025">
      <w:pPr>
        <w:spacing w:after="0"/>
        <w:jc w:val="left"/>
        <w:rPr>
          <w:b/>
          <w:smallCaps/>
          <w:noProof/>
        </w:rPr>
      </w:pPr>
      <w:bookmarkStart w:id="67" w:name="_Toc433968451"/>
      <w:r>
        <w:rPr>
          <w:noProof/>
        </w:rPr>
        <w:br w:type="page"/>
      </w:r>
    </w:p>
    <w:p w:rsidR="007306CA" w:rsidRDefault="00576025">
      <w:pPr>
        <w:pStyle w:val="Heading1"/>
        <w:numPr>
          <w:ilvl w:val="0"/>
          <w:numId w:val="0"/>
        </w:numPr>
        <w:rPr>
          <w:noProof/>
        </w:rPr>
      </w:pPr>
      <w:bookmarkStart w:id="68" w:name="_Toc452679070"/>
      <w:r>
        <w:rPr>
          <w:noProof/>
        </w:rPr>
        <w:t>9. List of Annexes</w:t>
      </w:r>
      <w:bookmarkEnd w:id="67"/>
      <w:bookmarkEnd w:id="68"/>
    </w:p>
    <w:p w:rsidR="007306CA" w:rsidRDefault="00576025">
      <w:pPr>
        <w:rPr>
          <w:noProof/>
        </w:rPr>
      </w:pPr>
      <w:r>
        <w:rPr>
          <w:noProof/>
        </w:rPr>
        <w:t>This Impact Assessment report is delivered with the following annexes:</w:t>
      </w:r>
    </w:p>
    <w:tbl>
      <w:tblPr>
        <w:tblW w:w="8299" w:type="dxa"/>
        <w:tblLook w:val="04A0" w:firstRow="1" w:lastRow="0" w:firstColumn="1" w:lastColumn="0" w:noHBand="0" w:noVBand="1"/>
      </w:tblPr>
      <w:tblGrid>
        <w:gridCol w:w="1496"/>
        <w:gridCol w:w="800"/>
        <w:gridCol w:w="6003"/>
      </w:tblGrid>
      <w:tr w:rsidR="007306CA">
        <w:trPr>
          <w:trHeight w:val="300"/>
        </w:trPr>
        <w:tc>
          <w:tcPr>
            <w:tcW w:w="1496" w:type="dxa"/>
            <w:shd w:val="clear" w:color="auto" w:fill="auto"/>
            <w:noWrap/>
            <w:hideMark/>
          </w:tcPr>
          <w:p w:rsidR="007306CA" w:rsidRDefault="00576025">
            <w:pPr>
              <w:rPr>
                <w:noProof/>
              </w:rPr>
            </w:pPr>
            <w:r>
              <w:rPr>
                <w:noProof/>
              </w:rPr>
              <w:t>Annex</w:t>
            </w:r>
          </w:p>
        </w:tc>
        <w:tc>
          <w:tcPr>
            <w:tcW w:w="800" w:type="dxa"/>
            <w:shd w:val="clear" w:color="auto" w:fill="auto"/>
            <w:noWrap/>
            <w:hideMark/>
          </w:tcPr>
          <w:p w:rsidR="007306CA" w:rsidRDefault="00576025">
            <w:pPr>
              <w:rPr>
                <w:noProof/>
              </w:rPr>
            </w:pPr>
            <w:r>
              <w:rPr>
                <w:noProof/>
              </w:rPr>
              <w:t>1</w:t>
            </w:r>
          </w:p>
        </w:tc>
        <w:tc>
          <w:tcPr>
            <w:tcW w:w="6003" w:type="dxa"/>
            <w:shd w:val="clear" w:color="auto" w:fill="auto"/>
            <w:noWrap/>
            <w:hideMark/>
          </w:tcPr>
          <w:p w:rsidR="007306CA" w:rsidRDefault="00576025">
            <w:pPr>
              <w:rPr>
                <w:noProof/>
              </w:rPr>
            </w:pPr>
            <w:r>
              <w:rPr>
                <w:noProof/>
              </w:rPr>
              <w:t>Procedural information</w:t>
            </w:r>
          </w:p>
        </w:tc>
      </w:tr>
      <w:tr w:rsidR="007306CA">
        <w:trPr>
          <w:trHeight w:val="300"/>
        </w:trPr>
        <w:tc>
          <w:tcPr>
            <w:tcW w:w="1496" w:type="dxa"/>
            <w:shd w:val="clear" w:color="auto" w:fill="auto"/>
            <w:noWrap/>
            <w:hideMark/>
          </w:tcPr>
          <w:p w:rsidR="007306CA" w:rsidRDefault="00576025">
            <w:pPr>
              <w:rPr>
                <w:noProof/>
              </w:rPr>
            </w:pPr>
            <w:r>
              <w:rPr>
                <w:noProof/>
              </w:rPr>
              <w:t>Annex</w:t>
            </w:r>
          </w:p>
        </w:tc>
        <w:tc>
          <w:tcPr>
            <w:tcW w:w="800" w:type="dxa"/>
            <w:shd w:val="clear" w:color="auto" w:fill="auto"/>
            <w:noWrap/>
            <w:hideMark/>
          </w:tcPr>
          <w:p w:rsidR="007306CA" w:rsidRDefault="00576025">
            <w:pPr>
              <w:rPr>
                <w:noProof/>
              </w:rPr>
            </w:pPr>
            <w:r>
              <w:rPr>
                <w:noProof/>
              </w:rPr>
              <w:t>2</w:t>
            </w:r>
          </w:p>
        </w:tc>
        <w:tc>
          <w:tcPr>
            <w:tcW w:w="6003" w:type="dxa"/>
            <w:shd w:val="clear" w:color="auto" w:fill="auto"/>
            <w:noWrap/>
            <w:hideMark/>
          </w:tcPr>
          <w:p w:rsidR="007306CA" w:rsidRDefault="00576025">
            <w:pPr>
              <w:rPr>
                <w:noProof/>
              </w:rPr>
            </w:pPr>
            <w:r>
              <w:rPr>
                <w:noProof/>
              </w:rPr>
              <w:t>Stakeholder and expert consultations</w:t>
            </w:r>
          </w:p>
        </w:tc>
      </w:tr>
      <w:tr w:rsidR="007306CA">
        <w:trPr>
          <w:trHeight w:val="300"/>
        </w:trPr>
        <w:tc>
          <w:tcPr>
            <w:tcW w:w="1496" w:type="dxa"/>
            <w:shd w:val="clear" w:color="auto" w:fill="auto"/>
            <w:noWrap/>
            <w:hideMark/>
          </w:tcPr>
          <w:p w:rsidR="007306CA" w:rsidRDefault="00576025">
            <w:pPr>
              <w:rPr>
                <w:noProof/>
              </w:rPr>
            </w:pPr>
            <w:r>
              <w:rPr>
                <w:noProof/>
              </w:rPr>
              <w:t>Annex</w:t>
            </w:r>
          </w:p>
        </w:tc>
        <w:tc>
          <w:tcPr>
            <w:tcW w:w="800" w:type="dxa"/>
            <w:shd w:val="clear" w:color="auto" w:fill="auto"/>
            <w:noWrap/>
            <w:hideMark/>
          </w:tcPr>
          <w:p w:rsidR="007306CA" w:rsidRDefault="00576025">
            <w:pPr>
              <w:rPr>
                <w:noProof/>
              </w:rPr>
            </w:pPr>
            <w:r>
              <w:rPr>
                <w:noProof/>
              </w:rPr>
              <w:t>3</w:t>
            </w:r>
          </w:p>
        </w:tc>
        <w:tc>
          <w:tcPr>
            <w:tcW w:w="6003" w:type="dxa"/>
            <w:shd w:val="clear" w:color="auto" w:fill="auto"/>
            <w:noWrap/>
            <w:hideMark/>
          </w:tcPr>
          <w:p w:rsidR="007306CA" w:rsidRDefault="00576025">
            <w:pPr>
              <w:rPr>
                <w:noProof/>
              </w:rPr>
            </w:pPr>
            <w:r>
              <w:rPr>
                <w:noProof/>
              </w:rPr>
              <w:t xml:space="preserve">Links between problems, objectives </w:t>
            </w:r>
            <w:r>
              <w:rPr>
                <w:noProof/>
              </w:rPr>
              <w:t>and policy options (flowcharts)</w:t>
            </w:r>
          </w:p>
        </w:tc>
      </w:tr>
      <w:tr w:rsidR="007306CA">
        <w:trPr>
          <w:trHeight w:val="300"/>
        </w:trPr>
        <w:tc>
          <w:tcPr>
            <w:tcW w:w="1496" w:type="dxa"/>
            <w:shd w:val="clear" w:color="auto" w:fill="auto"/>
            <w:noWrap/>
            <w:hideMark/>
          </w:tcPr>
          <w:p w:rsidR="007306CA" w:rsidRDefault="00576025">
            <w:pPr>
              <w:rPr>
                <w:noProof/>
              </w:rPr>
            </w:pPr>
            <w:r>
              <w:rPr>
                <w:noProof/>
              </w:rPr>
              <w:t>Annex</w:t>
            </w:r>
          </w:p>
        </w:tc>
        <w:tc>
          <w:tcPr>
            <w:tcW w:w="800" w:type="dxa"/>
            <w:shd w:val="clear" w:color="auto" w:fill="auto"/>
            <w:noWrap/>
            <w:hideMark/>
          </w:tcPr>
          <w:p w:rsidR="007306CA" w:rsidRDefault="00576025">
            <w:pPr>
              <w:rPr>
                <w:noProof/>
              </w:rPr>
            </w:pPr>
            <w:r>
              <w:rPr>
                <w:noProof/>
              </w:rPr>
              <w:t>4</w:t>
            </w:r>
          </w:p>
        </w:tc>
        <w:tc>
          <w:tcPr>
            <w:tcW w:w="6003" w:type="dxa"/>
            <w:shd w:val="clear" w:color="auto" w:fill="auto"/>
            <w:noWrap/>
            <w:hideMark/>
          </w:tcPr>
          <w:p w:rsidR="007306CA" w:rsidRDefault="00576025">
            <w:pPr>
              <w:rPr>
                <w:noProof/>
              </w:rPr>
            </w:pPr>
            <w:r>
              <w:rPr>
                <w:noProof/>
              </w:rPr>
              <w:t>Problem assessment from socio-economic perspectives</w:t>
            </w:r>
          </w:p>
        </w:tc>
      </w:tr>
      <w:tr w:rsidR="007306CA">
        <w:trPr>
          <w:trHeight w:val="300"/>
        </w:trPr>
        <w:tc>
          <w:tcPr>
            <w:tcW w:w="1496" w:type="dxa"/>
            <w:shd w:val="clear" w:color="auto" w:fill="auto"/>
            <w:noWrap/>
            <w:hideMark/>
          </w:tcPr>
          <w:p w:rsidR="007306CA" w:rsidRDefault="00576025">
            <w:pPr>
              <w:rPr>
                <w:noProof/>
              </w:rPr>
            </w:pPr>
            <w:r>
              <w:rPr>
                <w:noProof/>
              </w:rPr>
              <w:t>Annex</w:t>
            </w:r>
          </w:p>
        </w:tc>
        <w:tc>
          <w:tcPr>
            <w:tcW w:w="800" w:type="dxa"/>
            <w:shd w:val="clear" w:color="auto" w:fill="auto"/>
            <w:noWrap/>
            <w:hideMark/>
          </w:tcPr>
          <w:p w:rsidR="007306CA" w:rsidRDefault="00576025">
            <w:pPr>
              <w:rPr>
                <w:noProof/>
              </w:rPr>
            </w:pPr>
            <w:r>
              <w:rPr>
                <w:noProof/>
              </w:rPr>
              <w:t>5</w:t>
            </w:r>
          </w:p>
        </w:tc>
        <w:tc>
          <w:tcPr>
            <w:tcW w:w="6003" w:type="dxa"/>
            <w:shd w:val="clear" w:color="auto" w:fill="auto"/>
            <w:noWrap/>
            <w:hideMark/>
          </w:tcPr>
          <w:p w:rsidR="007306CA" w:rsidRDefault="00576025">
            <w:pPr>
              <w:rPr>
                <w:noProof/>
              </w:rPr>
            </w:pPr>
            <w:r>
              <w:rPr>
                <w:noProof/>
              </w:rPr>
              <w:t xml:space="preserve">Evaluation of the Blue Card Directive </w:t>
            </w:r>
          </w:p>
        </w:tc>
      </w:tr>
      <w:tr w:rsidR="007306CA">
        <w:trPr>
          <w:trHeight w:val="300"/>
        </w:trPr>
        <w:tc>
          <w:tcPr>
            <w:tcW w:w="1496" w:type="dxa"/>
            <w:shd w:val="clear" w:color="auto" w:fill="auto"/>
            <w:noWrap/>
          </w:tcPr>
          <w:p w:rsidR="007306CA" w:rsidRDefault="00576025">
            <w:pPr>
              <w:rPr>
                <w:noProof/>
              </w:rPr>
            </w:pPr>
            <w:r>
              <w:rPr>
                <w:noProof/>
              </w:rPr>
              <w:t>Annex</w:t>
            </w:r>
          </w:p>
        </w:tc>
        <w:tc>
          <w:tcPr>
            <w:tcW w:w="800" w:type="dxa"/>
            <w:shd w:val="clear" w:color="auto" w:fill="auto"/>
            <w:noWrap/>
          </w:tcPr>
          <w:p w:rsidR="007306CA" w:rsidRDefault="00576025">
            <w:pPr>
              <w:rPr>
                <w:noProof/>
              </w:rPr>
            </w:pPr>
            <w:r>
              <w:rPr>
                <w:noProof/>
              </w:rPr>
              <w:t>6</w:t>
            </w:r>
          </w:p>
        </w:tc>
        <w:tc>
          <w:tcPr>
            <w:tcW w:w="6003" w:type="dxa"/>
            <w:shd w:val="clear" w:color="auto" w:fill="auto"/>
            <w:noWrap/>
          </w:tcPr>
          <w:p w:rsidR="007306CA" w:rsidRDefault="00576025">
            <w:pPr>
              <w:rPr>
                <w:noProof/>
              </w:rPr>
            </w:pPr>
            <w:r>
              <w:rPr>
                <w:noProof/>
              </w:rPr>
              <w:t>Member States’ national schemes targeting HSW</w:t>
            </w:r>
          </w:p>
        </w:tc>
      </w:tr>
      <w:tr w:rsidR="007306CA">
        <w:trPr>
          <w:trHeight w:val="300"/>
        </w:trPr>
        <w:tc>
          <w:tcPr>
            <w:tcW w:w="1496" w:type="dxa"/>
            <w:shd w:val="clear" w:color="auto" w:fill="auto"/>
            <w:noWrap/>
          </w:tcPr>
          <w:p w:rsidR="007306CA" w:rsidRDefault="00576025">
            <w:pPr>
              <w:rPr>
                <w:noProof/>
              </w:rPr>
            </w:pPr>
            <w:r>
              <w:rPr>
                <w:noProof/>
              </w:rPr>
              <w:t>Annex</w:t>
            </w:r>
          </w:p>
        </w:tc>
        <w:tc>
          <w:tcPr>
            <w:tcW w:w="800" w:type="dxa"/>
            <w:shd w:val="clear" w:color="auto" w:fill="auto"/>
            <w:noWrap/>
          </w:tcPr>
          <w:p w:rsidR="007306CA" w:rsidRDefault="00576025">
            <w:pPr>
              <w:rPr>
                <w:noProof/>
              </w:rPr>
            </w:pPr>
            <w:r>
              <w:rPr>
                <w:noProof/>
              </w:rPr>
              <w:t>7</w:t>
            </w:r>
          </w:p>
        </w:tc>
        <w:tc>
          <w:tcPr>
            <w:tcW w:w="6003" w:type="dxa"/>
            <w:shd w:val="clear" w:color="auto" w:fill="auto"/>
            <w:noWrap/>
          </w:tcPr>
          <w:p w:rsidR="007306CA" w:rsidRDefault="00576025">
            <w:pPr>
              <w:rPr>
                <w:noProof/>
              </w:rPr>
            </w:pPr>
            <w:r>
              <w:rPr>
                <w:noProof/>
              </w:rPr>
              <w:t xml:space="preserve">Analysis related to variations of the admission </w:t>
            </w:r>
            <w:r>
              <w:rPr>
                <w:noProof/>
              </w:rPr>
              <w:t>conditions of the EU Blue Card</w:t>
            </w:r>
          </w:p>
        </w:tc>
      </w:tr>
      <w:tr w:rsidR="007306CA">
        <w:trPr>
          <w:trHeight w:val="300"/>
        </w:trPr>
        <w:tc>
          <w:tcPr>
            <w:tcW w:w="1496" w:type="dxa"/>
            <w:shd w:val="clear" w:color="auto" w:fill="auto"/>
            <w:noWrap/>
            <w:hideMark/>
          </w:tcPr>
          <w:p w:rsidR="007306CA" w:rsidRDefault="00576025">
            <w:pPr>
              <w:rPr>
                <w:noProof/>
              </w:rPr>
            </w:pPr>
            <w:r>
              <w:rPr>
                <w:noProof/>
              </w:rPr>
              <w:t>Annex</w:t>
            </w:r>
          </w:p>
        </w:tc>
        <w:tc>
          <w:tcPr>
            <w:tcW w:w="800" w:type="dxa"/>
            <w:shd w:val="clear" w:color="auto" w:fill="auto"/>
            <w:noWrap/>
            <w:hideMark/>
          </w:tcPr>
          <w:p w:rsidR="007306CA" w:rsidRDefault="00576025">
            <w:pPr>
              <w:rPr>
                <w:noProof/>
              </w:rPr>
            </w:pPr>
            <w:r>
              <w:rPr>
                <w:noProof/>
              </w:rPr>
              <w:t>8</w:t>
            </w:r>
          </w:p>
        </w:tc>
        <w:tc>
          <w:tcPr>
            <w:tcW w:w="6003" w:type="dxa"/>
            <w:shd w:val="clear" w:color="auto" w:fill="auto"/>
            <w:noWrap/>
            <w:hideMark/>
          </w:tcPr>
          <w:p w:rsidR="007306CA" w:rsidRDefault="00576025">
            <w:pPr>
              <w:rPr>
                <w:noProof/>
              </w:rPr>
            </w:pPr>
            <w:r>
              <w:rPr>
                <w:noProof/>
              </w:rPr>
              <w:t>International perspectives and benchmarking</w:t>
            </w:r>
          </w:p>
        </w:tc>
      </w:tr>
      <w:tr w:rsidR="007306CA">
        <w:trPr>
          <w:trHeight w:val="300"/>
        </w:trPr>
        <w:tc>
          <w:tcPr>
            <w:tcW w:w="1496" w:type="dxa"/>
            <w:shd w:val="clear" w:color="auto" w:fill="auto"/>
            <w:noWrap/>
            <w:hideMark/>
          </w:tcPr>
          <w:p w:rsidR="007306CA" w:rsidRDefault="00576025">
            <w:pPr>
              <w:rPr>
                <w:noProof/>
              </w:rPr>
            </w:pPr>
            <w:r>
              <w:rPr>
                <w:noProof/>
              </w:rPr>
              <w:t>Annex</w:t>
            </w:r>
          </w:p>
        </w:tc>
        <w:tc>
          <w:tcPr>
            <w:tcW w:w="800" w:type="dxa"/>
            <w:shd w:val="clear" w:color="auto" w:fill="auto"/>
            <w:noWrap/>
            <w:hideMark/>
          </w:tcPr>
          <w:p w:rsidR="007306CA" w:rsidRDefault="00576025">
            <w:pPr>
              <w:rPr>
                <w:noProof/>
              </w:rPr>
            </w:pPr>
            <w:r>
              <w:rPr>
                <w:noProof/>
              </w:rPr>
              <w:t>9</w:t>
            </w:r>
          </w:p>
        </w:tc>
        <w:tc>
          <w:tcPr>
            <w:tcW w:w="6003" w:type="dxa"/>
            <w:shd w:val="clear" w:color="auto" w:fill="auto"/>
            <w:noWrap/>
            <w:hideMark/>
          </w:tcPr>
          <w:p w:rsidR="007306CA" w:rsidRDefault="00576025">
            <w:pPr>
              <w:rPr>
                <w:noProof/>
              </w:rPr>
            </w:pPr>
            <w:r>
              <w:rPr>
                <w:noProof/>
              </w:rPr>
              <w:t>Intra-EU mobility of third-country nationals</w:t>
            </w:r>
          </w:p>
        </w:tc>
      </w:tr>
      <w:tr w:rsidR="007306CA">
        <w:trPr>
          <w:trHeight w:val="300"/>
        </w:trPr>
        <w:tc>
          <w:tcPr>
            <w:tcW w:w="1496" w:type="dxa"/>
            <w:shd w:val="clear" w:color="auto" w:fill="auto"/>
            <w:noWrap/>
            <w:hideMark/>
          </w:tcPr>
          <w:p w:rsidR="007306CA" w:rsidRDefault="00576025">
            <w:pPr>
              <w:rPr>
                <w:noProof/>
              </w:rPr>
            </w:pPr>
            <w:r>
              <w:rPr>
                <w:noProof/>
              </w:rPr>
              <w:t>Annex</w:t>
            </w:r>
          </w:p>
        </w:tc>
        <w:tc>
          <w:tcPr>
            <w:tcW w:w="800" w:type="dxa"/>
            <w:shd w:val="clear" w:color="auto" w:fill="auto"/>
            <w:noWrap/>
            <w:hideMark/>
          </w:tcPr>
          <w:p w:rsidR="007306CA" w:rsidRDefault="00576025">
            <w:pPr>
              <w:rPr>
                <w:noProof/>
              </w:rPr>
            </w:pPr>
            <w:r>
              <w:rPr>
                <w:noProof/>
              </w:rPr>
              <w:t>10</w:t>
            </w:r>
          </w:p>
        </w:tc>
        <w:tc>
          <w:tcPr>
            <w:tcW w:w="6003" w:type="dxa"/>
            <w:shd w:val="clear" w:color="auto" w:fill="auto"/>
            <w:noWrap/>
            <w:hideMark/>
          </w:tcPr>
          <w:p w:rsidR="007306CA" w:rsidRDefault="00576025">
            <w:pPr>
              <w:rPr>
                <w:noProof/>
              </w:rPr>
            </w:pPr>
            <w:r>
              <w:rPr>
                <w:noProof/>
              </w:rPr>
              <w:t xml:space="preserve">Third-country national entrepreneurs </w:t>
            </w:r>
          </w:p>
        </w:tc>
      </w:tr>
      <w:tr w:rsidR="007306CA">
        <w:trPr>
          <w:trHeight w:val="300"/>
        </w:trPr>
        <w:tc>
          <w:tcPr>
            <w:tcW w:w="1496" w:type="dxa"/>
            <w:shd w:val="clear" w:color="auto" w:fill="auto"/>
            <w:noWrap/>
            <w:hideMark/>
          </w:tcPr>
          <w:p w:rsidR="007306CA" w:rsidRDefault="00576025">
            <w:pPr>
              <w:rPr>
                <w:noProof/>
              </w:rPr>
            </w:pPr>
            <w:r>
              <w:rPr>
                <w:noProof/>
              </w:rPr>
              <w:t>Annex</w:t>
            </w:r>
          </w:p>
        </w:tc>
        <w:tc>
          <w:tcPr>
            <w:tcW w:w="800" w:type="dxa"/>
            <w:shd w:val="clear" w:color="auto" w:fill="auto"/>
            <w:noWrap/>
            <w:hideMark/>
          </w:tcPr>
          <w:p w:rsidR="007306CA" w:rsidRDefault="00576025">
            <w:pPr>
              <w:rPr>
                <w:noProof/>
              </w:rPr>
            </w:pPr>
            <w:r>
              <w:rPr>
                <w:noProof/>
              </w:rPr>
              <w:t>11</w:t>
            </w:r>
          </w:p>
        </w:tc>
        <w:tc>
          <w:tcPr>
            <w:tcW w:w="6003" w:type="dxa"/>
            <w:shd w:val="clear" w:color="auto" w:fill="auto"/>
            <w:noWrap/>
            <w:hideMark/>
          </w:tcPr>
          <w:p w:rsidR="007306CA" w:rsidRDefault="00576025">
            <w:pPr>
              <w:rPr>
                <w:noProof/>
              </w:rPr>
            </w:pPr>
            <w:r>
              <w:rPr>
                <w:noProof/>
              </w:rPr>
              <w:t>International service providers</w:t>
            </w:r>
          </w:p>
        </w:tc>
      </w:tr>
      <w:tr w:rsidR="007306CA">
        <w:trPr>
          <w:trHeight w:val="300"/>
        </w:trPr>
        <w:tc>
          <w:tcPr>
            <w:tcW w:w="1496" w:type="dxa"/>
            <w:shd w:val="clear" w:color="auto" w:fill="auto"/>
            <w:noWrap/>
            <w:hideMark/>
          </w:tcPr>
          <w:p w:rsidR="007306CA" w:rsidRDefault="00576025">
            <w:pPr>
              <w:rPr>
                <w:noProof/>
              </w:rPr>
            </w:pPr>
            <w:r>
              <w:rPr>
                <w:noProof/>
              </w:rPr>
              <w:t>Annex</w:t>
            </w:r>
          </w:p>
        </w:tc>
        <w:tc>
          <w:tcPr>
            <w:tcW w:w="800" w:type="dxa"/>
            <w:shd w:val="clear" w:color="auto" w:fill="auto"/>
            <w:noWrap/>
            <w:hideMark/>
          </w:tcPr>
          <w:p w:rsidR="007306CA" w:rsidRDefault="00576025">
            <w:pPr>
              <w:rPr>
                <w:noProof/>
              </w:rPr>
            </w:pPr>
            <w:r>
              <w:rPr>
                <w:noProof/>
              </w:rPr>
              <w:t>12</w:t>
            </w:r>
          </w:p>
        </w:tc>
        <w:tc>
          <w:tcPr>
            <w:tcW w:w="6003" w:type="dxa"/>
            <w:shd w:val="clear" w:color="auto" w:fill="auto"/>
            <w:noWrap/>
            <w:hideMark/>
          </w:tcPr>
          <w:p w:rsidR="007306CA" w:rsidRDefault="00576025">
            <w:pPr>
              <w:rPr>
                <w:noProof/>
              </w:rPr>
            </w:pPr>
            <w:r>
              <w:rPr>
                <w:noProof/>
              </w:rPr>
              <w:t>Statistics</w:t>
            </w:r>
          </w:p>
        </w:tc>
      </w:tr>
      <w:tr w:rsidR="007306CA">
        <w:trPr>
          <w:trHeight w:val="300"/>
        </w:trPr>
        <w:tc>
          <w:tcPr>
            <w:tcW w:w="1496" w:type="dxa"/>
            <w:tcBorders>
              <w:top w:val="nil"/>
              <w:left w:val="nil"/>
              <w:bottom w:val="nil"/>
              <w:right w:val="nil"/>
            </w:tcBorders>
            <w:shd w:val="clear" w:color="auto" w:fill="auto"/>
            <w:noWrap/>
          </w:tcPr>
          <w:p w:rsidR="007306CA" w:rsidRDefault="00576025">
            <w:pPr>
              <w:rPr>
                <w:noProof/>
              </w:rPr>
            </w:pPr>
            <w:r>
              <w:rPr>
                <w:noProof/>
              </w:rPr>
              <w:t>Annex</w:t>
            </w:r>
          </w:p>
        </w:tc>
        <w:tc>
          <w:tcPr>
            <w:tcW w:w="800" w:type="dxa"/>
            <w:tcBorders>
              <w:top w:val="nil"/>
              <w:left w:val="nil"/>
              <w:bottom w:val="nil"/>
              <w:right w:val="nil"/>
            </w:tcBorders>
            <w:shd w:val="clear" w:color="auto" w:fill="auto"/>
            <w:noWrap/>
          </w:tcPr>
          <w:p w:rsidR="007306CA" w:rsidRDefault="00576025">
            <w:pPr>
              <w:rPr>
                <w:noProof/>
              </w:rPr>
            </w:pPr>
            <w:r>
              <w:rPr>
                <w:noProof/>
              </w:rPr>
              <w:t>13</w:t>
            </w:r>
          </w:p>
        </w:tc>
        <w:tc>
          <w:tcPr>
            <w:tcW w:w="6003" w:type="dxa"/>
            <w:tcBorders>
              <w:top w:val="nil"/>
              <w:left w:val="nil"/>
              <w:bottom w:val="nil"/>
              <w:right w:val="nil"/>
            </w:tcBorders>
            <w:shd w:val="clear" w:color="auto" w:fill="auto"/>
            <w:noWrap/>
          </w:tcPr>
          <w:p w:rsidR="007306CA" w:rsidRDefault="00576025">
            <w:pPr>
              <w:rPr>
                <w:noProof/>
              </w:rPr>
            </w:pPr>
            <w:r>
              <w:rPr>
                <w:noProof/>
              </w:rPr>
              <w:t>Analytical description of policy option packages</w:t>
            </w:r>
          </w:p>
        </w:tc>
      </w:tr>
      <w:tr w:rsidR="007306CA">
        <w:trPr>
          <w:trHeight w:val="300"/>
        </w:trPr>
        <w:tc>
          <w:tcPr>
            <w:tcW w:w="1496" w:type="dxa"/>
            <w:tcBorders>
              <w:top w:val="nil"/>
              <w:left w:val="nil"/>
              <w:bottom w:val="nil"/>
              <w:right w:val="nil"/>
            </w:tcBorders>
            <w:shd w:val="clear" w:color="auto" w:fill="auto"/>
            <w:noWrap/>
          </w:tcPr>
          <w:p w:rsidR="007306CA" w:rsidRDefault="00576025">
            <w:pPr>
              <w:rPr>
                <w:noProof/>
              </w:rPr>
            </w:pPr>
            <w:r>
              <w:rPr>
                <w:noProof/>
              </w:rPr>
              <w:t>Annex</w:t>
            </w:r>
          </w:p>
        </w:tc>
        <w:tc>
          <w:tcPr>
            <w:tcW w:w="800" w:type="dxa"/>
            <w:tcBorders>
              <w:top w:val="nil"/>
              <w:left w:val="nil"/>
              <w:bottom w:val="nil"/>
              <w:right w:val="nil"/>
            </w:tcBorders>
            <w:shd w:val="clear" w:color="auto" w:fill="auto"/>
            <w:noWrap/>
          </w:tcPr>
          <w:p w:rsidR="007306CA" w:rsidRDefault="00576025">
            <w:pPr>
              <w:rPr>
                <w:noProof/>
              </w:rPr>
            </w:pPr>
            <w:r>
              <w:rPr>
                <w:noProof/>
              </w:rPr>
              <w:t>14</w:t>
            </w:r>
          </w:p>
        </w:tc>
        <w:tc>
          <w:tcPr>
            <w:tcW w:w="6003" w:type="dxa"/>
            <w:tcBorders>
              <w:top w:val="nil"/>
              <w:left w:val="nil"/>
              <w:bottom w:val="nil"/>
              <w:right w:val="nil"/>
            </w:tcBorders>
            <w:shd w:val="clear" w:color="auto" w:fill="auto"/>
            <w:noWrap/>
          </w:tcPr>
          <w:p w:rsidR="007306CA" w:rsidRDefault="00576025">
            <w:pPr>
              <w:rPr>
                <w:noProof/>
              </w:rPr>
            </w:pPr>
            <w:r>
              <w:rPr>
                <w:noProof/>
              </w:rPr>
              <w:t>Calculation of economic impacts: analytical model, assumptions and results</w:t>
            </w:r>
          </w:p>
        </w:tc>
      </w:tr>
      <w:tr w:rsidR="007306CA">
        <w:trPr>
          <w:trHeight w:val="300"/>
        </w:trPr>
        <w:tc>
          <w:tcPr>
            <w:tcW w:w="1496" w:type="dxa"/>
            <w:tcBorders>
              <w:top w:val="nil"/>
              <w:left w:val="nil"/>
              <w:bottom w:val="nil"/>
              <w:right w:val="nil"/>
            </w:tcBorders>
            <w:shd w:val="clear" w:color="auto" w:fill="auto"/>
            <w:noWrap/>
          </w:tcPr>
          <w:p w:rsidR="007306CA" w:rsidRDefault="00576025">
            <w:pPr>
              <w:rPr>
                <w:noProof/>
              </w:rPr>
            </w:pPr>
            <w:r>
              <w:rPr>
                <w:noProof/>
              </w:rPr>
              <w:t>Annex</w:t>
            </w:r>
          </w:p>
        </w:tc>
        <w:tc>
          <w:tcPr>
            <w:tcW w:w="800" w:type="dxa"/>
            <w:tcBorders>
              <w:top w:val="nil"/>
              <w:left w:val="nil"/>
              <w:bottom w:val="nil"/>
              <w:right w:val="nil"/>
            </w:tcBorders>
            <w:shd w:val="clear" w:color="auto" w:fill="auto"/>
            <w:noWrap/>
          </w:tcPr>
          <w:p w:rsidR="007306CA" w:rsidRDefault="00576025">
            <w:pPr>
              <w:rPr>
                <w:noProof/>
              </w:rPr>
            </w:pPr>
            <w:r>
              <w:rPr>
                <w:noProof/>
              </w:rPr>
              <w:t>15</w:t>
            </w:r>
          </w:p>
        </w:tc>
        <w:tc>
          <w:tcPr>
            <w:tcW w:w="6003" w:type="dxa"/>
            <w:tcBorders>
              <w:top w:val="nil"/>
              <w:left w:val="nil"/>
              <w:bottom w:val="nil"/>
              <w:right w:val="nil"/>
            </w:tcBorders>
            <w:shd w:val="clear" w:color="auto" w:fill="auto"/>
            <w:noWrap/>
          </w:tcPr>
          <w:p w:rsidR="007306CA" w:rsidRDefault="00576025">
            <w:pPr>
              <w:rPr>
                <w:noProof/>
              </w:rPr>
            </w:pPr>
            <w:r>
              <w:rPr>
                <w:noProof/>
              </w:rPr>
              <w:t>Administrative burden</w:t>
            </w:r>
          </w:p>
        </w:tc>
      </w:tr>
      <w:tr w:rsidR="007306CA">
        <w:trPr>
          <w:trHeight w:val="300"/>
        </w:trPr>
        <w:tc>
          <w:tcPr>
            <w:tcW w:w="1496" w:type="dxa"/>
            <w:tcBorders>
              <w:top w:val="nil"/>
              <w:left w:val="nil"/>
              <w:bottom w:val="nil"/>
              <w:right w:val="nil"/>
            </w:tcBorders>
            <w:shd w:val="clear" w:color="auto" w:fill="auto"/>
            <w:noWrap/>
          </w:tcPr>
          <w:p w:rsidR="007306CA" w:rsidRDefault="00576025">
            <w:pPr>
              <w:rPr>
                <w:noProof/>
              </w:rPr>
            </w:pPr>
            <w:r>
              <w:rPr>
                <w:noProof/>
              </w:rPr>
              <w:t>Annex</w:t>
            </w:r>
          </w:p>
        </w:tc>
        <w:tc>
          <w:tcPr>
            <w:tcW w:w="800" w:type="dxa"/>
            <w:tcBorders>
              <w:top w:val="nil"/>
              <w:left w:val="nil"/>
              <w:bottom w:val="nil"/>
              <w:right w:val="nil"/>
            </w:tcBorders>
            <w:shd w:val="clear" w:color="auto" w:fill="auto"/>
            <w:noWrap/>
          </w:tcPr>
          <w:p w:rsidR="007306CA" w:rsidRDefault="00576025">
            <w:pPr>
              <w:rPr>
                <w:noProof/>
              </w:rPr>
            </w:pPr>
            <w:r>
              <w:rPr>
                <w:noProof/>
              </w:rPr>
              <w:t>16</w:t>
            </w:r>
          </w:p>
        </w:tc>
        <w:tc>
          <w:tcPr>
            <w:tcW w:w="6003" w:type="dxa"/>
            <w:tcBorders>
              <w:top w:val="nil"/>
              <w:left w:val="nil"/>
              <w:bottom w:val="nil"/>
              <w:right w:val="nil"/>
            </w:tcBorders>
            <w:shd w:val="clear" w:color="auto" w:fill="auto"/>
            <w:noWrap/>
          </w:tcPr>
          <w:p w:rsidR="007306CA" w:rsidRDefault="00576025">
            <w:pPr>
              <w:rPr>
                <w:noProof/>
              </w:rPr>
            </w:pPr>
            <w:r>
              <w:rPr>
                <w:noProof/>
              </w:rPr>
              <w:t>Highly skilled workers and international protection</w:t>
            </w:r>
          </w:p>
        </w:tc>
      </w:tr>
    </w:tbl>
    <w:p w:rsidR="007306CA" w:rsidRDefault="007306CA">
      <w:pPr>
        <w:pStyle w:val="Heading1"/>
        <w:numPr>
          <w:ilvl w:val="0"/>
          <w:numId w:val="0"/>
        </w:numPr>
        <w:rPr>
          <w:noProof/>
        </w:rPr>
      </w:pPr>
    </w:p>
    <w:sectPr w:rsidR="007306CA">
      <w:headerReference w:type="even" r:id="rId51"/>
      <w:headerReference w:type="default" r:id="rId52"/>
      <w:footerReference w:type="even" r:id="rId53"/>
      <w:footerReference w:type="default" r:id="rId54"/>
      <w:headerReference w:type="first" r:id="rId55"/>
      <w:footerReference w:type="first" r:id="rId56"/>
      <w:pgSz w:w="11906" w:h="16838"/>
      <w:pgMar w:top="1020" w:right="1701" w:bottom="1020" w:left="1587" w:header="601" w:footer="1077"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06CA" w:rsidRDefault="00576025">
      <w:pPr>
        <w:spacing w:after="0"/>
      </w:pPr>
      <w:r>
        <w:separator/>
      </w:r>
    </w:p>
  </w:endnote>
  <w:endnote w:type="continuationSeparator" w:id="0">
    <w:p w:rsidR="007306CA" w:rsidRDefault="00576025">
      <w:pPr>
        <w:spacing w:after="0"/>
      </w:pPr>
      <w:r>
        <w:continuationSeparator/>
      </w:r>
    </w:p>
  </w:endnote>
  <w:endnote w:type="continuationNotice" w:id="1">
    <w:p w:rsidR="007306CA" w:rsidRDefault="007306C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imes">
    <w:panose1 w:val="020206030504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6CA" w:rsidRDefault="007306C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6CA" w:rsidRDefault="00576025">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6CA" w:rsidRDefault="007306CA">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6CA" w:rsidRDefault="007306CA">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0810511"/>
      <w:docPartObj>
        <w:docPartGallery w:val="Page Numbers (Bottom of Page)"/>
        <w:docPartUnique/>
      </w:docPartObj>
    </w:sdtPr>
    <w:sdtEndPr>
      <w:rPr>
        <w:noProof/>
      </w:rPr>
    </w:sdtEndPr>
    <w:sdtContent>
      <w:p w:rsidR="007306CA" w:rsidRDefault="00576025">
        <w:pPr>
          <w:pStyle w:val="Footer"/>
          <w:jc w:val="right"/>
        </w:pPr>
        <w:r>
          <w:fldChar w:fldCharType="begin"/>
        </w:r>
        <w:r>
          <w:instrText xml:space="preserve"> PAGE   \* MERGEFORMAT </w:instrText>
        </w:r>
        <w:r>
          <w:fldChar w:fldCharType="separate"/>
        </w:r>
        <w:r>
          <w:rPr>
            <w:noProof/>
          </w:rPr>
          <w:t>i</w:t>
        </w:r>
        <w:r>
          <w:rPr>
            <w:noProof/>
          </w:rPr>
          <w:fldChar w:fldCharType="end"/>
        </w:r>
      </w:p>
    </w:sdtContent>
  </w:sdt>
  <w:p w:rsidR="007306CA" w:rsidRDefault="007306CA">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6CA" w:rsidRDefault="007306CA">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6CA" w:rsidRDefault="007306CA">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7001570"/>
      <w:docPartObj>
        <w:docPartGallery w:val="Page Numbers (Bottom of Page)"/>
        <w:docPartUnique/>
      </w:docPartObj>
    </w:sdtPr>
    <w:sdtEndPr>
      <w:rPr>
        <w:noProof/>
      </w:rPr>
    </w:sdtEndPr>
    <w:sdtContent>
      <w:p w:rsidR="007306CA" w:rsidRDefault="00576025">
        <w:pPr>
          <w:pStyle w:val="Footer"/>
          <w:jc w:val="right"/>
        </w:pPr>
        <w:r>
          <w:fldChar w:fldCharType="begin"/>
        </w:r>
        <w:r>
          <w:instrText xml:space="preserve"> PAGE   \* MERGEFORMAT </w:instrText>
        </w:r>
        <w:r>
          <w:fldChar w:fldCharType="separate"/>
        </w:r>
        <w:r>
          <w:rPr>
            <w:noProof/>
          </w:rPr>
          <w:t>56</w:t>
        </w:r>
        <w:r>
          <w:rPr>
            <w:noProof/>
          </w:rPr>
          <w:fldChar w:fldCharType="end"/>
        </w:r>
      </w:p>
    </w:sdtContent>
  </w:sdt>
  <w:p w:rsidR="007306CA" w:rsidRDefault="007306CA">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6CA" w:rsidRDefault="007306C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06CA" w:rsidRDefault="00576025">
      <w:pPr>
        <w:spacing w:after="0"/>
      </w:pPr>
      <w:r>
        <w:separator/>
      </w:r>
    </w:p>
  </w:footnote>
  <w:footnote w:type="continuationSeparator" w:id="0">
    <w:p w:rsidR="007306CA" w:rsidRDefault="00576025">
      <w:pPr>
        <w:spacing w:after="0"/>
      </w:pPr>
      <w:r>
        <w:continuationSeparator/>
      </w:r>
    </w:p>
  </w:footnote>
  <w:footnote w:type="continuationNotice" w:id="1">
    <w:p w:rsidR="007306CA" w:rsidRDefault="007306CA">
      <w:pPr>
        <w:spacing w:after="0"/>
      </w:pPr>
    </w:p>
  </w:footnote>
  <w:footnote w:id="2">
    <w:p w:rsidR="007306CA" w:rsidRDefault="00576025">
      <w:pPr>
        <w:pStyle w:val="FootnoteText"/>
        <w:spacing w:after="0"/>
        <w:ind w:left="0" w:firstLine="0"/>
        <w:rPr>
          <w:sz w:val="18"/>
          <w:szCs w:val="18"/>
          <w:lang w:val="en-US"/>
        </w:rPr>
      </w:pPr>
      <w:r>
        <w:rPr>
          <w:rStyle w:val="FootnoteReference"/>
          <w:sz w:val="18"/>
          <w:szCs w:val="18"/>
        </w:rPr>
        <w:footnoteRef/>
      </w:r>
      <w:r>
        <w:rPr>
          <w:sz w:val="18"/>
          <w:szCs w:val="18"/>
        </w:rPr>
        <w:t xml:space="preserve"> Council Directive 2009/50/EC of 25 May 2009, OJ L 155, 18.6.2009, p. 17–29.</w:t>
      </w:r>
    </w:p>
  </w:footnote>
  <w:footnote w:id="3">
    <w:p w:rsidR="007306CA" w:rsidRDefault="00576025">
      <w:pPr>
        <w:pStyle w:val="FootnoteText"/>
        <w:spacing w:after="0"/>
        <w:ind w:left="0" w:firstLine="0"/>
        <w:rPr>
          <w:sz w:val="18"/>
          <w:szCs w:val="18"/>
          <w:lang w:val="en-US"/>
        </w:rPr>
      </w:pPr>
      <w:r>
        <w:rPr>
          <w:rStyle w:val="FootnoteReference"/>
          <w:sz w:val="18"/>
          <w:szCs w:val="18"/>
        </w:rPr>
        <w:footnoteRef/>
      </w:r>
      <w:r>
        <w:rPr>
          <w:sz w:val="18"/>
          <w:szCs w:val="18"/>
        </w:rPr>
        <w:t xml:space="preserve"> </w:t>
      </w:r>
      <w:r>
        <w:rPr>
          <w:sz w:val="18"/>
          <w:szCs w:val="18"/>
          <w:lang w:val="en-US"/>
        </w:rPr>
        <w:t xml:space="preserve">Proposal for a Council Directive of 23 October 2007 on the conditions of entry and residence of third-country nationals for the purposes </w:t>
      </w:r>
      <w:r>
        <w:rPr>
          <w:sz w:val="18"/>
          <w:szCs w:val="18"/>
          <w:lang w:val="en-US"/>
        </w:rPr>
        <w:t>of highly qualified employment, COM(2007)637 final.</w:t>
      </w:r>
    </w:p>
  </w:footnote>
  <w:footnote w:id="4">
    <w:p w:rsidR="007306CA" w:rsidRDefault="00576025">
      <w:pPr>
        <w:pStyle w:val="FootnoteText"/>
        <w:spacing w:after="0"/>
        <w:ind w:left="0" w:firstLine="0"/>
        <w:rPr>
          <w:sz w:val="18"/>
          <w:szCs w:val="18"/>
        </w:rPr>
      </w:pPr>
      <w:r>
        <w:rPr>
          <w:sz w:val="18"/>
          <w:szCs w:val="18"/>
          <w:lang w:val="en-US"/>
        </w:rPr>
        <w:footnoteRef/>
      </w:r>
      <w:r>
        <w:rPr>
          <w:sz w:val="18"/>
          <w:szCs w:val="18"/>
          <w:lang w:val="en-US"/>
        </w:rPr>
        <w:t xml:space="preserve"> For the terminology and definitions used in this Impact Assessment report see Annex 3.</w:t>
      </w:r>
    </w:p>
  </w:footnote>
  <w:footnote w:id="5">
    <w:p w:rsidR="007306CA" w:rsidRDefault="00576025">
      <w:pPr>
        <w:pStyle w:val="FootnoteText"/>
        <w:spacing w:after="0"/>
        <w:ind w:left="0" w:firstLine="0"/>
        <w:rPr>
          <w:sz w:val="18"/>
          <w:szCs w:val="18"/>
          <w:lang w:val="en-US"/>
        </w:rPr>
      </w:pPr>
      <w:r>
        <w:rPr>
          <w:rStyle w:val="FootnoteReference"/>
          <w:sz w:val="18"/>
          <w:szCs w:val="18"/>
        </w:rPr>
        <w:footnoteRef/>
      </w:r>
      <w:r>
        <w:rPr>
          <w:sz w:val="18"/>
          <w:szCs w:val="18"/>
        </w:rPr>
        <w:t xml:space="preserve"> </w:t>
      </w:r>
      <w:r>
        <w:rPr>
          <w:rFonts w:eastAsiaTheme="minorHAnsi"/>
          <w:sz w:val="18"/>
          <w:szCs w:val="18"/>
        </w:rPr>
        <w:t>Following the Green Paper on an EU Approach to Managing Economic Migration (COM (2004)811 final), three other Dir</w:t>
      </w:r>
      <w:r>
        <w:rPr>
          <w:rFonts w:eastAsiaTheme="minorHAnsi"/>
          <w:sz w:val="18"/>
          <w:szCs w:val="18"/>
        </w:rPr>
        <w:t>ectives on economic migration have been adopted: t</w:t>
      </w:r>
      <w:r>
        <w:rPr>
          <w:sz w:val="18"/>
          <w:szCs w:val="18"/>
        </w:rPr>
        <w:t>he so-called Single Permit (2011), the Seasonal Workers and the Intra-Corporate Transferee Directives (both adopted in 2014)</w:t>
      </w:r>
      <w:r>
        <w:rPr>
          <w:rFonts w:eastAsiaTheme="minorHAnsi"/>
          <w:sz w:val="18"/>
          <w:szCs w:val="18"/>
        </w:rPr>
        <w:t xml:space="preserve">. For more details, see: </w:t>
      </w:r>
      <w:hyperlink r:id="rId1" w:history="1">
        <w:r>
          <w:rPr>
            <w:rStyle w:val="Hyperlink"/>
            <w:rFonts w:eastAsiaTheme="minorHAnsi"/>
            <w:sz w:val="18"/>
            <w:szCs w:val="18"/>
          </w:rPr>
          <w:t>http://ec.europa.eu/dgs/home-affairs/what-we-do/policies/legal-migration/index_en.htm</w:t>
        </w:r>
      </w:hyperlink>
      <w:r>
        <w:rPr>
          <w:rFonts w:eastAsiaTheme="minorHAnsi"/>
          <w:sz w:val="18"/>
          <w:szCs w:val="18"/>
        </w:rPr>
        <w:t>.</w:t>
      </w:r>
    </w:p>
  </w:footnote>
  <w:footnote w:id="6">
    <w:p w:rsidR="007306CA" w:rsidRDefault="00576025">
      <w:pPr>
        <w:pStyle w:val="FootnoteText"/>
        <w:spacing w:after="0"/>
        <w:ind w:left="0" w:firstLine="0"/>
        <w:rPr>
          <w:sz w:val="18"/>
          <w:szCs w:val="18"/>
          <w:lang w:val="en-US"/>
        </w:rPr>
      </w:pPr>
      <w:r>
        <w:rPr>
          <w:rStyle w:val="FootnoteReference"/>
          <w:sz w:val="18"/>
          <w:szCs w:val="18"/>
        </w:rPr>
        <w:footnoteRef/>
      </w:r>
      <w:r>
        <w:rPr>
          <w:sz w:val="18"/>
          <w:szCs w:val="18"/>
        </w:rPr>
        <w:t xml:space="preserve"> The Directive had to be transposed into national law by 19 June 2011 yet most Member States were late; many transposed onl</w:t>
      </w:r>
      <w:r>
        <w:rPr>
          <w:sz w:val="18"/>
          <w:szCs w:val="18"/>
        </w:rPr>
        <w:t>y in 2012 and some even in 2013. To be noted that the UK, Ireland and Denmark are not bound by the Blue Card Directive due their 'opt out' based on their respective Protocols (N° 21 and 22) annexed to the Treaties.</w:t>
      </w:r>
    </w:p>
  </w:footnote>
  <w:footnote w:id="7">
    <w:p w:rsidR="007306CA" w:rsidRDefault="00576025">
      <w:pPr>
        <w:pStyle w:val="FootnoteText"/>
        <w:spacing w:after="0"/>
        <w:ind w:left="0" w:firstLine="0"/>
        <w:rPr>
          <w:sz w:val="18"/>
          <w:szCs w:val="18"/>
          <w:lang w:val="en-US"/>
        </w:rPr>
      </w:pPr>
      <w:r>
        <w:rPr>
          <w:rStyle w:val="FootnoteReference"/>
          <w:sz w:val="18"/>
          <w:szCs w:val="18"/>
        </w:rPr>
        <w:footnoteRef/>
      </w:r>
      <w:r>
        <w:rPr>
          <w:sz w:val="18"/>
          <w:szCs w:val="18"/>
        </w:rPr>
        <w:t xml:space="preserve"> Commission Communication of  22 May 201</w:t>
      </w:r>
      <w:r>
        <w:rPr>
          <w:sz w:val="18"/>
          <w:szCs w:val="18"/>
        </w:rPr>
        <w:t xml:space="preserve">4 on the implementation of  Directive 2009/50/EC on the conditions of entry and residence of third-country nationals for the purpose of highly qualified employment (“EU Blue Card”), </w:t>
      </w:r>
      <w:hyperlink r:id="rId2" w:history="1">
        <w:r>
          <w:rPr>
            <w:rStyle w:val="Hyperlink"/>
            <w:sz w:val="18"/>
            <w:szCs w:val="18"/>
          </w:rPr>
          <w:t>COM(2014) 287 final</w:t>
        </w:r>
      </w:hyperlink>
      <w:r>
        <w:rPr>
          <w:sz w:val="18"/>
          <w:szCs w:val="18"/>
        </w:rPr>
        <w:t>.</w:t>
      </w:r>
    </w:p>
  </w:footnote>
  <w:footnote w:id="8">
    <w:p w:rsidR="007306CA" w:rsidRDefault="00576025">
      <w:pPr>
        <w:pStyle w:val="FootnoteText"/>
        <w:spacing w:after="0"/>
        <w:ind w:left="0" w:firstLine="0"/>
        <w:rPr>
          <w:sz w:val="18"/>
          <w:szCs w:val="18"/>
        </w:rPr>
      </w:pPr>
      <w:r>
        <w:rPr>
          <w:rStyle w:val="FootnoteReference"/>
          <w:sz w:val="18"/>
          <w:szCs w:val="18"/>
        </w:rPr>
        <w:footnoteRef/>
      </w:r>
      <w:r>
        <w:rPr>
          <w:sz w:val="18"/>
          <w:szCs w:val="18"/>
        </w:rPr>
        <w:t xml:space="preserve"> </w:t>
      </w:r>
      <w:hyperlink r:id="rId3" w:history="1">
        <w:r>
          <w:rPr>
            <w:rStyle w:val="Hyperlink"/>
            <w:sz w:val="18"/>
            <w:szCs w:val="18"/>
          </w:rPr>
          <w:t>http://ec.europa.eu/priorities/sites/beta-political/files/juncker-political-guidelines_en.pdf</w:t>
        </w:r>
      </w:hyperlink>
      <w:r>
        <w:rPr>
          <w:sz w:val="18"/>
          <w:szCs w:val="18"/>
        </w:rPr>
        <w:t>.</w:t>
      </w:r>
    </w:p>
  </w:footnote>
  <w:footnote w:id="9">
    <w:p w:rsidR="007306CA" w:rsidRDefault="00576025">
      <w:pPr>
        <w:pStyle w:val="FootnoteText"/>
        <w:spacing w:after="0"/>
        <w:ind w:left="0" w:firstLine="0"/>
        <w:rPr>
          <w:sz w:val="18"/>
          <w:szCs w:val="18"/>
        </w:rPr>
      </w:pPr>
      <w:r>
        <w:rPr>
          <w:rStyle w:val="FootnoteReference"/>
          <w:sz w:val="18"/>
          <w:szCs w:val="18"/>
        </w:rPr>
        <w:footnoteRef/>
      </w:r>
      <w:r>
        <w:rPr>
          <w:sz w:val="18"/>
          <w:szCs w:val="18"/>
        </w:rPr>
        <w:t xml:space="preserve"> Commission Comm</w:t>
      </w:r>
      <w:r>
        <w:rPr>
          <w:sz w:val="18"/>
          <w:szCs w:val="18"/>
        </w:rPr>
        <w:t xml:space="preserve">unication of 13 May 2015, A European Agenda On Migration, </w:t>
      </w:r>
      <w:hyperlink r:id="rId4" w:history="1">
        <w:r>
          <w:rPr>
            <w:rStyle w:val="Hyperlink"/>
            <w:sz w:val="18"/>
            <w:szCs w:val="18"/>
          </w:rPr>
          <w:t xml:space="preserve">COM(2015) 240 </w:t>
        </w:r>
        <w:r>
          <w:rPr>
            <w:rStyle w:val="Hyperlink"/>
            <w:sz w:val="18"/>
            <w:szCs w:val="18"/>
          </w:rPr>
          <w:t>final</w:t>
        </w:r>
      </w:hyperlink>
      <w:r>
        <w:rPr>
          <w:rStyle w:val="Hyperlink"/>
          <w:sz w:val="18"/>
          <w:szCs w:val="18"/>
        </w:rPr>
        <w:t>.</w:t>
      </w:r>
    </w:p>
  </w:footnote>
  <w:footnote w:id="10">
    <w:p w:rsidR="007306CA" w:rsidRDefault="00576025">
      <w:pPr>
        <w:pStyle w:val="FootnoteText"/>
        <w:spacing w:after="0"/>
        <w:ind w:left="0" w:firstLine="0"/>
        <w:rPr>
          <w:sz w:val="18"/>
          <w:szCs w:val="18"/>
        </w:rPr>
      </w:pPr>
      <w:r>
        <w:rPr>
          <w:rStyle w:val="FootnoteReference"/>
          <w:sz w:val="18"/>
          <w:szCs w:val="18"/>
        </w:rPr>
        <w:footnoteRef/>
      </w:r>
      <w:r>
        <w:rPr>
          <w:sz w:val="18"/>
          <w:szCs w:val="18"/>
        </w:rPr>
        <w:t xml:space="preserve"> The legal instruments adopted in 2014 — the Seasonal Workers and the Intra-Corporate Transferees Directives (ICT) — have a higher degree of harmonisation compared to earlier Directives; moreover, the ICT Directive also contains provisions that facilitate </w:t>
      </w:r>
      <w:r>
        <w:rPr>
          <w:sz w:val="18"/>
          <w:szCs w:val="18"/>
        </w:rPr>
        <w:t xml:space="preserve">considerably the mobility of ICTs across EU Member States. </w:t>
      </w:r>
    </w:p>
  </w:footnote>
  <w:footnote w:id="11">
    <w:p w:rsidR="007306CA" w:rsidRDefault="00576025">
      <w:pPr>
        <w:pStyle w:val="FootnoteText"/>
        <w:spacing w:after="0"/>
        <w:ind w:left="0" w:firstLine="0"/>
        <w:rPr>
          <w:sz w:val="18"/>
          <w:szCs w:val="18"/>
        </w:rPr>
      </w:pPr>
      <w:r>
        <w:rPr>
          <w:rStyle w:val="FootnoteReference"/>
          <w:rFonts w:eastAsiaTheme="majorEastAsia"/>
          <w:sz w:val="18"/>
          <w:szCs w:val="18"/>
        </w:rPr>
        <w:footnoteRef/>
      </w:r>
      <w:r>
        <w:rPr>
          <w:sz w:val="18"/>
          <w:szCs w:val="18"/>
        </w:rPr>
        <w:t xml:space="preserve"> See Annex 4 for relevant data and statistics on EU demographic trends.</w:t>
      </w:r>
    </w:p>
  </w:footnote>
  <w:footnote w:id="12">
    <w:p w:rsidR="007306CA" w:rsidRDefault="00576025">
      <w:pPr>
        <w:spacing w:after="0"/>
        <w:rPr>
          <w:sz w:val="18"/>
          <w:szCs w:val="18"/>
        </w:rPr>
      </w:pPr>
      <w:r>
        <w:rPr>
          <w:rStyle w:val="FootnoteReference"/>
          <w:sz w:val="18"/>
          <w:szCs w:val="18"/>
        </w:rPr>
        <w:footnoteRef/>
      </w:r>
      <w:r>
        <w:rPr>
          <w:sz w:val="18"/>
          <w:szCs w:val="18"/>
        </w:rPr>
        <w:t xml:space="preserve"> According to Eurostat data, during 2015, </w:t>
      </w:r>
      <w:r>
        <w:rPr>
          <w:sz w:val="18"/>
          <w:szCs w:val="18"/>
          <w:lang w:eastAsia="en-GB"/>
        </w:rPr>
        <w:t xml:space="preserve">1 255 640 </w:t>
      </w:r>
      <w:r>
        <w:rPr>
          <w:sz w:val="18"/>
          <w:szCs w:val="18"/>
        </w:rPr>
        <w:t>persons asked for asylum in the EU for the first time – more than doub</w:t>
      </w:r>
      <w:r>
        <w:rPr>
          <w:sz w:val="18"/>
          <w:szCs w:val="18"/>
        </w:rPr>
        <w:t>le than during 2014 (562 680</w:t>
      </w:r>
      <w:r>
        <w:rPr>
          <w:sz w:val="18"/>
          <w:szCs w:val="18"/>
          <w:lang w:eastAsia="en-GB"/>
        </w:rPr>
        <w:t>).</w:t>
      </w:r>
    </w:p>
  </w:footnote>
  <w:footnote w:id="13">
    <w:p w:rsidR="007306CA" w:rsidRDefault="00576025">
      <w:pPr>
        <w:spacing w:after="0"/>
        <w:rPr>
          <w:sz w:val="18"/>
          <w:szCs w:val="18"/>
        </w:rPr>
      </w:pPr>
      <w:r>
        <w:rPr>
          <w:rStyle w:val="FootnoteReference"/>
          <w:sz w:val="18"/>
          <w:szCs w:val="18"/>
        </w:rPr>
        <w:footnoteRef/>
      </w:r>
      <w:r>
        <w:rPr>
          <w:sz w:val="18"/>
          <w:szCs w:val="18"/>
        </w:rPr>
        <w:t xml:space="preserve"> </w:t>
      </w:r>
      <w:r>
        <w:rPr>
          <w:sz w:val="18"/>
          <w:szCs w:val="18"/>
          <w:lang w:eastAsia="en-GB"/>
        </w:rPr>
        <w:t>Only around half of asylum applicants are granted international protection (according to Commission calculations published in Autumn economic forecasts, the acceptance rate of asylum requests was 45 % in 2014 and expected t</w:t>
      </w:r>
      <w:r>
        <w:rPr>
          <w:sz w:val="18"/>
          <w:szCs w:val="18"/>
          <w:lang w:eastAsia="en-GB"/>
        </w:rPr>
        <w:t xml:space="preserve">o increase to about 50 % in 2015). This means that even in 2015, the increase in population constituted by beneficiaries of international protection would represent only around 0.1 % of total EU population. </w:t>
      </w:r>
    </w:p>
  </w:footnote>
  <w:footnote w:id="14">
    <w:p w:rsidR="007306CA" w:rsidRDefault="00576025">
      <w:pPr>
        <w:pStyle w:val="Default"/>
        <w:jc w:val="both"/>
        <w:rPr>
          <w:sz w:val="18"/>
          <w:szCs w:val="18"/>
        </w:rPr>
      </w:pPr>
      <w:r>
        <w:rPr>
          <w:rStyle w:val="FootnoteReference"/>
          <w:sz w:val="18"/>
          <w:szCs w:val="18"/>
        </w:rPr>
        <w:footnoteRef/>
      </w:r>
      <w:r>
        <w:rPr>
          <w:sz w:val="18"/>
          <w:szCs w:val="18"/>
        </w:rPr>
        <w:t xml:space="preserve"> </w:t>
      </w:r>
      <w:r>
        <w:rPr>
          <w:rFonts w:eastAsia="Calibri"/>
          <w:sz w:val="18"/>
          <w:szCs w:val="18"/>
        </w:rPr>
        <w:t>Compared to other third-country migrants, refu</w:t>
      </w:r>
      <w:r>
        <w:rPr>
          <w:rFonts w:eastAsia="Calibri"/>
          <w:sz w:val="18"/>
          <w:szCs w:val="18"/>
        </w:rPr>
        <w:t xml:space="preserve">gees face a number of particular barriers to accessing the labour market, leading to strong under-employment in the host countries and a long time before they catch up with other migrant categories. See: </w:t>
      </w:r>
      <w:r>
        <w:rPr>
          <w:sz w:val="18"/>
          <w:szCs w:val="18"/>
        </w:rPr>
        <w:t>OECD Migration Policy Debates, "</w:t>
      </w:r>
      <w:hyperlink r:id="rId5" w:history="1">
        <w:r>
          <w:rPr>
            <w:rStyle w:val="Hyperlink"/>
            <w:sz w:val="18"/>
            <w:szCs w:val="18"/>
          </w:rPr>
          <w:t>Is this humanitarian migration crisis different?</w:t>
        </w:r>
      </w:hyperlink>
      <w:r>
        <w:rPr>
          <w:sz w:val="18"/>
          <w:szCs w:val="18"/>
        </w:rPr>
        <w:t>", No7, September 2015 and "</w:t>
      </w:r>
      <w:hyperlink r:id="rId6" w:history="1">
        <w:r>
          <w:rPr>
            <w:rStyle w:val="Hyperlink"/>
            <w:sz w:val="18"/>
            <w:szCs w:val="18"/>
          </w:rPr>
          <w:t>How will th</w:t>
        </w:r>
        <w:r>
          <w:rPr>
            <w:rStyle w:val="Hyperlink"/>
            <w:sz w:val="18"/>
            <w:szCs w:val="18"/>
          </w:rPr>
          <w:t>e refugee surge affect the European economy?</w:t>
        </w:r>
      </w:hyperlink>
      <w:r>
        <w:rPr>
          <w:sz w:val="18"/>
          <w:szCs w:val="18"/>
        </w:rPr>
        <w:t xml:space="preserve">", No8, November 2015; </w:t>
      </w:r>
      <w:r>
        <w:rPr>
          <w:rFonts w:eastAsia="Calibri"/>
          <w:sz w:val="18"/>
          <w:szCs w:val="18"/>
        </w:rPr>
        <w:t>European Commission (2016),  Chapter "</w:t>
      </w:r>
      <w:r>
        <w:rPr>
          <w:sz w:val="18"/>
          <w:szCs w:val="18"/>
        </w:rPr>
        <w:t xml:space="preserve"> Mobility and Migration in the EU: Opportunities and Challenges</w:t>
      </w:r>
      <w:r>
        <w:rPr>
          <w:rFonts w:eastAsia="Calibri"/>
          <w:sz w:val="18"/>
          <w:szCs w:val="18"/>
        </w:rPr>
        <w:t xml:space="preserve">" in </w:t>
      </w:r>
      <w:r>
        <w:rPr>
          <w:rFonts w:eastAsia="Calibri"/>
          <w:i/>
          <w:sz w:val="18"/>
          <w:szCs w:val="18"/>
        </w:rPr>
        <w:t xml:space="preserve">Employment and Social Developments in Europe 2015 </w:t>
      </w:r>
      <w:r>
        <w:rPr>
          <w:rFonts w:eastAsia="Calibri"/>
          <w:sz w:val="18"/>
          <w:szCs w:val="18"/>
        </w:rPr>
        <w:t>(ESDE 2016); European Commission,</w:t>
      </w:r>
      <w:r>
        <w:rPr>
          <w:rFonts w:eastAsia="Calibri"/>
          <w:sz w:val="18"/>
          <w:szCs w:val="18"/>
        </w:rPr>
        <w:t xml:space="preserve"> </w:t>
      </w:r>
      <w:r>
        <w:rPr>
          <w:rFonts w:eastAsia="Calibri"/>
          <w:i/>
          <w:sz w:val="18"/>
          <w:szCs w:val="18"/>
        </w:rPr>
        <w:t>European Economic Forecast</w:t>
      </w:r>
      <w:r>
        <w:rPr>
          <w:rFonts w:eastAsia="Calibri"/>
          <w:sz w:val="18"/>
          <w:szCs w:val="18"/>
        </w:rPr>
        <w:t xml:space="preserve">, Autumn 2015 (see </w:t>
      </w:r>
      <w:hyperlink r:id="rId7" w:history="1">
        <w:r>
          <w:rPr>
            <w:rStyle w:val="Hyperlink"/>
            <w:iCs/>
            <w:sz w:val="18"/>
            <w:szCs w:val="18"/>
          </w:rPr>
          <w:t>Box I.1: A first assessment of the macroeconomic impact of the refugee influx</w:t>
        </w:r>
      </w:hyperlink>
      <w:r>
        <w:rPr>
          <w:iCs/>
          <w:sz w:val="18"/>
          <w:szCs w:val="18"/>
        </w:rPr>
        <w:t>); IMF Staff Discussion note, "</w:t>
      </w:r>
      <w:hyperlink r:id="rId8" w:history="1">
        <w:r>
          <w:rPr>
            <w:rStyle w:val="Hyperlink"/>
            <w:iCs/>
            <w:sz w:val="18"/>
            <w:szCs w:val="18"/>
          </w:rPr>
          <w:t>The Refugee Surge in Europe: Economic Challenges</w:t>
        </w:r>
      </w:hyperlink>
      <w:r>
        <w:rPr>
          <w:iCs/>
          <w:sz w:val="18"/>
          <w:szCs w:val="18"/>
        </w:rPr>
        <w:t>", January 2016.</w:t>
      </w:r>
    </w:p>
  </w:footnote>
  <w:footnote w:id="15">
    <w:p w:rsidR="007306CA" w:rsidRDefault="00576025">
      <w:pPr>
        <w:spacing w:after="0"/>
        <w:rPr>
          <w:sz w:val="18"/>
          <w:szCs w:val="18"/>
        </w:rPr>
      </w:pPr>
      <w:r>
        <w:rPr>
          <w:rStyle w:val="FootnoteReference"/>
          <w:sz w:val="18"/>
          <w:szCs w:val="18"/>
        </w:rPr>
        <w:footnoteRef/>
      </w:r>
      <w:r>
        <w:rPr>
          <w:sz w:val="18"/>
          <w:szCs w:val="18"/>
        </w:rPr>
        <w:t xml:space="preserve"> European Commission (2016), “Supporting skills development and matching in the EU” in ESDE (2016).</w:t>
      </w:r>
    </w:p>
  </w:footnote>
  <w:footnote w:id="16">
    <w:p w:rsidR="007306CA" w:rsidRDefault="00576025">
      <w:pPr>
        <w:pStyle w:val="FootnoteText"/>
        <w:spacing w:after="0"/>
        <w:ind w:left="0" w:firstLine="0"/>
        <w:rPr>
          <w:sz w:val="18"/>
          <w:szCs w:val="18"/>
        </w:rPr>
      </w:pPr>
      <w:r>
        <w:rPr>
          <w:rStyle w:val="FootnoteReference"/>
          <w:sz w:val="18"/>
          <w:szCs w:val="18"/>
        </w:rPr>
        <w:footnoteRef/>
      </w:r>
      <w:r>
        <w:rPr>
          <w:sz w:val="18"/>
          <w:szCs w:val="18"/>
        </w:rPr>
        <w:t xml:space="preserve"> European Commission (2014),</w:t>
      </w:r>
      <w:r>
        <w:rPr>
          <w:sz w:val="18"/>
          <w:szCs w:val="18"/>
        </w:rPr>
        <w:t xml:space="preserve"> “EU Skills Panorama”, Analytical Highlight. Focus on Skills Challenges in Europe.</w:t>
      </w:r>
    </w:p>
  </w:footnote>
  <w:footnote w:id="17">
    <w:p w:rsidR="007306CA" w:rsidRDefault="00576025">
      <w:pPr>
        <w:pStyle w:val="FootnoteText"/>
        <w:spacing w:after="0"/>
        <w:ind w:left="0" w:firstLine="0"/>
        <w:rPr>
          <w:sz w:val="18"/>
          <w:szCs w:val="18"/>
        </w:rPr>
      </w:pPr>
      <w:r>
        <w:rPr>
          <w:rStyle w:val="FootnoteReference"/>
          <w:sz w:val="18"/>
          <w:szCs w:val="18"/>
        </w:rPr>
        <w:footnoteRef/>
      </w:r>
      <w:r>
        <w:rPr>
          <w:sz w:val="18"/>
          <w:szCs w:val="18"/>
        </w:rPr>
        <w:t xml:space="preserve"> Including health, ICT, teaching, engineering and administration, see: European Commission (2014), European Vacancy and Recruitment Report.</w:t>
      </w:r>
    </w:p>
  </w:footnote>
  <w:footnote w:id="18">
    <w:p w:rsidR="007306CA" w:rsidRDefault="00576025">
      <w:pPr>
        <w:pStyle w:val="FootnoteText"/>
        <w:spacing w:after="0"/>
        <w:ind w:left="0" w:firstLine="0"/>
        <w:rPr>
          <w:sz w:val="18"/>
          <w:szCs w:val="18"/>
          <w:lang w:val="en-US"/>
        </w:rPr>
      </w:pPr>
      <w:r>
        <w:rPr>
          <w:rStyle w:val="FootnoteReference"/>
          <w:sz w:val="18"/>
          <w:szCs w:val="18"/>
        </w:rPr>
        <w:footnoteRef/>
      </w:r>
      <w:r>
        <w:rPr>
          <w:sz w:val="18"/>
          <w:szCs w:val="18"/>
        </w:rPr>
        <w:t xml:space="preserve"> Occupations with evidence of r</w:t>
      </w:r>
      <w:r>
        <w:rPr>
          <w:sz w:val="18"/>
          <w:szCs w:val="18"/>
        </w:rPr>
        <w:t>ecruitment difficulties, i.e. employers having problems finding and hiring staff to fill vacancies.</w:t>
      </w:r>
    </w:p>
  </w:footnote>
  <w:footnote w:id="19">
    <w:p w:rsidR="007306CA" w:rsidRDefault="00576025">
      <w:pPr>
        <w:pStyle w:val="FootnoteText"/>
        <w:spacing w:after="0"/>
        <w:ind w:left="0" w:firstLine="0"/>
        <w:rPr>
          <w:sz w:val="18"/>
          <w:szCs w:val="18"/>
        </w:rPr>
      </w:pPr>
      <w:r>
        <w:rPr>
          <w:rStyle w:val="FootnoteReference"/>
          <w:sz w:val="18"/>
          <w:szCs w:val="18"/>
        </w:rPr>
        <w:footnoteRef/>
      </w:r>
      <w:r>
        <w:rPr>
          <w:sz w:val="18"/>
          <w:szCs w:val="18"/>
        </w:rPr>
        <w:t xml:space="preserve"> Such as nursing professionals, specialist medical practitioners, mechanical, civil and electrical engineers, software developers and systems analysts, see</w:t>
      </w:r>
      <w:r>
        <w:rPr>
          <w:sz w:val="18"/>
          <w:szCs w:val="18"/>
        </w:rPr>
        <w:t xml:space="preserve"> “Mapping and analysing the bottleneck vacancies in EU labour markets” (September 2014) commissioned by the European Commission.</w:t>
      </w:r>
    </w:p>
  </w:footnote>
  <w:footnote w:id="20">
    <w:p w:rsidR="007306CA" w:rsidRDefault="00576025">
      <w:pPr>
        <w:pStyle w:val="FootnoteText"/>
        <w:spacing w:after="0"/>
        <w:ind w:left="0" w:firstLine="0"/>
        <w:rPr>
          <w:sz w:val="18"/>
          <w:szCs w:val="18"/>
        </w:rPr>
      </w:pPr>
      <w:r>
        <w:rPr>
          <w:rStyle w:val="FootnoteReference"/>
          <w:sz w:val="18"/>
          <w:szCs w:val="18"/>
        </w:rPr>
        <w:footnoteRef/>
      </w:r>
      <w:r>
        <w:rPr>
          <w:sz w:val="18"/>
          <w:szCs w:val="18"/>
        </w:rPr>
        <w:t xml:space="preserve"> CEDEFOP projections 2012-2025; see Annex 4 for more details.</w:t>
      </w:r>
    </w:p>
  </w:footnote>
  <w:footnote w:id="21">
    <w:p w:rsidR="007306CA" w:rsidRDefault="00576025">
      <w:pPr>
        <w:pStyle w:val="FootnoteText"/>
        <w:spacing w:after="0"/>
        <w:ind w:left="0" w:firstLine="0"/>
        <w:rPr>
          <w:sz w:val="18"/>
          <w:szCs w:val="18"/>
        </w:rPr>
      </w:pPr>
      <w:r>
        <w:rPr>
          <w:rStyle w:val="FootnoteReference"/>
          <w:sz w:val="18"/>
          <w:szCs w:val="18"/>
        </w:rPr>
        <w:footnoteRef/>
      </w:r>
      <w:r>
        <w:rPr>
          <w:sz w:val="18"/>
          <w:szCs w:val="18"/>
        </w:rPr>
        <w:t xml:space="preserve"> For example, the number of « digital jobs » is growing by about 100 000 every year, yet the number of skilled IT graduates is not keeping pace. </w:t>
      </w:r>
    </w:p>
  </w:footnote>
  <w:footnote w:id="22">
    <w:p w:rsidR="007306CA" w:rsidRDefault="00576025">
      <w:pPr>
        <w:pStyle w:val="FootnoteText"/>
        <w:spacing w:after="0"/>
        <w:ind w:left="0" w:firstLine="0"/>
        <w:rPr>
          <w:sz w:val="18"/>
          <w:szCs w:val="18"/>
        </w:rPr>
      </w:pPr>
      <w:r>
        <w:rPr>
          <w:rStyle w:val="FootnoteReference"/>
          <w:sz w:val="18"/>
          <w:szCs w:val="18"/>
        </w:rPr>
        <w:footnoteRef/>
      </w:r>
      <w:r>
        <w:rPr>
          <w:sz w:val="18"/>
          <w:szCs w:val="18"/>
        </w:rPr>
        <w:t xml:space="preserve"> See for instance European Parliament (2013), “</w:t>
      </w:r>
      <w:hyperlink r:id="rId9" w:history="1">
        <w:r>
          <w:rPr>
            <w:rStyle w:val="Hyperlink"/>
            <w:sz w:val="18"/>
            <w:szCs w:val="18"/>
          </w:rPr>
          <w:t>Labour Market Shortages in the European Union</w:t>
        </w:r>
      </w:hyperlink>
      <w:r>
        <w:rPr>
          <w:sz w:val="18"/>
          <w:szCs w:val="18"/>
        </w:rPr>
        <w:t>”, p.14 (more details are in Annex 4).</w:t>
      </w:r>
    </w:p>
  </w:footnote>
  <w:footnote w:id="23">
    <w:p w:rsidR="007306CA" w:rsidRDefault="00576025">
      <w:pPr>
        <w:pStyle w:val="FootnoteText"/>
        <w:spacing w:after="0"/>
        <w:ind w:left="0" w:firstLine="0"/>
        <w:rPr>
          <w:sz w:val="18"/>
          <w:szCs w:val="18"/>
        </w:rPr>
      </w:pPr>
      <w:r>
        <w:rPr>
          <w:rStyle w:val="FootnoteReference"/>
          <w:sz w:val="18"/>
          <w:szCs w:val="18"/>
        </w:rPr>
        <w:footnoteRef/>
      </w:r>
      <w:r>
        <w:rPr>
          <w:sz w:val="18"/>
          <w:szCs w:val="18"/>
        </w:rPr>
        <w:t xml:space="preserve"> “Mapping and analysing the bottleneck vacancies in EU labour markets” (September 2014) commissioned by the European Commis</w:t>
      </w:r>
      <w:r>
        <w:rPr>
          <w:sz w:val="18"/>
          <w:szCs w:val="18"/>
        </w:rPr>
        <w:t xml:space="preserve">sion, p.24. </w:t>
      </w:r>
    </w:p>
  </w:footnote>
  <w:footnote w:id="24">
    <w:p w:rsidR="007306CA" w:rsidRDefault="00576025">
      <w:pPr>
        <w:pStyle w:val="FootnoteText"/>
        <w:spacing w:after="0"/>
        <w:ind w:left="0" w:firstLine="0"/>
        <w:rPr>
          <w:sz w:val="18"/>
          <w:szCs w:val="18"/>
        </w:rPr>
      </w:pPr>
      <w:r>
        <w:rPr>
          <w:rStyle w:val="FootnoteReference"/>
          <w:sz w:val="18"/>
          <w:szCs w:val="18"/>
        </w:rPr>
        <w:footnoteRef/>
      </w:r>
      <w:r>
        <w:rPr>
          <w:sz w:val="18"/>
          <w:szCs w:val="18"/>
        </w:rPr>
        <w:t xml:space="preserve"> In 2014 there were around 8 million EU citizens working or looking for work, while living in a member country other than their country of citizenship</w:t>
      </w:r>
      <w:r>
        <w:rPr>
          <w:rStyle w:val="at5"/>
          <w:sz w:val="18"/>
          <w:szCs w:val="18"/>
          <w:bdr w:val="none" w:sz="0" w:space="0" w:color="auto" w:frame="1"/>
        </w:rPr>
        <w:t xml:space="preserve"> Eurostat, Labour Force Survey (LFS), 2014. </w:t>
      </w:r>
    </w:p>
  </w:footnote>
  <w:footnote w:id="25">
    <w:p w:rsidR="007306CA" w:rsidRDefault="00576025">
      <w:pPr>
        <w:pStyle w:val="FootnoteText"/>
        <w:spacing w:after="0"/>
        <w:ind w:left="0" w:firstLine="0"/>
        <w:rPr>
          <w:sz w:val="18"/>
          <w:szCs w:val="18"/>
          <w:lang w:val="fr-BE"/>
        </w:rPr>
      </w:pPr>
      <w:r>
        <w:rPr>
          <w:rStyle w:val="FootnoteReference"/>
          <w:sz w:val="18"/>
          <w:szCs w:val="18"/>
        </w:rPr>
        <w:footnoteRef/>
      </w:r>
      <w:r>
        <w:rPr>
          <w:sz w:val="18"/>
          <w:szCs w:val="18"/>
          <w:lang w:val="fr-BE"/>
        </w:rPr>
        <w:t xml:space="preserve"> </w:t>
      </w:r>
      <w:r>
        <w:rPr>
          <w:rStyle w:val="at5"/>
          <w:sz w:val="18"/>
          <w:szCs w:val="18"/>
          <w:bdr w:val="none" w:sz="0" w:space="0" w:color="auto" w:frame="1"/>
          <w:lang w:val="fr-BE"/>
        </w:rPr>
        <w:t>Eurostat, Labour Force Survey (LFS), 2014.</w:t>
      </w:r>
    </w:p>
  </w:footnote>
  <w:footnote w:id="26">
    <w:p w:rsidR="007306CA" w:rsidRDefault="00576025">
      <w:pPr>
        <w:pStyle w:val="FootnoteText"/>
        <w:spacing w:after="0"/>
        <w:ind w:left="0" w:firstLine="0"/>
        <w:rPr>
          <w:sz w:val="18"/>
          <w:szCs w:val="18"/>
        </w:rPr>
      </w:pPr>
      <w:r>
        <w:rPr>
          <w:rStyle w:val="FootnoteReference"/>
          <w:sz w:val="18"/>
          <w:szCs w:val="18"/>
        </w:rPr>
        <w:footnoteRef/>
      </w:r>
      <w:r>
        <w:rPr>
          <w:sz w:val="18"/>
          <w:szCs w:val="18"/>
        </w:rPr>
        <w:t xml:space="preserve"> </w:t>
      </w:r>
      <w:r>
        <w:rPr>
          <w:sz w:val="18"/>
          <w:szCs w:val="18"/>
        </w:rPr>
        <w:t>OECD (2012) Economic Surveys: European Union 2012, Figure 2.1.</w:t>
      </w:r>
    </w:p>
  </w:footnote>
  <w:footnote w:id="27">
    <w:p w:rsidR="007306CA" w:rsidRDefault="00576025">
      <w:pPr>
        <w:pStyle w:val="FootnoteText"/>
        <w:spacing w:after="0"/>
        <w:ind w:left="0" w:firstLine="0"/>
        <w:rPr>
          <w:sz w:val="18"/>
          <w:szCs w:val="18"/>
          <w:lang w:val="en-US"/>
        </w:rPr>
      </w:pPr>
      <w:r>
        <w:rPr>
          <w:rStyle w:val="FootnoteReference"/>
          <w:sz w:val="18"/>
          <w:szCs w:val="18"/>
        </w:rPr>
        <w:footnoteRef/>
      </w:r>
      <w:r>
        <w:rPr>
          <w:sz w:val="18"/>
          <w:szCs w:val="18"/>
        </w:rPr>
        <w:t xml:space="preserve"> These are workers seconded to another Member State to carry short-term assignments in accordance with Directive 96/71/EC of the European Parliament and of the Council of 16 December 1996 conc</w:t>
      </w:r>
      <w:r>
        <w:rPr>
          <w:sz w:val="18"/>
          <w:szCs w:val="18"/>
        </w:rPr>
        <w:t>erning the posting of workers in the framework of the provision of services.</w:t>
      </w:r>
    </w:p>
  </w:footnote>
  <w:footnote w:id="28">
    <w:p w:rsidR="007306CA" w:rsidRDefault="00576025">
      <w:pPr>
        <w:pStyle w:val="FootnoteText"/>
        <w:spacing w:after="0"/>
        <w:ind w:left="0" w:firstLine="0"/>
        <w:rPr>
          <w:sz w:val="18"/>
          <w:szCs w:val="18"/>
        </w:rPr>
      </w:pPr>
      <w:r>
        <w:rPr>
          <w:rStyle w:val="FootnoteReference"/>
          <w:sz w:val="18"/>
          <w:szCs w:val="18"/>
        </w:rPr>
        <w:footnoteRef/>
      </w:r>
      <w:r>
        <w:rPr>
          <w:sz w:val="18"/>
          <w:szCs w:val="18"/>
        </w:rPr>
        <w:t xml:space="preserve"> See recent evidence in European Commission, ESDE (2016)</w:t>
      </w:r>
      <w:r>
        <w:rPr>
          <w:rFonts w:eastAsia="Calibri"/>
          <w:sz w:val="18"/>
          <w:szCs w:val="18"/>
        </w:rPr>
        <w:t>.</w:t>
      </w:r>
    </w:p>
  </w:footnote>
  <w:footnote w:id="29">
    <w:p w:rsidR="007306CA" w:rsidRDefault="00576025">
      <w:pPr>
        <w:pStyle w:val="FootnoteText"/>
        <w:spacing w:after="0"/>
        <w:ind w:left="0" w:firstLine="0"/>
        <w:rPr>
          <w:sz w:val="18"/>
          <w:szCs w:val="18"/>
          <w:lang w:val="en-US"/>
        </w:rPr>
      </w:pPr>
      <w:r>
        <w:rPr>
          <w:rStyle w:val="FootnoteReference"/>
          <w:sz w:val="18"/>
          <w:szCs w:val="18"/>
        </w:rPr>
        <w:footnoteRef/>
      </w:r>
      <w:r>
        <w:rPr>
          <w:sz w:val="18"/>
          <w:szCs w:val="18"/>
        </w:rPr>
        <w:t xml:space="preserve"> EU-OECD, </w:t>
      </w:r>
      <w:hyperlink r:id="rId10" w:history="1">
        <w:r>
          <w:rPr>
            <w:rStyle w:val="Hyperlink"/>
            <w:sz w:val="18"/>
            <w:szCs w:val="18"/>
          </w:rPr>
          <w:t>Matching economic migration with labour market needs</w:t>
        </w:r>
      </w:hyperlink>
      <w:r>
        <w:rPr>
          <w:sz w:val="18"/>
          <w:szCs w:val="18"/>
        </w:rPr>
        <w:t>’, 2014. Note that the definition of migrants used in these calculations includes intra-EU mobile workers. Estimations of the break down between EU and non-EU migrants</w:t>
      </w:r>
      <w:r>
        <w:rPr>
          <w:sz w:val="18"/>
          <w:szCs w:val="18"/>
        </w:rPr>
        <w:t xml:space="preserve"> show that they contribute almost equally to filling entries into growing occupations.   </w:t>
      </w:r>
    </w:p>
  </w:footnote>
  <w:footnote w:id="30">
    <w:p w:rsidR="007306CA" w:rsidRDefault="00576025">
      <w:pPr>
        <w:pStyle w:val="FootnoteText"/>
        <w:spacing w:after="0"/>
        <w:ind w:left="0" w:firstLine="0"/>
        <w:rPr>
          <w:sz w:val="18"/>
          <w:szCs w:val="18"/>
        </w:rPr>
      </w:pPr>
      <w:r>
        <w:rPr>
          <w:rStyle w:val="FootnoteReference"/>
          <w:sz w:val="18"/>
          <w:szCs w:val="18"/>
        </w:rPr>
        <w:footnoteRef/>
      </w:r>
      <w:r>
        <w:rPr>
          <w:sz w:val="18"/>
          <w:szCs w:val="18"/>
        </w:rPr>
        <w:t xml:space="preserve"> For example, the Marie Skłodowska-Curie actions (part of the Horizon 2020 framework programme for research and innovation) alone will attract around 15 000 third-co</w:t>
      </w:r>
      <w:r>
        <w:rPr>
          <w:sz w:val="18"/>
          <w:szCs w:val="18"/>
        </w:rPr>
        <w:t>untry researchers to the EU in the period 2014-20.</w:t>
      </w:r>
    </w:p>
  </w:footnote>
  <w:footnote w:id="31">
    <w:p w:rsidR="007306CA" w:rsidRDefault="00576025">
      <w:pPr>
        <w:pStyle w:val="FootnoteText"/>
        <w:spacing w:after="0"/>
        <w:ind w:left="0" w:firstLine="0"/>
        <w:rPr>
          <w:sz w:val="18"/>
          <w:szCs w:val="18"/>
        </w:rPr>
      </w:pPr>
      <w:r>
        <w:rPr>
          <w:rStyle w:val="FootnoteReference"/>
          <w:sz w:val="18"/>
          <w:szCs w:val="18"/>
        </w:rPr>
        <w:footnoteRef/>
      </w:r>
      <w:r>
        <w:rPr>
          <w:sz w:val="18"/>
          <w:szCs w:val="18"/>
        </w:rPr>
        <w:t xml:space="preserve"> See Annex 2, section 2.3.1, question 3.</w:t>
      </w:r>
    </w:p>
  </w:footnote>
  <w:footnote w:id="32">
    <w:p w:rsidR="007306CA" w:rsidRDefault="00576025">
      <w:pPr>
        <w:pStyle w:val="FootnoteText"/>
        <w:spacing w:after="0"/>
        <w:ind w:left="0" w:firstLine="0"/>
        <w:rPr>
          <w:sz w:val="18"/>
          <w:szCs w:val="18"/>
        </w:rPr>
      </w:pPr>
      <w:r>
        <w:rPr>
          <w:rStyle w:val="FootnoteReference"/>
          <w:sz w:val="18"/>
          <w:szCs w:val="18"/>
        </w:rPr>
        <w:footnoteRef/>
      </w:r>
      <w:r>
        <w:rPr>
          <w:sz w:val="18"/>
          <w:szCs w:val="18"/>
        </w:rPr>
        <w:t xml:space="preserve"> See Annex 8 for more details and figures.</w:t>
      </w:r>
    </w:p>
  </w:footnote>
  <w:footnote w:id="33">
    <w:p w:rsidR="007306CA" w:rsidRDefault="00576025">
      <w:pPr>
        <w:pStyle w:val="FootnoteText"/>
        <w:spacing w:after="0"/>
        <w:ind w:left="0" w:firstLine="0"/>
        <w:rPr>
          <w:sz w:val="18"/>
          <w:szCs w:val="18"/>
        </w:rPr>
      </w:pPr>
      <w:r>
        <w:rPr>
          <w:rStyle w:val="FootnoteReference"/>
          <w:sz w:val="18"/>
          <w:szCs w:val="18"/>
        </w:rPr>
        <w:footnoteRef/>
      </w:r>
      <w:r>
        <w:rPr>
          <w:sz w:val="18"/>
          <w:szCs w:val="18"/>
        </w:rPr>
        <w:t xml:space="preserve"> OECD, </w:t>
      </w:r>
      <w:hyperlink r:id="rId11" w:history="1">
        <w:r>
          <w:rPr>
            <w:rStyle w:val="Hyperlink"/>
            <w:sz w:val="18"/>
            <w:szCs w:val="18"/>
          </w:rPr>
          <w:t>Th</w:t>
        </w:r>
        <w:r>
          <w:rPr>
            <w:rStyle w:val="Hyperlink"/>
            <w:sz w:val="18"/>
            <w:szCs w:val="18"/>
          </w:rPr>
          <w:t>e Global Competition for Talent. Mobility of the Highly Skilled</w:t>
        </w:r>
      </w:hyperlink>
      <w:r>
        <w:rPr>
          <w:sz w:val="18"/>
          <w:szCs w:val="18"/>
        </w:rPr>
        <w:t>, 2008, p. 19.</w:t>
      </w:r>
    </w:p>
  </w:footnote>
  <w:footnote w:id="34">
    <w:p w:rsidR="007306CA" w:rsidRDefault="00576025">
      <w:pPr>
        <w:pStyle w:val="FootnoteText"/>
        <w:spacing w:after="0"/>
        <w:ind w:left="0" w:firstLine="0"/>
        <w:rPr>
          <w:sz w:val="18"/>
          <w:szCs w:val="18"/>
        </w:rPr>
      </w:pPr>
      <w:r>
        <w:rPr>
          <w:rStyle w:val="FootnoteReference"/>
          <w:sz w:val="18"/>
          <w:szCs w:val="18"/>
        </w:rPr>
        <w:footnoteRef/>
      </w:r>
      <w:r>
        <w:rPr>
          <w:sz w:val="18"/>
          <w:szCs w:val="18"/>
        </w:rPr>
        <w:t xml:space="preserve"> OECD, </w:t>
      </w:r>
      <w:hyperlink r:id="rId12" w:history="1">
        <w:r>
          <w:rPr>
            <w:rStyle w:val="Hyperlink"/>
            <w:sz w:val="18"/>
            <w:szCs w:val="18"/>
          </w:rPr>
          <w:t>Education Indicators in Focus</w:t>
        </w:r>
      </w:hyperlink>
      <w:r>
        <w:rPr>
          <w:sz w:val="18"/>
          <w:szCs w:val="18"/>
        </w:rPr>
        <w:t>, 2012/05.</w:t>
      </w:r>
    </w:p>
  </w:footnote>
  <w:footnote w:id="35">
    <w:p w:rsidR="007306CA" w:rsidRDefault="00576025">
      <w:pPr>
        <w:pStyle w:val="FootnoteText"/>
        <w:spacing w:after="0"/>
        <w:ind w:left="0" w:firstLine="0"/>
        <w:rPr>
          <w:sz w:val="18"/>
          <w:szCs w:val="18"/>
          <w:lang w:val="en-US"/>
        </w:rPr>
      </w:pPr>
      <w:r>
        <w:rPr>
          <w:rStyle w:val="FootnoteReference"/>
          <w:sz w:val="18"/>
          <w:szCs w:val="18"/>
        </w:rPr>
        <w:footnoteRef/>
      </w:r>
      <w:r>
        <w:rPr>
          <w:sz w:val="18"/>
          <w:szCs w:val="18"/>
        </w:rPr>
        <w:t xml:space="preserve"> Commission Communication of 11 July 2013, "</w:t>
      </w:r>
      <w:hyperlink r:id="rId13" w:history="1">
        <w:r>
          <w:rPr>
            <w:rStyle w:val="Hyperlink"/>
            <w:sz w:val="18"/>
            <w:szCs w:val="18"/>
          </w:rPr>
          <w:t>European higher education in the world</w:t>
        </w:r>
      </w:hyperlink>
      <w:r>
        <w:rPr>
          <w:sz w:val="18"/>
          <w:szCs w:val="18"/>
        </w:rPr>
        <w:t>", COM(2013) 499 final.</w:t>
      </w:r>
    </w:p>
  </w:footnote>
  <w:footnote w:id="36">
    <w:p w:rsidR="007306CA" w:rsidRDefault="00576025">
      <w:pPr>
        <w:pStyle w:val="FootnoteText"/>
        <w:spacing w:after="0"/>
        <w:ind w:left="0" w:firstLine="0"/>
        <w:rPr>
          <w:sz w:val="18"/>
          <w:szCs w:val="18"/>
        </w:rPr>
      </w:pPr>
      <w:r>
        <w:rPr>
          <w:rStyle w:val="FootnoteReference"/>
          <w:sz w:val="18"/>
          <w:szCs w:val="18"/>
        </w:rPr>
        <w:footnoteRef/>
      </w:r>
      <w:r>
        <w:rPr>
          <w:sz w:val="18"/>
          <w:szCs w:val="18"/>
        </w:rPr>
        <w:t xml:space="preserve"> Rinne, U., "The Evaluation of Immigration Policies", </w:t>
      </w:r>
      <w:r>
        <w:rPr>
          <w:i/>
          <w:sz w:val="18"/>
          <w:szCs w:val="18"/>
        </w:rPr>
        <w:t xml:space="preserve">IZA Discussion Paper, </w:t>
      </w:r>
      <w:r>
        <w:rPr>
          <w:sz w:val="18"/>
          <w:szCs w:val="18"/>
        </w:rPr>
        <w:t>2012.</w:t>
      </w:r>
    </w:p>
  </w:footnote>
  <w:footnote w:id="37">
    <w:p w:rsidR="007306CA" w:rsidRDefault="00576025">
      <w:pPr>
        <w:spacing w:after="0"/>
        <w:rPr>
          <w:sz w:val="18"/>
          <w:szCs w:val="18"/>
        </w:rPr>
      </w:pPr>
      <w:r>
        <w:rPr>
          <w:rStyle w:val="FootnoteReference"/>
          <w:sz w:val="18"/>
          <w:szCs w:val="18"/>
        </w:rPr>
        <w:footnoteRef/>
      </w:r>
      <w:r>
        <w:rPr>
          <w:sz w:val="18"/>
          <w:szCs w:val="18"/>
        </w:rPr>
        <w:t xml:space="preserve"> </w:t>
      </w:r>
      <w:r>
        <w:rPr>
          <w:iCs/>
          <w:sz w:val="18"/>
          <w:szCs w:val="18"/>
        </w:rPr>
        <w:t>According to t</w:t>
      </w:r>
      <w:r>
        <w:rPr>
          <w:iCs/>
          <w:sz w:val="18"/>
          <w:szCs w:val="18"/>
        </w:rPr>
        <w:t>he Gallup World Poll, 33 % of highly-qualified TCN intending to migrate in the next 12 months would like to move to the EU/EEA (11 million people), compared to 19 % to the US.</w:t>
      </w:r>
    </w:p>
  </w:footnote>
  <w:footnote w:id="38">
    <w:p w:rsidR="007306CA" w:rsidRDefault="00576025">
      <w:pPr>
        <w:pStyle w:val="FootnoteText"/>
        <w:spacing w:after="0"/>
        <w:ind w:left="0" w:firstLine="0"/>
        <w:rPr>
          <w:sz w:val="18"/>
          <w:szCs w:val="18"/>
        </w:rPr>
      </w:pPr>
      <w:r>
        <w:rPr>
          <w:rStyle w:val="FootnoteReference"/>
          <w:sz w:val="18"/>
          <w:szCs w:val="18"/>
        </w:rPr>
        <w:footnoteRef/>
      </w:r>
      <w:r>
        <w:rPr>
          <w:sz w:val="18"/>
          <w:szCs w:val="18"/>
        </w:rPr>
        <w:t xml:space="preserve"> In 2014, 38 774 permits (including EU Blue Cards and national permits) were is</w:t>
      </w:r>
      <w:r>
        <w:rPr>
          <w:sz w:val="18"/>
          <w:szCs w:val="18"/>
        </w:rPr>
        <w:t xml:space="preserve">sued to highly skilled third-country nationals. See section 2.1 for more details. </w:t>
      </w:r>
    </w:p>
  </w:footnote>
  <w:footnote w:id="39">
    <w:p w:rsidR="007306CA" w:rsidRDefault="00576025">
      <w:pPr>
        <w:spacing w:after="0"/>
        <w:rPr>
          <w:sz w:val="18"/>
          <w:szCs w:val="18"/>
        </w:rPr>
      </w:pPr>
      <w:r>
        <w:rPr>
          <w:rStyle w:val="FootnoteReference"/>
          <w:sz w:val="18"/>
          <w:szCs w:val="18"/>
        </w:rPr>
        <w:footnoteRef/>
      </w:r>
      <w:r>
        <w:rPr>
          <w:sz w:val="18"/>
          <w:szCs w:val="18"/>
        </w:rPr>
        <w:t xml:space="preserve"> Senne, J.-N. and David, A., </w:t>
      </w:r>
      <w:r>
        <w:rPr>
          <w:i/>
          <w:sz w:val="18"/>
          <w:szCs w:val="18"/>
        </w:rPr>
        <w:t>General Context and Contribution of Labour Migration in Europe</w:t>
      </w:r>
      <w:r>
        <w:rPr>
          <w:sz w:val="18"/>
          <w:szCs w:val="18"/>
        </w:rPr>
        <w:t xml:space="preserve">, OECD 2016, </w:t>
      </w:r>
      <w:r>
        <w:rPr>
          <w:i/>
          <w:sz w:val="18"/>
          <w:szCs w:val="18"/>
        </w:rPr>
        <w:t>forthcoming.</w:t>
      </w:r>
      <w:r>
        <w:rPr>
          <w:sz w:val="18"/>
          <w:szCs w:val="18"/>
        </w:rPr>
        <w:t xml:space="preserve">  </w:t>
      </w:r>
    </w:p>
  </w:footnote>
  <w:footnote w:id="40">
    <w:p w:rsidR="007306CA" w:rsidRDefault="00576025">
      <w:pPr>
        <w:pStyle w:val="FootnoteText"/>
        <w:spacing w:after="0"/>
        <w:ind w:left="0" w:firstLine="0"/>
        <w:rPr>
          <w:sz w:val="18"/>
          <w:szCs w:val="18"/>
        </w:rPr>
      </w:pPr>
      <w:r>
        <w:rPr>
          <w:rStyle w:val="FootnoteReference"/>
          <w:sz w:val="18"/>
          <w:szCs w:val="18"/>
        </w:rPr>
        <w:footnoteRef/>
      </w:r>
      <w:r>
        <w:rPr>
          <w:sz w:val="18"/>
          <w:szCs w:val="18"/>
        </w:rPr>
        <w:t xml:space="preserve"> OECD (2015) International Migration Outlook, Figure</w:t>
      </w:r>
      <w:r>
        <w:rPr>
          <w:sz w:val="18"/>
          <w:szCs w:val="18"/>
        </w:rPr>
        <w:t xml:space="preserve"> 1.3.</w:t>
      </w:r>
    </w:p>
  </w:footnote>
  <w:footnote w:id="41">
    <w:p w:rsidR="007306CA" w:rsidRDefault="00576025">
      <w:pPr>
        <w:pStyle w:val="FootnoteText"/>
        <w:spacing w:after="0"/>
        <w:ind w:left="0" w:firstLine="0"/>
        <w:rPr>
          <w:sz w:val="18"/>
          <w:szCs w:val="18"/>
        </w:rPr>
      </w:pPr>
      <w:r>
        <w:rPr>
          <w:rStyle w:val="FootnoteReference"/>
          <w:sz w:val="18"/>
          <w:szCs w:val="18"/>
        </w:rPr>
        <w:footnoteRef/>
      </w:r>
      <w:r>
        <w:rPr>
          <w:sz w:val="18"/>
          <w:szCs w:val="18"/>
        </w:rPr>
        <w:t xml:space="preserve"> This figure includes permanent green cards for extraordinary talents (EB-1) and H-1B visas for temporary specialised work.</w:t>
      </w:r>
    </w:p>
  </w:footnote>
  <w:footnote w:id="42">
    <w:p w:rsidR="007306CA" w:rsidRDefault="00576025">
      <w:pPr>
        <w:pStyle w:val="FootnoteText"/>
        <w:spacing w:after="0"/>
        <w:ind w:left="0" w:firstLine="0"/>
        <w:rPr>
          <w:sz w:val="18"/>
          <w:szCs w:val="18"/>
        </w:rPr>
      </w:pPr>
      <w:r>
        <w:rPr>
          <w:rStyle w:val="FootnoteReference"/>
          <w:sz w:val="18"/>
          <w:szCs w:val="18"/>
        </w:rPr>
        <w:footnoteRef/>
      </w:r>
      <w:r>
        <w:rPr>
          <w:sz w:val="18"/>
          <w:szCs w:val="18"/>
        </w:rPr>
        <w:t xml:space="preserve"> OECD (2015) International Migration Outlook, Figure 1.3. This gap is even larger if only EU Member States implementing the </w:t>
      </w:r>
      <w:r>
        <w:rPr>
          <w:sz w:val="18"/>
          <w:szCs w:val="18"/>
        </w:rPr>
        <w:t xml:space="preserve">Blue Card are considered (i.e. if the UK and Denmark – which are not bound by the Blue Card Directive - having larger than EU average rates are excluded from the calculations). </w:t>
      </w:r>
    </w:p>
  </w:footnote>
  <w:footnote w:id="43">
    <w:p w:rsidR="007306CA" w:rsidRDefault="00576025">
      <w:pPr>
        <w:pStyle w:val="FootnoteText"/>
        <w:spacing w:after="0"/>
        <w:ind w:left="0" w:firstLine="0"/>
        <w:rPr>
          <w:sz w:val="18"/>
          <w:szCs w:val="18"/>
          <w:lang w:val="en-US"/>
        </w:rPr>
      </w:pPr>
      <w:r>
        <w:rPr>
          <w:rStyle w:val="FootnoteReference"/>
          <w:sz w:val="18"/>
          <w:szCs w:val="18"/>
        </w:rPr>
        <w:footnoteRef/>
      </w:r>
      <w:r>
        <w:rPr>
          <w:sz w:val="18"/>
          <w:szCs w:val="18"/>
        </w:rPr>
        <w:t xml:space="preserve"> For </w:t>
      </w:r>
      <w:r>
        <w:rPr>
          <w:sz w:val="18"/>
          <w:szCs w:val="18"/>
          <w:lang w:val="en-US"/>
        </w:rPr>
        <w:t>more details on procedures and stakeholder consultations see Annexes 1 a</w:t>
      </w:r>
      <w:r>
        <w:rPr>
          <w:sz w:val="18"/>
          <w:szCs w:val="18"/>
          <w:lang w:val="en-US"/>
        </w:rPr>
        <w:t>nd 2.</w:t>
      </w:r>
    </w:p>
  </w:footnote>
  <w:footnote w:id="44">
    <w:p w:rsidR="007306CA" w:rsidRDefault="00576025">
      <w:pPr>
        <w:pStyle w:val="FootnoteText"/>
        <w:spacing w:after="0"/>
        <w:ind w:left="0" w:firstLine="0"/>
        <w:rPr>
          <w:sz w:val="18"/>
          <w:szCs w:val="18"/>
          <w:lang w:val="en-US"/>
        </w:rPr>
      </w:pPr>
      <w:r>
        <w:rPr>
          <w:rStyle w:val="FootnoteReference"/>
          <w:sz w:val="18"/>
          <w:szCs w:val="18"/>
        </w:rPr>
        <w:footnoteRef/>
      </w:r>
      <w:r>
        <w:rPr>
          <w:sz w:val="18"/>
          <w:szCs w:val="18"/>
        </w:rPr>
        <w:t xml:space="preserve"> Contributions were sought and received from EU citizens, organisations and third-country nationals (residing inside or outside the EU) as well as employers (multinationals as well as SMEs), their associations, private and public employment organiza</w:t>
      </w:r>
      <w:r>
        <w:rPr>
          <w:sz w:val="18"/>
          <w:szCs w:val="18"/>
        </w:rPr>
        <w:t>tions, trade unions, ministries, regional and local authorities, media workers, academics, international organisations, organisations or authorities of the countries of origin, social partners and other civil society actors.</w:t>
      </w:r>
    </w:p>
  </w:footnote>
  <w:footnote w:id="45">
    <w:p w:rsidR="007306CA" w:rsidRDefault="00576025">
      <w:pPr>
        <w:pStyle w:val="FootnoteText"/>
        <w:spacing w:after="0"/>
        <w:ind w:left="0" w:firstLine="0"/>
        <w:rPr>
          <w:sz w:val="18"/>
          <w:szCs w:val="18"/>
          <w:lang w:val="en-US"/>
        </w:rPr>
      </w:pPr>
      <w:r>
        <w:rPr>
          <w:rStyle w:val="FootnoteReference"/>
          <w:sz w:val="18"/>
          <w:szCs w:val="18"/>
        </w:rPr>
        <w:footnoteRef/>
      </w:r>
      <w:r>
        <w:rPr>
          <w:sz w:val="18"/>
          <w:szCs w:val="18"/>
        </w:rPr>
        <w:t xml:space="preserve"> Membership, meeting reports a</w:t>
      </w:r>
      <w:r>
        <w:rPr>
          <w:sz w:val="18"/>
          <w:szCs w:val="18"/>
        </w:rPr>
        <w:t xml:space="preserve">nd written contributions publically available on </w:t>
      </w:r>
      <w:r>
        <w:rPr>
          <w:sz w:val="18"/>
          <w:szCs w:val="18"/>
          <w:lang w:val="en-US"/>
        </w:rPr>
        <w:t xml:space="preserve">Register of Commission Expert Groups: </w:t>
      </w:r>
      <w:hyperlink r:id="rId14" w:history="1">
        <w:r>
          <w:rPr>
            <w:rStyle w:val="Hyperlink"/>
            <w:sz w:val="18"/>
            <w:szCs w:val="18"/>
            <w:lang w:val="en-US"/>
          </w:rPr>
          <w:t>E03253</w:t>
        </w:r>
      </w:hyperlink>
      <w:r>
        <w:rPr>
          <w:sz w:val="18"/>
          <w:szCs w:val="18"/>
          <w:lang w:val="en-US"/>
        </w:rPr>
        <w:t>; see also Annex 2.</w:t>
      </w:r>
    </w:p>
  </w:footnote>
  <w:footnote w:id="46">
    <w:p w:rsidR="007306CA" w:rsidRDefault="00576025">
      <w:pPr>
        <w:pStyle w:val="FootnoteText"/>
        <w:spacing w:after="0"/>
        <w:ind w:left="0" w:firstLine="0"/>
        <w:rPr>
          <w:sz w:val="18"/>
          <w:szCs w:val="18"/>
        </w:rPr>
      </w:pPr>
      <w:r>
        <w:rPr>
          <w:rStyle w:val="FootnoteReference"/>
          <w:sz w:val="18"/>
          <w:szCs w:val="18"/>
        </w:rPr>
        <w:footnoteRef/>
      </w:r>
      <w:r>
        <w:rPr>
          <w:sz w:val="18"/>
          <w:szCs w:val="18"/>
        </w:rPr>
        <w:t xml:space="preserve"> See:  </w:t>
      </w:r>
      <w:hyperlink r:id="rId15" w:history="1">
        <w:r>
          <w:rPr>
            <w:rStyle w:val="Hyperlink"/>
            <w:sz w:val="18"/>
            <w:szCs w:val="18"/>
          </w:rPr>
          <w:t>http://ec.europa.eu/dgs/home-affairs/what-we-do/networks/european_migration_network/index_en.htm</w:t>
        </w:r>
      </w:hyperlink>
      <w:r>
        <w:rPr>
          <w:sz w:val="18"/>
          <w:szCs w:val="18"/>
        </w:rPr>
        <w:t>.</w:t>
      </w:r>
    </w:p>
  </w:footnote>
  <w:footnote w:id="47">
    <w:p w:rsidR="007306CA" w:rsidRDefault="00576025">
      <w:pPr>
        <w:pStyle w:val="FootnoteText"/>
        <w:spacing w:after="0"/>
        <w:ind w:left="0" w:firstLine="0"/>
        <w:rPr>
          <w:sz w:val="18"/>
          <w:szCs w:val="18"/>
          <w:lang w:val="en-US"/>
        </w:rPr>
      </w:pPr>
      <w:r>
        <w:rPr>
          <w:rStyle w:val="FootnoteReference"/>
          <w:sz w:val="18"/>
          <w:szCs w:val="18"/>
        </w:rPr>
        <w:footnoteRef/>
      </w:r>
      <w:r>
        <w:rPr>
          <w:sz w:val="18"/>
          <w:szCs w:val="18"/>
        </w:rPr>
        <w:t xml:space="preserve"> See Annex 1 for details.</w:t>
      </w:r>
    </w:p>
  </w:footnote>
  <w:footnote w:id="48">
    <w:p w:rsidR="007306CA" w:rsidRDefault="00576025">
      <w:pPr>
        <w:pStyle w:val="FootnoteText"/>
        <w:spacing w:after="0"/>
        <w:ind w:left="0" w:firstLine="0"/>
        <w:rPr>
          <w:sz w:val="18"/>
          <w:szCs w:val="18"/>
        </w:rPr>
      </w:pPr>
      <w:r>
        <w:rPr>
          <w:rStyle w:val="FootnoteReference"/>
          <w:sz w:val="18"/>
          <w:szCs w:val="18"/>
        </w:rPr>
        <w:footnoteRef/>
      </w:r>
      <w:r>
        <w:rPr>
          <w:sz w:val="18"/>
          <w:szCs w:val="18"/>
        </w:rPr>
        <w:t xml:space="preserve"> Articles 5(5) and 20(1) (regarding Articles 6, 8(2), 8(4) and 18(6)) and 22 (regarding Articles 16, 18 and 20) require Member States to communicate data on volumes of admission, labour market tests, ethical recruitment, salary thresholds.</w:t>
      </w:r>
    </w:p>
  </w:footnote>
  <w:footnote w:id="49">
    <w:p w:rsidR="007306CA" w:rsidRDefault="00576025">
      <w:pPr>
        <w:pStyle w:val="FootnoteText"/>
        <w:spacing w:after="0"/>
        <w:ind w:left="0" w:firstLine="0"/>
        <w:rPr>
          <w:sz w:val="18"/>
          <w:szCs w:val="18"/>
        </w:rPr>
      </w:pPr>
      <w:r>
        <w:rPr>
          <w:rStyle w:val="FootnoteReference"/>
          <w:sz w:val="18"/>
          <w:szCs w:val="18"/>
        </w:rPr>
        <w:footnoteRef/>
      </w:r>
      <w:r>
        <w:rPr>
          <w:sz w:val="18"/>
          <w:szCs w:val="18"/>
        </w:rPr>
        <w:t xml:space="preserve"> See Annex 2 fo</w:t>
      </w:r>
      <w:r>
        <w:rPr>
          <w:sz w:val="18"/>
          <w:szCs w:val="18"/>
        </w:rPr>
        <w:t>r details about Member States and other stakeholders' consultations.</w:t>
      </w:r>
    </w:p>
  </w:footnote>
  <w:footnote w:id="50">
    <w:p w:rsidR="007306CA" w:rsidRDefault="00576025">
      <w:pPr>
        <w:pStyle w:val="FootnoteText"/>
        <w:spacing w:after="0"/>
        <w:ind w:left="0" w:firstLine="0"/>
        <w:rPr>
          <w:sz w:val="18"/>
          <w:szCs w:val="18"/>
          <w:lang w:val="en-US"/>
        </w:rPr>
      </w:pPr>
      <w:r>
        <w:rPr>
          <w:rStyle w:val="FootnoteReference"/>
          <w:sz w:val="18"/>
          <w:szCs w:val="18"/>
        </w:rPr>
        <w:footnoteRef/>
      </w:r>
      <w:r>
        <w:rPr>
          <w:sz w:val="18"/>
          <w:szCs w:val="18"/>
        </w:rPr>
        <w:t xml:space="preserve"> Due to variations in the definition of a HSW, to the particularities of the systems, some of which do not have distinct categories for HSW, and to the way in which the statistics are collected.</w:t>
      </w:r>
    </w:p>
  </w:footnote>
  <w:footnote w:id="51">
    <w:p w:rsidR="007306CA" w:rsidRDefault="00576025">
      <w:pPr>
        <w:pStyle w:val="FootnoteText"/>
        <w:spacing w:after="0"/>
        <w:ind w:left="0" w:firstLine="0"/>
        <w:rPr>
          <w:sz w:val="18"/>
          <w:szCs w:val="18"/>
        </w:rPr>
      </w:pPr>
      <w:r>
        <w:rPr>
          <w:rStyle w:val="FootnoteReference"/>
          <w:sz w:val="18"/>
          <w:szCs w:val="18"/>
        </w:rPr>
        <w:footnoteRef/>
      </w:r>
      <w:r>
        <w:rPr>
          <w:sz w:val="18"/>
          <w:szCs w:val="18"/>
        </w:rPr>
        <w:t xml:space="preserve"> </w:t>
      </w:r>
      <w:r>
        <w:rPr>
          <w:sz w:val="18"/>
          <w:szCs w:val="18"/>
          <w:lang w:val="en-US" w:eastAsia="en-GB"/>
        </w:rPr>
        <w:t xml:space="preserve">Gubert, F. and Senne, J.-N., </w:t>
      </w:r>
      <w:r>
        <w:rPr>
          <w:i/>
          <w:sz w:val="18"/>
          <w:szCs w:val="18"/>
          <w:lang w:val="en-US" w:eastAsia="en-GB"/>
        </w:rPr>
        <w:t>Europe as a Single Labour Mark</w:t>
      </w:r>
      <w:r>
        <w:rPr>
          <w:i/>
          <w:sz w:val="18"/>
          <w:szCs w:val="18"/>
          <w:lang w:val="en-US" w:eastAsia="en-GB"/>
        </w:rPr>
        <w:t>et Destination</w:t>
      </w:r>
      <w:r>
        <w:rPr>
          <w:sz w:val="18"/>
          <w:szCs w:val="18"/>
          <w:lang w:val="en-US" w:eastAsia="en-GB"/>
        </w:rPr>
        <w:t xml:space="preserve">, OECD 2016, </w:t>
      </w:r>
      <w:r>
        <w:rPr>
          <w:i/>
          <w:iCs/>
          <w:sz w:val="18"/>
          <w:szCs w:val="18"/>
          <w:lang w:val="en-US" w:eastAsia="en-GB"/>
        </w:rPr>
        <w:t>forthcoming</w:t>
      </w:r>
      <w:r>
        <w:rPr>
          <w:sz w:val="18"/>
          <w:szCs w:val="18"/>
        </w:rPr>
        <w:t>.</w:t>
      </w:r>
    </w:p>
  </w:footnote>
  <w:footnote w:id="52">
    <w:p w:rsidR="007306CA" w:rsidRDefault="00576025">
      <w:pPr>
        <w:pStyle w:val="FootnoteText"/>
        <w:spacing w:after="0"/>
        <w:ind w:left="0" w:firstLine="0"/>
        <w:rPr>
          <w:sz w:val="18"/>
          <w:szCs w:val="18"/>
        </w:rPr>
      </w:pPr>
      <w:r>
        <w:rPr>
          <w:rStyle w:val="FootnoteReference"/>
          <w:sz w:val="18"/>
          <w:szCs w:val="18"/>
        </w:rPr>
        <w:footnoteRef/>
      </w:r>
      <w:r>
        <w:rPr>
          <w:sz w:val="18"/>
          <w:szCs w:val="18"/>
        </w:rPr>
        <w:t xml:space="preserve"> </w:t>
      </w:r>
      <w:r>
        <w:rPr>
          <w:rFonts w:eastAsia="Calibri"/>
          <w:sz w:val="18"/>
          <w:szCs w:val="18"/>
        </w:rPr>
        <w:t>European Commission, ESDE (2016).</w:t>
      </w:r>
    </w:p>
  </w:footnote>
  <w:footnote w:id="53">
    <w:p w:rsidR="007306CA" w:rsidRDefault="00576025">
      <w:pPr>
        <w:pStyle w:val="FootnoteText"/>
        <w:spacing w:after="0"/>
        <w:ind w:left="0" w:firstLine="0"/>
        <w:rPr>
          <w:sz w:val="18"/>
          <w:szCs w:val="18"/>
        </w:rPr>
      </w:pPr>
      <w:r>
        <w:rPr>
          <w:rStyle w:val="FootnoteReference"/>
          <w:sz w:val="18"/>
          <w:szCs w:val="18"/>
        </w:rPr>
        <w:footnoteRef/>
      </w:r>
      <w:r>
        <w:rPr>
          <w:sz w:val="18"/>
          <w:szCs w:val="18"/>
        </w:rPr>
        <w:t xml:space="preserve"> The Blue Card Directive does not apply to the UK, Ireland and Denmark due to their possibility to opt out based on the respective Protocols annexed to the Treaties.</w:t>
      </w:r>
    </w:p>
  </w:footnote>
  <w:footnote w:id="54">
    <w:p w:rsidR="007306CA" w:rsidRDefault="00576025">
      <w:pPr>
        <w:pStyle w:val="FootnoteText"/>
        <w:spacing w:after="0"/>
        <w:ind w:left="0" w:firstLine="0"/>
        <w:rPr>
          <w:sz w:val="18"/>
          <w:szCs w:val="18"/>
        </w:rPr>
      </w:pPr>
      <w:r>
        <w:rPr>
          <w:rStyle w:val="FootnoteReference"/>
          <w:sz w:val="18"/>
          <w:szCs w:val="18"/>
        </w:rPr>
        <w:footnoteRef/>
      </w:r>
      <w:r>
        <w:rPr>
          <w:sz w:val="18"/>
          <w:szCs w:val="18"/>
        </w:rPr>
        <w:t xml:space="preserve"> National pe</w:t>
      </w:r>
      <w:r>
        <w:rPr>
          <w:sz w:val="18"/>
          <w:szCs w:val="18"/>
        </w:rPr>
        <w:t xml:space="preserve">rmits for highly skilled have risen from 19 755 in 2012, to 21 940 in 2013 and 24 922 in 2014. The numbers of EU Blue Cards have risen sharply from 3 664 in 2012, to 12 964 in 2013 and 13 852 in 2014. </w:t>
      </w:r>
    </w:p>
  </w:footnote>
  <w:footnote w:id="55">
    <w:p w:rsidR="007306CA" w:rsidRDefault="00576025">
      <w:pPr>
        <w:pStyle w:val="FootnoteText"/>
        <w:spacing w:after="0"/>
        <w:ind w:left="0" w:firstLine="0"/>
        <w:rPr>
          <w:sz w:val="18"/>
          <w:szCs w:val="18"/>
          <w:lang w:val="en-US"/>
        </w:rPr>
      </w:pPr>
      <w:r>
        <w:rPr>
          <w:rStyle w:val="FootnoteReference"/>
          <w:sz w:val="18"/>
          <w:szCs w:val="18"/>
        </w:rPr>
        <w:footnoteRef/>
      </w:r>
      <w:r>
        <w:rPr>
          <w:sz w:val="18"/>
          <w:szCs w:val="18"/>
        </w:rPr>
        <w:t xml:space="preserve"> </w:t>
      </w:r>
      <w:r>
        <w:rPr>
          <w:iCs/>
          <w:sz w:val="18"/>
          <w:szCs w:val="18"/>
          <w:lang w:val="en-US"/>
        </w:rPr>
        <w:t xml:space="preserve">Some incomplete and preliminary statistics for 2015 </w:t>
      </w:r>
      <w:r>
        <w:rPr>
          <w:iCs/>
          <w:sz w:val="18"/>
          <w:szCs w:val="18"/>
          <w:lang w:val="en-US"/>
        </w:rPr>
        <w:t>are also already available at national level in some Member States. These show the same tendencies as the previous years.</w:t>
      </w:r>
    </w:p>
  </w:footnote>
  <w:footnote w:id="56">
    <w:p w:rsidR="007306CA" w:rsidRDefault="00576025">
      <w:pPr>
        <w:pStyle w:val="FootnoteText"/>
        <w:spacing w:after="0"/>
        <w:ind w:left="0" w:firstLine="0"/>
        <w:rPr>
          <w:sz w:val="18"/>
          <w:szCs w:val="18"/>
        </w:rPr>
      </w:pPr>
      <w:r>
        <w:rPr>
          <w:rStyle w:val="FootnoteReference"/>
          <w:sz w:val="18"/>
          <w:szCs w:val="18"/>
        </w:rPr>
        <w:footnoteRef/>
      </w:r>
      <w:r>
        <w:rPr>
          <w:sz w:val="18"/>
          <w:szCs w:val="18"/>
        </w:rPr>
        <w:t xml:space="preserve"> “Mapping and analysing the bottleneck vacancies in EU labour markets” (September 2014) commissioned by the European Commission.</w:t>
      </w:r>
    </w:p>
  </w:footnote>
  <w:footnote w:id="57">
    <w:p w:rsidR="007306CA" w:rsidRDefault="00576025">
      <w:pPr>
        <w:pStyle w:val="FootnoteText"/>
        <w:spacing w:after="0"/>
        <w:ind w:left="0" w:firstLine="0"/>
        <w:rPr>
          <w:sz w:val="18"/>
          <w:szCs w:val="18"/>
        </w:rPr>
      </w:pPr>
      <w:r>
        <w:rPr>
          <w:rStyle w:val="FootnoteReference"/>
          <w:sz w:val="18"/>
          <w:szCs w:val="18"/>
        </w:rPr>
        <w:footnoteRef/>
      </w:r>
      <w:r>
        <w:rPr>
          <w:sz w:val="18"/>
          <w:szCs w:val="18"/>
        </w:rPr>
        <w:t xml:space="preserve"> E.</w:t>
      </w:r>
      <w:r>
        <w:rPr>
          <w:sz w:val="18"/>
          <w:szCs w:val="18"/>
        </w:rPr>
        <w:t xml:space="preserve">g. </w:t>
      </w:r>
      <w:r>
        <w:rPr>
          <w:sz w:val="18"/>
          <w:szCs w:val="18"/>
          <w:lang w:val="en-US"/>
        </w:rPr>
        <w:t>Eurochambres</w:t>
      </w:r>
      <w:r>
        <w:rPr>
          <w:sz w:val="18"/>
          <w:szCs w:val="18"/>
        </w:rPr>
        <w:t xml:space="preserve"> and UEAPME, see the summary of the second meeting of the Expert group on economic migration (7 December 2015) in Annex 2 and their </w:t>
      </w:r>
      <w:hyperlink r:id="rId16" w:history="1">
        <w:r>
          <w:rPr>
            <w:rStyle w:val="Hyperlink"/>
            <w:sz w:val="18"/>
            <w:szCs w:val="18"/>
          </w:rPr>
          <w:t>written contributions</w:t>
        </w:r>
      </w:hyperlink>
      <w:r>
        <w:rPr>
          <w:sz w:val="18"/>
          <w:szCs w:val="18"/>
        </w:rPr>
        <w:t xml:space="preserve"> on the Register of Commission Expert Groups.</w:t>
      </w:r>
    </w:p>
  </w:footnote>
  <w:footnote w:id="58">
    <w:p w:rsidR="007306CA" w:rsidRDefault="00576025">
      <w:pPr>
        <w:pStyle w:val="FootnoteText"/>
        <w:spacing w:after="0"/>
        <w:ind w:left="0" w:firstLine="0"/>
        <w:rPr>
          <w:sz w:val="18"/>
          <w:szCs w:val="18"/>
          <w:lang w:val="en-US"/>
        </w:rPr>
      </w:pPr>
      <w:r>
        <w:rPr>
          <w:rStyle w:val="FootnoteReference"/>
          <w:sz w:val="18"/>
          <w:szCs w:val="18"/>
        </w:rPr>
        <w:footnoteRef/>
      </w:r>
      <w:r>
        <w:rPr>
          <w:sz w:val="18"/>
          <w:szCs w:val="18"/>
        </w:rPr>
        <w:t xml:space="preserve"> </w:t>
      </w:r>
      <w:r>
        <w:rPr>
          <w:sz w:val="18"/>
          <w:szCs w:val="18"/>
          <w:lang w:val="en-US"/>
        </w:rPr>
        <w:t>See Annexes 6 and 12.</w:t>
      </w:r>
    </w:p>
  </w:footnote>
  <w:footnote w:id="59">
    <w:p w:rsidR="007306CA" w:rsidRDefault="00576025">
      <w:pPr>
        <w:pStyle w:val="FootnoteText"/>
        <w:spacing w:after="0"/>
        <w:ind w:left="0" w:firstLine="0"/>
        <w:rPr>
          <w:sz w:val="18"/>
          <w:szCs w:val="18"/>
          <w:lang w:val="en-US"/>
        </w:rPr>
      </w:pPr>
      <w:r>
        <w:rPr>
          <w:rStyle w:val="FootnoteReference"/>
          <w:sz w:val="18"/>
          <w:szCs w:val="18"/>
        </w:rPr>
        <w:footnoteRef/>
      </w:r>
      <w:r>
        <w:rPr>
          <w:sz w:val="18"/>
          <w:szCs w:val="18"/>
        </w:rPr>
        <w:t xml:space="preserve"> </w:t>
      </w:r>
      <w:r>
        <w:rPr>
          <w:sz w:val="18"/>
          <w:szCs w:val="18"/>
          <w:lang w:val="en-US"/>
        </w:rPr>
        <w:t xml:space="preserve">The German success in implementing the Blue Card shows, however, that this scheme actually allows for significant room for national calibration to make the scheme </w:t>
      </w:r>
      <w:r>
        <w:rPr>
          <w:sz w:val="18"/>
          <w:szCs w:val="18"/>
          <w:lang w:val="en-US"/>
        </w:rPr>
        <w:t>attractive.</w:t>
      </w:r>
    </w:p>
  </w:footnote>
  <w:footnote w:id="60">
    <w:p w:rsidR="007306CA" w:rsidRDefault="00576025">
      <w:pPr>
        <w:pStyle w:val="FootnoteText"/>
        <w:spacing w:after="0"/>
        <w:ind w:left="0" w:firstLine="0"/>
        <w:rPr>
          <w:sz w:val="18"/>
          <w:szCs w:val="18"/>
        </w:rPr>
      </w:pPr>
      <w:r>
        <w:rPr>
          <w:rStyle w:val="FootnoteReference"/>
          <w:sz w:val="18"/>
          <w:szCs w:val="18"/>
        </w:rPr>
        <w:footnoteRef/>
      </w:r>
      <w:r>
        <w:rPr>
          <w:sz w:val="18"/>
          <w:szCs w:val="18"/>
        </w:rPr>
        <w:t xml:space="preserve"> With the exception of the UK – which is not bound by the Blue Card Directive nor by any other EU instrument on legal migration due to its opt out – all Member States, even those with high levels of unemployment such as Italy and Spain, have p</w:t>
      </w:r>
      <w:r>
        <w:rPr>
          <w:sz w:val="18"/>
          <w:szCs w:val="18"/>
        </w:rPr>
        <w:t>olicies in place to attract highly skilled workers and professionals, as they are considered to contribute to growth and to the recovery of the economy.</w:t>
      </w:r>
    </w:p>
  </w:footnote>
  <w:footnote w:id="61">
    <w:p w:rsidR="007306CA" w:rsidRDefault="00576025">
      <w:pPr>
        <w:pStyle w:val="FootnoteText"/>
        <w:spacing w:after="0"/>
        <w:ind w:left="0" w:firstLine="0"/>
        <w:rPr>
          <w:sz w:val="18"/>
          <w:szCs w:val="18"/>
          <w:lang w:val="en-US"/>
        </w:rPr>
      </w:pPr>
      <w:r>
        <w:rPr>
          <w:rStyle w:val="FootnoteReference"/>
          <w:sz w:val="18"/>
          <w:szCs w:val="18"/>
        </w:rPr>
        <w:footnoteRef/>
      </w:r>
      <w:r>
        <w:rPr>
          <w:sz w:val="18"/>
          <w:szCs w:val="18"/>
        </w:rPr>
        <w:t xml:space="preserve"> </w:t>
      </w:r>
      <w:r>
        <w:rPr>
          <w:sz w:val="18"/>
          <w:szCs w:val="18"/>
          <w:lang w:val="en-US"/>
        </w:rPr>
        <w:t>See Annex 15 for details.</w:t>
      </w:r>
    </w:p>
  </w:footnote>
  <w:footnote w:id="62">
    <w:p w:rsidR="007306CA" w:rsidRDefault="00576025">
      <w:pPr>
        <w:pStyle w:val="FootnoteText"/>
        <w:spacing w:after="0"/>
        <w:ind w:left="0" w:firstLine="0"/>
        <w:rPr>
          <w:sz w:val="18"/>
          <w:szCs w:val="18"/>
        </w:rPr>
      </w:pPr>
      <w:r>
        <w:rPr>
          <w:rStyle w:val="FootnoteReference"/>
          <w:sz w:val="18"/>
          <w:szCs w:val="18"/>
        </w:rPr>
        <w:footnoteRef/>
      </w:r>
      <w:r>
        <w:rPr>
          <w:sz w:val="18"/>
          <w:szCs w:val="18"/>
        </w:rPr>
        <w:t xml:space="preserve"> As apparent from the fact that no Member State has both a national scheme</w:t>
      </w:r>
      <w:r>
        <w:rPr>
          <w:sz w:val="18"/>
          <w:szCs w:val="18"/>
        </w:rPr>
        <w:t xml:space="preserve"> and the Blue Card effectively running in parallel; in the national use a choice appears to be made for one predominant scheme.</w:t>
      </w:r>
    </w:p>
  </w:footnote>
  <w:footnote w:id="63">
    <w:p w:rsidR="007306CA" w:rsidRDefault="00576025">
      <w:pPr>
        <w:pStyle w:val="FootnoteText"/>
        <w:spacing w:after="0"/>
        <w:ind w:left="0" w:firstLine="0"/>
        <w:rPr>
          <w:sz w:val="18"/>
          <w:szCs w:val="18"/>
        </w:rPr>
      </w:pPr>
      <w:r>
        <w:rPr>
          <w:rStyle w:val="FootnoteReference"/>
          <w:sz w:val="18"/>
          <w:szCs w:val="18"/>
        </w:rPr>
        <w:footnoteRef/>
      </w:r>
      <w:r>
        <w:rPr>
          <w:sz w:val="18"/>
          <w:szCs w:val="18"/>
        </w:rPr>
        <w:t xml:space="preserve"> European Commission, ESDE (2016).</w:t>
      </w:r>
    </w:p>
  </w:footnote>
  <w:footnote w:id="64">
    <w:p w:rsidR="007306CA" w:rsidRDefault="00576025">
      <w:pPr>
        <w:pStyle w:val="FootnoteText"/>
        <w:spacing w:after="0"/>
        <w:ind w:left="0" w:firstLine="0"/>
        <w:rPr>
          <w:sz w:val="18"/>
          <w:szCs w:val="18"/>
        </w:rPr>
      </w:pPr>
      <w:r>
        <w:rPr>
          <w:rStyle w:val="FootnoteReference"/>
          <w:sz w:val="18"/>
          <w:szCs w:val="18"/>
        </w:rPr>
        <w:footnoteRef/>
      </w:r>
      <w:r>
        <w:rPr>
          <w:sz w:val="18"/>
          <w:szCs w:val="18"/>
        </w:rPr>
        <w:t xml:space="preserve"> The 2013 EMN study on  </w:t>
      </w:r>
      <w:hyperlink r:id="rId17" w:history="1">
        <w:r>
          <w:rPr>
            <w:rStyle w:val="Hyperlink"/>
            <w:i/>
            <w:iCs/>
            <w:sz w:val="18"/>
            <w:szCs w:val="18"/>
            <w:lang w:val="en-US" w:eastAsia="en-GB"/>
          </w:rPr>
          <w:t>Intra-EU Mobility of Third Country Nationals</w:t>
        </w:r>
      </w:hyperlink>
      <w:r>
        <w:rPr>
          <w:i/>
          <w:iCs/>
          <w:sz w:val="18"/>
          <w:szCs w:val="18"/>
          <w:lang w:val="en-US" w:eastAsia="en-GB"/>
        </w:rPr>
        <w:t xml:space="preserve"> </w:t>
      </w:r>
      <w:r>
        <w:rPr>
          <w:sz w:val="18"/>
          <w:szCs w:val="18"/>
        </w:rPr>
        <w:t>concluded that intra-EU mobility of TCN is under-researched and t</w:t>
      </w:r>
      <w:r>
        <w:rPr>
          <w:sz w:val="18"/>
          <w:szCs w:val="18"/>
        </w:rPr>
        <w:t>hat there is an overall limited availability, wide variability and lack of comparability of relevant statistics. Statistics on the intra-EU mobility of EU Blue Cards holders and their family members are being gathered but show limited numbers so far (Euros</w:t>
      </w:r>
      <w:r>
        <w:rPr>
          <w:sz w:val="18"/>
          <w:szCs w:val="18"/>
        </w:rPr>
        <w:t>tat: migr_resbc3; see Annex 12, section 2.1.1). Note that Member States transposed the Directive late (most in 2012-2013) while a min. 18 months in the first Member State is required before moving to a second Member State.</w:t>
      </w:r>
    </w:p>
  </w:footnote>
  <w:footnote w:id="65">
    <w:p w:rsidR="007306CA" w:rsidRDefault="00576025">
      <w:pPr>
        <w:pStyle w:val="FootnoteText"/>
        <w:spacing w:after="0"/>
        <w:ind w:left="0" w:firstLine="0"/>
        <w:rPr>
          <w:sz w:val="18"/>
          <w:szCs w:val="18"/>
        </w:rPr>
      </w:pPr>
      <w:r>
        <w:rPr>
          <w:rStyle w:val="FootnoteReference"/>
          <w:sz w:val="18"/>
          <w:szCs w:val="18"/>
        </w:rPr>
        <w:footnoteRef/>
      </w:r>
      <w:r>
        <w:rPr>
          <w:sz w:val="18"/>
          <w:szCs w:val="18"/>
        </w:rPr>
        <w:t xml:space="preserve"> See Annex 2 for more details on</w:t>
      </w:r>
      <w:r>
        <w:rPr>
          <w:sz w:val="18"/>
          <w:szCs w:val="18"/>
        </w:rPr>
        <w:t xml:space="preserve"> stakeholders' views on this issue.. </w:t>
      </w:r>
      <w:r>
        <w:rPr>
          <w:sz w:val="18"/>
          <w:szCs w:val="18"/>
        </w:rPr>
        <w:tab/>
      </w:r>
    </w:p>
  </w:footnote>
  <w:footnote w:id="66">
    <w:p w:rsidR="007306CA" w:rsidRDefault="00576025">
      <w:pPr>
        <w:pStyle w:val="FootnoteText"/>
        <w:spacing w:after="0"/>
        <w:ind w:left="0" w:firstLine="0"/>
        <w:rPr>
          <w:sz w:val="18"/>
          <w:szCs w:val="18"/>
          <w:lang w:val="en-US"/>
        </w:rPr>
      </w:pPr>
      <w:r>
        <w:rPr>
          <w:rStyle w:val="FootnoteReference"/>
          <w:sz w:val="18"/>
          <w:szCs w:val="18"/>
        </w:rPr>
        <w:footnoteRef/>
      </w:r>
      <w:r>
        <w:rPr>
          <w:sz w:val="18"/>
          <w:szCs w:val="18"/>
        </w:rPr>
        <w:t xml:space="preserve"> Results of a survey in which over 18 000 Blue Card holders in Germany were contacted: Hanganu, E. and Heß, B., ‘Die Blaue Karte EU in Deutschland: Kontext und Ergebnisse der BAMF-Befragung’, </w:t>
      </w:r>
      <w:r>
        <w:rPr>
          <w:i/>
          <w:sz w:val="18"/>
          <w:szCs w:val="18"/>
        </w:rPr>
        <w:t>Forschungsbericht 27</w:t>
      </w:r>
      <w:r>
        <w:rPr>
          <w:sz w:val="18"/>
          <w:szCs w:val="18"/>
        </w:rPr>
        <w:t>, Bu</w:t>
      </w:r>
      <w:r>
        <w:rPr>
          <w:sz w:val="18"/>
          <w:szCs w:val="18"/>
        </w:rPr>
        <w:t xml:space="preserve">ndesamt für Migration und Flüchtlinge, Nürnberg, 2016, </w:t>
      </w:r>
      <w:r>
        <w:rPr>
          <w:i/>
          <w:sz w:val="18"/>
          <w:szCs w:val="18"/>
        </w:rPr>
        <w:t>forthcoming.</w:t>
      </w:r>
      <w:r>
        <w:rPr>
          <w:sz w:val="18"/>
          <w:szCs w:val="18"/>
        </w:rPr>
        <w:t xml:space="preserve"> </w:t>
      </w:r>
    </w:p>
  </w:footnote>
  <w:footnote w:id="67">
    <w:p w:rsidR="007306CA" w:rsidRDefault="00576025">
      <w:pPr>
        <w:pStyle w:val="FootnoteText"/>
        <w:spacing w:after="0"/>
        <w:ind w:left="0" w:firstLine="0"/>
        <w:rPr>
          <w:sz w:val="18"/>
          <w:szCs w:val="18"/>
          <w:lang w:val="en-US"/>
        </w:rPr>
      </w:pPr>
      <w:r>
        <w:rPr>
          <w:rStyle w:val="FootnoteReference"/>
          <w:sz w:val="18"/>
          <w:szCs w:val="18"/>
        </w:rPr>
        <w:footnoteRef/>
      </w:r>
      <w:r>
        <w:rPr>
          <w:sz w:val="18"/>
          <w:szCs w:val="18"/>
        </w:rPr>
        <w:t xml:space="preserve"> </w:t>
      </w:r>
      <w:r>
        <w:rPr>
          <w:sz w:val="18"/>
          <w:szCs w:val="18"/>
          <w:lang w:val="en-US"/>
        </w:rPr>
        <w:t>For a more extensive overview on intra-EU mobility of third-country nationals, see Annex 9.</w:t>
      </w:r>
    </w:p>
  </w:footnote>
  <w:footnote w:id="68">
    <w:p w:rsidR="007306CA" w:rsidRDefault="00576025">
      <w:pPr>
        <w:pStyle w:val="FootnoteText"/>
        <w:spacing w:after="0"/>
        <w:ind w:left="0" w:firstLine="0"/>
        <w:rPr>
          <w:sz w:val="18"/>
          <w:szCs w:val="18"/>
        </w:rPr>
      </w:pPr>
      <w:r>
        <w:rPr>
          <w:rStyle w:val="FootnoteReference"/>
          <w:sz w:val="18"/>
          <w:szCs w:val="18"/>
        </w:rPr>
        <w:footnoteRef/>
      </w:r>
      <w:r>
        <w:rPr>
          <w:sz w:val="18"/>
          <w:szCs w:val="18"/>
        </w:rPr>
        <w:t xml:space="preserve"> Between 2000 and 2011 the global number of students enrolled outside their country of citiz</w:t>
      </w:r>
      <w:r>
        <w:rPr>
          <w:sz w:val="18"/>
          <w:szCs w:val="18"/>
        </w:rPr>
        <w:t>enship increased from 2.1 million in 2000 to 4.3 million (</w:t>
      </w:r>
      <w:hyperlink r:id="rId18" w:history="1">
        <w:r>
          <w:rPr>
            <w:rStyle w:val="Hyperlink"/>
            <w:sz w:val="18"/>
            <w:szCs w:val="18"/>
          </w:rPr>
          <w:t>Education at a Glance 2011</w:t>
        </w:r>
      </w:hyperlink>
      <w:r>
        <w:rPr>
          <w:sz w:val="18"/>
          <w:szCs w:val="18"/>
        </w:rPr>
        <w:t xml:space="preserve"> and </w:t>
      </w:r>
      <w:hyperlink r:id="rId19" w:history="1">
        <w:r>
          <w:rPr>
            <w:rStyle w:val="Hyperlink"/>
            <w:sz w:val="18"/>
            <w:szCs w:val="18"/>
          </w:rPr>
          <w:t>Education at a Glance 2013</w:t>
        </w:r>
      </w:hyperlink>
      <w:r>
        <w:rPr>
          <w:sz w:val="18"/>
          <w:szCs w:val="18"/>
        </w:rPr>
        <w:t xml:space="preserve">, OECD Publishing, </w:t>
      </w:r>
      <w:r>
        <w:rPr>
          <w:sz w:val="18"/>
          <w:szCs w:val="18"/>
        </w:rPr>
        <w:t>Paris.)</w:t>
      </w:r>
    </w:p>
  </w:footnote>
  <w:footnote w:id="69">
    <w:p w:rsidR="007306CA" w:rsidRDefault="00576025">
      <w:pPr>
        <w:pStyle w:val="FootnoteText"/>
        <w:spacing w:after="0"/>
        <w:ind w:left="0" w:firstLine="0"/>
        <w:rPr>
          <w:sz w:val="18"/>
          <w:szCs w:val="18"/>
        </w:rPr>
      </w:pPr>
      <w:r>
        <w:rPr>
          <w:rStyle w:val="FootnoteReference"/>
          <w:sz w:val="18"/>
          <w:szCs w:val="18"/>
        </w:rPr>
        <w:footnoteRef/>
      </w:r>
      <w:r>
        <w:rPr>
          <w:sz w:val="18"/>
          <w:szCs w:val="18"/>
        </w:rPr>
        <w:t xml:space="preserve"> Weisser, R., </w:t>
      </w:r>
      <w:r>
        <w:rPr>
          <w:i/>
          <w:sz w:val="18"/>
          <w:szCs w:val="18"/>
        </w:rPr>
        <w:t xml:space="preserve">The impact of international students and post-graduation internal mobility: an analysis of student mobility and retention rates, </w:t>
      </w:r>
      <w:r>
        <w:rPr>
          <w:sz w:val="18"/>
          <w:szCs w:val="18"/>
        </w:rPr>
        <w:t>OECD 2016, forthcoming.</w:t>
      </w:r>
    </w:p>
  </w:footnote>
  <w:footnote w:id="70">
    <w:p w:rsidR="007306CA" w:rsidRDefault="00576025">
      <w:pPr>
        <w:pStyle w:val="FootnoteText"/>
        <w:spacing w:after="0"/>
        <w:ind w:left="0" w:firstLine="0"/>
        <w:rPr>
          <w:sz w:val="18"/>
          <w:szCs w:val="18"/>
        </w:rPr>
      </w:pPr>
      <w:r>
        <w:rPr>
          <w:rStyle w:val="FootnoteReference"/>
          <w:sz w:val="18"/>
          <w:szCs w:val="18"/>
        </w:rPr>
        <w:footnoteRef/>
      </w:r>
      <w:r>
        <w:rPr>
          <w:sz w:val="18"/>
          <w:szCs w:val="18"/>
        </w:rPr>
        <w:t xml:space="preserve"> </w:t>
      </w:r>
      <w:r>
        <w:rPr>
          <w:bCs/>
          <w:sz w:val="18"/>
          <w:szCs w:val="18"/>
        </w:rPr>
        <w:t xml:space="preserve">Already in 2010, the Commission </w:t>
      </w:r>
      <w:r>
        <w:rPr>
          <w:sz w:val="18"/>
          <w:szCs w:val="18"/>
        </w:rPr>
        <w:t>argued that "by 2012 integrated policies [shou</w:t>
      </w:r>
      <w:r>
        <w:rPr>
          <w:sz w:val="18"/>
          <w:szCs w:val="18"/>
        </w:rPr>
        <w:t xml:space="preserve">ld be put in place] to </w:t>
      </w:r>
      <w:r>
        <w:rPr>
          <w:bCs/>
          <w:sz w:val="18"/>
          <w:szCs w:val="18"/>
        </w:rPr>
        <w:t>ensure that leading academics, researchers and innovators reside and</w:t>
      </w:r>
      <w:r>
        <w:rPr>
          <w:color w:val="000000"/>
          <w:sz w:val="18"/>
          <w:szCs w:val="18"/>
        </w:rPr>
        <w:t xml:space="preserve"> work in Europe and to attract a sufficient number of highly skilled third country nationals to stay in Europe"</w:t>
      </w:r>
      <w:r>
        <w:rPr>
          <w:sz w:val="18"/>
          <w:szCs w:val="18"/>
        </w:rPr>
        <w:t xml:space="preserve"> (Innovation Union Commitment 30, in Commission Commun</w:t>
      </w:r>
      <w:r>
        <w:rPr>
          <w:sz w:val="18"/>
          <w:szCs w:val="18"/>
        </w:rPr>
        <w:t xml:space="preserve">ication of 6 October 2010,  </w:t>
      </w:r>
      <w:r>
        <w:rPr>
          <w:bCs/>
          <w:sz w:val="18"/>
          <w:szCs w:val="18"/>
        </w:rPr>
        <w:t>Europe 2020 Flagship Initiative - Innovation Union</w:t>
      </w:r>
      <w:r>
        <w:rPr>
          <w:sz w:val="18"/>
          <w:szCs w:val="18"/>
        </w:rPr>
        <w:t xml:space="preserve">, </w:t>
      </w:r>
      <w:hyperlink r:id="rId20" w:history="1">
        <w:r>
          <w:rPr>
            <w:rStyle w:val="Hyperlink"/>
            <w:sz w:val="18"/>
            <w:szCs w:val="18"/>
          </w:rPr>
          <w:t>COM(2010) 546 final</w:t>
        </w:r>
      </w:hyperlink>
      <w:r>
        <w:rPr>
          <w:sz w:val="18"/>
          <w:szCs w:val="18"/>
        </w:rPr>
        <w:t>.</w:t>
      </w:r>
    </w:p>
  </w:footnote>
  <w:footnote w:id="71">
    <w:p w:rsidR="007306CA" w:rsidRDefault="00576025">
      <w:pPr>
        <w:pStyle w:val="FootnoteText"/>
        <w:spacing w:after="0"/>
        <w:ind w:left="0" w:firstLine="0"/>
        <w:rPr>
          <w:b/>
          <w:sz w:val="18"/>
          <w:szCs w:val="18"/>
        </w:rPr>
      </w:pPr>
      <w:r>
        <w:rPr>
          <w:rStyle w:val="FootnoteReference"/>
          <w:sz w:val="18"/>
          <w:szCs w:val="18"/>
        </w:rPr>
        <w:footnoteRef/>
      </w:r>
      <w:r>
        <w:rPr>
          <w:sz w:val="18"/>
          <w:szCs w:val="18"/>
        </w:rPr>
        <w:t xml:space="preserve"> Proposal for a Directive of the European Parliam</w:t>
      </w:r>
      <w:r>
        <w:rPr>
          <w:sz w:val="18"/>
          <w:szCs w:val="18"/>
        </w:rPr>
        <w:t>ent and of the Council on the conditions of entry and residence of third-country nationals for the purposes of research, studies, pupil exchange, remunerated and unremunerated training, voluntary service and au pairing Recasting and amending Directives 200</w:t>
      </w:r>
      <w:r>
        <w:rPr>
          <w:sz w:val="18"/>
          <w:szCs w:val="18"/>
        </w:rPr>
        <w:t>4/114/EC and 2005/71/EC</w:t>
      </w:r>
      <w:r>
        <w:rPr>
          <w:b/>
          <w:sz w:val="18"/>
          <w:szCs w:val="18"/>
        </w:rPr>
        <w:t>.</w:t>
      </w:r>
    </w:p>
  </w:footnote>
  <w:footnote w:id="72">
    <w:p w:rsidR="007306CA" w:rsidRDefault="00576025">
      <w:pPr>
        <w:pStyle w:val="FootnoteText"/>
        <w:spacing w:after="0"/>
        <w:ind w:left="0" w:firstLine="0"/>
        <w:rPr>
          <w:sz w:val="18"/>
          <w:szCs w:val="18"/>
        </w:rPr>
      </w:pPr>
      <w:r>
        <w:rPr>
          <w:rStyle w:val="FootnoteReference"/>
          <w:sz w:val="18"/>
          <w:szCs w:val="18"/>
        </w:rPr>
        <w:footnoteRef/>
      </w:r>
      <w:r>
        <w:rPr>
          <w:sz w:val="18"/>
          <w:szCs w:val="18"/>
        </w:rPr>
        <w:t xml:space="preserve"> Both categories were mentioned in the 2015 European Agenda on Migration.</w:t>
      </w:r>
    </w:p>
  </w:footnote>
  <w:footnote w:id="73">
    <w:p w:rsidR="007306CA" w:rsidRDefault="00576025">
      <w:pPr>
        <w:pStyle w:val="FootnoteText"/>
        <w:spacing w:after="0"/>
        <w:ind w:left="0" w:firstLine="0"/>
        <w:rPr>
          <w:sz w:val="18"/>
          <w:szCs w:val="18"/>
        </w:rPr>
      </w:pPr>
      <w:r>
        <w:rPr>
          <w:rStyle w:val="FootnoteReference"/>
          <w:sz w:val="18"/>
          <w:szCs w:val="18"/>
        </w:rPr>
        <w:footnoteRef/>
      </w:r>
      <w:r>
        <w:rPr>
          <w:sz w:val="18"/>
          <w:szCs w:val="18"/>
        </w:rPr>
        <w:t xml:space="preserve"> The scope of the Blue Card only covers highly skilled </w:t>
      </w:r>
      <w:r>
        <w:rPr>
          <w:i/>
          <w:sz w:val="18"/>
          <w:szCs w:val="18"/>
        </w:rPr>
        <w:t>employees</w:t>
      </w:r>
      <w:r>
        <w:rPr>
          <w:sz w:val="18"/>
          <w:szCs w:val="18"/>
        </w:rPr>
        <w:t xml:space="preserve">, thus not self-employed or service providers. Refugees and asylum seekers have been </w:t>
      </w:r>
      <w:r>
        <w:rPr>
          <w:sz w:val="18"/>
          <w:szCs w:val="18"/>
        </w:rPr>
        <w:t>explicitly excluded from the scope, i.e. they cannot apply for a Blue Card as highly skilled employees (even if they have labour market access). See Annex 16 for more details on the latter.</w:t>
      </w:r>
    </w:p>
  </w:footnote>
  <w:footnote w:id="74">
    <w:p w:rsidR="007306CA" w:rsidRDefault="00576025">
      <w:pPr>
        <w:pStyle w:val="FootnoteText"/>
        <w:spacing w:after="0"/>
        <w:ind w:left="0" w:firstLine="0"/>
        <w:rPr>
          <w:sz w:val="18"/>
          <w:szCs w:val="18"/>
        </w:rPr>
      </w:pPr>
      <w:r>
        <w:rPr>
          <w:rStyle w:val="FootnoteReference"/>
          <w:sz w:val="18"/>
          <w:szCs w:val="18"/>
        </w:rPr>
        <w:footnoteRef/>
      </w:r>
      <w:r>
        <w:rPr>
          <w:sz w:val="18"/>
          <w:szCs w:val="18"/>
        </w:rPr>
        <w:t xml:space="preserve"> Commission Communication of 9 January 2013, Entrepreneurship 202</w:t>
      </w:r>
      <w:r>
        <w:rPr>
          <w:sz w:val="18"/>
          <w:szCs w:val="18"/>
        </w:rPr>
        <w:t xml:space="preserve">0 Action Plan - Reigniting the entrepreneurial spirit in Europe, </w:t>
      </w:r>
      <w:hyperlink r:id="rId21" w:history="1">
        <w:r>
          <w:rPr>
            <w:rStyle w:val="Hyperlink"/>
            <w:sz w:val="18"/>
            <w:szCs w:val="18"/>
          </w:rPr>
          <w:t>COM(2012) 795 final</w:t>
        </w:r>
      </w:hyperlink>
      <w:r>
        <w:rPr>
          <w:sz w:val="18"/>
          <w:szCs w:val="18"/>
        </w:rPr>
        <w:t>.</w:t>
      </w:r>
    </w:p>
  </w:footnote>
  <w:footnote w:id="75">
    <w:p w:rsidR="007306CA" w:rsidRDefault="00576025">
      <w:pPr>
        <w:pStyle w:val="FootnoteText"/>
        <w:spacing w:after="0"/>
        <w:ind w:left="0" w:firstLine="0"/>
        <w:rPr>
          <w:sz w:val="18"/>
          <w:szCs w:val="18"/>
        </w:rPr>
      </w:pPr>
      <w:r>
        <w:rPr>
          <w:rStyle w:val="FootnoteReference"/>
          <w:sz w:val="18"/>
          <w:szCs w:val="18"/>
        </w:rPr>
        <w:footnoteRef/>
      </w:r>
      <w:r>
        <w:rPr>
          <w:sz w:val="18"/>
          <w:szCs w:val="18"/>
        </w:rPr>
        <w:t xml:space="preserve"> For instance, 12.6 percent of migrants of working age were self-employed </w:t>
      </w:r>
      <w:r>
        <w:rPr>
          <w:sz w:val="18"/>
          <w:szCs w:val="18"/>
        </w:rPr>
        <w:t>on average across OECD countries, compared with 12.0 percent of natives in the period 2007-2008 (OECD, Open for Business: Migrant Entrepreneurship in OECD Countries. Similarly, the proportion of new entrepreneurs was higher for the foreign born than for th</w:t>
      </w:r>
      <w:r>
        <w:rPr>
          <w:sz w:val="18"/>
          <w:szCs w:val="18"/>
        </w:rPr>
        <w:t xml:space="preserve">e native born over the decade 1998-2008, see Desiderio, M. V. and Mestres, J., “Migrant Entrepreneurship in OECD countries”, </w:t>
      </w:r>
      <w:r>
        <w:rPr>
          <w:i/>
          <w:sz w:val="18"/>
          <w:szCs w:val="18"/>
        </w:rPr>
        <w:t>International Migration Outlook</w:t>
      </w:r>
      <w:r>
        <w:rPr>
          <w:sz w:val="18"/>
          <w:szCs w:val="18"/>
        </w:rPr>
        <w:t>, 2011.</w:t>
      </w:r>
    </w:p>
  </w:footnote>
  <w:footnote w:id="76">
    <w:p w:rsidR="007306CA" w:rsidRDefault="00576025">
      <w:pPr>
        <w:pStyle w:val="FootnoteText"/>
        <w:spacing w:after="0"/>
        <w:ind w:left="0" w:firstLine="0"/>
        <w:rPr>
          <w:sz w:val="18"/>
          <w:szCs w:val="18"/>
        </w:rPr>
      </w:pPr>
      <w:r>
        <w:rPr>
          <w:rStyle w:val="FootnoteReference"/>
          <w:sz w:val="18"/>
          <w:szCs w:val="18"/>
        </w:rPr>
        <w:footnoteRef/>
      </w:r>
      <w:r>
        <w:rPr>
          <w:sz w:val="18"/>
          <w:szCs w:val="18"/>
        </w:rPr>
        <w:t xml:space="preserve"> Wadha, V., Saxenian, A., and Siciliano, F., </w:t>
      </w:r>
      <w:r>
        <w:rPr>
          <w:i/>
          <w:sz w:val="18"/>
          <w:szCs w:val="18"/>
        </w:rPr>
        <w:t xml:space="preserve">America’s New Immigrant Entrepreneurs: Then </w:t>
      </w:r>
      <w:r>
        <w:rPr>
          <w:i/>
          <w:sz w:val="18"/>
          <w:szCs w:val="18"/>
        </w:rPr>
        <w:t>and Now</w:t>
      </w:r>
      <w:r>
        <w:rPr>
          <w:sz w:val="18"/>
          <w:szCs w:val="18"/>
        </w:rPr>
        <w:t>, The Kauffman Foundation, October 2012.</w:t>
      </w:r>
    </w:p>
  </w:footnote>
  <w:footnote w:id="77">
    <w:p w:rsidR="007306CA" w:rsidRDefault="00576025">
      <w:pPr>
        <w:pStyle w:val="FootnoteText"/>
        <w:spacing w:after="0"/>
        <w:ind w:left="0" w:firstLine="0"/>
        <w:rPr>
          <w:sz w:val="18"/>
          <w:szCs w:val="18"/>
        </w:rPr>
      </w:pPr>
      <w:r>
        <w:rPr>
          <w:rStyle w:val="FootnoteReference"/>
          <w:sz w:val="18"/>
          <w:szCs w:val="18"/>
        </w:rPr>
        <w:footnoteRef/>
      </w:r>
      <w:r>
        <w:rPr>
          <w:sz w:val="18"/>
          <w:szCs w:val="18"/>
        </w:rPr>
        <w:t xml:space="preserve"> OECD, Migrant Entrepreneurship in OECD Countries, </w:t>
      </w:r>
      <w:r>
        <w:rPr>
          <w:i/>
          <w:sz w:val="18"/>
          <w:szCs w:val="18"/>
        </w:rPr>
        <w:t xml:space="preserve">International Migration Outlook </w:t>
      </w:r>
      <w:r>
        <w:rPr>
          <w:sz w:val="18"/>
          <w:szCs w:val="18"/>
        </w:rPr>
        <w:t>2011, p.158</w:t>
      </w:r>
    </w:p>
  </w:footnote>
  <w:footnote w:id="78">
    <w:p w:rsidR="007306CA" w:rsidRDefault="00576025">
      <w:pPr>
        <w:pStyle w:val="FootnoteText"/>
        <w:spacing w:after="0"/>
        <w:ind w:left="0" w:firstLine="0"/>
        <w:rPr>
          <w:sz w:val="18"/>
          <w:szCs w:val="18"/>
        </w:rPr>
      </w:pPr>
      <w:r>
        <w:rPr>
          <w:rStyle w:val="FootnoteReference"/>
          <w:sz w:val="18"/>
          <w:szCs w:val="18"/>
        </w:rPr>
        <w:footnoteRef/>
      </w:r>
      <w:r>
        <w:rPr>
          <w:sz w:val="18"/>
          <w:szCs w:val="18"/>
        </w:rPr>
        <w:t xml:space="preserve"> Gropas, R., “Migration and Innovation: Why is Europe Failing to Attract the Best and Brightest?”, in </w:t>
      </w:r>
      <w:r>
        <w:rPr>
          <w:i/>
          <w:sz w:val="18"/>
          <w:szCs w:val="18"/>
        </w:rPr>
        <w:t>EUI Globa</w:t>
      </w:r>
      <w:r>
        <w:rPr>
          <w:i/>
          <w:sz w:val="18"/>
          <w:szCs w:val="18"/>
        </w:rPr>
        <w:t>l Governance Programme Discussions</w:t>
      </w:r>
      <w:r>
        <w:rPr>
          <w:sz w:val="18"/>
          <w:szCs w:val="18"/>
        </w:rPr>
        <w:t xml:space="preserve">, 13 March 2013; Stuen, E. T., Mobarak, A. M., and Maskus, K. E., “Skilled Immigration and Innovation: Evidence from Enrolment Fluctuations in US Doctoral Programmes” in </w:t>
      </w:r>
      <w:r>
        <w:rPr>
          <w:i/>
          <w:sz w:val="18"/>
          <w:szCs w:val="18"/>
        </w:rPr>
        <w:t>The Economic Journal</w:t>
      </w:r>
      <w:r>
        <w:rPr>
          <w:sz w:val="18"/>
          <w:szCs w:val="18"/>
        </w:rPr>
        <w:t>, Volume 122, Issue 565, Decembe</w:t>
      </w:r>
      <w:r>
        <w:rPr>
          <w:sz w:val="18"/>
          <w:szCs w:val="18"/>
        </w:rPr>
        <w:t xml:space="preserve">r 2012, pages 1143–1176; Mobarak, A.M., “Immigration and Innovation”, in </w:t>
      </w:r>
      <w:r>
        <w:rPr>
          <w:i/>
          <w:sz w:val="18"/>
          <w:szCs w:val="18"/>
        </w:rPr>
        <w:t>Economix</w:t>
      </w:r>
      <w:r>
        <w:rPr>
          <w:sz w:val="18"/>
          <w:szCs w:val="18"/>
        </w:rPr>
        <w:t>, New York Times, 12 February 2013.</w:t>
      </w:r>
    </w:p>
  </w:footnote>
  <w:footnote w:id="79">
    <w:p w:rsidR="007306CA" w:rsidRDefault="00576025">
      <w:pPr>
        <w:pStyle w:val="FootnoteText"/>
        <w:spacing w:after="0"/>
        <w:ind w:left="0" w:firstLine="0"/>
        <w:rPr>
          <w:sz w:val="18"/>
          <w:szCs w:val="18"/>
        </w:rPr>
      </w:pPr>
      <w:r>
        <w:rPr>
          <w:rStyle w:val="FootnoteReference"/>
          <w:sz w:val="18"/>
          <w:szCs w:val="18"/>
        </w:rPr>
        <w:footnoteRef/>
      </w:r>
      <w:r>
        <w:rPr>
          <w:sz w:val="18"/>
          <w:szCs w:val="18"/>
        </w:rPr>
        <w:t xml:space="preserve"> See annex 10 for more details.</w:t>
      </w:r>
    </w:p>
  </w:footnote>
  <w:footnote w:id="80">
    <w:p w:rsidR="007306CA" w:rsidRDefault="00576025">
      <w:pPr>
        <w:pStyle w:val="FootnoteText"/>
        <w:spacing w:after="0"/>
        <w:ind w:left="0" w:firstLine="0"/>
        <w:rPr>
          <w:sz w:val="18"/>
          <w:szCs w:val="18"/>
        </w:rPr>
      </w:pPr>
      <w:r>
        <w:rPr>
          <w:rStyle w:val="FootnoteReference"/>
          <w:sz w:val="18"/>
          <w:szCs w:val="18"/>
        </w:rPr>
        <w:footnoteRef/>
      </w:r>
      <w:r>
        <w:rPr>
          <w:sz w:val="18"/>
          <w:szCs w:val="18"/>
        </w:rPr>
        <w:t xml:space="preserve"> European Council Conclusions of 26 June 2015, Doc. </w:t>
      </w:r>
      <w:hyperlink r:id="rId22" w:history="1">
        <w:r>
          <w:rPr>
            <w:rStyle w:val="Hyperlink"/>
            <w:sz w:val="18"/>
            <w:szCs w:val="18"/>
          </w:rPr>
          <w:t>EUCO 22/15</w:t>
        </w:r>
      </w:hyperlink>
      <w:r>
        <w:rPr>
          <w:sz w:val="18"/>
          <w:szCs w:val="18"/>
        </w:rPr>
        <w:t xml:space="preserve">; Commission Communication of 14 October 2015, </w:t>
      </w:r>
      <w:hyperlink r:id="rId23" w:history="1">
        <w:r>
          <w:rPr>
            <w:rStyle w:val="Hyperlink"/>
            <w:sz w:val="18"/>
            <w:szCs w:val="18"/>
          </w:rPr>
          <w:t>Trade for all - Towards a more responsible trade and investment policy</w:t>
        </w:r>
      </w:hyperlink>
      <w:r>
        <w:rPr>
          <w:sz w:val="18"/>
          <w:szCs w:val="18"/>
        </w:rPr>
        <w:t>.</w:t>
      </w:r>
    </w:p>
  </w:footnote>
  <w:footnote w:id="81">
    <w:p w:rsidR="007306CA" w:rsidRDefault="00576025">
      <w:pPr>
        <w:pStyle w:val="FootnoteText"/>
        <w:spacing w:after="0"/>
        <w:ind w:left="0" w:firstLine="0"/>
        <w:rPr>
          <w:sz w:val="18"/>
          <w:szCs w:val="18"/>
        </w:rPr>
      </w:pPr>
      <w:r>
        <w:rPr>
          <w:rStyle w:val="FootnoteReference"/>
          <w:sz w:val="18"/>
          <w:szCs w:val="18"/>
        </w:rPr>
        <w:footnoteRef/>
      </w:r>
      <w:r>
        <w:rPr>
          <w:sz w:val="18"/>
          <w:szCs w:val="18"/>
        </w:rPr>
        <w:t xml:space="preserve"> For more details</w:t>
      </w:r>
      <w:r>
        <w:rPr>
          <w:sz w:val="18"/>
          <w:szCs w:val="18"/>
        </w:rPr>
        <w:t xml:space="preserve"> on the different "Mode 4" categories, see Annex 11. </w:t>
      </w:r>
    </w:p>
  </w:footnote>
  <w:footnote w:id="82">
    <w:p w:rsidR="007306CA" w:rsidRDefault="00576025">
      <w:pPr>
        <w:pStyle w:val="FootnoteText"/>
        <w:spacing w:after="0"/>
        <w:ind w:left="0" w:firstLine="0"/>
        <w:rPr>
          <w:sz w:val="18"/>
          <w:szCs w:val="18"/>
        </w:rPr>
      </w:pPr>
      <w:r>
        <w:rPr>
          <w:rStyle w:val="FootnoteReference"/>
          <w:sz w:val="18"/>
          <w:szCs w:val="18"/>
        </w:rPr>
        <w:footnoteRef/>
      </w:r>
      <w:r>
        <w:rPr>
          <w:sz w:val="18"/>
          <w:szCs w:val="18"/>
        </w:rPr>
        <w:t xml:space="preserve"> EMN Study, </w:t>
      </w:r>
      <w:hyperlink r:id="rId24" w:history="1">
        <w:r>
          <w:rPr>
            <w:rStyle w:val="Hyperlink"/>
            <w:i/>
            <w:sz w:val="18"/>
            <w:szCs w:val="18"/>
          </w:rPr>
          <w:t>Admitting third-country nationals for business purposes</w:t>
        </w:r>
      </w:hyperlink>
      <w:r>
        <w:rPr>
          <w:sz w:val="18"/>
          <w:szCs w:val="18"/>
        </w:rPr>
        <w:t>, European Migration Network, 2015.</w:t>
      </w:r>
    </w:p>
  </w:footnote>
  <w:footnote w:id="83">
    <w:p w:rsidR="007306CA" w:rsidRDefault="00576025">
      <w:pPr>
        <w:pStyle w:val="FootnoteText"/>
        <w:spacing w:after="0"/>
        <w:ind w:left="0" w:firstLine="0"/>
        <w:rPr>
          <w:sz w:val="18"/>
          <w:szCs w:val="18"/>
          <w:lang w:val="en-US"/>
        </w:rPr>
      </w:pPr>
      <w:r>
        <w:rPr>
          <w:rStyle w:val="FootnoteReference"/>
          <w:sz w:val="18"/>
          <w:szCs w:val="18"/>
        </w:rPr>
        <w:footnoteRef/>
      </w:r>
      <w:r>
        <w:rPr>
          <w:sz w:val="18"/>
          <w:szCs w:val="18"/>
        </w:rPr>
        <w:t xml:space="preserve"> Directive 2014/66/EU of the European Parliament and of the Council of 15 May 2014 on the conditions of entry and residence of thir</w:t>
      </w:r>
      <w:r>
        <w:rPr>
          <w:sz w:val="18"/>
          <w:szCs w:val="18"/>
        </w:rPr>
        <w:t>d-country nationals in the framework of an intra-corporate transfer, OJ L 157/1 of 27.5.2014.</w:t>
      </w:r>
    </w:p>
  </w:footnote>
  <w:footnote w:id="84">
    <w:p w:rsidR="007306CA" w:rsidRDefault="00576025">
      <w:pPr>
        <w:pStyle w:val="FootnoteText"/>
        <w:spacing w:after="0"/>
        <w:ind w:left="0" w:firstLine="0"/>
        <w:rPr>
          <w:sz w:val="18"/>
          <w:szCs w:val="18"/>
          <w:lang w:val="en-US"/>
        </w:rPr>
      </w:pPr>
      <w:r>
        <w:rPr>
          <w:rStyle w:val="FootnoteReference"/>
          <w:sz w:val="18"/>
          <w:szCs w:val="18"/>
        </w:rPr>
        <w:footnoteRef/>
      </w:r>
      <w:r>
        <w:rPr>
          <w:sz w:val="18"/>
          <w:szCs w:val="18"/>
        </w:rPr>
        <w:t xml:space="preserve"> These are managers, specialists and graduate trainees posted to a host entity in the EU by a group of undertaking whose headquarter is outside the EU.</w:t>
      </w:r>
    </w:p>
  </w:footnote>
  <w:footnote w:id="85">
    <w:p w:rsidR="007306CA" w:rsidRDefault="00576025">
      <w:pPr>
        <w:pStyle w:val="FootnoteText"/>
        <w:spacing w:after="0"/>
        <w:ind w:left="0" w:firstLine="0"/>
        <w:rPr>
          <w:sz w:val="18"/>
          <w:szCs w:val="18"/>
        </w:rPr>
      </w:pPr>
      <w:r>
        <w:rPr>
          <w:rStyle w:val="FootnoteReference"/>
          <w:sz w:val="18"/>
          <w:szCs w:val="18"/>
        </w:rPr>
        <w:footnoteRef/>
      </w:r>
      <w:r>
        <w:rPr>
          <w:sz w:val="18"/>
          <w:szCs w:val="18"/>
        </w:rPr>
        <w:t xml:space="preserve"> Study on implementation Cariforum-EU EPA Agreement, </w:t>
      </w:r>
      <w:hyperlink r:id="rId25" w:history="1">
        <w:r>
          <w:rPr>
            <w:rStyle w:val="Hyperlink"/>
            <w:sz w:val="18"/>
            <w:szCs w:val="18"/>
          </w:rPr>
          <w:t>executive summary</w:t>
        </w:r>
      </w:hyperlink>
      <w:r>
        <w:rPr>
          <w:sz w:val="18"/>
          <w:szCs w:val="18"/>
        </w:rPr>
        <w:t xml:space="preserve"> and </w:t>
      </w:r>
      <w:hyperlink r:id="rId26" w:history="1">
        <w:r>
          <w:rPr>
            <w:rStyle w:val="Hyperlink"/>
            <w:sz w:val="18"/>
            <w:szCs w:val="18"/>
          </w:rPr>
          <w:t>full report</w:t>
        </w:r>
      </w:hyperlink>
      <w:r>
        <w:rPr>
          <w:sz w:val="18"/>
          <w:szCs w:val="18"/>
        </w:rPr>
        <w:t>, pp. 40-49, Sept 2014.</w:t>
      </w:r>
    </w:p>
  </w:footnote>
  <w:footnote w:id="86">
    <w:p w:rsidR="007306CA" w:rsidRDefault="00576025">
      <w:pPr>
        <w:pStyle w:val="FootnoteText"/>
        <w:spacing w:after="0"/>
        <w:ind w:left="0" w:firstLine="0"/>
        <w:rPr>
          <w:sz w:val="18"/>
          <w:szCs w:val="18"/>
        </w:rPr>
      </w:pPr>
      <w:r>
        <w:rPr>
          <w:rStyle w:val="FootnoteReference"/>
          <w:sz w:val="18"/>
          <w:szCs w:val="18"/>
        </w:rPr>
        <w:footnoteRef/>
      </w:r>
      <w:r>
        <w:rPr>
          <w:sz w:val="18"/>
          <w:szCs w:val="18"/>
        </w:rPr>
        <w:t xml:space="preserve"> See Annex 16 for more details.</w:t>
      </w:r>
    </w:p>
  </w:footnote>
  <w:footnote w:id="87">
    <w:p w:rsidR="007306CA" w:rsidRDefault="00576025">
      <w:pPr>
        <w:pStyle w:val="FootnoteText"/>
        <w:spacing w:after="0"/>
        <w:ind w:left="0" w:firstLine="0"/>
        <w:contextualSpacing/>
        <w:rPr>
          <w:sz w:val="18"/>
          <w:szCs w:val="18"/>
        </w:rPr>
      </w:pPr>
      <w:r>
        <w:rPr>
          <w:rStyle w:val="FootnoteReference"/>
          <w:sz w:val="18"/>
          <w:szCs w:val="18"/>
        </w:rPr>
        <w:footnoteRef/>
      </w:r>
      <w:r>
        <w:rPr>
          <w:sz w:val="18"/>
          <w:szCs w:val="18"/>
        </w:rPr>
        <w:t xml:space="preserve"> </w:t>
      </w:r>
      <w:r>
        <w:rPr>
          <w:rStyle w:val="Hyperlink"/>
          <w:sz w:val="18"/>
          <w:szCs w:val="18"/>
        </w:rPr>
        <w:t>See for instance Annex 2, section 2.3.3., follow up to question 15</w:t>
      </w:r>
    </w:p>
  </w:footnote>
  <w:footnote w:id="88">
    <w:p w:rsidR="007306CA" w:rsidRDefault="00576025">
      <w:pPr>
        <w:pStyle w:val="FootnoteText"/>
        <w:spacing w:after="0"/>
        <w:ind w:left="0" w:firstLine="0"/>
        <w:rPr>
          <w:sz w:val="18"/>
          <w:szCs w:val="18"/>
        </w:rPr>
      </w:pPr>
      <w:r>
        <w:rPr>
          <w:rStyle w:val="FootnoteReference"/>
          <w:sz w:val="18"/>
          <w:szCs w:val="18"/>
        </w:rPr>
        <w:footnoteRef/>
      </w:r>
      <w:r>
        <w:rPr>
          <w:sz w:val="18"/>
          <w:szCs w:val="18"/>
        </w:rPr>
        <w:t xml:space="preserve"> </w:t>
      </w:r>
      <w:r>
        <w:rPr>
          <w:sz w:val="18"/>
          <w:szCs w:val="18"/>
          <w:lang w:val="en-US" w:eastAsia="en-GB"/>
        </w:rPr>
        <w:t xml:space="preserve">Gubert, F. and Senne, J.-N., </w:t>
      </w:r>
      <w:r>
        <w:rPr>
          <w:i/>
          <w:sz w:val="18"/>
          <w:szCs w:val="18"/>
          <w:lang w:val="en-US" w:eastAsia="en-GB"/>
        </w:rPr>
        <w:t>Europe as a Single Labour Market Destination</w:t>
      </w:r>
      <w:r>
        <w:rPr>
          <w:sz w:val="18"/>
          <w:szCs w:val="18"/>
          <w:lang w:val="en-US" w:eastAsia="en-GB"/>
        </w:rPr>
        <w:t xml:space="preserve">, OECD 2016, </w:t>
      </w:r>
      <w:r>
        <w:rPr>
          <w:i/>
          <w:iCs/>
          <w:sz w:val="18"/>
          <w:szCs w:val="18"/>
          <w:lang w:val="en-US" w:eastAsia="en-GB"/>
        </w:rPr>
        <w:t>forthcoming</w:t>
      </w:r>
      <w:r>
        <w:rPr>
          <w:sz w:val="18"/>
          <w:szCs w:val="18"/>
        </w:rPr>
        <w:t>.</w:t>
      </w:r>
    </w:p>
  </w:footnote>
  <w:footnote w:id="89">
    <w:p w:rsidR="007306CA" w:rsidRDefault="00576025">
      <w:pPr>
        <w:pStyle w:val="FootnoteText"/>
        <w:spacing w:after="0"/>
        <w:ind w:left="0" w:firstLine="0"/>
        <w:rPr>
          <w:sz w:val="18"/>
          <w:szCs w:val="18"/>
          <w:lang w:val="en-US"/>
        </w:rPr>
      </w:pPr>
      <w:r>
        <w:rPr>
          <w:rStyle w:val="FootnoteReference"/>
          <w:sz w:val="18"/>
          <w:szCs w:val="18"/>
        </w:rPr>
        <w:footnoteRef/>
      </w:r>
      <w:r>
        <w:rPr>
          <w:sz w:val="18"/>
          <w:szCs w:val="18"/>
        </w:rPr>
        <w:t xml:space="preserve"> </w:t>
      </w:r>
      <w:r>
        <w:rPr>
          <w:sz w:val="18"/>
          <w:szCs w:val="18"/>
          <w:lang w:val="en-US"/>
        </w:rPr>
        <w:t>This is clearly shown in An</w:t>
      </w:r>
      <w:r>
        <w:rPr>
          <w:sz w:val="18"/>
          <w:szCs w:val="18"/>
          <w:lang w:val="en-US"/>
        </w:rPr>
        <w:t xml:space="preserve">nex 7, Section 4. </w:t>
      </w:r>
    </w:p>
  </w:footnote>
  <w:footnote w:id="90">
    <w:p w:rsidR="007306CA" w:rsidRDefault="00576025">
      <w:pPr>
        <w:pStyle w:val="FootnoteText"/>
        <w:spacing w:after="0"/>
        <w:ind w:left="0" w:firstLine="0"/>
        <w:contextualSpacing/>
        <w:rPr>
          <w:sz w:val="18"/>
          <w:szCs w:val="18"/>
        </w:rPr>
      </w:pPr>
      <w:r>
        <w:rPr>
          <w:rStyle w:val="FootnoteReference"/>
          <w:sz w:val="18"/>
          <w:szCs w:val="18"/>
        </w:rPr>
        <w:footnoteRef/>
      </w:r>
      <w:r>
        <w:rPr>
          <w:sz w:val="18"/>
          <w:szCs w:val="18"/>
        </w:rPr>
        <w:t xml:space="preserve"> </w:t>
      </w:r>
      <w:r>
        <w:rPr>
          <w:sz w:val="18"/>
          <w:szCs w:val="18"/>
          <w:lang w:val="en-US"/>
        </w:rPr>
        <w:t>See Annex 2, section 2.3.4., question 26 and follow-up.</w:t>
      </w:r>
    </w:p>
  </w:footnote>
  <w:footnote w:id="91">
    <w:p w:rsidR="007306CA" w:rsidRDefault="00576025">
      <w:pPr>
        <w:pStyle w:val="FootnoteText"/>
        <w:spacing w:after="0"/>
        <w:ind w:left="0" w:firstLine="0"/>
        <w:rPr>
          <w:sz w:val="18"/>
          <w:szCs w:val="18"/>
          <w:lang w:val="en-US"/>
        </w:rPr>
      </w:pPr>
      <w:r>
        <w:rPr>
          <w:rStyle w:val="FootnoteReference"/>
          <w:sz w:val="18"/>
          <w:szCs w:val="18"/>
        </w:rPr>
        <w:footnoteRef/>
      </w:r>
      <w:r>
        <w:rPr>
          <w:sz w:val="18"/>
          <w:szCs w:val="18"/>
        </w:rPr>
        <w:t xml:space="preserve"> </w:t>
      </w:r>
      <w:r>
        <w:rPr>
          <w:sz w:val="18"/>
          <w:szCs w:val="18"/>
          <w:lang w:val="en-US"/>
        </w:rPr>
        <w:t>See Table 3 in Annex 5.</w:t>
      </w:r>
    </w:p>
  </w:footnote>
  <w:footnote w:id="92">
    <w:p w:rsidR="007306CA" w:rsidRDefault="00576025">
      <w:pPr>
        <w:pStyle w:val="FootnoteText"/>
        <w:spacing w:after="0"/>
        <w:ind w:left="0" w:firstLine="0"/>
        <w:contextualSpacing/>
        <w:rPr>
          <w:sz w:val="18"/>
          <w:szCs w:val="18"/>
        </w:rPr>
      </w:pPr>
      <w:r>
        <w:rPr>
          <w:rStyle w:val="FootnoteReference"/>
          <w:sz w:val="18"/>
          <w:szCs w:val="18"/>
        </w:rPr>
        <w:footnoteRef/>
      </w:r>
      <w:r>
        <w:rPr>
          <w:sz w:val="18"/>
          <w:szCs w:val="18"/>
        </w:rPr>
        <w:t xml:space="preserve"> </w:t>
      </w:r>
      <w:r>
        <w:rPr>
          <w:sz w:val="18"/>
          <w:szCs w:val="18"/>
          <w:lang w:val="en-US"/>
        </w:rPr>
        <w:t>See Annex 2, section 2.3.4., question 26 and follow-up.</w:t>
      </w:r>
    </w:p>
  </w:footnote>
  <w:footnote w:id="93">
    <w:p w:rsidR="007306CA" w:rsidRDefault="00576025">
      <w:pPr>
        <w:pStyle w:val="FootnoteText"/>
        <w:spacing w:after="0"/>
        <w:ind w:left="0" w:firstLine="0"/>
        <w:rPr>
          <w:sz w:val="18"/>
          <w:szCs w:val="18"/>
          <w:lang w:val="en-US"/>
        </w:rPr>
      </w:pPr>
      <w:r>
        <w:rPr>
          <w:rStyle w:val="FootnoteReference"/>
          <w:sz w:val="18"/>
          <w:szCs w:val="18"/>
        </w:rPr>
        <w:footnoteRef/>
      </w:r>
      <w:r>
        <w:rPr>
          <w:sz w:val="18"/>
          <w:szCs w:val="18"/>
        </w:rPr>
        <w:t xml:space="preserve"> </w:t>
      </w:r>
      <w:r>
        <w:rPr>
          <w:sz w:val="18"/>
          <w:szCs w:val="18"/>
          <w:lang w:val="en-US"/>
        </w:rPr>
        <w:t>See Annex 7.</w:t>
      </w:r>
    </w:p>
  </w:footnote>
  <w:footnote w:id="94">
    <w:p w:rsidR="007306CA" w:rsidRDefault="00576025">
      <w:pPr>
        <w:pStyle w:val="FootnoteText"/>
        <w:spacing w:after="0"/>
        <w:ind w:left="0" w:firstLine="0"/>
        <w:rPr>
          <w:sz w:val="18"/>
          <w:szCs w:val="18"/>
        </w:rPr>
      </w:pPr>
      <w:r>
        <w:rPr>
          <w:rStyle w:val="FootnoteReference"/>
          <w:sz w:val="18"/>
          <w:szCs w:val="18"/>
        </w:rPr>
        <w:footnoteRef/>
      </w:r>
      <w:r>
        <w:rPr>
          <w:sz w:val="18"/>
          <w:szCs w:val="18"/>
        </w:rPr>
        <w:t xml:space="preserve"> The UK, Denmark and Ireland are not bound by the Blue Card (see footnote 5).</w:t>
      </w:r>
    </w:p>
  </w:footnote>
  <w:footnote w:id="95">
    <w:p w:rsidR="007306CA" w:rsidRDefault="00576025">
      <w:pPr>
        <w:pStyle w:val="FootnoteText"/>
        <w:spacing w:after="0"/>
        <w:ind w:left="0" w:firstLine="0"/>
        <w:rPr>
          <w:sz w:val="18"/>
          <w:szCs w:val="18"/>
        </w:rPr>
      </w:pPr>
      <w:r>
        <w:rPr>
          <w:rStyle w:val="FootnoteReference"/>
          <w:sz w:val="18"/>
          <w:szCs w:val="18"/>
        </w:rPr>
        <w:footnoteRef/>
      </w:r>
      <w:r>
        <w:rPr>
          <w:sz w:val="18"/>
          <w:szCs w:val="18"/>
        </w:rPr>
        <w:t xml:space="preserve"> See Annex 2, section 2.3.3., question 15.</w:t>
      </w:r>
    </w:p>
  </w:footnote>
  <w:footnote w:id="96">
    <w:p w:rsidR="007306CA" w:rsidRDefault="00576025">
      <w:pPr>
        <w:pStyle w:val="FootnoteText"/>
        <w:spacing w:after="0"/>
        <w:ind w:left="0" w:firstLine="0"/>
        <w:contextualSpacing/>
        <w:rPr>
          <w:sz w:val="18"/>
          <w:szCs w:val="18"/>
        </w:rPr>
      </w:pPr>
      <w:r>
        <w:rPr>
          <w:rStyle w:val="FootnoteReference"/>
          <w:sz w:val="18"/>
          <w:szCs w:val="18"/>
        </w:rPr>
        <w:footnoteRef/>
      </w:r>
      <w:r>
        <w:rPr>
          <w:sz w:val="18"/>
          <w:szCs w:val="18"/>
        </w:rPr>
        <w:t xml:space="preserve"> See Annex 2, section 2.3.4., question 20.</w:t>
      </w:r>
    </w:p>
  </w:footnote>
  <w:footnote w:id="97">
    <w:p w:rsidR="007306CA" w:rsidRDefault="00576025">
      <w:pPr>
        <w:pStyle w:val="FootnoteText"/>
        <w:spacing w:after="0"/>
        <w:ind w:left="0" w:firstLine="0"/>
        <w:rPr>
          <w:sz w:val="18"/>
          <w:szCs w:val="18"/>
          <w:lang w:val="en-US"/>
        </w:rPr>
      </w:pPr>
      <w:r>
        <w:rPr>
          <w:rStyle w:val="FootnoteReference"/>
          <w:sz w:val="18"/>
          <w:szCs w:val="18"/>
        </w:rPr>
        <w:footnoteRef/>
      </w:r>
      <w:r>
        <w:rPr>
          <w:sz w:val="18"/>
          <w:szCs w:val="18"/>
        </w:rPr>
        <w:t xml:space="preserve"> Note that this was a voluntary, online public consultation with an obvious selection-bias towards respondents who have knowledge of these labour migration policies.</w:t>
      </w:r>
    </w:p>
  </w:footnote>
  <w:footnote w:id="98">
    <w:p w:rsidR="007306CA" w:rsidRDefault="00576025">
      <w:pPr>
        <w:pStyle w:val="FootnoteText"/>
        <w:spacing w:after="0"/>
        <w:ind w:left="0" w:firstLine="0"/>
        <w:rPr>
          <w:sz w:val="18"/>
          <w:szCs w:val="18"/>
          <w:lang w:val="en-US"/>
        </w:rPr>
      </w:pPr>
      <w:r>
        <w:rPr>
          <w:rStyle w:val="FootnoteReference"/>
          <w:sz w:val="18"/>
          <w:szCs w:val="18"/>
        </w:rPr>
        <w:footnoteRef/>
      </w:r>
      <w:r>
        <w:rPr>
          <w:sz w:val="18"/>
          <w:szCs w:val="18"/>
        </w:rPr>
        <w:t xml:space="preserve"> </w:t>
      </w:r>
      <w:r>
        <w:rPr>
          <w:sz w:val="18"/>
          <w:szCs w:val="18"/>
          <w:lang w:val="en-US"/>
        </w:rPr>
        <w:t>See Annex 8.</w:t>
      </w:r>
    </w:p>
  </w:footnote>
  <w:footnote w:id="99">
    <w:p w:rsidR="007306CA" w:rsidRDefault="00576025">
      <w:pPr>
        <w:pStyle w:val="FootnoteText"/>
        <w:spacing w:after="0"/>
        <w:ind w:left="0" w:firstLine="0"/>
        <w:rPr>
          <w:sz w:val="18"/>
          <w:szCs w:val="18"/>
          <w:lang w:val="en-US"/>
        </w:rPr>
      </w:pPr>
      <w:r>
        <w:rPr>
          <w:rStyle w:val="FootnoteReference"/>
          <w:sz w:val="18"/>
          <w:szCs w:val="18"/>
        </w:rPr>
        <w:footnoteRef/>
      </w:r>
      <w:r>
        <w:rPr>
          <w:sz w:val="18"/>
          <w:szCs w:val="18"/>
        </w:rPr>
        <w:t xml:space="preserve"> Some Member States have more complex schemes than others, especially in terms of admission conditions, which adds burden to the resources of the administration, while simpler schemes allow for speedier processing and less administrative burd</w:t>
      </w:r>
      <w:r>
        <w:rPr>
          <w:sz w:val="18"/>
          <w:szCs w:val="18"/>
        </w:rPr>
        <w:t>en. See Annexes 5, 6 and 16.</w:t>
      </w:r>
    </w:p>
  </w:footnote>
  <w:footnote w:id="100">
    <w:p w:rsidR="007306CA" w:rsidRDefault="00576025">
      <w:pPr>
        <w:pStyle w:val="FootnoteText"/>
        <w:spacing w:after="0"/>
        <w:ind w:left="0" w:firstLine="0"/>
        <w:rPr>
          <w:sz w:val="18"/>
          <w:szCs w:val="18"/>
        </w:rPr>
      </w:pPr>
      <w:r>
        <w:rPr>
          <w:rStyle w:val="FootnoteReference"/>
          <w:sz w:val="18"/>
          <w:szCs w:val="18"/>
        </w:rPr>
        <w:footnoteRef/>
      </w:r>
      <w:r>
        <w:rPr>
          <w:sz w:val="18"/>
          <w:szCs w:val="18"/>
        </w:rPr>
        <w:t xml:space="preserve"> CEDEFOP projections 2012-2025.</w:t>
      </w:r>
    </w:p>
  </w:footnote>
  <w:footnote w:id="101">
    <w:p w:rsidR="007306CA" w:rsidRDefault="00576025">
      <w:pPr>
        <w:pStyle w:val="FootnoteText"/>
        <w:spacing w:after="0"/>
        <w:ind w:left="0" w:firstLine="0"/>
        <w:rPr>
          <w:sz w:val="18"/>
          <w:szCs w:val="18"/>
        </w:rPr>
      </w:pPr>
      <w:r>
        <w:rPr>
          <w:rStyle w:val="FootnoteReference"/>
          <w:sz w:val="18"/>
          <w:szCs w:val="18"/>
        </w:rPr>
        <w:footnoteRef/>
      </w:r>
      <w:r>
        <w:rPr>
          <w:sz w:val="18"/>
          <w:szCs w:val="18"/>
        </w:rPr>
        <w:t xml:space="preserve"> European Commission, A Digital Single Market Strategy for Europe, COM(2015) 192 final; Hüsing, T., Korte, W.B., Dashja, E., </w:t>
      </w:r>
      <w:r>
        <w:rPr>
          <w:i/>
          <w:sz w:val="18"/>
          <w:szCs w:val="18"/>
        </w:rPr>
        <w:t xml:space="preserve">e-Skills in Europe: </w:t>
      </w:r>
      <w:hyperlink r:id="rId27" w:history="1">
        <w:r>
          <w:rPr>
            <w:rStyle w:val="Hyperlink"/>
            <w:i/>
            <w:sz w:val="18"/>
            <w:szCs w:val="18"/>
          </w:rPr>
          <w:t>Trends and Forecasts for the European ICT Professional and Digital Leadership Labour Markets</w:t>
        </w:r>
      </w:hyperlink>
      <w:r>
        <w:rPr>
          <w:sz w:val="18"/>
          <w:szCs w:val="18"/>
        </w:rPr>
        <w:t xml:space="preserve"> </w:t>
      </w:r>
      <w:r>
        <w:rPr>
          <w:i/>
          <w:sz w:val="18"/>
          <w:szCs w:val="18"/>
        </w:rPr>
        <w:t>(2015-2020)</w:t>
      </w:r>
      <w:r>
        <w:rPr>
          <w:sz w:val="18"/>
          <w:szCs w:val="18"/>
        </w:rPr>
        <w:t>, Empirica Working Paper, November 2015.</w:t>
      </w:r>
    </w:p>
  </w:footnote>
  <w:footnote w:id="102">
    <w:p w:rsidR="007306CA" w:rsidRDefault="00576025">
      <w:pPr>
        <w:spacing w:after="0"/>
        <w:rPr>
          <w:sz w:val="18"/>
          <w:szCs w:val="18"/>
          <w:lang w:val="en-US"/>
        </w:rPr>
      </w:pPr>
      <w:r>
        <w:rPr>
          <w:rStyle w:val="FootnoteReference"/>
          <w:sz w:val="18"/>
          <w:szCs w:val="18"/>
        </w:rPr>
        <w:footnoteRef/>
      </w:r>
      <w:r>
        <w:rPr>
          <w:sz w:val="18"/>
          <w:szCs w:val="18"/>
        </w:rPr>
        <w:t xml:space="preserve"> The 1 million shortage covers only the highly educated health professionals (doctors, nurses, dentists, midwives and pharmacists). Note that in 24 Member States Bachelor or Masters programmes are required to qualify as a general care nurse, making this ca</w:t>
      </w:r>
      <w:r>
        <w:rPr>
          <w:sz w:val="18"/>
          <w:szCs w:val="18"/>
        </w:rPr>
        <w:t>tegory eligible for current Blue Card if they reach the salary threshold.</w:t>
      </w:r>
    </w:p>
  </w:footnote>
  <w:footnote w:id="103">
    <w:p w:rsidR="007306CA" w:rsidRDefault="00576025">
      <w:pPr>
        <w:pStyle w:val="FootnoteText"/>
        <w:spacing w:after="0"/>
        <w:ind w:left="0" w:firstLine="0"/>
        <w:rPr>
          <w:sz w:val="18"/>
          <w:szCs w:val="18"/>
        </w:rPr>
      </w:pPr>
      <w:r>
        <w:rPr>
          <w:rStyle w:val="FootnoteReference"/>
          <w:sz w:val="18"/>
          <w:szCs w:val="18"/>
        </w:rPr>
        <w:footnoteRef/>
      </w:r>
      <w:r>
        <w:rPr>
          <w:sz w:val="18"/>
          <w:szCs w:val="18"/>
        </w:rPr>
        <w:t xml:space="preserve"> This number includes also non-highly skilled.</w:t>
      </w:r>
    </w:p>
  </w:footnote>
  <w:footnote w:id="104">
    <w:p w:rsidR="007306CA" w:rsidRDefault="00576025">
      <w:pPr>
        <w:pStyle w:val="FootnoteText"/>
        <w:spacing w:after="0"/>
        <w:ind w:left="0" w:firstLine="0"/>
        <w:rPr>
          <w:sz w:val="18"/>
          <w:szCs w:val="18"/>
        </w:rPr>
      </w:pPr>
      <w:r>
        <w:rPr>
          <w:rStyle w:val="FootnoteReference"/>
          <w:sz w:val="18"/>
          <w:szCs w:val="18"/>
        </w:rPr>
        <w:footnoteRef/>
      </w:r>
      <w:r>
        <w:rPr>
          <w:sz w:val="18"/>
          <w:szCs w:val="18"/>
        </w:rPr>
        <w:t xml:space="preserve"> Commission estimates, "Action Plan for the EU health workforce", SWD (2012)93 final.</w:t>
      </w:r>
    </w:p>
  </w:footnote>
  <w:footnote w:id="105">
    <w:p w:rsidR="007306CA" w:rsidRDefault="00576025">
      <w:pPr>
        <w:pStyle w:val="FootnoteText"/>
        <w:spacing w:after="0"/>
        <w:ind w:left="0" w:firstLine="0"/>
        <w:rPr>
          <w:sz w:val="18"/>
          <w:szCs w:val="18"/>
        </w:rPr>
      </w:pPr>
      <w:r>
        <w:rPr>
          <w:rStyle w:val="FootnoteReference"/>
          <w:sz w:val="18"/>
          <w:szCs w:val="18"/>
        </w:rPr>
        <w:footnoteRef/>
      </w:r>
      <w:r>
        <w:rPr>
          <w:sz w:val="18"/>
          <w:szCs w:val="18"/>
        </w:rPr>
        <w:t xml:space="preserve"> Key Enabling Technologies (KETs) are knowledg</w:t>
      </w:r>
      <w:r>
        <w:rPr>
          <w:sz w:val="18"/>
          <w:szCs w:val="18"/>
        </w:rPr>
        <w:t>e-intensive technologies that enable process, goods and service innovation throughout the economy. KETs currently include Micro-/Nanoelectronics, Nanotechnology, Photonics, Advanced Materials, Industrial Biotechnology and Advanced Manufacturing Technologie</w:t>
      </w:r>
      <w:r>
        <w:rPr>
          <w:sz w:val="18"/>
          <w:szCs w:val="18"/>
        </w:rPr>
        <w:t>s.</w:t>
      </w:r>
    </w:p>
  </w:footnote>
  <w:footnote w:id="106">
    <w:p w:rsidR="007306CA" w:rsidRDefault="00576025">
      <w:pPr>
        <w:pStyle w:val="FootnoteText"/>
        <w:spacing w:after="0"/>
        <w:ind w:left="0" w:firstLine="0"/>
        <w:rPr>
          <w:sz w:val="18"/>
          <w:szCs w:val="18"/>
        </w:rPr>
      </w:pPr>
      <w:r>
        <w:rPr>
          <w:rStyle w:val="FootnoteReference"/>
          <w:sz w:val="18"/>
          <w:szCs w:val="18"/>
        </w:rPr>
        <w:footnoteRef/>
      </w:r>
      <w:r>
        <w:rPr>
          <w:sz w:val="18"/>
          <w:szCs w:val="18"/>
        </w:rPr>
        <w:t xml:space="preserve"> European Commission (2016), Boosting the potential of 'Key Enabling Technologies – Addressing Skills Needs in Europe'.</w:t>
      </w:r>
    </w:p>
  </w:footnote>
  <w:footnote w:id="107">
    <w:p w:rsidR="007306CA" w:rsidRDefault="00576025">
      <w:pPr>
        <w:pStyle w:val="FootnoteText"/>
        <w:spacing w:after="0"/>
        <w:ind w:left="0" w:firstLine="0"/>
        <w:rPr>
          <w:sz w:val="18"/>
          <w:szCs w:val="18"/>
        </w:rPr>
      </w:pPr>
      <w:r>
        <w:rPr>
          <w:rStyle w:val="FootnoteReference"/>
          <w:sz w:val="18"/>
          <w:szCs w:val="18"/>
        </w:rPr>
        <w:footnoteRef/>
      </w:r>
      <w:r>
        <w:rPr>
          <w:sz w:val="18"/>
          <w:szCs w:val="18"/>
        </w:rPr>
        <w:t xml:space="preserve"> </w:t>
      </w:r>
      <w:r>
        <w:rPr>
          <w:rFonts w:eastAsia="Calibri"/>
          <w:sz w:val="18"/>
          <w:szCs w:val="18"/>
        </w:rPr>
        <w:t>European Commission, ESDE (2016).</w:t>
      </w:r>
    </w:p>
  </w:footnote>
  <w:footnote w:id="108">
    <w:p w:rsidR="007306CA" w:rsidRDefault="00576025">
      <w:pPr>
        <w:pStyle w:val="FootnoteText"/>
        <w:spacing w:after="0"/>
        <w:ind w:left="0" w:firstLine="0"/>
        <w:rPr>
          <w:sz w:val="18"/>
          <w:szCs w:val="18"/>
        </w:rPr>
      </w:pPr>
      <w:r>
        <w:rPr>
          <w:rStyle w:val="FootnoteReference"/>
          <w:sz w:val="18"/>
          <w:szCs w:val="18"/>
        </w:rPr>
        <w:footnoteRef/>
      </w:r>
      <w:r>
        <w:rPr>
          <w:sz w:val="18"/>
          <w:szCs w:val="18"/>
        </w:rPr>
        <w:t xml:space="preserve"> Regulation (EU)2015/589 of the European parliament and the Council of 13 April 2016 on a Europ</w:t>
      </w:r>
      <w:r>
        <w:rPr>
          <w:sz w:val="18"/>
          <w:szCs w:val="18"/>
        </w:rPr>
        <w:t>ean network of employment services (EURES), workers' access to mobility services and the further integration of labour markets, and amending Regulations (EU) N° 492/2011 and (EU) N° 1296/2013.</w:t>
      </w:r>
    </w:p>
  </w:footnote>
  <w:footnote w:id="109">
    <w:p w:rsidR="007306CA" w:rsidRDefault="00576025">
      <w:pPr>
        <w:pStyle w:val="FootnoteText"/>
        <w:spacing w:after="0"/>
        <w:ind w:left="0" w:firstLine="0"/>
        <w:rPr>
          <w:sz w:val="18"/>
          <w:szCs w:val="18"/>
        </w:rPr>
      </w:pPr>
      <w:r>
        <w:rPr>
          <w:rStyle w:val="FootnoteReference"/>
          <w:sz w:val="18"/>
          <w:szCs w:val="18"/>
        </w:rPr>
        <w:footnoteRef/>
      </w:r>
      <w:r>
        <w:rPr>
          <w:sz w:val="18"/>
          <w:szCs w:val="18"/>
        </w:rPr>
        <w:t xml:space="preserve"> </w:t>
      </w:r>
      <w:hyperlink r:id="rId28" w:history="1">
        <w:r>
          <w:rPr>
            <w:rStyle w:val="Hyperlink"/>
            <w:sz w:val="18"/>
            <w:szCs w:val="18"/>
          </w:rPr>
          <w:t>https://ec.europa.eu/eures/public/en/homepage</w:t>
        </w:r>
      </w:hyperlink>
      <w:r>
        <w:rPr>
          <w:sz w:val="18"/>
          <w:szCs w:val="18"/>
        </w:rPr>
        <w:t>.</w:t>
      </w:r>
    </w:p>
  </w:footnote>
  <w:footnote w:id="110">
    <w:p w:rsidR="007306CA" w:rsidRDefault="00576025">
      <w:pPr>
        <w:pStyle w:val="FootnoteText"/>
        <w:spacing w:after="0"/>
        <w:ind w:left="0" w:firstLine="0"/>
        <w:rPr>
          <w:sz w:val="18"/>
          <w:szCs w:val="18"/>
        </w:rPr>
      </w:pPr>
      <w:r>
        <w:rPr>
          <w:rStyle w:val="FootnoteReference"/>
          <w:sz w:val="18"/>
          <w:szCs w:val="18"/>
        </w:rPr>
        <w:footnoteRef/>
      </w:r>
      <w:r>
        <w:rPr>
          <w:sz w:val="18"/>
          <w:szCs w:val="18"/>
        </w:rPr>
        <w:t xml:space="preserve"> See the Commission Work Programme for 2016 at: </w:t>
      </w:r>
      <w:hyperlink r:id="rId29" w:history="1">
        <w:r>
          <w:rPr>
            <w:rStyle w:val="Hyperlink"/>
            <w:sz w:val="18"/>
            <w:szCs w:val="18"/>
          </w:rPr>
          <w:t>http://ec.europa.eu/atwork/key-documents/index_en.htm</w:t>
        </w:r>
      </w:hyperlink>
      <w:r>
        <w:rPr>
          <w:sz w:val="18"/>
          <w:szCs w:val="18"/>
        </w:rPr>
        <w:t xml:space="preserve">. </w:t>
      </w:r>
    </w:p>
  </w:footnote>
  <w:footnote w:id="111">
    <w:p w:rsidR="007306CA" w:rsidRDefault="00576025">
      <w:pPr>
        <w:pStyle w:val="FootnoteText"/>
        <w:spacing w:after="0"/>
        <w:ind w:left="0" w:firstLine="0"/>
        <w:rPr>
          <w:sz w:val="18"/>
          <w:szCs w:val="18"/>
          <w:lang w:val="en-US"/>
        </w:rPr>
      </w:pPr>
      <w:r>
        <w:rPr>
          <w:rStyle w:val="FootnoteReference"/>
          <w:sz w:val="18"/>
          <w:szCs w:val="18"/>
        </w:rPr>
        <w:footnoteRef/>
      </w:r>
      <w:r>
        <w:rPr>
          <w:sz w:val="18"/>
          <w:szCs w:val="18"/>
        </w:rPr>
        <w:t xml:space="preserve"> Barslund, M., Busse, M., and Sc</w:t>
      </w:r>
      <w:r>
        <w:rPr>
          <w:sz w:val="18"/>
          <w:szCs w:val="18"/>
        </w:rPr>
        <w:t xml:space="preserve">hwarzwälder, J., </w:t>
      </w:r>
      <w:r>
        <w:rPr>
          <w:i/>
          <w:sz w:val="18"/>
          <w:szCs w:val="18"/>
        </w:rPr>
        <w:t>Labour Mobility in Europe: An untapped resource</w:t>
      </w:r>
      <w:r>
        <w:rPr>
          <w:sz w:val="18"/>
          <w:szCs w:val="18"/>
        </w:rPr>
        <w:t>?, CEPS Policy Brief, No. 327, March 2015</w:t>
      </w:r>
    </w:p>
  </w:footnote>
  <w:footnote w:id="112">
    <w:p w:rsidR="007306CA" w:rsidRDefault="00576025">
      <w:pPr>
        <w:pStyle w:val="FootnoteText"/>
        <w:spacing w:after="0"/>
        <w:ind w:left="0" w:firstLine="0"/>
        <w:rPr>
          <w:sz w:val="18"/>
          <w:szCs w:val="18"/>
        </w:rPr>
      </w:pPr>
      <w:r>
        <w:rPr>
          <w:rStyle w:val="FootnoteReference"/>
          <w:sz w:val="18"/>
          <w:szCs w:val="18"/>
        </w:rPr>
        <w:footnoteRef/>
      </w:r>
      <w:r>
        <w:rPr>
          <w:sz w:val="18"/>
          <w:szCs w:val="18"/>
        </w:rPr>
        <w:t xml:space="preserve"> European Central Bank, Euro Area Labour Markets and the Crisis, Occasional Paper series n°138/ October 2012, p.76.</w:t>
      </w:r>
    </w:p>
  </w:footnote>
  <w:footnote w:id="113">
    <w:p w:rsidR="007306CA" w:rsidRDefault="00576025">
      <w:pPr>
        <w:pStyle w:val="FootnoteText"/>
        <w:spacing w:after="0"/>
        <w:ind w:left="0" w:firstLine="0"/>
        <w:rPr>
          <w:sz w:val="18"/>
          <w:szCs w:val="18"/>
        </w:rPr>
      </w:pPr>
      <w:r>
        <w:rPr>
          <w:rStyle w:val="FootnoteReference"/>
          <w:sz w:val="18"/>
          <w:szCs w:val="18"/>
        </w:rPr>
        <w:footnoteRef/>
      </w:r>
      <w:r>
        <w:rPr>
          <w:sz w:val="18"/>
          <w:szCs w:val="18"/>
        </w:rPr>
        <w:t xml:space="preserve"> “Mapping and analysing the bott</w:t>
      </w:r>
      <w:r>
        <w:rPr>
          <w:sz w:val="18"/>
          <w:szCs w:val="18"/>
        </w:rPr>
        <w:t>leneck vacancies in EU labour markets” (September 2014) commissioned by the European Commission,</w:t>
      </w:r>
    </w:p>
  </w:footnote>
  <w:footnote w:id="114">
    <w:p w:rsidR="007306CA" w:rsidRDefault="00576025">
      <w:pPr>
        <w:pStyle w:val="FootnoteText"/>
        <w:spacing w:after="0"/>
        <w:ind w:left="0" w:firstLine="0"/>
        <w:rPr>
          <w:sz w:val="18"/>
          <w:szCs w:val="18"/>
        </w:rPr>
      </w:pPr>
      <w:r>
        <w:rPr>
          <w:rStyle w:val="FootnoteReference"/>
          <w:sz w:val="18"/>
          <w:szCs w:val="18"/>
        </w:rPr>
        <w:footnoteRef/>
      </w:r>
      <w:r>
        <w:rPr>
          <w:sz w:val="18"/>
          <w:szCs w:val="18"/>
        </w:rPr>
        <w:t xml:space="preserve"> Contrary to the Blue Card, the ICT Directive does not apply to highly skilled workers having a contract with a company based in the EU; the two Directives ha</w:t>
      </w:r>
      <w:r>
        <w:rPr>
          <w:sz w:val="18"/>
          <w:szCs w:val="18"/>
        </w:rPr>
        <w:t>ve thus a different scope and are, to a certain extent, complementary.</w:t>
      </w:r>
    </w:p>
  </w:footnote>
  <w:footnote w:id="115">
    <w:p w:rsidR="007306CA" w:rsidRDefault="00576025">
      <w:pPr>
        <w:pStyle w:val="FootnoteText"/>
        <w:spacing w:after="0"/>
        <w:ind w:left="0" w:firstLine="0"/>
        <w:rPr>
          <w:sz w:val="18"/>
          <w:szCs w:val="18"/>
        </w:rPr>
      </w:pPr>
      <w:r>
        <w:rPr>
          <w:rStyle w:val="FootnoteReference"/>
          <w:sz w:val="18"/>
          <w:szCs w:val="18"/>
        </w:rPr>
        <w:footnoteRef/>
      </w:r>
      <w:r>
        <w:rPr>
          <w:sz w:val="18"/>
          <w:szCs w:val="18"/>
        </w:rPr>
        <w:t xml:space="preserve"> In particular, any measure proposed in the area of legal migration “shall not affect the right of Member States to determine volumes of admission of third-country nationals coming fro</w:t>
      </w:r>
      <w:r>
        <w:rPr>
          <w:sz w:val="18"/>
          <w:szCs w:val="18"/>
        </w:rPr>
        <w:t>m third countries to their territory in order to seek work, whether employed or self-employed” (Article 79(5) TFEU).</w:t>
      </w:r>
    </w:p>
  </w:footnote>
  <w:footnote w:id="116">
    <w:p w:rsidR="007306CA" w:rsidRDefault="00576025">
      <w:pPr>
        <w:pStyle w:val="FootnoteText"/>
        <w:spacing w:after="0"/>
        <w:ind w:left="0" w:firstLine="0"/>
        <w:rPr>
          <w:sz w:val="18"/>
          <w:szCs w:val="18"/>
        </w:rPr>
      </w:pPr>
      <w:r>
        <w:rPr>
          <w:rStyle w:val="FootnoteReference"/>
          <w:sz w:val="18"/>
          <w:szCs w:val="18"/>
        </w:rPr>
        <w:footnoteRef/>
      </w:r>
      <w:r>
        <w:rPr>
          <w:sz w:val="18"/>
          <w:szCs w:val="18"/>
        </w:rPr>
        <w:t xml:space="preserve"> These objectives are overall in line with the objectives identified in the 2007 Impact Assessment, with the addition of a sixth specific </w:t>
      </w:r>
      <w:r>
        <w:rPr>
          <w:sz w:val="18"/>
          <w:szCs w:val="18"/>
        </w:rPr>
        <w:t xml:space="preserve">objective. </w:t>
      </w:r>
    </w:p>
  </w:footnote>
  <w:footnote w:id="117">
    <w:p w:rsidR="007306CA" w:rsidRDefault="00576025">
      <w:pPr>
        <w:pStyle w:val="FootnoteText"/>
        <w:spacing w:after="0"/>
        <w:ind w:left="0" w:firstLine="0"/>
        <w:rPr>
          <w:sz w:val="18"/>
          <w:szCs w:val="18"/>
          <w:lang w:val="en-US"/>
        </w:rPr>
      </w:pPr>
      <w:r>
        <w:rPr>
          <w:rStyle w:val="FootnoteReference"/>
          <w:sz w:val="18"/>
          <w:szCs w:val="18"/>
        </w:rPr>
        <w:footnoteRef/>
      </w:r>
      <w:r>
        <w:rPr>
          <w:sz w:val="18"/>
          <w:szCs w:val="18"/>
        </w:rPr>
        <w:t xml:space="preserve"> I.e. where and when there are gaps in the highly skilled segment of the Member States' labour markets that cannot be filled in by EU citizens or legal residents.</w:t>
      </w:r>
    </w:p>
  </w:footnote>
  <w:footnote w:id="118">
    <w:p w:rsidR="007306CA" w:rsidRDefault="00576025">
      <w:pPr>
        <w:pStyle w:val="FootnoteText"/>
        <w:spacing w:after="0"/>
        <w:ind w:left="0" w:firstLine="0"/>
        <w:rPr>
          <w:sz w:val="18"/>
          <w:szCs w:val="18"/>
        </w:rPr>
      </w:pPr>
      <w:r>
        <w:rPr>
          <w:rStyle w:val="FootnoteReference"/>
          <w:sz w:val="18"/>
          <w:szCs w:val="18"/>
        </w:rPr>
        <w:footnoteRef/>
      </w:r>
      <w:r>
        <w:rPr>
          <w:sz w:val="18"/>
          <w:szCs w:val="18"/>
        </w:rPr>
        <w:t xml:space="preserve"> A public consultation on the issue was launched on 31 March 2016; </w:t>
      </w:r>
      <w:hyperlink r:id="rId30" w:history="1">
        <w:r>
          <w:rPr>
            <w:rStyle w:val="Hyperlink"/>
            <w:sz w:val="18"/>
            <w:szCs w:val="18"/>
          </w:rPr>
          <w:t>http://ec.europa.eu/growth/tools-databases/newsroom/cf/itemdetail.cfm?item_id=8723</w:t>
        </w:r>
      </w:hyperlink>
      <w:r>
        <w:rPr>
          <w:sz w:val="18"/>
          <w:szCs w:val="18"/>
        </w:rPr>
        <w:t>.</w:t>
      </w:r>
    </w:p>
  </w:footnote>
  <w:footnote w:id="119">
    <w:p w:rsidR="007306CA" w:rsidRDefault="00576025">
      <w:pPr>
        <w:pStyle w:val="FootnoteText"/>
        <w:spacing w:after="0"/>
        <w:ind w:left="0" w:firstLine="0"/>
        <w:rPr>
          <w:sz w:val="18"/>
          <w:szCs w:val="18"/>
          <w:lang w:val="en-US"/>
        </w:rPr>
      </w:pPr>
      <w:r>
        <w:rPr>
          <w:rStyle w:val="FootnoteReference"/>
          <w:sz w:val="18"/>
          <w:szCs w:val="18"/>
        </w:rPr>
        <w:footnoteRef/>
      </w:r>
      <w:r>
        <w:rPr>
          <w:sz w:val="18"/>
          <w:szCs w:val="18"/>
          <w:lang w:val="en-US"/>
        </w:rPr>
        <w:t xml:space="preserve"> </w:t>
      </w:r>
      <w:hyperlink r:id="rId31" w:history="1">
        <w:r>
          <w:rPr>
            <w:rStyle w:val="Hyperlink"/>
            <w:sz w:val="18"/>
            <w:szCs w:val="18"/>
            <w:lang w:val="en-US"/>
          </w:rPr>
          <w:t>http://ec.europa.eu/europe2020/europe-2020-in-a-nutshell/index_en.htm</w:t>
        </w:r>
      </w:hyperlink>
      <w:r>
        <w:rPr>
          <w:sz w:val="18"/>
          <w:szCs w:val="18"/>
          <w:lang w:val="en-US"/>
        </w:rPr>
        <w:t>.</w:t>
      </w:r>
    </w:p>
  </w:footnote>
  <w:footnote w:id="120">
    <w:p w:rsidR="007306CA" w:rsidRDefault="00576025">
      <w:pPr>
        <w:pStyle w:val="FootnoteText"/>
        <w:spacing w:after="0"/>
        <w:ind w:left="0" w:firstLine="0"/>
        <w:rPr>
          <w:sz w:val="18"/>
          <w:szCs w:val="18"/>
          <w:lang w:val="en-US"/>
        </w:rPr>
      </w:pPr>
      <w:r>
        <w:rPr>
          <w:rStyle w:val="FootnoteReference"/>
          <w:sz w:val="18"/>
          <w:szCs w:val="18"/>
        </w:rPr>
        <w:footnoteRef/>
      </w:r>
      <w:r>
        <w:rPr>
          <w:sz w:val="18"/>
          <w:szCs w:val="18"/>
        </w:rPr>
        <w:t xml:space="preserve"> EMN Study, </w:t>
      </w:r>
      <w:r>
        <w:rPr>
          <w:i/>
          <w:sz w:val="18"/>
          <w:szCs w:val="18"/>
        </w:rPr>
        <w:t>Attracting Highly Qualified and Qualified Third Country Nationals</w:t>
      </w:r>
      <w:r>
        <w:rPr>
          <w:sz w:val="18"/>
          <w:szCs w:val="18"/>
        </w:rPr>
        <w:t xml:space="preserve">, European Migration Network, </w:t>
      </w:r>
      <w:r>
        <w:rPr>
          <w:sz w:val="18"/>
          <w:szCs w:val="18"/>
          <w:lang w:val="en-US"/>
        </w:rPr>
        <w:t>2013</w:t>
      </w:r>
      <w:r>
        <w:rPr>
          <w:sz w:val="18"/>
          <w:szCs w:val="18"/>
        </w:rPr>
        <w:t xml:space="preserve">, </w:t>
      </w:r>
      <w:r>
        <w:rPr>
          <w:i/>
          <w:sz w:val="18"/>
          <w:szCs w:val="18"/>
        </w:rPr>
        <w:t xml:space="preserve">Synthesis Report and national reports; </w:t>
      </w:r>
      <w:r>
        <w:rPr>
          <w:sz w:val="18"/>
          <w:szCs w:val="18"/>
        </w:rPr>
        <w:t>See also Annex 6.</w:t>
      </w:r>
    </w:p>
  </w:footnote>
  <w:footnote w:id="121">
    <w:p w:rsidR="007306CA" w:rsidRDefault="00576025">
      <w:pPr>
        <w:pStyle w:val="FootnoteText"/>
        <w:spacing w:after="0"/>
        <w:ind w:left="0" w:firstLine="0"/>
        <w:rPr>
          <w:sz w:val="18"/>
          <w:szCs w:val="18"/>
        </w:rPr>
      </w:pPr>
      <w:r>
        <w:rPr>
          <w:rStyle w:val="FootnoteReference"/>
          <w:sz w:val="18"/>
          <w:szCs w:val="18"/>
        </w:rPr>
        <w:footnoteRef/>
      </w:r>
      <w:r>
        <w:rPr>
          <w:sz w:val="18"/>
          <w:szCs w:val="18"/>
        </w:rPr>
        <w:t xml:space="preserve"> </w:t>
      </w:r>
      <w:r>
        <w:rPr>
          <w:sz w:val="18"/>
          <w:szCs w:val="18"/>
          <w:lang w:val="en-US"/>
        </w:rPr>
        <w:t xml:space="preserve">See Annex 12: Eurostat data on the occupations of Blue Card holders in 2014 (only available for 10.22 %; not in Germany) shows that 40.71 % were science and engineering professionals, 16.40 % production and specialized services managers, 11.45 % business </w:t>
      </w:r>
      <w:r>
        <w:rPr>
          <w:sz w:val="18"/>
          <w:szCs w:val="18"/>
          <w:lang w:val="en-US"/>
        </w:rPr>
        <w:t>and administration professionals and 9.61 % information and communication technology professionals. [A representative survey of Blue Card holders in Germany shows that over 88 % of Blue Card holders are employed in shortage occupations.]</w:t>
      </w:r>
    </w:p>
  </w:footnote>
  <w:footnote w:id="122">
    <w:p w:rsidR="007306CA" w:rsidRDefault="00576025">
      <w:pPr>
        <w:pStyle w:val="FootnoteText"/>
        <w:spacing w:after="0"/>
        <w:ind w:left="0" w:firstLine="0"/>
        <w:rPr>
          <w:sz w:val="18"/>
          <w:szCs w:val="18"/>
        </w:rPr>
      </w:pPr>
      <w:r>
        <w:rPr>
          <w:rStyle w:val="FootnoteReference"/>
          <w:sz w:val="18"/>
          <w:szCs w:val="18"/>
        </w:rPr>
        <w:footnoteRef/>
      </w:r>
      <w:r>
        <w:rPr>
          <w:sz w:val="18"/>
          <w:szCs w:val="18"/>
        </w:rPr>
        <w:t xml:space="preserve"> The US also look</w:t>
      </w:r>
      <w:r>
        <w:rPr>
          <w:sz w:val="18"/>
          <w:szCs w:val="18"/>
        </w:rPr>
        <w:t>ed into this in 2007 but has not pursued this to date, see House hearing, “</w:t>
      </w:r>
      <w:hyperlink r:id="rId32" w:history="1">
        <w:r>
          <w:rPr>
            <w:rStyle w:val="Hyperlink"/>
            <w:sz w:val="18"/>
            <w:szCs w:val="18"/>
          </w:rPr>
          <w:t>An examination of point systems as a method for selecting immigrants</w:t>
        </w:r>
      </w:hyperlink>
      <w:r>
        <w:rPr>
          <w:sz w:val="18"/>
          <w:szCs w:val="18"/>
        </w:rPr>
        <w:t>”, before the Subcommi</w:t>
      </w:r>
      <w:r>
        <w:rPr>
          <w:sz w:val="18"/>
          <w:szCs w:val="18"/>
        </w:rPr>
        <w:t>ttee on Immigration, Citizenship, Refugees, Border security, and international law of the Committee on the Judiciary, House of Representatives, 1 May 2007, 110</w:t>
      </w:r>
      <w:r>
        <w:rPr>
          <w:sz w:val="18"/>
          <w:szCs w:val="18"/>
          <w:vertAlign w:val="superscript"/>
        </w:rPr>
        <w:t>th</w:t>
      </w:r>
      <w:r>
        <w:rPr>
          <w:sz w:val="18"/>
          <w:szCs w:val="18"/>
        </w:rPr>
        <w:t xml:space="preserve"> Congress, </w:t>
      </w:r>
      <w:r>
        <w:rPr>
          <w:sz w:val="18"/>
          <w:szCs w:val="18"/>
          <w:lang w:val="en-US"/>
        </w:rPr>
        <w:t>Serial</w:t>
      </w:r>
      <w:r>
        <w:rPr>
          <w:sz w:val="18"/>
          <w:szCs w:val="18"/>
        </w:rPr>
        <w:t xml:space="preserve"> no. 110-20.</w:t>
      </w:r>
    </w:p>
  </w:footnote>
  <w:footnote w:id="123">
    <w:p w:rsidR="007306CA" w:rsidRDefault="00576025">
      <w:pPr>
        <w:pStyle w:val="FootnoteText"/>
        <w:spacing w:after="0"/>
        <w:ind w:left="0" w:firstLine="0"/>
        <w:rPr>
          <w:sz w:val="18"/>
          <w:szCs w:val="18"/>
        </w:rPr>
      </w:pPr>
      <w:r>
        <w:rPr>
          <w:rStyle w:val="FootnoteReference"/>
          <w:sz w:val="18"/>
          <w:szCs w:val="18"/>
        </w:rPr>
        <w:footnoteRef/>
      </w:r>
      <w:r>
        <w:rPr>
          <w:sz w:val="18"/>
          <w:szCs w:val="18"/>
        </w:rPr>
        <w:t xml:space="preserve"> See Desiderio, M. V. and Hooper, K., </w:t>
      </w:r>
      <w:hyperlink r:id="rId33" w:history="1">
        <w:r>
          <w:rPr>
            <w:rStyle w:val="Hyperlink"/>
            <w:i/>
            <w:sz w:val="18"/>
            <w:szCs w:val="18"/>
          </w:rPr>
          <w:t>The Canadian Expression of Interest System for Managing Skilled Migration: A New Model for the EU?</w:t>
        </w:r>
      </w:hyperlink>
      <w:r>
        <w:rPr>
          <w:sz w:val="18"/>
          <w:szCs w:val="18"/>
        </w:rPr>
        <w:t>, MPI-Europe, March 2016.</w:t>
      </w:r>
    </w:p>
  </w:footnote>
  <w:footnote w:id="124">
    <w:p w:rsidR="007306CA" w:rsidRDefault="00576025">
      <w:pPr>
        <w:pStyle w:val="FootnoteText"/>
        <w:spacing w:after="0"/>
        <w:ind w:left="0" w:firstLine="0"/>
        <w:rPr>
          <w:sz w:val="18"/>
          <w:szCs w:val="18"/>
        </w:rPr>
      </w:pPr>
      <w:r>
        <w:rPr>
          <w:rStyle w:val="FootnoteReference"/>
          <w:sz w:val="18"/>
          <w:szCs w:val="18"/>
        </w:rPr>
        <w:footnoteRef/>
      </w:r>
      <w:r>
        <w:rPr>
          <w:sz w:val="18"/>
          <w:szCs w:val="18"/>
        </w:rPr>
        <w:t xml:space="preserve"> A study will be la</w:t>
      </w:r>
      <w:r>
        <w:rPr>
          <w:sz w:val="18"/>
          <w:szCs w:val="18"/>
        </w:rPr>
        <w:t>unched in 2016 on the feasibility of an EU migration management system inspired by the "Expression of Interests" models developed by Australia, New Zealand and, more recently, Canada.</w:t>
      </w:r>
    </w:p>
  </w:footnote>
  <w:footnote w:id="125">
    <w:p w:rsidR="007306CA" w:rsidRDefault="00576025">
      <w:pPr>
        <w:pStyle w:val="FootnoteText"/>
        <w:spacing w:after="0"/>
        <w:ind w:left="0" w:firstLine="0"/>
        <w:rPr>
          <w:sz w:val="18"/>
          <w:szCs w:val="18"/>
        </w:rPr>
      </w:pPr>
      <w:r>
        <w:rPr>
          <w:rStyle w:val="FootnoteReference"/>
          <w:sz w:val="18"/>
          <w:szCs w:val="18"/>
        </w:rPr>
        <w:footnoteRef/>
      </w:r>
      <w:r>
        <w:rPr>
          <w:sz w:val="18"/>
          <w:szCs w:val="18"/>
        </w:rPr>
        <w:t xml:space="preserve"> The issue will be further examined in the context of the "fitness chec</w:t>
      </w:r>
      <w:r>
        <w:rPr>
          <w:sz w:val="18"/>
          <w:szCs w:val="18"/>
        </w:rPr>
        <w:t>k" on legal migration, to be launched shortly.</w:t>
      </w:r>
    </w:p>
  </w:footnote>
  <w:footnote w:id="126">
    <w:p w:rsidR="007306CA" w:rsidRDefault="00576025">
      <w:pPr>
        <w:pStyle w:val="FootnoteText"/>
        <w:spacing w:after="0"/>
        <w:ind w:left="0" w:firstLine="0"/>
        <w:rPr>
          <w:sz w:val="18"/>
          <w:szCs w:val="18"/>
          <w:lang w:val="en-US"/>
        </w:rPr>
      </w:pPr>
      <w:r>
        <w:rPr>
          <w:rStyle w:val="FootnoteReference"/>
          <w:sz w:val="18"/>
          <w:szCs w:val="18"/>
        </w:rPr>
        <w:footnoteRef/>
      </w:r>
      <w:r>
        <w:rPr>
          <w:sz w:val="18"/>
          <w:szCs w:val="18"/>
        </w:rPr>
        <w:t xml:space="preserve"> For instance, step up the enforcement of EU Free Trade Agreements vis-à-vis Member States</w:t>
      </w:r>
    </w:p>
  </w:footnote>
  <w:footnote w:id="127">
    <w:p w:rsidR="007306CA" w:rsidRDefault="00576025">
      <w:pPr>
        <w:pStyle w:val="FootnoteText"/>
        <w:spacing w:after="0"/>
        <w:ind w:left="0" w:firstLine="0"/>
        <w:rPr>
          <w:sz w:val="18"/>
          <w:szCs w:val="18"/>
        </w:rPr>
      </w:pPr>
      <w:r>
        <w:rPr>
          <w:rStyle w:val="FootnoteReference"/>
          <w:sz w:val="18"/>
          <w:szCs w:val="18"/>
        </w:rPr>
        <w:footnoteRef/>
      </w:r>
      <w:r>
        <w:rPr>
          <w:sz w:val="18"/>
          <w:szCs w:val="18"/>
        </w:rPr>
        <w:t xml:space="preserve"> A cumulative period of not more than 6 months or for the duration of the contract, whichever is less.</w:t>
      </w:r>
    </w:p>
  </w:footnote>
  <w:footnote w:id="128">
    <w:p w:rsidR="007306CA" w:rsidRDefault="00576025">
      <w:pPr>
        <w:pStyle w:val="FootnoteText"/>
        <w:spacing w:after="0"/>
        <w:ind w:left="0" w:firstLine="0"/>
        <w:rPr>
          <w:sz w:val="18"/>
          <w:szCs w:val="18"/>
        </w:rPr>
      </w:pPr>
      <w:r>
        <w:rPr>
          <w:rStyle w:val="FootnoteReference"/>
          <w:sz w:val="18"/>
          <w:szCs w:val="18"/>
        </w:rPr>
        <w:footnoteRef/>
      </w:r>
      <w:r>
        <w:rPr>
          <w:sz w:val="18"/>
          <w:szCs w:val="18"/>
        </w:rPr>
        <w:t xml:space="preserve"> A separate </w:t>
      </w:r>
      <w:r>
        <w:rPr>
          <w:sz w:val="18"/>
          <w:szCs w:val="18"/>
        </w:rPr>
        <w:t>set of admission conditions would be required and granting similar rights as Blue Card holders would be highly problematic (e.g. family reunification for short stays; access to long-term residence for temporary residing non-residents; short or long-term in</w:t>
      </w:r>
      <w:r>
        <w:rPr>
          <w:sz w:val="18"/>
          <w:szCs w:val="18"/>
        </w:rPr>
        <w:t>tra-EU mobility of people providing a targeted service; labour market access for non-workers, etc.).</w:t>
      </w:r>
    </w:p>
  </w:footnote>
  <w:footnote w:id="129">
    <w:p w:rsidR="007306CA" w:rsidRDefault="00576025">
      <w:pPr>
        <w:pStyle w:val="FootnoteText"/>
        <w:spacing w:after="0"/>
        <w:ind w:left="0" w:firstLine="0"/>
        <w:rPr>
          <w:sz w:val="18"/>
          <w:szCs w:val="18"/>
        </w:rPr>
      </w:pPr>
      <w:r>
        <w:rPr>
          <w:rStyle w:val="FootnoteReference"/>
          <w:sz w:val="18"/>
          <w:szCs w:val="18"/>
        </w:rPr>
        <w:footnoteRef/>
      </w:r>
      <w:r>
        <w:rPr>
          <w:sz w:val="18"/>
          <w:szCs w:val="18"/>
        </w:rPr>
        <w:t xml:space="preserve"> Due to negotiation dynamics there’s also a risk of undesirable trade-offs between sub-sets during the negotiations.</w:t>
      </w:r>
    </w:p>
  </w:footnote>
  <w:footnote w:id="130">
    <w:p w:rsidR="007306CA" w:rsidRDefault="00576025">
      <w:pPr>
        <w:pStyle w:val="FootnoteText"/>
        <w:spacing w:after="0"/>
        <w:ind w:left="0" w:firstLine="0"/>
        <w:rPr>
          <w:sz w:val="18"/>
          <w:szCs w:val="18"/>
        </w:rPr>
      </w:pPr>
      <w:r>
        <w:rPr>
          <w:rStyle w:val="FootnoteReference"/>
          <w:sz w:val="18"/>
          <w:szCs w:val="18"/>
        </w:rPr>
        <w:footnoteRef/>
      </w:r>
      <w:r>
        <w:rPr>
          <w:sz w:val="18"/>
          <w:szCs w:val="18"/>
        </w:rPr>
        <w:t xml:space="preserve"> E.g. potential bogus self-employment, displacement of workers in the services sector and non-respect of social conditions.</w:t>
      </w:r>
    </w:p>
  </w:footnote>
  <w:footnote w:id="131">
    <w:p w:rsidR="007306CA" w:rsidRDefault="00576025">
      <w:pPr>
        <w:pStyle w:val="FootnoteText"/>
        <w:spacing w:after="0"/>
        <w:ind w:left="0" w:firstLine="0"/>
        <w:rPr>
          <w:sz w:val="18"/>
          <w:szCs w:val="18"/>
        </w:rPr>
      </w:pPr>
      <w:r>
        <w:rPr>
          <w:rStyle w:val="FootnoteReference"/>
          <w:sz w:val="18"/>
          <w:szCs w:val="18"/>
        </w:rPr>
        <w:footnoteRef/>
      </w:r>
      <w:r>
        <w:rPr>
          <w:sz w:val="18"/>
          <w:szCs w:val="18"/>
        </w:rPr>
        <w:t xml:space="preserve"> Commission Communication of 6 April 2016, Towards a Reform of the Common European Asylum System and Enhancing Legal Avenues to Europe, </w:t>
      </w:r>
      <w:hyperlink r:id="rId34" w:history="1">
        <w:r>
          <w:rPr>
            <w:rStyle w:val="Hyperlink"/>
            <w:sz w:val="18"/>
            <w:szCs w:val="18"/>
          </w:rPr>
          <w:t>COM(2016) 197 final</w:t>
        </w:r>
      </w:hyperlink>
      <w:r>
        <w:rPr>
          <w:sz w:val="18"/>
          <w:szCs w:val="18"/>
        </w:rPr>
        <w:t>.</w:t>
      </w:r>
      <w:r>
        <w:rPr>
          <w:rStyle w:val="Hyperlink"/>
          <w:sz w:val="18"/>
          <w:szCs w:val="18"/>
        </w:rPr>
        <w:t xml:space="preserve"> </w:t>
      </w:r>
    </w:p>
  </w:footnote>
  <w:footnote w:id="132">
    <w:p w:rsidR="007306CA" w:rsidRDefault="00576025">
      <w:pPr>
        <w:pStyle w:val="FootnoteText"/>
        <w:spacing w:after="0"/>
        <w:ind w:left="0" w:firstLine="0"/>
        <w:rPr>
          <w:sz w:val="18"/>
          <w:szCs w:val="18"/>
        </w:rPr>
      </w:pPr>
      <w:r>
        <w:rPr>
          <w:rStyle w:val="FootnoteReference"/>
          <w:sz w:val="18"/>
          <w:szCs w:val="18"/>
        </w:rPr>
        <w:footnoteRef/>
      </w:r>
      <w:r>
        <w:rPr>
          <w:sz w:val="18"/>
          <w:szCs w:val="18"/>
        </w:rPr>
        <w:t xml:space="preserve"> Options on level of qualifications, salary threshold, required job offer, labour market test, pro</w:t>
      </w:r>
      <w:r>
        <w:rPr>
          <w:sz w:val="18"/>
          <w:szCs w:val="18"/>
        </w:rPr>
        <w:t>cedural facilitation and alternatives, e.g. shorter processing deadlines, a "trusted employers” sponsorship system (see page 9 of Annex 13, or Annex 6 for national examples on pages 71 for IT, 86 for the NL and 113 for the UK).</w:t>
      </w:r>
    </w:p>
  </w:footnote>
  <w:footnote w:id="133">
    <w:p w:rsidR="007306CA" w:rsidRDefault="00576025">
      <w:pPr>
        <w:pStyle w:val="FootnoteText"/>
        <w:spacing w:after="0"/>
        <w:ind w:left="0" w:firstLine="0"/>
        <w:rPr>
          <w:sz w:val="18"/>
          <w:szCs w:val="18"/>
        </w:rPr>
      </w:pPr>
      <w:r>
        <w:rPr>
          <w:rStyle w:val="FootnoteReference"/>
          <w:sz w:val="18"/>
          <w:szCs w:val="18"/>
        </w:rPr>
        <w:footnoteRef/>
      </w:r>
      <w:r>
        <w:rPr>
          <w:sz w:val="18"/>
          <w:szCs w:val="18"/>
        </w:rPr>
        <w:t xml:space="preserve"> Options on labour market a</w:t>
      </w:r>
      <w:r>
        <w:rPr>
          <w:sz w:val="18"/>
          <w:szCs w:val="18"/>
        </w:rPr>
        <w:t>ccess, family reunification, access to long-term resident status, Intra-EU mobility.</w:t>
      </w:r>
    </w:p>
  </w:footnote>
  <w:footnote w:id="134">
    <w:p w:rsidR="007306CA" w:rsidRDefault="00576025">
      <w:pPr>
        <w:pStyle w:val="FootnoteText"/>
        <w:spacing w:after="0"/>
        <w:ind w:left="0" w:firstLine="0"/>
        <w:rPr>
          <w:sz w:val="18"/>
          <w:szCs w:val="18"/>
          <w:lang w:val="en-US"/>
        </w:rPr>
      </w:pPr>
      <w:r>
        <w:rPr>
          <w:rStyle w:val="FootnoteReference"/>
          <w:sz w:val="18"/>
          <w:szCs w:val="18"/>
        </w:rPr>
        <w:footnoteRef/>
      </w:r>
      <w:r>
        <w:rPr>
          <w:sz w:val="18"/>
          <w:szCs w:val="18"/>
        </w:rPr>
        <w:t xml:space="preserve"> For a theoretical framework and empirical evidence of these correlation and trade-off trends, see Boswell, C., ‘Theorizing Migration Policy: Is There a Third Way?’ in </w:t>
      </w:r>
      <w:r>
        <w:rPr>
          <w:i/>
          <w:sz w:val="18"/>
          <w:szCs w:val="18"/>
        </w:rPr>
        <w:t>In</w:t>
      </w:r>
      <w:r>
        <w:rPr>
          <w:i/>
          <w:sz w:val="18"/>
          <w:szCs w:val="18"/>
        </w:rPr>
        <w:t>ternational Migration Review</w:t>
      </w:r>
      <w:r>
        <w:rPr>
          <w:sz w:val="18"/>
          <w:szCs w:val="18"/>
        </w:rPr>
        <w:t xml:space="preserve">, 41(1), 2007, pp. 75-100; Ruhs, M., </w:t>
      </w:r>
      <w:r>
        <w:rPr>
          <w:i/>
          <w:sz w:val="18"/>
          <w:szCs w:val="18"/>
        </w:rPr>
        <w:t>The price of rights: Regulating international labor migration</w:t>
      </w:r>
      <w:r>
        <w:rPr>
          <w:sz w:val="18"/>
          <w:szCs w:val="18"/>
        </w:rPr>
        <w:t xml:space="preserve">, Princeton University </w:t>
      </w:r>
      <w:r>
        <w:rPr>
          <w:rFonts w:cs="Arial"/>
          <w:sz w:val="18"/>
          <w:szCs w:val="18"/>
        </w:rPr>
        <w:t>Press</w:t>
      </w:r>
      <w:r>
        <w:rPr>
          <w:sz w:val="18"/>
          <w:szCs w:val="18"/>
        </w:rPr>
        <w:t xml:space="preserve">, 2013; Paul, R., </w:t>
      </w:r>
      <w:r>
        <w:rPr>
          <w:i/>
          <w:sz w:val="18"/>
          <w:szCs w:val="18"/>
        </w:rPr>
        <w:t>The Political Economy of Border Drawing: Arranging Legality in European Labor Migrat</w:t>
      </w:r>
      <w:r>
        <w:rPr>
          <w:i/>
          <w:sz w:val="18"/>
          <w:szCs w:val="18"/>
        </w:rPr>
        <w:t>ion Policies</w:t>
      </w:r>
      <w:r>
        <w:rPr>
          <w:sz w:val="18"/>
          <w:szCs w:val="18"/>
        </w:rPr>
        <w:t>, Berghahn Books, 2015.</w:t>
      </w:r>
    </w:p>
  </w:footnote>
  <w:footnote w:id="135">
    <w:p w:rsidR="007306CA" w:rsidRDefault="00576025">
      <w:pPr>
        <w:pStyle w:val="FootnoteText"/>
        <w:spacing w:after="0"/>
        <w:ind w:left="0" w:firstLine="0"/>
        <w:rPr>
          <w:sz w:val="18"/>
          <w:szCs w:val="18"/>
        </w:rPr>
      </w:pPr>
      <w:r>
        <w:rPr>
          <w:rStyle w:val="FootnoteReference"/>
          <w:sz w:val="18"/>
          <w:szCs w:val="18"/>
        </w:rPr>
        <w:footnoteRef/>
      </w:r>
      <w:r>
        <w:rPr>
          <w:sz w:val="18"/>
          <w:szCs w:val="18"/>
        </w:rPr>
        <w:t xml:space="preserve"> I.e. the higher the skill or qualification level of the TCN the more liberal the admission conditions and the more generous the rights granted are.</w:t>
      </w:r>
    </w:p>
  </w:footnote>
  <w:footnote w:id="136">
    <w:p w:rsidR="007306CA" w:rsidRDefault="00576025">
      <w:pPr>
        <w:pStyle w:val="FootnoteText"/>
        <w:spacing w:after="0"/>
        <w:ind w:left="0" w:firstLine="0"/>
        <w:rPr>
          <w:sz w:val="18"/>
          <w:szCs w:val="18"/>
          <w:lang w:val="en-US"/>
        </w:rPr>
      </w:pPr>
      <w:r>
        <w:rPr>
          <w:rStyle w:val="FootnoteReference"/>
          <w:sz w:val="18"/>
          <w:szCs w:val="18"/>
        </w:rPr>
        <w:footnoteRef/>
      </w:r>
      <w:r>
        <w:rPr>
          <w:sz w:val="18"/>
          <w:szCs w:val="18"/>
        </w:rPr>
        <w:t xml:space="preserve"> For instance, by simultaneously lowering the entry barriers and incr</w:t>
      </w:r>
      <w:r>
        <w:rPr>
          <w:sz w:val="18"/>
          <w:szCs w:val="18"/>
        </w:rPr>
        <w:t>easing the attached rights, or by setting very exclusive entry conditions while not granting more rights or facilitation.</w:t>
      </w:r>
    </w:p>
  </w:footnote>
  <w:footnote w:id="137">
    <w:p w:rsidR="007306CA" w:rsidRDefault="00576025">
      <w:pPr>
        <w:pStyle w:val="FootnoteText"/>
        <w:spacing w:after="0"/>
        <w:ind w:left="0" w:firstLine="0"/>
        <w:rPr>
          <w:lang w:val="en-US"/>
        </w:rPr>
      </w:pPr>
      <w:r>
        <w:rPr>
          <w:rStyle w:val="FootnoteReference"/>
          <w:sz w:val="18"/>
          <w:szCs w:val="18"/>
        </w:rPr>
        <w:footnoteRef/>
      </w:r>
      <w:r>
        <w:rPr>
          <w:sz w:val="18"/>
          <w:szCs w:val="18"/>
        </w:rPr>
        <w:t xml:space="preserve"> It is difficult to conceive an EU-wide scheme that could simultaneously and realistically meet the specific objectives of this initi</w:t>
      </w:r>
      <w:r>
        <w:rPr>
          <w:sz w:val="18"/>
          <w:szCs w:val="18"/>
        </w:rPr>
        <w:t>ative and not follow the trade-off logic, while still respecting the needs and objectives of the Member States in terms of labour migration schemes.</w:t>
      </w:r>
    </w:p>
  </w:footnote>
  <w:footnote w:id="138">
    <w:p w:rsidR="007306CA" w:rsidRDefault="00576025">
      <w:pPr>
        <w:pStyle w:val="FootnoteText"/>
        <w:spacing w:after="0"/>
        <w:ind w:left="0" w:firstLine="0"/>
        <w:rPr>
          <w:sz w:val="18"/>
          <w:szCs w:val="18"/>
          <w:lang w:val="en-US"/>
        </w:rPr>
      </w:pPr>
      <w:r>
        <w:rPr>
          <w:rStyle w:val="FootnoteReference"/>
          <w:sz w:val="18"/>
          <w:szCs w:val="18"/>
        </w:rPr>
        <w:footnoteRef/>
      </w:r>
      <w:r>
        <w:rPr>
          <w:sz w:val="18"/>
          <w:szCs w:val="18"/>
        </w:rPr>
        <w:t xml:space="preserve"> See the results of the public consultation and the expert consultations in Annex 2.</w:t>
      </w:r>
    </w:p>
  </w:footnote>
  <w:footnote w:id="139">
    <w:p w:rsidR="007306CA" w:rsidRDefault="00576025">
      <w:pPr>
        <w:pStyle w:val="FootnoteText"/>
        <w:spacing w:after="0"/>
        <w:ind w:left="0" w:firstLine="0"/>
        <w:rPr>
          <w:sz w:val="18"/>
          <w:szCs w:val="18"/>
          <w:lang w:val="en-US"/>
        </w:rPr>
      </w:pPr>
      <w:r>
        <w:rPr>
          <w:rStyle w:val="FootnoteReference"/>
          <w:sz w:val="18"/>
          <w:szCs w:val="18"/>
        </w:rPr>
        <w:footnoteRef/>
      </w:r>
      <w:r>
        <w:rPr>
          <w:sz w:val="18"/>
          <w:szCs w:val="18"/>
        </w:rPr>
        <w:t xml:space="preserve"> See Annex 9.</w:t>
      </w:r>
    </w:p>
  </w:footnote>
  <w:footnote w:id="140">
    <w:p w:rsidR="007306CA" w:rsidRDefault="00576025">
      <w:pPr>
        <w:pStyle w:val="FootnoteText"/>
        <w:spacing w:after="0"/>
        <w:ind w:left="0" w:firstLine="0"/>
        <w:rPr>
          <w:sz w:val="18"/>
          <w:szCs w:val="18"/>
          <w:lang w:val="en-US"/>
        </w:rPr>
      </w:pPr>
      <w:r>
        <w:rPr>
          <w:rStyle w:val="FootnoteReference"/>
          <w:sz w:val="18"/>
          <w:szCs w:val="18"/>
        </w:rPr>
        <w:footnoteRef/>
      </w:r>
      <w:r>
        <w:rPr>
          <w:sz w:val="18"/>
          <w:szCs w:val="18"/>
        </w:rPr>
        <w:t xml:space="preserve"> </w:t>
      </w:r>
      <w:r>
        <w:rPr>
          <w:sz w:val="18"/>
          <w:szCs w:val="18"/>
          <w:lang w:val="en-US"/>
        </w:rPr>
        <w:t xml:space="preserve">See </w:t>
      </w:r>
      <w:r>
        <w:rPr>
          <w:sz w:val="18"/>
          <w:szCs w:val="18"/>
          <w:lang w:val="en-US"/>
        </w:rPr>
        <w:t>pages 3, 8, 15 and 18.</w:t>
      </w:r>
    </w:p>
  </w:footnote>
  <w:footnote w:id="141">
    <w:p w:rsidR="007306CA" w:rsidRDefault="00576025">
      <w:pPr>
        <w:pStyle w:val="FootnoteText"/>
        <w:spacing w:after="0"/>
        <w:ind w:left="0" w:firstLine="0"/>
        <w:rPr>
          <w:sz w:val="18"/>
          <w:szCs w:val="18"/>
          <w:lang w:val="en-US"/>
        </w:rPr>
      </w:pPr>
      <w:r>
        <w:rPr>
          <w:rStyle w:val="FootnoteReference"/>
          <w:sz w:val="18"/>
          <w:szCs w:val="18"/>
        </w:rPr>
        <w:footnoteRef/>
      </w:r>
      <w:r>
        <w:rPr>
          <w:sz w:val="18"/>
          <w:szCs w:val="18"/>
        </w:rPr>
        <w:t xml:space="preserve"> See Annex 6, section 6 (pp. 13-16) for details on the interaction between national schemes and the EU Blue Car</w:t>
      </w:r>
      <w:r>
        <w:rPr>
          <w:sz w:val="18"/>
          <w:szCs w:val="18"/>
          <w:lang w:val="en-US"/>
        </w:rPr>
        <w:t>d.</w:t>
      </w:r>
    </w:p>
  </w:footnote>
  <w:footnote w:id="142">
    <w:p w:rsidR="007306CA" w:rsidRDefault="00576025">
      <w:pPr>
        <w:pStyle w:val="FootnoteText"/>
        <w:spacing w:after="0"/>
        <w:ind w:left="0" w:firstLine="0"/>
        <w:rPr>
          <w:sz w:val="18"/>
          <w:szCs w:val="18"/>
        </w:rPr>
      </w:pPr>
      <w:r>
        <w:rPr>
          <w:rStyle w:val="FootnoteReference"/>
          <w:sz w:val="18"/>
          <w:szCs w:val="18"/>
        </w:rPr>
        <w:footnoteRef/>
      </w:r>
      <w:r>
        <w:rPr>
          <w:sz w:val="18"/>
          <w:szCs w:val="18"/>
        </w:rPr>
        <w:t xml:space="preserve"> Annex 7 presents a detailed analysis on the “inclusiveness vs. exclusiveness” of the entry conditions of the current</w:t>
      </w:r>
      <w:r>
        <w:rPr>
          <w:sz w:val="18"/>
          <w:szCs w:val="18"/>
        </w:rPr>
        <w:t xml:space="preserve"> Blue Card and a comparison with national schemes. In particular, the impact of the salary threshold is evaluated (level of in/exclusiveness) in the entire EU and per Member State for tertiary educated workers, for shortage occupations and for attracting y</w:t>
      </w:r>
      <w:r>
        <w:rPr>
          <w:sz w:val="18"/>
          <w:szCs w:val="18"/>
        </w:rPr>
        <w:t>oung talents. Simulations are made of the potential impacts per Member State of modifying the salary threshold (lower or higher) in a revised Blue Card Directive (making it more inclusive vs. more exclusive).</w:t>
      </w:r>
    </w:p>
  </w:footnote>
  <w:footnote w:id="143">
    <w:p w:rsidR="007306CA" w:rsidRDefault="00576025">
      <w:pPr>
        <w:pStyle w:val="FootnoteText"/>
        <w:spacing w:after="0"/>
        <w:ind w:left="0" w:firstLine="0"/>
        <w:rPr>
          <w:sz w:val="18"/>
          <w:szCs w:val="18"/>
          <w:lang w:val="en-US"/>
        </w:rPr>
      </w:pPr>
      <w:r>
        <w:rPr>
          <w:rStyle w:val="FootnoteReference"/>
          <w:sz w:val="18"/>
          <w:szCs w:val="18"/>
        </w:rPr>
        <w:footnoteRef/>
      </w:r>
      <w:r>
        <w:rPr>
          <w:sz w:val="18"/>
          <w:szCs w:val="18"/>
        </w:rPr>
        <w:t xml:space="preserve"> </w:t>
      </w:r>
      <w:r>
        <w:rPr>
          <w:sz w:val="18"/>
          <w:szCs w:val="18"/>
          <w:lang w:val="en-US"/>
        </w:rPr>
        <w:t>See Annex 14, section 1.1, point h) (page 5),</w:t>
      </w:r>
      <w:r>
        <w:rPr>
          <w:sz w:val="18"/>
          <w:szCs w:val="18"/>
          <w:lang w:val="en-US"/>
        </w:rPr>
        <w:t xml:space="preserve">for more </w:t>
      </w:r>
      <w:r>
        <w:rPr>
          <w:sz w:val="18"/>
          <w:szCs w:val="18"/>
        </w:rPr>
        <w:t>explanation</w:t>
      </w:r>
      <w:r>
        <w:rPr>
          <w:sz w:val="18"/>
          <w:szCs w:val="18"/>
          <w:lang w:val="en-US"/>
        </w:rPr>
        <w:t xml:space="preserve"> on abolishing parallel national schemes.</w:t>
      </w:r>
    </w:p>
  </w:footnote>
  <w:footnote w:id="144">
    <w:p w:rsidR="007306CA" w:rsidRDefault="00576025">
      <w:pPr>
        <w:pStyle w:val="FootnoteText"/>
        <w:spacing w:after="0"/>
        <w:ind w:left="0" w:firstLine="0"/>
        <w:rPr>
          <w:sz w:val="18"/>
          <w:szCs w:val="18"/>
          <w:lang w:val="en-US"/>
        </w:rPr>
      </w:pPr>
      <w:r>
        <w:rPr>
          <w:rStyle w:val="FootnoteReference"/>
          <w:sz w:val="18"/>
          <w:szCs w:val="18"/>
        </w:rPr>
        <w:footnoteRef/>
      </w:r>
      <w:r>
        <w:rPr>
          <w:sz w:val="18"/>
          <w:szCs w:val="18"/>
        </w:rPr>
        <w:t xml:space="preserve"> In POP3, the conditions, including the high salary requirements, could still be admitted under a national scheme – but would have fewer rights and no mobility as these are granted in the EU Bl</w:t>
      </w:r>
      <w:r>
        <w:rPr>
          <w:sz w:val="18"/>
          <w:szCs w:val="18"/>
        </w:rPr>
        <w:t>ue Card.</w:t>
      </w:r>
    </w:p>
  </w:footnote>
  <w:footnote w:id="145">
    <w:p w:rsidR="007306CA" w:rsidRDefault="00576025">
      <w:pPr>
        <w:pStyle w:val="FootnoteText"/>
        <w:spacing w:after="0"/>
        <w:ind w:left="0" w:firstLine="0"/>
        <w:rPr>
          <w:sz w:val="18"/>
          <w:szCs w:val="18"/>
        </w:rPr>
      </w:pPr>
      <w:r>
        <w:rPr>
          <w:rStyle w:val="FootnoteReference"/>
          <w:sz w:val="18"/>
          <w:szCs w:val="18"/>
        </w:rPr>
        <w:footnoteRef/>
      </w:r>
      <w:r>
        <w:rPr>
          <w:sz w:val="18"/>
          <w:szCs w:val="18"/>
        </w:rPr>
        <w:t xml:space="preserve"> See Annex 13 for a detailed description of the various elements of the policy options packages.</w:t>
      </w:r>
    </w:p>
  </w:footnote>
  <w:footnote w:id="146">
    <w:p w:rsidR="007306CA" w:rsidRDefault="00576025">
      <w:pPr>
        <w:pStyle w:val="FootnoteText"/>
        <w:spacing w:after="0"/>
        <w:ind w:left="0" w:firstLine="0"/>
        <w:rPr>
          <w:rFonts w:cs="Arial"/>
          <w:sz w:val="18"/>
          <w:szCs w:val="18"/>
        </w:rPr>
      </w:pPr>
      <w:r>
        <w:rPr>
          <w:rStyle w:val="FootnoteReference"/>
          <w:rFonts w:cs="Arial"/>
          <w:sz w:val="18"/>
          <w:szCs w:val="18"/>
        </w:rPr>
        <w:footnoteRef/>
      </w:r>
      <w:r>
        <w:rPr>
          <w:rFonts w:cs="Arial"/>
          <w:sz w:val="18"/>
          <w:szCs w:val="18"/>
        </w:rPr>
        <w:t xml:space="preserve"> Measures are planned in the context of the forthcoming New Skills Agenda for Europe (COM(2016) 381 final): (e.g. revising the Recommendation on the European Qualification Framework), which will also help facilitating recognition of foreign qualifications.</w:t>
      </w:r>
      <w:r>
        <w:rPr>
          <w:rFonts w:cs="Arial"/>
          <w:sz w:val="18"/>
          <w:szCs w:val="18"/>
        </w:rPr>
        <w:t xml:space="preserve"> These, however, will only have an impact in the medium-long term. </w:t>
      </w:r>
    </w:p>
  </w:footnote>
  <w:footnote w:id="147">
    <w:p w:rsidR="007306CA" w:rsidRDefault="00576025">
      <w:pPr>
        <w:pStyle w:val="FootnoteText"/>
        <w:spacing w:after="0"/>
        <w:ind w:left="0" w:firstLine="0"/>
        <w:rPr>
          <w:sz w:val="18"/>
          <w:szCs w:val="18"/>
          <w:lang w:val="en-US"/>
        </w:rPr>
      </w:pPr>
      <w:r>
        <w:rPr>
          <w:rStyle w:val="FootnoteReference"/>
          <w:sz w:val="18"/>
          <w:szCs w:val="18"/>
        </w:rPr>
        <w:footnoteRef/>
      </w:r>
      <w:r>
        <w:rPr>
          <w:sz w:val="18"/>
          <w:szCs w:val="18"/>
        </w:rPr>
        <w:t xml:space="preserve"> Currently, t</w:t>
      </w:r>
      <w:r>
        <w:rPr>
          <w:color w:val="000000"/>
          <w:sz w:val="18"/>
          <w:szCs w:val="18"/>
        </w:rPr>
        <w:t>he only facilitation for a new Blue Card in a second Member State compared to an application in a first Member State is: (1) in-territory application is allowed up to one mon</w:t>
      </w:r>
      <w:r>
        <w:rPr>
          <w:color w:val="000000"/>
          <w:sz w:val="18"/>
          <w:szCs w:val="18"/>
        </w:rPr>
        <w:t>th after entering the territory, (2) optionally some Member States allow the applicant to work already until a decision on the application is taken, (3) no waiting period for family to join. All other entry conditions need to be fulfilled again.</w:t>
      </w:r>
    </w:p>
  </w:footnote>
  <w:footnote w:id="148">
    <w:p w:rsidR="007306CA" w:rsidRDefault="00576025">
      <w:pPr>
        <w:pStyle w:val="FootnoteText"/>
        <w:spacing w:after="0"/>
        <w:ind w:left="0" w:firstLine="0"/>
        <w:rPr>
          <w:sz w:val="18"/>
          <w:szCs w:val="18"/>
          <w:lang w:val="en-US"/>
        </w:rPr>
      </w:pPr>
      <w:r>
        <w:rPr>
          <w:rStyle w:val="FootnoteReference"/>
          <w:sz w:val="18"/>
          <w:szCs w:val="18"/>
        </w:rPr>
        <w:footnoteRef/>
      </w:r>
      <w:r>
        <w:rPr>
          <w:sz w:val="18"/>
          <w:szCs w:val="18"/>
        </w:rPr>
        <w:t xml:space="preserve"> </w:t>
      </w:r>
      <w:r>
        <w:rPr>
          <w:sz w:val="18"/>
          <w:szCs w:val="18"/>
          <w:lang w:val="en-US"/>
        </w:rPr>
        <w:t>See page</w:t>
      </w:r>
      <w:r>
        <w:rPr>
          <w:sz w:val="18"/>
          <w:szCs w:val="18"/>
          <w:lang w:val="en-US"/>
        </w:rPr>
        <w:t xml:space="preserve"> 19 of Annex 13 for more details on practical measures to ease the recognition of qualifications..</w:t>
      </w:r>
    </w:p>
  </w:footnote>
  <w:footnote w:id="149">
    <w:p w:rsidR="007306CA" w:rsidRDefault="00576025">
      <w:pPr>
        <w:pStyle w:val="FootnoteText"/>
        <w:spacing w:after="0"/>
        <w:ind w:left="0" w:firstLine="0"/>
        <w:rPr>
          <w:sz w:val="18"/>
          <w:szCs w:val="18"/>
        </w:rPr>
      </w:pPr>
      <w:r>
        <w:rPr>
          <w:rStyle w:val="FootnoteReference"/>
          <w:sz w:val="18"/>
          <w:szCs w:val="18"/>
        </w:rPr>
        <w:footnoteRef/>
      </w:r>
      <w:r>
        <w:rPr>
          <w:sz w:val="18"/>
          <w:szCs w:val="18"/>
        </w:rPr>
        <w:t xml:space="preserve"> Admission conditions would have to be targeted at self-employed persons, instead of employed, combined with a yardstick for the seriousness and the potenti</w:t>
      </w:r>
      <w:r>
        <w:rPr>
          <w:sz w:val="18"/>
          <w:szCs w:val="18"/>
        </w:rPr>
        <w:t>al success of the business (e.g. financial requirements for entry, a timeframe and number of jobs to be created, or the amount of revenues to be generated). Also granting similar rights as Blue Card holders would be problematic as the purpose of the scheme</w:t>
      </w:r>
      <w:r>
        <w:rPr>
          <w:sz w:val="18"/>
          <w:szCs w:val="18"/>
        </w:rPr>
        <w:t xml:space="preserve"> is very different (a gamble for a potential for innovation and job creation instead of the more direct and tangible goal of filling shortages) which would require calibrated rules on family reunification, access to long-term residence, intra-EU mobility a</w:t>
      </w:r>
      <w:r>
        <w:rPr>
          <w:sz w:val="18"/>
          <w:szCs w:val="18"/>
        </w:rPr>
        <w:t>nd labour market access.</w:t>
      </w:r>
    </w:p>
  </w:footnote>
  <w:footnote w:id="150">
    <w:p w:rsidR="007306CA" w:rsidRDefault="00576025">
      <w:pPr>
        <w:pStyle w:val="FootnoteText"/>
        <w:spacing w:after="0"/>
        <w:ind w:left="0" w:firstLine="0"/>
        <w:rPr>
          <w:sz w:val="18"/>
          <w:szCs w:val="18"/>
        </w:rPr>
      </w:pPr>
      <w:r>
        <w:rPr>
          <w:rStyle w:val="FootnoteReference"/>
          <w:sz w:val="18"/>
          <w:szCs w:val="18"/>
        </w:rPr>
        <w:footnoteRef/>
      </w:r>
      <w:r>
        <w:rPr>
          <w:sz w:val="18"/>
          <w:szCs w:val="18"/>
        </w:rPr>
        <w:t xml:space="preserve"> See Annex 16 for a detailed overview of these and more sub-options and the implications of a possible extension of the Blue Card to TCN seeking or enjoying international protection.</w:t>
      </w:r>
    </w:p>
  </w:footnote>
  <w:footnote w:id="151">
    <w:p w:rsidR="007306CA" w:rsidRDefault="00576025">
      <w:pPr>
        <w:pStyle w:val="FootnoteText"/>
        <w:spacing w:after="0"/>
        <w:ind w:left="0" w:firstLine="0"/>
        <w:rPr>
          <w:sz w:val="18"/>
          <w:szCs w:val="18"/>
        </w:rPr>
      </w:pPr>
      <w:r>
        <w:rPr>
          <w:rStyle w:val="FootnoteReference"/>
          <w:sz w:val="18"/>
          <w:szCs w:val="18"/>
        </w:rPr>
        <w:footnoteRef/>
      </w:r>
      <w:r>
        <w:rPr>
          <w:sz w:val="18"/>
          <w:szCs w:val="18"/>
        </w:rPr>
        <w:t xml:space="preserve"> This conclusion and a first selection of impa</w:t>
      </w:r>
      <w:r>
        <w:rPr>
          <w:sz w:val="18"/>
          <w:szCs w:val="18"/>
        </w:rPr>
        <w:t>cts to be assessed was presented to the Inter-Service Steering Group for the Review of the EU Blue Card Directive at a meeting on 17 December 2015 and in draft versions of this Impact Assessment report on 15 and 21 December 2015.</w:t>
      </w:r>
    </w:p>
  </w:footnote>
  <w:footnote w:id="152">
    <w:p w:rsidR="007306CA" w:rsidRDefault="00576025">
      <w:pPr>
        <w:pStyle w:val="FootnoteText"/>
        <w:spacing w:after="0"/>
        <w:ind w:left="0" w:firstLine="0"/>
        <w:rPr>
          <w:sz w:val="18"/>
          <w:szCs w:val="18"/>
        </w:rPr>
      </w:pPr>
      <w:r>
        <w:rPr>
          <w:rStyle w:val="FootnoteReference"/>
          <w:sz w:val="18"/>
          <w:szCs w:val="18"/>
        </w:rPr>
        <w:footnoteRef/>
      </w:r>
      <w:r>
        <w:rPr>
          <w:sz w:val="18"/>
          <w:szCs w:val="18"/>
        </w:rPr>
        <w:t xml:space="preserve"> Rated "0" for the purpos</w:t>
      </w:r>
      <w:r>
        <w:rPr>
          <w:sz w:val="18"/>
          <w:szCs w:val="18"/>
        </w:rPr>
        <w:t>es of comparison, though it could have negative impacts, e.g. entailing losses of efficiency.</w:t>
      </w:r>
    </w:p>
  </w:footnote>
  <w:footnote w:id="153">
    <w:p w:rsidR="007306CA" w:rsidRDefault="00576025">
      <w:pPr>
        <w:pStyle w:val="FootnoteText"/>
        <w:spacing w:after="0"/>
        <w:ind w:left="0" w:firstLine="0"/>
        <w:rPr>
          <w:sz w:val="18"/>
          <w:szCs w:val="18"/>
        </w:rPr>
      </w:pPr>
      <w:r>
        <w:rPr>
          <w:rStyle w:val="FootnoteReference"/>
          <w:sz w:val="18"/>
          <w:szCs w:val="18"/>
        </w:rPr>
        <w:footnoteRef/>
      </w:r>
      <w:r>
        <w:rPr>
          <w:sz w:val="18"/>
          <w:szCs w:val="18"/>
        </w:rPr>
        <w:t xml:space="preserve"> 53 % for a unified EU scheme without national schemes vs. 34 % for keeping national schemes, see Annex 2, section 2.3.4, question 27</w:t>
      </w:r>
    </w:p>
  </w:footnote>
  <w:footnote w:id="154">
    <w:p w:rsidR="007306CA" w:rsidRDefault="00576025">
      <w:pPr>
        <w:pStyle w:val="FootnoteText"/>
        <w:spacing w:after="0"/>
        <w:ind w:left="0" w:firstLine="0"/>
        <w:rPr>
          <w:sz w:val="18"/>
          <w:szCs w:val="18"/>
        </w:rPr>
      </w:pPr>
      <w:r>
        <w:rPr>
          <w:rStyle w:val="FootnoteReference"/>
          <w:sz w:val="18"/>
          <w:szCs w:val="18"/>
        </w:rPr>
        <w:footnoteRef/>
      </w:r>
      <w:r>
        <w:rPr>
          <w:sz w:val="18"/>
          <w:szCs w:val="18"/>
        </w:rPr>
        <w:t xml:space="preserve"> See Annex 2, section 2.3.</w:t>
      </w:r>
      <w:r>
        <w:rPr>
          <w:sz w:val="18"/>
          <w:szCs w:val="18"/>
        </w:rPr>
        <w:t>4, question 27</w:t>
      </w:r>
    </w:p>
  </w:footnote>
  <w:footnote w:id="155">
    <w:p w:rsidR="007306CA" w:rsidRDefault="00576025">
      <w:pPr>
        <w:pStyle w:val="FootnoteText"/>
        <w:spacing w:after="0"/>
        <w:ind w:left="0" w:firstLine="0"/>
        <w:rPr>
          <w:sz w:val="18"/>
          <w:szCs w:val="18"/>
        </w:rPr>
      </w:pPr>
      <w:r>
        <w:rPr>
          <w:rStyle w:val="FootnoteReference"/>
          <w:sz w:val="18"/>
          <w:szCs w:val="18"/>
        </w:rPr>
        <w:footnoteRef/>
      </w:r>
      <w:r>
        <w:rPr>
          <w:sz w:val="18"/>
          <w:szCs w:val="18"/>
        </w:rPr>
        <w:t xml:space="preserve"> See Annex 2, section 2.3.3., question 15.</w:t>
      </w:r>
    </w:p>
  </w:footnote>
  <w:footnote w:id="156">
    <w:p w:rsidR="007306CA" w:rsidRDefault="00576025">
      <w:pPr>
        <w:pStyle w:val="FootnoteText"/>
        <w:spacing w:after="0"/>
        <w:ind w:left="0" w:firstLine="0"/>
        <w:rPr>
          <w:sz w:val="18"/>
          <w:szCs w:val="18"/>
        </w:rPr>
      </w:pPr>
      <w:r>
        <w:rPr>
          <w:rStyle w:val="FootnoteReference"/>
          <w:sz w:val="18"/>
          <w:szCs w:val="18"/>
        </w:rPr>
        <w:footnoteRef/>
      </w:r>
      <w:r>
        <w:rPr>
          <w:sz w:val="18"/>
          <w:szCs w:val="18"/>
        </w:rPr>
        <w:t xml:space="preserve"> For references and for an overview of national schemes on attracting innovative entrepreneurs, see Annex 10.</w:t>
      </w:r>
    </w:p>
  </w:footnote>
  <w:footnote w:id="157">
    <w:p w:rsidR="007306CA" w:rsidRDefault="00576025">
      <w:pPr>
        <w:pStyle w:val="FootnoteText"/>
        <w:spacing w:after="0"/>
        <w:ind w:left="0" w:firstLine="0"/>
        <w:rPr>
          <w:sz w:val="18"/>
          <w:szCs w:val="18"/>
        </w:rPr>
      </w:pPr>
      <w:r>
        <w:rPr>
          <w:rStyle w:val="FootnoteReference"/>
          <w:sz w:val="18"/>
          <w:szCs w:val="18"/>
        </w:rPr>
        <w:footnoteRef/>
      </w:r>
      <w:r>
        <w:rPr>
          <w:sz w:val="18"/>
          <w:szCs w:val="18"/>
        </w:rPr>
        <w:t xml:space="preserve"> See Annex 2, section 2.3.3., question 28.</w:t>
      </w:r>
    </w:p>
  </w:footnote>
  <w:footnote w:id="158">
    <w:p w:rsidR="007306CA" w:rsidRDefault="00576025">
      <w:pPr>
        <w:pStyle w:val="FootnoteText"/>
        <w:spacing w:after="0"/>
        <w:ind w:left="0" w:firstLine="0"/>
        <w:rPr>
          <w:sz w:val="18"/>
          <w:szCs w:val="18"/>
          <w:lang w:val="en-US"/>
        </w:rPr>
      </w:pPr>
      <w:r>
        <w:rPr>
          <w:rStyle w:val="FootnoteReference"/>
          <w:sz w:val="18"/>
          <w:szCs w:val="18"/>
        </w:rPr>
        <w:footnoteRef/>
      </w:r>
      <w:r>
        <w:rPr>
          <w:sz w:val="18"/>
          <w:szCs w:val="18"/>
        </w:rPr>
        <w:t xml:space="preserve"> Given that shortages in middle-skilled occupations may also be linked to inferior working conditions, i.e. low wages offered.</w:t>
      </w:r>
    </w:p>
  </w:footnote>
  <w:footnote w:id="159">
    <w:p w:rsidR="007306CA" w:rsidRDefault="00576025">
      <w:pPr>
        <w:pStyle w:val="FootnoteText"/>
        <w:spacing w:after="0"/>
        <w:ind w:left="0" w:firstLine="0"/>
        <w:rPr>
          <w:sz w:val="18"/>
          <w:szCs w:val="18"/>
        </w:rPr>
      </w:pPr>
      <w:r>
        <w:rPr>
          <w:rStyle w:val="FootnoteReference"/>
          <w:sz w:val="18"/>
          <w:szCs w:val="18"/>
        </w:rPr>
        <w:footnoteRef/>
      </w:r>
      <w:r>
        <w:rPr>
          <w:sz w:val="18"/>
          <w:szCs w:val="18"/>
        </w:rPr>
        <w:t xml:space="preserve"> </w:t>
      </w:r>
      <w:r>
        <w:rPr>
          <w:sz w:val="18"/>
          <w:szCs w:val="18"/>
          <w:u w:val="single"/>
        </w:rPr>
        <w:t>Annex 7</w:t>
      </w:r>
      <w:r>
        <w:rPr>
          <w:sz w:val="18"/>
          <w:szCs w:val="18"/>
        </w:rPr>
        <w:t xml:space="preserve"> presents a detailed analysis on the “inclusiveness vs. exclusiveness” of the entry conditions of the current Blue Card </w:t>
      </w:r>
      <w:r>
        <w:rPr>
          <w:sz w:val="18"/>
          <w:szCs w:val="18"/>
        </w:rPr>
        <w:t xml:space="preserve">and a comparison with the national scheme, in particular the impact of the </w:t>
      </w:r>
      <w:r>
        <w:rPr>
          <w:sz w:val="18"/>
          <w:szCs w:val="18"/>
          <w:u w:val="single"/>
        </w:rPr>
        <w:t>salary threshold</w:t>
      </w:r>
      <w:r>
        <w:rPr>
          <w:sz w:val="18"/>
          <w:szCs w:val="18"/>
        </w:rPr>
        <w:t xml:space="preserve"> is analysed for the entire EU, per Member State, for tertiary educated workers, for shortage occupations and for attracting young talents. Detailed simulations in </w:t>
      </w:r>
      <w:r>
        <w:rPr>
          <w:sz w:val="18"/>
          <w:szCs w:val="18"/>
          <w:u w:val="single"/>
        </w:rPr>
        <w:t>A</w:t>
      </w:r>
      <w:r>
        <w:rPr>
          <w:sz w:val="18"/>
          <w:szCs w:val="18"/>
          <w:u w:val="single"/>
        </w:rPr>
        <w:t>nnex 14</w:t>
      </w:r>
      <w:r>
        <w:rPr>
          <w:sz w:val="18"/>
          <w:szCs w:val="18"/>
        </w:rPr>
        <w:t xml:space="preserve"> show the impacts on the “inclusiveness vs. exclusiveness” for all the legislative policy options (POPs) per Member State and for EU25.</w:t>
      </w:r>
    </w:p>
  </w:footnote>
  <w:footnote w:id="160">
    <w:p w:rsidR="007306CA" w:rsidRDefault="00576025">
      <w:pPr>
        <w:pStyle w:val="FootnoteText"/>
        <w:spacing w:after="0"/>
        <w:ind w:left="0" w:firstLine="0"/>
        <w:rPr>
          <w:sz w:val="18"/>
          <w:szCs w:val="18"/>
        </w:rPr>
      </w:pPr>
      <w:r>
        <w:rPr>
          <w:rStyle w:val="FootnoteReference"/>
          <w:sz w:val="18"/>
          <w:szCs w:val="18"/>
        </w:rPr>
        <w:footnoteRef/>
      </w:r>
      <w:r>
        <w:rPr>
          <w:sz w:val="18"/>
          <w:szCs w:val="18"/>
        </w:rPr>
        <w:t xml:space="preserve"> Since the EP has become co-legislator on legal migration legislation (2009), they have always advocated for fur</w:t>
      </w:r>
      <w:r>
        <w:rPr>
          <w:sz w:val="18"/>
          <w:szCs w:val="18"/>
        </w:rPr>
        <w:t>ther EU-wide harmonisation and for the abolition of parallel national schemes.</w:t>
      </w:r>
    </w:p>
  </w:footnote>
  <w:footnote w:id="161">
    <w:p w:rsidR="007306CA" w:rsidRDefault="00576025">
      <w:pPr>
        <w:pStyle w:val="FootnoteText"/>
        <w:spacing w:after="0"/>
        <w:ind w:left="0" w:firstLine="0"/>
        <w:rPr>
          <w:sz w:val="18"/>
          <w:szCs w:val="18"/>
          <w:lang w:val="en-US"/>
        </w:rPr>
      </w:pPr>
      <w:r>
        <w:rPr>
          <w:rStyle w:val="FootnoteReference"/>
          <w:sz w:val="18"/>
          <w:szCs w:val="18"/>
        </w:rPr>
        <w:footnoteRef/>
      </w:r>
      <w:r>
        <w:rPr>
          <w:sz w:val="18"/>
          <w:szCs w:val="18"/>
        </w:rPr>
        <w:t xml:space="preserve"> Or, in case of significant delays in transposition by a substantial number of Member States, when the new legislation has been in force for a sufficient period and number of M</w:t>
      </w:r>
      <w:r>
        <w:rPr>
          <w:sz w:val="18"/>
          <w:szCs w:val="18"/>
        </w:rPr>
        <w:t xml:space="preserve">ember States to allow for significant results. </w:t>
      </w:r>
    </w:p>
  </w:footnote>
  <w:footnote w:id="162">
    <w:p w:rsidR="007306CA" w:rsidRDefault="00576025">
      <w:pPr>
        <w:pStyle w:val="FootnoteText"/>
        <w:spacing w:after="0"/>
        <w:ind w:left="0" w:firstLine="0"/>
        <w:rPr>
          <w:sz w:val="18"/>
          <w:szCs w:val="18"/>
          <w:lang w:val="en-US"/>
        </w:rPr>
      </w:pPr>
      <w:r>
        <w:rPr>
          <w:rStyle w:val="FootnoteReference"/>
          <w:sz w:val="18"/>
          <w:szCs w:val="18"/>
        </w:rPr>
        <w:footnoteRef/>
      </w:r>
      <w:r>
        <w:rPr>
          <w:sz w:val="18"/>
          <w:szCs w:val="18"/>
        </w:rPr>
        <w:t xml:space="preserve"> First </w:t>
      </w:r>
      <w:r>
        <w:rPr>
          <w:sz w:val="18"/>
          <w:szCs w:val="18"/>
          <w:lang w:val="en-US"/>
        </w:rPr>
        <w:t xml:space="preserve">implementation report on the EU Blue Card of 22 May 2014, </w:t>
      </w:r>
      <w:hyperlink r:id="rId35" w:history="1">
        <w:r>
          <w:rPr>
            <w:rStyle w:val="Hyperlink"/>
            <w:sz w:val="18"/>
            <w:szCs w:val="18"/>
            <w:lang w:val="en-US"/>
          </w:rPr>
          <w:t>COM(2014) 287 final</w:t>
        </w:r>
      </w:hyperlink>
    </w:p>
  </w:footnote>
  <w:footnote w:id="163">
    <w:p w:rsidR="007306CA" w:rsidRDefault="00576025">
      <w:pPr>
        <w:pStyle w:val="FootnoteText"/>
        <w:spacing w:after="0"/>
        <w:ind w:left="0" w:firstLine="0"/>
        <w:rPr>
          <w:sz w:val="18"/>
          <w:szCs w:val="18"/>
          <w:lang w:val="en-US"/>
        </w:rPr>
      </w:pPr>
      <w:r>
        <w:rPr>
          <w:rStyle w:val="FootnoteReference"/>
          <w:sz w:val="18"/>
          <w:szCs w:val="18"/>
        </w:rPr>
        <w:footnoteRef/>
      </w:r>
      <w:r>
        <w:rPr>
          <w:sz w:val="18"/>
          <w:szCs w:val="18"/>
        </w:rPr>
        <w:t xml:space="preserve"> </w:t>
      </w:r>
      <w:r>
        <w:rPr>
          <w:color w:val="000000"/>
          <w:sz w:val="18"/>
          <w:szCs w:val="18"/>
          <w:lang w:val="en-US"/>
        </w:rPr>
        <w:t>Number of HSW having requested nati</w:t>
      </w:r>
      <w:r>
        <w:rPr>
          <w:color w:val="000000"/>
          <w:sz w:val="18"/>
          <w:szCs w:val="18"/>
          <w:lang w:val="en-US"/>
        </w:rPr>
        <w:t>onal or EU long term resident status; Number of total HSW entitled to ask for EC long-term resident status; Number of former Blue Card holders having acquired EU long-term resident status.</w:t>
      </w:r>
    </w:p>
  </w:footnote>
  <w:footnote w:id="164">
    <w:p w:rsidR="007306CA" w:rsidRDefault="00576025">
      <w:pPr>
        <w:pStyle w:val="FootnoteText"/>
        <w:spacing w:after="0"/>
        <w:ind w:left="0" w:firstLine="0"/>
        <w:rPr>
          <w:sz w:val="18"/>
          <w:szCs w:val="18"/>
          <w:lang w:val="en-US"/>
        </w:rPr>
      </w:pPr>
      <w:r>
        <w:rPr>
          <w:rStyle w:val="FootnoteReference"/>
          <w:sz w:val="18"/>
          <w:szCs w:val="18"/>
        </w:rPr>
        <w:footnoteRef/>
      </w:r>
      <w:r>
        <w:rPr>
          <w:sz w:val="18"/>
          <w:szCs w:val="18"/>
        </w:rPr>
        <w:t xml:space="preserve"> </w:t>
      </w:r>
      <w:r>
        <w:rPr>
          <w:color w:val="000000"/>
          <w:sz w:val="18"/>
          <w:szCs w:val="18"/>
          <w:lang w:val="en-US"/>
        </w:rPr>
        <w:t xml:space="preserve">In terms of country of origin, level of education, occupation </w:t>
      </w:r>
      <w:r>
        <w:rPr>
          <w:color w:val="000000"/>
          <w:sz w:val="18"/>
          <w:szCs w:val="18"/>
          <w:lang w:val="en-US"/>
        </w:rPr>
        <w:t>etc.</w:t>
      </w:r>
    </w:p>
  </w:footnote>
  <w:footnote w:id="165">
    <w:p w:rsidR="007306CA" w:rsidRDefault="00576025">
      <w:pPr>
        <w:pStyle w:val="FootnoteText"/>
        <w:spacing w:after="0"/>
        <w:ind w:left="0" w:firstLine="0"/>
        <w:rPr>
          <w:sz w:val="18"/>
          <w:szCs w:val="18"/>
          <w:lang w:val="en-US"/>
        </w:rPr>
      </w:pPr>
      <w:r>
        <w:rPr>
          <w:rStyle w:val="FootnoteReference"/>
          <w:sz w:val="18"/>
          <w:szCs w:val="18"/>
        </w:rPr>
        <w:footnoteRef/>
      </w:r>
      <w:r>
        <w:rPr>
          <w:sz w:val="18"/>
          <w:szCs w:val="18"/>
        </w:rPr>
        <w:t xml:space="preserve"> To </w:t>
      </w:r>
      <w:r>
        <w:rPr>
          <w:color w:val="000000"/>
          <w:sz w:val="18"/>
          <w:szCs w:val="18"/>
          <w:lang w:val="en-US"/>
        </w:rPr>
        <w:t>monitor the absence of job displacement of EU national HSW by TCN HSW.</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6CA" w:rsidRDefault="007306C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6CA" w:rsidRDefault="007306CA">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6CA" w:rsidRDefault="007306CA">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6CA" w:rsidRDefault="007306CA">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6CA" w:rsidRDefault="007306CA">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6CA" w:rsidRDefault="007306CA">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6CA" w:rsidRDefault="007306CA">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6CA" w:rsidRDefault="007306CA">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6CA" w:rsidRDefault="007306C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8DE61A8"/>
    <w:multiLevelType w:val="hybridMultilevel"/>
    <w:tmpl w:val="686A40CA"/>
    <w:name w:val="LegalNumParListTemplate3"/>
    <w:lvl w:ilvl="0" w:tplc="A588FCC0">
      <w:start w:val="1"/>
      <w:numFmt w:val="decimal"/>
      <w:pStyle w:val="LegalNumPar"/>
      <w:lvlText w:val="%1."/>
      <w:lvlJc w:val="left"/>
      <w:pPr>
        <w:tabs>
          <w:tab w:val="num" w:pos="476"/>
        </w:tabs>
        <w:ind w:left="476" w:hanging="476"/>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46808CB"/>
    <w:multiLevelType w:val="multilevel"/>
    <w:tmpl w:val="F45CEE80"/>
    <w:styleLink w:val="NumbListFigures"/>
    <w:lvl w:ilvl="0">
      <w:start w:val="1"/>
      <w:numFmt w:val="decimal"/>
      <w:pStyle w:val="FigureTitle"/>
      <w:lvlText w:val="Figure %1."/>
      <w:lvlJc w:val="left"/>
      <w:pPr>
        <w:tabs>
          <w:tab w:val="num" w:pos="1077"/>
        </w:tabs>
        <w:ind w:left="1077" w:hanging="1077"/>
      </w:pPr>
      <w:rPr>
        <w:rFonts w:hint="default"/>
      </w:rPr>
    </w:lvl>
    <w:lvl w:ilvl="1">
      <w:start w:val="1"/>
      <w:numFmt w:val="none"/>
      <w:lvlText w:val=""/>
      <w:lvlJc w:val="left"/>
      <w:pPr>
        <w:tabs>
          <w:tab w:val="num" w:pos="0"/>
        </w:tabs>
        <w:ind w:left="0" w:firstLine="0"/>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4">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1F734306"/>
    <w:multiLevelType w:val="multilevel"/>
    <w:tmpl w:val="42868172"/>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720"/>
        </w:tabs>
        <w:ind w:left="720" w:hanging="720"/>
      </w:pPr>
    </w:lvl>
    <w:lvl w:ilvl="2">
      <w:start w:val="1"/>
      <w:numFmt w:val="decimal"/>
      <w:pStyle w:val="Heading3"/>
      <w:lvlText w:val="%1.%2.%3."/>
      <w:lvlJc w:val="left"/>
      <w:pPr>
        <w:tabs>
          <w:tab w:val="num" w:pos="1004"/>
        </w:tabs>
        <w:ind w:left="1004" w:hanging="720"/>
      </w:pPr>
      <w:rPr>
        <w:lang w:val="en-GB"/>
      </w:rPr>
    </w:lvl>
    <w:lvl w:ilvl="3">
      <w:start w:val="1"/>
      <w:numFmt w:val="decimal"/>
      <w:pStyle w:val="Heading4"/>
      <w:lvlText w:val="%1.%2.%3.%4."/>
      <w:lvlJc w:val="left"/>
      <w:pPr>
        <w:tabs>
          <w:tab w:val="num" w:pos="1996"/>
        </w:tabs>
        <w:ind w:left="1996"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8">
    <w:nsid w:val="2C4B63D1"/>
    <w:multiLevelType w:val="multilevel"/>
    <w:tmpl w:val="589CDCAC"/>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2D293CE3"/>
    <w:multiLevelType w:val="hybridMultilevel"/>
    <w:tmpl w:val="42B46776"/>
    <w:name w:val="LegalNumParListTemplate2"/>
    <w:lvl w:ilvl="0" w:tplc="0C02F2CE">
      <w:start w:val="1"/>
      <w:numFmt w:val="decimal"/>
      <w:lvlText w:val="%1."/>
      <w:lvlJc w:val="left"/>
      <w:pPr>
        <w:tabs>
          <w:tab w:val="num" w:pos="476"/>
        </w:tabs>
        <w:ind w:left="476" w:hanging="476"/>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2">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4">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5">
    <w:nsid w:val="3DF405CC"/>
    <w:multiLevelType w:val="hybridMultilevel"/>
    <w:tmpl w:val="252EB71A"/>
    <w:lvl w:ilvl="0" w:tplc="B778FBF8">
      <w:start w:val="1"/>
      <w:numFmt w:val="decimal"/>
      <w:lvlText w:val="(%1)"/>
      <w:lvlJc w:val="left"/>
      <w:pPr>
        <w:ind w:left="380" w:hanging="38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7">
    <w:nsid w:val="46BA0572"/>
    <w:multiLevelType w:val="hybridMultilevel"/>
    <w:tmpl w:val="252EB71A"/>
    <w:lvl w:ilvl="0" w:tplc="B778FBF8">
      <w:start w:val="1"/>
      <w:numFmt w:val="decimal"/>
      <w:lvlText w:val="(%1)"/>
      <w:lvlJc w:val="left"/>
      <w:pPr>
        <w:ind w:left="380" w:hanging="38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9">
    <w:nsid w:val="5A054192"/>
    <w:multiLevelType w:val="hybridMultilevel"/>
    <w:tmpl w:val="94CCE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21">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22">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23">
    <w:nsid w:val="6B7243D5"/>
    <w:multiLevelType w:val="hybridMultilevel"/>
    <w:tmpl w:val="E88494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25">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7C6B63E6"/>
    <w:multiLevelType w:val="singleLevel"/>
    <w:tmpl w:val="0292EEF0"/>
    <w:name w:val="LegalNumParListTemplate"/>
    <w:lvl w:ilvl="0">
      <w:start w:val="1"/>
      <w:numFmt w:val="decimal"/>
      <w:lvlText w:val="%1."/>
      <w:lvlJc w:val="left"/>
      <w:pPr>
        <w:tabs>
          <w:tab w:val="num" w:pos="476"/>
        </w:tabs>
        <w:ind w:left="476" w:hanging="476"/>
      </w:pPr>
    </w:lvl>
  </w:abstractNum>
  <w:num w:numId="1">
    <w:abstractNumId w:val="1"/>
  </w:num>
  <w:num w:numId="2">
    <w:abstractNumId w:val="0"/>
  </w:num>
  <w:num w:numId="3">
    <w:abstractNumId w:val="14"/>
  </w:num>
  <w:num w:numId="4">
    <w:abstractNumId w:val="7"/>
  </w:num>
  <w:num w:numId="5">
    <w:abstractNumId w:val="13"/>
  </w:num>
  <w:num w:numId="6">
    <w:abstractNumId w:val="22"/>
  </w:num>
  <w:num w:numId="7">
    <w:abstractNumId w:val="24"/>
  </w:num>
  <w:num w:numId="8">
    <w:abstractNumId w:val="11"/>
  </w:num>
  <w:num w:numId="9">
    <w:abstractNumId w:val="21"/>
  </w:num>
  <w:num w:numId="10">
    <w:abstractNumId w:val="20"/>
  </w:num>
  <w:num w:numId="11">
    <w:abstractNumId w:val="16"/>
  </w:num>
  <w:num w:numId="12">
    <w:abstractNumId w:val="18"/>
  </w:num>
  <w:num w:numId="13">
    <w:abstractNumId w:val="12"/>
  </w:num>
  <w:num w:numId="14">
    <w:abstractNumId w:val="4"/>
  </w:num>
  <w:num w:numId="15">
    <w:abstractNumId w:val="9"/>
  </w:num>
  <w:num w:numId="16">
    <w:abstractNumId w:val="25"/>
  </w:num>
  <w:num w:numId="17">
    <w:abstractNumId w:val="2"/>
  </w:num>
  <w:num w:numId="18">
    <w:abstractNumId w:val="5"/>
  </w:num>
  <w:num w:numId="19">
    <w:abstractNumId w:val="6"/>
  </w:num>
  <w:num w:numId="20">
    <w:abstractNumId w:val="3"/>
  </w:num>
  <w:num w:numId="21">
    <w:abstractNumId w:val="19"/>
  </w:num>
  <w:num w:numId="22">
    <w:abstractNumId w:val="8"/>
  </w:num>
  <w:num w:numId="23">
    <w:abstractNumId w:val="17"/>
  </w:num>
  <w:num w:numId="24">
    <w:abstractNumId w:val="15"/>
  </w:num>
  <w:num w:numId="25">
    <w:abstractNumId w:val="23"/>
  </w:num>
  <w:num w:numId="26">
    <w:abstractNumId w:val="5"/>
  </w:num>
  <w:num w:numId="27">
    <w:abstractNumId w:val="5"/>
  </w:num>
  <w:num w:numId="28">
    <w:abstractNumId w:val="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 w:id="1"/>
  </w:footnotePr>
  <w:endnotePr>
    <w:endnote w:id="-1"/>
    <w:endnote w:id="0"/>
    <w:endnote w:id="1"/>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Accompanying the document"/>
    <w:docVar w:name="LW_CONFIDENCE" w:val=" "/>
    <w:docVar w:name="LW_CONST_RESTREINT_UE" w:val="RESTREINT UE"/>
    <w:docVar w:name="LW_CORRIGENDUM" w:val="&lt;UNUSED&gt;"/>
    <w:docVar w:name="LW_COVERPAGE_GUID" w:val="9DE820782D584C4482B43B977BC415D3"/>
    <w:docVar w:name="LW_CROSSREFERENCE" w:val="{COM(2016) 378 final}_x000b_{SWD(2016) 194 final}"/>
    <w:docVar w:name="LW_DocType" w:val="REP"/>
    <w:docVar w:name="LW_EMISSION" w:val="7.6.2016"/>
    <w:docVar w:name="LW_EMISSION_ISODATE" w:val="2016-06-07"/>
    <w:docVar w:name="LW_EMISSION_LOCATION" w:val="STR"/>
    <w:docVar w:name="LW_EMISSION_PREFIX" w:val="Strasbourg, "/>
    <w:docVar w:name="LW_EMISSION_SUFFIX" w:val=" "/>
    <w:docVar w:name="LW_ID_DOCTYPE_NONLW" w:val="CP-026"/>
    <w:docVar w:name="LW_LANGUE" w:val="EN"/>
    <w:docVar w:name="LW_MARKING" w:val="&lt;UNUSED&gt;"/>
    <w:docVar w:name="LW_NOM.INST" w:val="EUROPEAN COMMISSION"/>
    <w:docVar w:name="LW_NOM.INST_JOINTDOC" w:val="&lt;EMPTY&gt;"/>
    <w:docVar w:name="LW_OBJETACTEPRINCIPAL.CP" w:val="Proposal for a Directive of the European Parliament and the Council on the conditions of entry and residence of third-country nationals for the purposes of highly skilled employment and repealing Directive 2009/50/EC"/>
    <w:docVar w:name="LW_PART_NBR" w:val="1"/>
    <w:docVar w:name="LW_PART_NBR_TOTAL" w:val="6"/>
    <w:docVar w:name="LW_REF.INST.NEW" w:val="SWD"/>
    <w:docVar w:name="LW_REF.INST.NEW_ADOPTED" w:val="final"/>
    <w:docVar w:name="LW_REF.INST.NEW_TEXT" w:val="(2016) 193"/>
    <w:docVar w:name="LW_REF.INTERNE" w:val="&lt;UNUSED&gt;"/>
    <w:docVar w:name="LW_SUPERTITRE" w:val="&lt;UNUSED&gt;"/>
    <w:docVar w:name="LW_TITRE.OBJ.CP" w:val="&lt;UNUSED&gt;"/>
    <w:docVar w:name="LW_TYPE.DOC.CP" w:val="COMMISSION STAFF WORKING DOCUMENT_x000b__x000b_IMPACT ASSESSMENT_x000b_"/>
    <w:docVar w:name="LW_TYPEACTEPRINCIPAL.CP" w:val="&lt;UNUSED&gt;"/>
  </w:docVars>
  <w:rsids>
    <w:rsidRoot w:val="007306CA"/>
    <w:rsid w:val="00576025"/>
    <w:rsid w:val="007306C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6"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qFormat="1"/>
    <w:lsdException w:name="header" w:uiPriority="0"/>
    <w:lsdException w:name="footer" w:qFormat="1"/>
    <w:lsdException w:name="index heading" w:uiPriority="0"/>
    <w:lsdException w:name="caption" w:semiHidden="0" w:uiPriority="0" w:unhideWhenUsed="0" w:qFormat="1"/>
    <w:lsdException w:name="table of figures" w:uiPriority="0"/>
    <w:lsdException w:name="envelope address" w:uiPriority="0"/>
    <w:lsdException w:name="envelope return" w:uiPriority="0"/>
    <w:lsdException w:name="footnote reference" w:qFormat="1"/>
    <w:lsdException w:name="endnote text" w:uiPriority="0"/>
    <w:lsdException w:name="table of authorities" w:uiPriority="0"/>
    <w:lsdException w:name="macro" w:uiPriority="0"/>
    <w:lsdException w:name="toa heading" w:uiPriority="0"/>
    <w:lsdException w:name="List" w:uiPriority="0"/>
    <w:lsdException w:name="List Bullet" w:uiPriority="29"/>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after="240"/>
      <w:jc w:val="both"/>
    </w:pPr>
    <w:rPr>
      <w:lang w:eastAsia="en-US"/>
    </w:rPr>
  </w:style>
  <w:style w:type="paragraph" w:styleId="Heading1">
    <w:name w:val="heading 1"/>
    <w:aliases w:val="F3 Heading 1 - Section,(Section),h1,Numbered - 1,Section,Chapter Hdg,CH TITLE 1,Chapter Heading,Headline 1,cover1,intoduction,head1,IMPACT STUDY TITLE1,TITLE 1 NR,title 1 nr,Title 1,ariad2-heading1,1H,1h,1H1,1H2,1H11,1,section head,S"/>
    <w:basedOn w:val="Normal"/>
    <w:next w:val="Text1"/>
    <w:link w:val="Heading1Char"/>
    <w:qFormat/>
    <w:pPr>
      <w:keepNext/>
      <w:numPr>
        <w:numId w:val="18"/>
      </w:numPr>
      <w:spacing w:before="240"/>
      <w:outlineLvl w:val="0"/>
    </w:pPr>
    <w:rPr>
      <w:b/>
      <w:smallCaps/>
    </w:rPr>
  </w:style>
  <w:style w:type="paragraph" w:styleId="Heading2">
    <w:name w:val="heading 2"/>
    <w:aliases w:val="F4 Heading 2 - SubSection,(SubSection),h2,Para Nos,Para,Main Heading,Main Headi,Numbered - 2,(Main Heading),Paragraph,Sub Heading,ignorer2,Oscar Faber 2,Headline 2,2,headi,heading2,h21,h22,21,H2,l2,kopregel 2,Dossier Head 2,heading 2,..."/>
    <w:basedOn w:val="Normal"/>
    <w:next w:val="Normal"/>
    <w:link w:val="Heading2Char"/>
    <w:qFormat/>
    <w:pPr>
      <w:keepNext/>
      <w:numPr>
        <w:ilvl w:val="1"/>
        <w:numId w:val="18"/>
      </w:numPr>
      <w:outlineLvl w:val="1"/>
    </w:pPr>
    <w:rPr>
      <w:b/>
    </w:rPr>
  </w:style>
  <w:style w:type="paragraph" w:styleId="Heading3">
    <w:name w:val="heading 3"/>
    <w:aliases w:val="F5 Heading 3,h3,Numbered - 3,H3,H31,Headline 3,h31,h32,Sub Paragraph,Voorwoord,ASAPHeading 3,Level 1 - 1,Heading 3 - old,heading 3,Heading 2.3,1.2.3.,Titles,(Alt+3),(Alt+3)1,(Alt+3)2,(Alt+3)3,(Alt+3)4,(Alt+3)5,(Alt+3)6,(Alt+3)11,(Alt+3)21"/>
    <w:basedOn w:val="Normal"/>
    <w:next w:val="Normal"/>
    <w:link w:val="Heading3Char"/>
    <w:uiPriority w:val="6"/>
    <w:qFormat/>
    <w:pPr>
      <w:keepNext/>
      <w:numPr>
        <w:ilvl w:val="2"/>
        <w:numId w:val="18"/>
      </w:numPr>
      <w:outlineLvl w:val="2"/>
    </w:pPr>
    <w:rPr>
      <w:i/>
      <w:u w:val="single"/>
      <w:lang w:val="en-IE"/>
    </w:rPr>
  </w:style>
  <w:style w:type="paragraph" w:styleId="Heading4">
    <w:name w:val="heading 4"/>
    <w:aliases w:val="level 3 subhead,PA Micro Section,(Alt+4),H41,(Alt+4)1,H42,(Alt+4)2,H43,(Alt+4)3,H44,(Alt+4)4,H45,(Alt+4)5,H411,(Alt+4)11,H421,(Alt+4)21,H431,(Alt+4)31,H46,(Alt+4)6,H412,(Alt+4)12,H422,(Alt+4)22,H432,(Alt+4)32,H47,(Alt+4)7,H48,(Alt+4)8,H49"/>
    <w:basedOn w:val="Normal"/>
    <w:next w:val="Text4"/>
    <w:link w:val="Heading4Char"/>
    <w:qFormat/>
    <w:pPr>
      <w:keepNext/>
      <w:numPr>
        <w:ilvl w:val="3"/>
        <w:numId w:val="18"/>
      </w:numPr>
      <w:outlineLvl w:val="3"/>
    </w:pPr>
  </w:style>
  <w:style w:type="paragraph" w:styleId="Heading5">
    <w:name w:val="heading 5"/>
    <w:basedOn w:val="Normal"/>
    <w:next w:val="Normal"/>
    <w:uiPriority w:val="9"/>
    <w:qFormat/>
    <w:pPr>
      <w:tabs>
        <w:tab w:val="num" w:pos="0"/>
      </w:tabs>
      <w:spacing w:before="240" w:after="60"/>
      <w:outlineLvl w:val="4"/>
    </w:pPr>
    <w:rPr>
      <w:rFonts w:ascii="Arial" w:hAnsi="Arial"/>
      <w:sz w:val="22"/>
    </w:rPr>
  </w:style>
  <w:style w:type="paragraph" w:styleId="Heading6">
    <w:name w:val="heading 6"/>
    <w:basedOn w:val="Normal"/>
    <w:next w:val="Normal"/>
    <w:uiPriority w:val="9"/>
    <w:qFormat/>
    <w:pPr>
      <w:tabs>
        <w:tab w:val="num" w:pos="0"/>
      </w:tabs>
      <w:spacing w:before="240" w:after="60"/>
      <w:outlineLvl w:val="5"/>
    </w:pPr>
    <w:rPr>
      <w:rFonts w:ascii="Arial" w:hAnsi="Arial"/>
      <w:i/>
      <w:sz w:val="22"/>
    </w:rPr>
  </w:style>
  <w:style w:type="paragraph" w:styleId="Heading7">
    <w:name w:val="heading 7"/>
    <w:basedOn w:val="Normal"/>
    <w:next w:val="Normal"/>
    <w:uiPriority w:val="9"/>
    <w:qFormat/>
    <w:pPr>
      <w:tabs>
        <w:tab w:val="num" w:pos="0"/>
      </w:tabs>
      <w:spacing w:before="240" w:after="60"/>
      <w:outlineLvl w:val="6"/>
    </w:pPr>
    <w:rPr>
      <w:rFonts w:ascii="Arial" w:hAnsi="Arial"/>
      <w:sz w:val="20"/>
    </w:rPr>
  </w:style>
  <w:style w:type="paragraph" w:styleId="Heading8">
    <w:name w:val="heading 8"/>
    <w:basedOn w:val="Normal"/>
    <w:next w:val="Normal"/>
    <w:uiPriority w:val="9"/>
    <w:qFormat/>
    <w:pPr>
      <w:tabs>
        <w:tab w:val="num" w:pos="0"/>
      </w:tabs>
      <w:spacing w:before="240" w:after="60"/>
      <w:outlineLvl w:val="7"/>
    </w:pPr>
    <w:rPr>
      <w:rFonts w:ascii="Arial" w:hAnsi="Arial"/>
      <w:i/>
      <w:sz w:val="20"/>
    </w:rPr>
  </w:style>
  <w:style w:type="paragraph" w:styleId="Heading9">
    <w:name w:val="heading 9"/>
    <w:basedOn w:val="Normal"/>
    <w:next w:val="Normal"/>
    <w:uiPriority w:val="9"/>
    <w:qFormat/>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link w:val="BodyTextChar"/>
    <w:uiPriority w:val="99"/>
    <w:pPr>
      <w:spacing w:after="120"/>
    </w:pPr>
  </w:style>
  <w:style w:type="paragraph" w:styleId="BodyText2">
    <w:name w:val="Body Text 2"/>
    <w:basedOn w:val="Normal"/>
    <w:pPr>
      <w:spacing w:after="120" w:line="480" w:lineRule="auto"/>
    </w:pPr>
  </w:style>
  <w:style w:type="paragraph" w:styleId="BodyText3">
    <w:name w:val="Body Text 3"/>
    <w:basedOn w:val="Normal"/>
    <w:link w:val="BodyText3Char"/>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uiPriority w:val="99"/>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qFormat/>
    <w:pPr>
      <w:spacing w:after="0"/>
      <w:ind w:right="-567"/>
      <w:jc w:val="left"/>
    </w:pPr>
    <w:rPr>
      <w:sz w:val="16"/>
    </w:rPr>
  </w:style>
  <w:style w:type="paragraph" w:styleId="FootnoteText">
    <w:name w:val="footnote text"/>
    <w:aliases w:val="Char,Fußnote,Carattere,fn,Footnotes,Footnote ak,Footnote Text Char1,Footnote Text Char Char,fn Char Char,footnote text Char Char,Footnotes Char Char,Footnote ak Char Char,fn Char1,footnote text Char1,Footnotes Char1,ft,Footnote Text_EP-LC"/>
    <w:basedOn w:val="Normal"/>
    <w:link w:val="FootnoteTextChar"/>
    <w:qFormat/>
    <w:pPr>
      <w:ind w:left="357" w:hanging="357"/>
    </w:pPr>
    <w:rPr>
      <w:sz w:val="20"/>
    </w:rPr>
  </w:style>
  <w:style w:type="paragraph" w:styleId="Header">
    <w:name w:val="header"/>
    <w:basedOn w:val="Normal"/>
    <w:link w:val="HeaderChar"/>
    <w:pPr>
      <w:tabs>
        <w:tab w:val="center" w:pos="4153"/>
        <w:tab w:val="right" w:pos="8306"/>
      </w:tabs>
    </w:pPr>
    <w:rPr>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uiPriority w:val="29"/>
    <w:pPr>
      <w:numPr>
        <w:numId w:val="3"/>
      </w:numPr>
    </w:pPr>
  </w:style>
  <w:style w:type="paragraph" w:styleId="ListBullet2">
    <w:name w:val="List Bullet 2"/>
    <w:basedOn w:val="Text2"/>
    <w:pPr>
      <w:numPr>
        <w:numId w:val="5"/>
      </w:numPr>
      <w:tabs>
        <w:tab w:val="clear" w:pos="2302"/>
      </w:tabs>
    </w:pPr>
  </w:style>
  <w:style w:type="paragraph" w:styleId="ListBullet3">
    <w:name w:val="List Bullet 3"/>
    <w:basedOn w:val="Text3"/>
    <w:pPr>
      <w:numPr>
        <w:numId w:val="6"/>
      </w:numPr>
      <w:tabs>
        <w:tab w:val="clear" w:pos="2302"/>
      </w:tabs>
    </w:pPr>
  </w:style>
  <w:style w:type="paragraph" w:styleId="ListBullet4">
    <w:name w:val="List Bullet 4"/>
    <w:basedOn w:val="Text4"/>
    <w:pPr>
      <w:numPr>
        <w:numId w:val="7"/>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9"/>
      </w:numPr>
    </w:pPr>
  </w:style>
  <w:style w:type="paragraph" w:styleId="ListNumber2">
    <w:name w:val="List Number 2"/>
    <w:basedOn w:val="Text2"/>
    <w:pPr>
      <w:numPr>
        <w:numId w:val="14"/>
      </w:numPr>
      <w:tabs>
        <w:tab w:val="clear" w:pos="2302"/>
      </w:tabs>
    </w:pPr>
  </w:style>
  <w:style w:type="paragraph" w:styleId="ListNumber3">
    <w:name w:val="List Number 3"/>
    <w:basedOn w:val="Text3"/>
    <w:pPr>
      <w:numPr>
        <w:numId w:val="15"/>
      </w:numPr>
      <w:tabs>
        <w:tab w:val="clear" w:pos="2302"/>
      </w:tabs>
    </w:pPr>
  </w:style>
  <w:style w:type="paragraph" w:styleId="ListNumber4">
    <w:name w:val="List Number 4"/>
    <w:basedOn w:val="Text4"/>
    <w:pPr>
      <w:numPr>
        <w:numId w:val="16"/>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uiPriority w:val="39"/>
    <w:pPr>
      <w:tabs>
        <w:tab w:val="right" w:leader="dot" w:pos="8640"/>
      </w:tabs>
      <w:spacing w:before="120" w:after="120"/>
      <w:ind w:left="482" w:right="720" w:hanging="482"/>
    </w:pPr>
    <w:rPr>
      <w:caps/>
    </w:rPr>
  </w:style>
  <w:style w:type="paragraph" w:styleId="TOC2">
    <w:name w:val="toc 2"/>
    <w:basedOn w:val="Normal"/>
    <w:next w:val="Normal"/>
    <w:uiPriority w:val="39"/>
    <w:pPr>
      <w:tabs>
        <w:tab w:val="right" w:leader="dot" w:pos="8640"/>
      </w:tabs>
      <w:spacing w:before="60" w:after="60"/>
      <w:ind w:left="1077" w:right="720" w:hanging="595"/>
    </w:pPr>
  </w:style>
  <w:style w:type="paragraph" w:styleId="TOC3">
    <w:name w:val="toc 3"/>
    <w:basedOn w:val="Normal"/>
    <w:next w:val="Normal"/>
    <w:uiPriority w:val="39"/>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4"/>
      </w:numPr>
    </w:pPr>
  </w:style>
  <w:style w:type="paragraph" w:customStyle="1" w:styleId="ListDash">
    <w:name w:val="List Dash"/>
    <w:basedOn w:val="Normal"/>
    <w:pPr>
      <w:numPr>
        <w:numId w:val="8"/>
      </w:numPr>
    </w:pPr>
  </w:style>
  <w:style w:type="paragraph" w:customStyle="1" w:styleId="ListDash1">
    <w:name w:val="List Dash 1"/>
    <w:basedOn w:val="Text1"/>
    <w:pPr>
      <w:numPr>
        <w:numId w:val="9"/>
      </w:numPr>
    </w:pPr>
  </w:style>
  <w:style w:type="paragraph" w:customStyle="1" w:styleId="ListDash2">
    <w:name w:val="List Dash 2"/>
    <w:basedOn w:val="Text2"/>
    <w:pPr>
      <w:numPr>
        <w:numId w:val="10"/>
      </w:numPr>
      <w:tabs>
        <w:tab w:val="clear" w:pos="2302"/>
      </w:tabs>
    </w:pPr>
  </w:style>
  <w:style w:type="paragraph" w:customStyle="1" w:styleId="ListDash3">
    <w:name w:val="List Dash 3"/>
    <w:basedOn w:val="Text3"/>
    <w:pPr>
      <w:numPr>
        <w:numId w:val="11"/>
      </w:numPr>
      <w:tabs>
        <w:tab w:val="clear" w:pos="2302"/>
      </w:tabs>
    </w:pPr>
  </w:style>
  <w:style w:type="paragraph" w:customStyle="1" w:styleId="ListDash4">
    <w:name w:val="List Dash 4"/>
    <w:basedOn w:val="Text4"/>
    <w:pPr>
      <w:numPr>
        <w:numId w:val="12"/>
      </w:numPr>
      <w:tabs>
        <w:tab w:val="clear" w:pos="2302"/>
      </w:tabs>
    </w:pPr>
  </w:style>
  <w:style w:type="paragraph" w:customStyle="1" w:styleId="ListNumberLevel2">
    <w:name w:val="List Number (Level 2)"/>
    <w:basedOn w:val="Normal"/>
    <w:pPr>
      <w:numPr>
        <w:ilvl w:val="1"/>
        <w:numId w:val="19"/>
      </w:numPr>
    </w:pPr>
  </w:style>
  <w:style w:type="paragraph" w:customStyle="1" w:styleId="ListNumberLevel3">
    <w:name w:val="List Number (Level 3)"/>
    <w:basedOn w:val="Normal"/>
    <w:pPr>
      <w:numPr>
        <w:ilvl w:val="2"/>
        <w:numId w:val="19"/>
      </w:numPr>
    </w:pPr>
  </w:style>
  <w:style w:type="paragraph" w:customStyle="1" w:styleId="ListNumberLevel4">
    <w:name w:val="List Number (Level 4)"/>
    <w:basedOn w:val="Normal"/>
    <w:pPr>
      <w:numPr>
        <w:ilvl w:val="3"/>
        <w:numId w:val="19"/>
      </w:numPr>
    </w:pPr>
  </w:style>
  <w:style w:type="paragraph" w:customStyle="1" w:styleId="ListNumber1">
    <w:name w:val="List Number 1"/>
    <w:basedOn w:val="Text1"/>
    <w:pPr>
      <w:numPr>
        <w:numId w:val="13"/>
      </w:numPr>
    </w:pPr>
  </w:style>
  <w:style w:type="paragraph" w:customStyle="1" w:styleId="ListNumber1Level2">
    <w:name w:val="List Number 1 (Level 2)"/>
    <w:basedOn w:val="Text1"/>
    <w:pPr>
      <w:numPr>
        <w:ilvl w:val="1"/>
        <w:numId w:val="13"/>
      </w:numPr>
    </w:pPr>
  </w:style>
  <w:style w:type="paragraph" w:customStyle="1" w:styleId="ListNumber1Level3">
    <w:name w:val="List Number 1 (Level 3)"/>
    <w:basedOn w:val="Text1"/>
    <w:pPr>
      <w:numPr>
        <w:ilvl w:val="2"/>
        <w:numId w:val="13"/>
      </w:numPr>
    </w:pPr>
  </w:style>
  <w:style w:type="paragraph" w:customStyle="1" w:styleId="ListNumber1Level4">
    <w:name w:val="List Number 1 (Level 4)"/>
    <w:basedOn w:val="Text1"/>
    <w:pPr>
      <w:numPr>
        <w:ilvl w:val="3"/>
        <w:numId w:val="13"/>
      </w:numPr>
    </w:pPr>
  </w:style>
  <w:style w:type="paragraph" w:customStyle="1" w:styleId="ListNumber2Level2">
    <w:name w:val="List Number 2 (Level 2)"/>
    <w:basedOn w:val="Text2"/>
    <w:pPr>
      <w:numPr>
        <w:ilvl w:val="1"/>
        <w:numId w:val="14"/>
      </w:numPr>
      <w:tabs>
        <w:tab w:val="clear" w:pos="2302"/>
      </w:tabs>
    </w:pPr>
  </w:style>
  <w:style w:type="paragraph" w:customStyle="1" w:styleId="ListNumber2Level3">
    <w:name w:val="List Number 2 (Level 3)"/>
    <w:basedOn w:val="Text2"/>
    <w:pPr>
      <w:numPr>
        <w:ilvl w:val="2"/>
        <w:numId w:val="14"/>
      </w:numPr>
      <w:tabs>
        <w:tab w:val="clear" w:pos="2302"/>
      </w:tabs>
    </w:pPr>
  </w:style>
  <w:style w:type="paragraph" w:customStyle="1" w:styleId="ListNumber2Level4">
    <w:name w:val="List Number 2 (Level 4)"/>
    <w:basedOn w:val="Text2"/>
    <w:pPr>
      <w:numPr>
        <w:ilvl w:val="3"/>
        <w:numId w:val="14"/>
      </w:numPr>
      <w:tabs>
        <w:tab w:val="clear" w:pos="2302"/>
      </w:tabs>
    </w:pPr>
  </w:style>
  <w:style w:type="paragraph" w:customStyle="1" w:styleId="ListNumber3Level2">
    <w:name w:val="List Number 3 (Level 2)"/>
    <w:basedOn w:val="Text3"/>
    <w:pPr>
      <w:numPr>
        <w:ilvl w:val="1"/>
        <w:numId w:val="15"/>
      </w:numPr>
      <w:tabs>
        <w:tab w:val="clear" w:pos="2302"/>
      </w:tabs>
    </w:pPr>
  </w:style>
  <w:style w:type="paragraph" w:customStyle="1" w:styleId="ListNumber3Level3">
    <w:name w:val="List Number 3 (Level 3)"/>
    <w:basedOn w:val="Text3"/>
    <w:pPr>
      <w:numPr>
        <w:ilvl w:val="2"/>
        <w:numId w:val="15"/>
      </w:numPr>
      <w:tabs>
        <w:tab w:val="clear" w:pos="2302"/>
      </w:tabs>
    </w:pPr>
  </w:style>
  <w:style w:type="paragraph" w:customStyle="1" w:styleId="ListNumber3Level4">
    <w:name w:val="List Number 3 (Level 4)"/>
    <w:basedOn w:val="Text3"/>
    <w:pPr>
      <w:numPr>
        <w:ilvl w:val="3"/>
        <w:numId w:val="15"/>
      </w:numPr>
      <w:tabs>
        <w:tab w:val="clear" w:pos="2302"/>
      </w:tabs>
    </w:pPr>
  </w:style>
  <w:style w:type="paragraph" w:customStyle="1" w:styleId="ListNumber4Level2">
    <w:name w:val="List Number 4 (Level 2)"/>
    <w:basedOn w:val="Text4"/>
    <w:pPr>
      <w:numPr>
        <w:ilvl w:val="1"/>
        <w:numId w:val="16"/>
      </w:numPr>
      <w:tabs>
        <w:tab w:val="clear" w:pos="2302"/>
      </w:tabs>
    </w:pPr>
  </w:style>
  <w:style w:type="paragraph" w:customStyle="1" w:styleId="ListNumber4Level3">
    <w:name w:val="List Number 4 (Level 3)"/>
    <w:basedOn w:val="Text4"/>
    <w:pPr>
      <w:numPr>
        <w:ilvl w:val="2"/>
        <w:numId w:val="16"/>
      </w:numPr>
      <w:tabs>
        <w:tab w:val="clear" w:pos="2302"/>
      </w:tabs>
    </w:pPr>
  </w:style>
  <w:style w:type="paragraph" w:customStyle="1" w:styleId="ListNumber4Level4">
    <w:name w:val="List Number 4 (Level 4)"/>
    <w:basedOn w:val="Text4"/>
    <w:pPr>
      <w:numPr>
        <w:ilvl w:val="3"/>
        <w:numId w:val="16"/>
      </w:numPr>
      <w:tabs>
        <w:tab w:val="clear" w:pos="2302"/>
      </w:tabs>
    </w:pPr>
  </w:style>
  <w:style w:type="paragraph" w:styleId="TOCHeading">
    <w:name w:val="TOC Heading"/>
    <w:basedOn w:val="Normal"/>
    <w:next w:val="Normal"/>
    <w:uiPriority w:val="39"/>
    <w:qFormat/>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lang w:val="de-DE"/>
    </w:rPr>
  </w:style>
  <w:style w:type="paragraph" w:customStyle="1" w:styleId="RUE">
    <w:name w:val="RUE"/>
    <w:basedOn w:val="Normal"/>
    <w:pPr>
      <w:spacing w:after="0"/>
      <w:jc w:val="center"/>
    </w:pPr>
    <w:rPr>
      <w:b/>
      <w:caps/>
      <w:sz w:val="32"/>
      <w:bdr w:val="single" w:sz="18" w:space="0" w:color="auto"/>
      <w:lang w:val="de-DE"/>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17"/>
      </w:numPr>
    </w:pPr>
  </w:style>
  <w:style w:type="character" w:customStyle="1" w:styleId="Heading1Char">
    <w:name w:val="Heading 1 Char"/>
    <w:aliases w:val="F3 Heading 1 - Section Char,(Section) Char,h1 Char,Numbered - 1 Char,Section Char,Chapter Hdg Char,CH TITLE 1 Char,Chapter Heading Char,Headline 1 Char,cover1 Char,intoduction Char,head1 Char,IMPACT STUDY TITLE1 Char,TITLE 1 NR Char"/>
    <w:basedOn w:val="DefaultParagraphFont"/>
    <w:link w:val="Heading1"/>
    <w:rPr>
      <w:b/>
      <w:smallCaps/>
      <w:lang w:eastAsia="en-US"/>
    </w:rPr>
  </w:style>
  <w:style w:type="character" w:customStyle="1" w:styleId="Heading2Char">
    <w:name w:val="Heading 2 Char"/>
    <w:aliases w:val="F4 Heading 2 - SubSection Char,(SubSection) Char,h2 Char,Para Nos Char,Para Char,Main Heading Char,Main Headi Char,Numbered - 2 Char,(Main Heading) Char,Paragraph Char,Sub Heading Char,ignorer2 Char,Oscar Faber 2 Char,Headline 2 Char"/>
    <w:basedOn w:val="DefaultParagraphFont"/>
    <w:link w:val="Heading2"/>
    <w:rPr>
      <w:b/>
      <w:lang w:eastAsia="en-US"/>
    </w:rPr>
  </w:style>
  <w:style w:type="character" w:customStyle="1" w:styleId="FooterChar">
    <w:name w:val="Footer Char"/>
    <w:basedOn w:val="DefaultParagraphFont"/>
    <w:link w:val="Footer"/>
    <w:uiPriority w:val="99"/>
    <w:rPr>
      <w:sz w:val="16"/>
      <w:lang w:eastAsia="en-US"/>
    </w:rPr>
  </w:style>
  <w:style w:type="character" w:customStyle="1" w:styleId="HeaderChar">
    <w:name w:val="Header Char"/>
    <w:basedOn w:val="DefaultParagraphFont"/>
    <w:link w:val="Header"/>
    <w:rPr>
      <w:szCs w:val="20"/>
      <w:lang w:eastAsia="en-US"/>
    </w:rPr>
  </w:style>
  <w:style w:type="character" w:styleId="FootnoteReference">
    <w:name w:val="footnote reference"/>
    <w:aliases w:val="Footnote Reference Superscript,Footnote symbol,BVI fnr, BVI fnr,Footnote reference number,note TESI,Appel note de bas de p,Nota,SUPERS,Footnote number,EN Footnote Reference,-E Fußnotenzeichen,number Char Char,number,Ref,styl,styli,R"/>
    <w:link w:val="FootnoteReferenceLVL6"/>
    <w:uiPriority w:val="99"/>
    <w:qFormat/>
    <w:rPr>
      <w:vertAlign w:val="superscript"/>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styleId="Emphasis">
    <w:name w:val="Emphasis"/>
    <w:basedOn w:val="DefaultParagraphFont"/>
    <w:uiPriority w:val="20"/>
    <w:qFormat/>
    <w:rPr>
      <w:i/>
      <w:iCs/>
    </w:rPr>
  </w:style>
  <w:style w:type="character" w:styleId="Hyperlink">
    <w:name w:val="Hyperlink"/>
    <w:basedOn w:val="DefaultParagraphFont"/>
    <w:uiPriority w:val="99"/>
    <w:unhideWhenUsed/>
    <w:rPr>
      <w:color w:val="0000FF" w:themeColor="hyperlink"/>
      <w:u w:val="single"/>
    </w:rPr>
  </w:style>
  <w:style w:type="character" w:styleId="EndnoteReference">
    <w:name w:val="endnote reference"/>
    <w:basedOn w:val="DefaultParagraphFont"/>
    <w:uiPriority w:val="99"/>
    <w:semiHidden/>
    <w:unhideWhenUsed/>
    <w:rPr>
      <w:vertAlign w:val="superscript"/>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TextChar">
    <w:name w:val="Comment Text Char"/>
    <w:basedOn w:val="DefaultParagraphFont"/>
    <w:link w:val="CommentText"/>
    <w:uiPriority w:val="99"/>
    <w:rPr>
      <w:lang w:eastAsia="en-US"/>
    </w:rPr>
  </w:style>
  <w:style w:type="character" w:customStyle="1" w:styleId="CommentSubjectChar">
    <w:name w:val="Comment Subject Char"/>
    <w:basedOn w:val="CommentTextChar"/>
    <w:link w:val="CommentSubject"/>
    <w:uiPriority w:val="99"/>
    <w:semiHidden/>
    <w:rPr>
      <w:b/>
      <w:bCs/>
      <w:lang w:eastAsia="en-US"/>
    </w:rPr>
  </w:style>
  <w:style w:type="paragraph" w:styleId="Revision">
    <w:name w:val="Revision"/>
    <w:hidden/>
    <w:uiPriority w:val="99"/>
    <w:semiHidden/>
    <w:rPr>
      <w:lang w:eastAsia="en-US"/>
    </w:rPr>
  </w:style>
  <w:style w:type="character" w:customStyle="1" w:styleId="FootnoteTextChar">
    <w:name w:val="Footnote Text Char"/>
    <w:aliases w:val="Char Char,Fußnote Char,Carattere Char,fn Char,Footnotes Char,Footnote ak Char,Footnote Text Char1 Char,Footnote Text Char Char Char,fn Char Char Char,footnote text Char Char Char,Footnotes Char Char Char,Footnote ak Char Char Char"/>
    <w:basedOn w:val="DefaultParagraphFont"/>
    <w:link w:val="FootnoteText"/>
    <w:rPr>
      <w:lang w:eastAsia="en-US"/>
    </w:rPr>
  </w:style>
  <w:style w:type="character" w:customStyle="1" w:styleId="Heading3Char">
    <w:name w:val="Heading 3 Char"/>
    <w:aliases w:val="F5 Heading 3 Char,h3 Char,Numbered - 3 Char,H3 Char,H31 Char,Headline 3 Char,h31 Char,h32 Char,Sub Paragraph Char,Voorwoord Char,ASAPHeading 3 Char,Level 1 - 1 Char,Heading 3 - old Char,heading 3 Char,Heading 2.3 Char,1.2.3. Char"/>
    <w:basedOn w:val="DefaultParagraphFont"/>
    <w:link w:val="Heading3"/>
    <w:uiPriority w:val="6"/>
    <w:rPr>
      <w:i/>
      <w:u w:val="single"/>
      <w:lang w:val="en-IE" w:eastAsia="en-US"/>
    </w:rPr>
  </w:style>
  <w:style w:type="character" w:customStyle="1" w:styleId="Heading4Char">
    <w:name w:val="Heading 4 Char"/>
    <w:aliases w:val="level 3 subhead Char,PA Micro Section Char,(Alt+4) Char,H41 Char,(Alt+4)1 Char,H42 Char,(Alt+4)2 Char,H43 Char,(Alt+4)3 Char,H44 Char,(Alt+4)4 Char,H45 Char,(Alt+4)5 Char,H411 Char,(Alt+4)11 Char,H421 Char,(Alt+4)21 Char,H431 Char"/>
    <w:basedOn w:val="DefaultParagraphFont"/>
    <w:link w:val="Heading4"/>
    <w:rPr>
      <w:lang w:eastAsia="en-US"/>
    </w:rPr>
  </w:style>
  <w:style w:type="table" w:customStyle="1" w:styleId="TableGrid1">
    <w:name w:val="Table Grid1"/>
    <w:basedOn w:val="TableNormal"/>
    <w:next w:val="TableGrid"/>
    <w:uiPriority w:val="59"/>
    <w:rPr>
      <w:rFonts w:ascii="Verdana" w:eastAsiaTheme="minorHAnsi" w:hAnsi="Verdana" w:cstheme="minorBidi"/>
      <w:sz w:val="18"/>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r">
    <w:name w:val="Marker"/>
    <w:rPr>
      <w:color w:val="0000FF"/>
      <w:shd w:val="clear" w:color="auto" w:fill="auto"/>
    </w:rPr>
  </w:style>
  <w:style w:type="paragraph" w:customStyle="1" w:styleId="FigureTitle">
    <w:name w:val="Figure Title"/>
    <w:basedOn w:val="Normal"/>
    <w:uiPriority w:val="29"/>
    <w:qFormat/>
    <w:pPr>
      <w:keepNext/>
      <w:keepLines/>
      <w:numPr>
        <w:numId w:val="20"/>
      </w:numPr>
      <w:spacing w:before="120" w:after="120"/>
      <w:jc w:val="left"/>
      <w:outlineLvl w:val="2"/>
    </w:pPr>
    <w:rPr>
      <w:rFonts w:ascii="Verdana" w:eastAsiaTheme="majorEastAsia" w:hAnsi="Verdana" w:cstheme="majorBidi"/>
      <w:bCs/>
      <w:i/>
      <w:sz w:val="20"/>
      <w:szCs w:val="22"/>
    </w:rPr>
  </w:style>
  <w:style w:type="numbering" w:customStyle="1" w:styleId="NumbListFigures">
    <w:name w:val="NumbList Figures"/>
    <w:uiPriority w:val="99"/>
    <w:pPr>
      <w:numPr>
        <w:numId w:val="20"/>
      </w:numPr>
    </w:pPr>
  </w:style>
  <w:style w:type="character" w:styleId="Strong">
    <w:name w:val="Strong"/>
    <w:basedOn w:val="DefaultParagraphFont"/>
    <w:uiPriority w:val="22"/>
    <w:qFormat/>
    <w:rPr>
      <w:b/>
      <w:bCs/>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apple-converted-space">
    <w:name w:val="apple-converted-space"/>
    <w:basedOn w:val="DefaultParagraphFont"/>
  </w:style>
  <w:style w:type="paragraph" w:customStyle="1" w:styleId="astandard3520normal">
    <w:name w:val="a_standard__35__20_normal"/>
    <w:basedOn w:val="Normal"/>
    <w:pPr>
      <w:spacing w:before="100" w:beforeAutospacing="1" w:after="100" w:afterAutospacing="1"/>
      <w:jc w:val="left"/>
    </w:pPr>
    <w:rPr>
      <w:rFonts w:ascii="Times" w:hAnsi="Times"/>
      <w:sz w:val="20"/>
      <w:szCs w:val="20"/>
      <w:lang w:val="en-US"/>
    </w:rPr>
  </w:style>
  <w:style w:type="character" w:customStyle="1" w:styleId="at1">
    <w:name w:val="a__t1"/>
    <w:basedOn w:val="DefaultParagraphFont"/>
  </w:style>
  <w:style w:type="character" w:customStyle="1" w:styleId="at13">
    <w:name w:val="a__t13"/>
    <w:basedOn w:val="DefaultParagraphFont"/>
  </w:style>
  <w:style w:type="paragraph" w:customStyle="1" w:styleId="a3520normalp6">
    <w:name w:val="a__35__20_normal_p6"/>
    <w:basedOn w:val="Normal"/>
    <w:pPr>
      <w:spacing w:before="100" w:beforeAutospacing="1" w:after="100" w:afterAutospacing="1"/>
      <w:jc w:val="left"/>
    </w:pPr>
    <w:rPr>
      <w:rFonts w:ascii="Times" w:hAnsi="Times"/>
      <w:sz w:val="20"/>
      <w:szCs w:val="20"/>
      <w:lang w:val="en-US"/>
    </w:rPr>
  </w:style>
  <w:style w:type="paragraph" w:customStyle="1" w:styleId="a3520normalp7">
    <w:name w:val="a__35__20_normal_p7"/>
    <w:basedOn w:val="Normal"/>
    <w:pPr>
      <w:spacing w:before="100" w:beforeAutospacing="1" w:after="100" w:afterAutospacing="1"/>
      <w:jc w:val="left"/>
    </w:pPr>
    <w:rPr>
      <w:rFonts w:ascii="Times" w:hAnsi="Times"/>
      <w:sz w:val="20"/>
      <w:szCs w:val="20"/>
      <w:lang w:val="en-US"/>
    </w:rPr>
  </w:style>
  <w:style w:type="paragraph" w:customStyle="1" w:styleId="aec20headingsp11">
    <w:name w:val="a_ec_20_headings_p11"/>
    <w:basedOn w:val="Normal"/>
    <w:pPr>
      <w:spacing w:before="100" w:beforeAutospacing="1" w:after="100" w:afterAutospacing="1"/>
      <w:jc w:val="left"/>
    </w:pPr>
    <w:rPr>
      <w:rFonts w:ascii="Times" w:hAnsi="Times"/>
      <w:sz w:val="20"/>
      <w:szCs w:val="20"/>
      <w:lang w:val="en-US"/>
    </w:rPr>
  </w:style>
  <w:style w:type="paragraph" w:customStyle="1" w:styleId="astandard3620cad">
    <w:name w:val="a_standard__36__20_cad"/>
    <w:basedOn w:val="Normal"/>
    <w:pPr>
      <w:spacing w:before="100" w:beforeAutospacing="1" w:after="100" w:afterAutospacing="1"/>
      <w:jc w:val="left"/>
    </w:pPr>
    <w:rPr>
      <w:rFonts w:ascii="Times" w:hAnsi="Times"/>
      <w:sz w:val="20"/>
      <w:szCs w:val="20"/>
      <w:lang w:val="en-US"/>
    </w:rPr>
  </w:style>
  <w:style w:type="paragraph" w:customStyle="1" w:styleId="astandard3220nom">
    <w:name w:val="a_standard__32__20_nom"/>
    <w:basedOn w:val="Normal"/>
    <w:pPr>
      <w:spacing w:before="100" w:beforeAutospacing="1" w:after="100" w:afterAutospacing="1"/>
      <w:jc w:val="left"/>
    </w:pPr>
    <w:rPr>
      <w:rFonts w:ascii="Times" w:hAnsi="Times"/>
      <w:sz w:val="20"/>
      <w:szCs w:val="20"/>
      <w:lang w:val="en-US"/>
    </w:rPr>
  </w:style>
  <w:style w:type="paragraph" w:customStyle="1" w:styleId="astandard3320fonction">
    <w:name w:val="a_standard__33__20_fonction"/>
    <w:basedOn w:val="Normal"/>
    <w:pPr>
      <w:spacing w:before="100" w:beforeAutospacing="1" w:after="100" w:afterAutospacing="1"/>
      <w:jc w:val="left"/>
    </w:pPr>
    <w:rPr>
      <w:rFonts w:ascii="Times" w:hAnsi="Times"/>
      <w:sz w:val="20"/>
      <w:szCs w:val="20"/>
      <w:lang w:val="en-US"/>
    </w:rPr>
  </w:style>
  <w:style w:type="paragraph" w:customStyle="1" w:styleId="astandard3320titre">
    <w:name w:val="a_standard__33__20_titre"/>
    <w:basedOn w:val="Normal"/>
    <w:pPr>
      <w:spacing w:before="100" w:beforeAutospacing="1" w:after="100" w:afterAutospacing="1"/>
      <w:jc w:val="left"/>
    </w:pPr>
    <w:rPr>
      <w:rFonts w:ascii="Times" w:hAnsi="Times"/>
      <w:sz w:val="20"/>
      <w:szCs w:val="20"/>
      <w:lang w:val="en-US"/>
    </w:rPr>
  </w:style>
  <w:style w:type="paragraph" w:customStyle="1" w:styleId="astandard3420contexte">
    <w:name w:val="a_standard__34__20_contexte"/>
    <w:basedOn w:val="Normal"/>
    <w:pPr>
      <w:spacing w:before="100" w:beforeAutospacing="1" w:after="100" w:afterAutospacing="1"/>
      <w:jc w:val="left"/>
    </w:pPr>
    <w:rPr>
      <w:rFonts w:ascii="Times" w:hAnsi="Times"/>
      <w:sz w:val="20"/>
      <w:szCs w:val="20"/>
      <w:lang w:val="en-US"/>
    </w:rPr>
  </w:style>
  <w:style w:type="paragraph" w:customStyle="1" w:styleId="astandard3520lieu5fdate">
    <w:name w:val="a_standard__35__20_lieu_5f_date"/>
    <w:basedOn w:val="Normal"/>
    <w:pPr>
      <w:spacing w:before="100" w:beforeAutospacing="1" w:after="100" w:afterAutospacing="1"/>
      <w:jc w:val="left"/>
    </w:pPr>
    <w:rPr>
      <w:rFonts w:ascii="Times" w:hAnsi="Times"/>
      <w:sz w:val="20"/>
      <w:szCs w:val="20"/>
      <w:lang w:val="en-US"/>
    </w:rPr>
  </w:style>
  <w:style w:type="character" w:customStyle="1" w:styleId="at2">
    <w:name w:val="a__t2"/>
    <w:basedOn w:val="DefaultParagraphFont"/>
  </w:style>
  <w:style w:type="paragraph" w:styleId="NormalWeb">
    <w:name w:val="Normal (Web)"/>
    <w:basedOn w:val="Normal"/>
    <w:uiPriority w:val="99"/>
    <w:unhideWhenUsed/>
    <w:pPr>
      <w:spacing w:before="100" w:beforeAutospacing="1" w:after="100" w:afterAutospacing="1"/>
      <w:jc w:val="left"/>
    </w:pPr>
    <w:rPr>
      <w:rFonts w:ascii="Times" w:hAnsi="Times"/>
      <w:sz w:val="20"/>
      <w:szCs w:val="20"/>
      <w:lang w:val="en-US"/>
    </w:rPr>
  </w:style>
  <w:style w:type="paragraph" w:customStyle="1" w:styleId="astandardfootnote">
    <w:name w:val="a_standard_footnote"/>
    <w:basedOn w:val="Normal"/>
    <w:pPr>
      <w:spacing w:before="100" w:beforeAutospacing="1" w:after="100" w:afterAutospacing="1"/>
      <w:jc w:val="left"/>
    </w:pPr>
    <w:rPr>
      <w:rFonts w:ascii="Times" w:hAnsi="Times"/>
      <w:sz w:val="20"/>
      <w:szCs w:val="20"/>
      <w:lang w:val="en-US"/>
    </w:rPr>
  </w:style>
  <w:style w:type="character" w:customStyle="1" w:styleId="at5">
    <w:name w:val="a__t5"/>
    <w:basedOn w:val="DefaultParagraphFont"/>
  </w:style>
  <w:style w:type="character" w:customStyle="1" w:styleId="at7">
    <w:name w:val="a__t7"/>
    <w:basedOn w:val="DefaultParagraphFont"/>
  </w:style>
  <w:style w:type="character" w:customStyle="1" w:styleId="Bodytext0">
    <w:name w:val="Body text_"/>
    <w:basedOn w:val="DefaultParagraphFont"/>
    <w:link w:val="BodyText7"/>
    <w:rPr>
      <w:rFonts w:ascii="Arial" w:eastAsia="Arial" w:hAnsi="Arial" w:cs="Arial"/>
      <w:sz w:val="18"/>
      <w:szCs w:val="18"/>
      <w:shd w:val="clear" w:color="auto" w:fill="FFFFFF"/>
    </w:rPr>
  </w:style>
  <w:style w:type="character" w:customStyle="1" w:styleId="Heading2210pt">
    <w:name w:val="Heading #2 (2) + 10 pt"/>
    <w:basedOn w:val="DefaultParagraphFont"/>
    <w:rPr>
      <w:rFonts w:ascii="Arial" w:eastAsia="Arial" w:hAnsi="Arial" w:cs="Arial"/>
      <w:b w:val="0"/>
      <w:bCs w:val="0"/>
      <w:i w:val="0"/>
      <w:iCs w:val="0"/>
      <w:smallCaps w:val="0"/>
      <w:strike w:val="0"/>
      <w:color w:val="000000"/>
      <w:spacing w:val="0"/>
      <w:w w:val="100"/>
      <w:position w:val="0"/>
      <w:sz w:val="20"/>
      <w:szCs w:val="20"/>
      <w:u w:val="none"/>
      <w:lang w:val="sl"/>
    </w:rPr>
  </w:style>
  <w:style w:type="paragraph" w:customStyle="1" w:styleId="BodyText7">
    <w:name w:val="Body Text7"/>
    <w:basedOn w:val="Normal"/>
    <w:link w:val="Bodytext0"/>
    <w:pPr>
      <w:widowControl w:val="0"/>
      <w:shd w:val="clear" w:color="auto" w:fill="FFFFFF"/>
      <w:spacing w:before="300" w:after="120" w:line="307" w:lineRule="exact"/>
      <w:ind w:hanging="360"/>
    </w:pPr>
    <w:rPr>
      <w:rFonts w:ascii="Arial" w:eastAsia="Arial" w:hAnsi="Arial" w:cs="Arial"/>
      <w:sz w:val="18"/>
      <w:szCs w:val="18"/>
      <w:lang w:eastAsia="en-GB"/>
    </w:rPr>
  </w:style>
  <w:style w:type="character" w:customStyle="1" w:styleId="Footnote">
    <w:name w:val="Footnote_"/>
    <w:basedOn w:val="DefaultParagraphFont"/>
    <w:link w:val="Footnote0"/>
    <w:rPr>
      <w:rFonts w:ascii="Arial" w:eastAsia="Arial" w:hAnsi="Arial" w:cs="Arial"/>
      <w:sz w:val="15"/>
      <w:szCs w:val="15"/>
      <w:shd w:val="clear" w:color="auto" w:fill="FFFFFF"/>
    </w:rPr>
  </w:style>
  <w:style w:type="paragraph" w:customStyle="1" w:styleId="Footnote0">
    <w:name w:val="Footnote"/>
    <w:basedOn w:val="Normal"/>
    <w:link w:val="Footnote"/>
    <w:pPr>
      <w:widowControl w:val="0"/>
      <w:shd w:val="clear" w:color="auto" w:fill="FFFFFF"/>
      <w:spacing w:after="0" w:line="216" w:lineRule="exact"/>
      <w:ind w:hanging="280"/>
    </w:pPr>
    <w:rPr>
      <w:rFonts w:ascii="Arial" w:eastAsia="Arial" w:hAnsi="Arial" w:cs="Arial"/>
      <w:sz w:val="15"/>
      <w:szCs w:val="15"/>
      <w:lang w:eastAsia="en-GB"/>
    </w:rPr>
  </w:style>
  <w:style w:type="character" w:customStyle="1" w:styleId="BodyTextChar">
    <w:name w:val="Body Text Char"/>
    <w:basedOn w:val="DefaultParagraphFont"/>
    <w:link w:val="BodyText"/>
    <w:uiPriority w:val="99"/>
    <w:rPr>
      <w:lang w:eastAsia="en-US"/>
    </w:rPr>
  </w:style>
  <w:style w:type="paragraph" w:customStyle="1" w:styleId="FootnoteReferenceLVL6">
    <w:name w:val="Footnote Reference_LVL6"/>
    <w:aliases w:val="Footnote Reference_LVL61,Footnote Reference_LVL62,Footnote Reference_LVL63,Footnote Reference_LVL64,fr,Odwo&lt;0142&gt;anie przypisu,SUPER,BVI fnr Char1 Char"/>
    <w:basedOn w:val="Normal"/>
    <w:next w:val="Normal"/>
    <w:link w:val="FootnoteReference"/>
    <w:uiPriority w:val="99"/>
    <w:pPr>
      <w:spacing w:after="160" w:line="240" w:lineRule="exact"/>
    </w:pPr>
    <w:rPr>
      <w:vertAlign w:val="superscript"/>
      <w:lang w:eastAsia="en-GB"/>
    </w:rPr>
  </w:style>
  <w:style w:type="paragraph" w:customStyle="1" w:styleId="Default">
    <w:name w:val="Default"/>
    <w:pPr>
      <w:autoSpaceDE w:val="0"/>
      <w:autoSpaceDN w:val="0"/>
      <w:adjustRightInd w:val="0"/>
    </w:pPr>
    <w:rPr>
      <w:rFonts w:eastAsiaTheme="minorHAnsi"/>
      <w:color w:val="000000"/>
      <w:lang w:eastAsia="en-US"/>
    </w:rPr>
  </w:style>
  <w:style w:type="paragraph" w:customStyle="1" w:styleId="ZCom">
    <w:name w:val="Z_Com"/>
    <w:basedOn w:val="Normal"/>
    <w:next w:val="ZDGName"/>
    <w:uiPriority w:val="99"/>
    <w:pPr>
      <w:widowControl w:val="0"/>
      <w:autoSpaceDE w:val="0"/>
      <w:autoSpaceDN w:val="0"/>
      <w:spacing w:after="0"/>
      <w:ind w:right="85"/>
    </w:pPr>
    <w:rPr>
      <w:rFonts w:ascii="Arial" w:eastAsiaTheme="minorEastAsia" w:hAnsi="Arial" w:cs="Arial"/>
      <w:lang w:eastAsia="en-GB"/>
    </w:rPr>
  </w:style>
  <w:style w:type="paragraph" w:customStyle="1" w:styleId="ZDGName">
    <w:name w:val="Z_DGName"/>
    <w:basedOn w:val="Normal"/>
    <w:uiPriority w:val="99"/>
    <w:pPr>
      <w:widowControl w:val="0"/>
      <w:autoSpaceDE w:val="0"/>
      <w:autoSpaceDN w:val="0"/>
      <w:spacing w:after="0"/>
      <w:ind w:right="85"/>
      <w:jc w:val="left"/>
    </w:pPr>
    <w:rPr>
      <w:rFonts w:ascii="Arial" w:eastAsiaTheme="minorEastAsia" w:hAnsi="Arial" w:cs="Arial"/>
      <w:sz w:val="16"/>
      <w:szCs w:val="16"/>
      <w:lang w:eastAsia="en-GB"/>
    </w:rPr>
  </w:style>
  <w:style w:type="paragraph" w:customStyle="1" w:styleId="TableTextNoSpace">
    <w:name w:val="TableTextNoSpace"/>
    <w:basedOn w:val="Normal"/>
    <w:uiPriority w:val="15"/>
    <w:qFormat/>
    <w:pPr>
      <w:spacing w:after="0" w:line="220" w:lineRule="atLeast"/>
      <w:ind w:left="57" w:right="57"/>
      <w:jc w:val="left"/>
    </w:pPr>
    <w:rPr>
      <w:rFonts w:ascii="Arial" w:eastAsiaTheme="minorHAnsi" w:hAnsi="Arial"/>
      <w:sz w:val="18"/>
    </w:rPr>
  </w:style>
  <w:style w:type="character" w:customStyle="1" w:styleId="st">
    <w:name w:val="st"/>
    <w:basedOn w:val="DefaultParagraphFont"/>
  </w:style>
  <w:style w:type="character" w:customStyle="1" w:styleId="BodyText3Char">
    <w:name w:val="Body Text 3 Char"/>
    <w:basedOn w:val="DefaultParagraphFont"/>
    <w:link w:val="BodyText3"/>
    <w:rPr>
      <w:sz w:val="16"/>
      <w:lang w:eastAsia="en-US"/>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bCs/>
    </w:rPr>
  </w:style>
  <w:style w:type="character" w:customStyle="1" w:styleId="FooterCoverPageChar">
    <w:name w:val="Footer Cover Page Char"/>
    <w:basedOn w:val="DefaultParagraphFont"/>
    <w:link w:val="FooterCoverPage"/>
    <w:rPr>
      <w:bCs/>
      <w:lang w:eastAsia="en-US"/>
    </w:rPr>
  </w:style>
  <w:style w:type="paragraph" w:customStyle="1" w:styleId="HeaderCoverPage">
    <w:name w:val="Header Cover Page"/>
    <w:basedOn w:val="Normal"/>
    <w:link w:val="HeaderCoverPageChar"/>
    <w:pPr>
      <w:tabs>
        <w:tab w:val="center" w:pos="4535"/>
        <w:tab w:val="right" w:pos="9071"/>
      </w:tabs>
      <w:spacing w:after="120"/>
    </w:pPr>
    <w:rPr>
      <w:bCs/>
    </w:rPr>
  </w:style>
  <w:style w:type="character" w:customStyle="1" w:styleId="HeaderCoverPageChar">
    <w:name w:val="Header Cover Page Char"/>
    <w:basedOn w:val="DefaultParagraphFont"/>
    <w:link w:val="HeaderCoverPage"/>
    <w:rPr>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6"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qFormat="1"/>
    <w:lsdException w:name="header" w:uiPriority="0"/>
    <w:lsdException w:name="footer" w:qFormat="1"/>
    <w:lsdException w:name="index heading" w:uiPriority="0"/>
    <w:lsdException w:name="caption" w:semiHidden="0" w:uiPriority="0" w:unhideWhenUsed="0" w:qFormat="1"/>
    <w:lsdException w:name="table of figures" w:uiPriority="0"/>
    <w:lsdException w:name="envelope address" w:uiPriority="0"/>
    <w:lsdException w:name="envelope return" w:uiPriority="0"/>
    <w:lsdException w:name="footnote reference" w:qFormat="1"/>
    <w:lsdException w:name="endnote text" w:uiPriority="0"/>
    <w:lsdException w:name="table of authorities" w:uiPriority="0"/>
    <w:lsdException w:name="macro" w:uiPriority="0"/>
    <w:lsdException w:name="toa heading" w:uiPriority="0"/>
    <w:lsdException w:name="List" w:uiPriority="0"/>
    <w:lsdException w:name="List Bullet" w:uiPriority="29"/>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after="240"/>
      <w:jc w:val="both"/>
    </w:pPr>
    <w:rPr>
      <w:lang w:eastAsia="en-US"/>
    </w:rPr>
  </w:style>
  <w:style w:type="paragraph" w:styleId="Heading1">
    <w:name w:val="heading 1"/>
    <w:aliases w:val="F3 Heading 1 - Section,(Section),h1,Numbered - 1,Section,Chapter Hdg,CH TITLE 1,Chapter Heading,Headline 1,cover1,intoduction,head1,IMPACT STUDY TITLE1,TITLE 1 NR,title 1 nr,Title 1,ariad2-heading1,1H,1h,1H1,1H2,1H11,1,section head,S"/>
    <w:basedOn w:val="Normal"/>
    <w:next w:val="Text1"/>
    <w:link w:val="Heading1Char"/>
    <w:qFormat/>
    <w:pPr>
      <w:keepNext/>
      <w:numPr>
        <w:numId w:val="18"/>
      </w:numPr>
      <w:spacing w:before="240"/>
      <w:outlineLvl w:val="0"/>
    </w:pPr>
    <w:rPr>
      <w:b/>
      <w:smallCaps/>
    </w:rPr>
  </w:style>
  <w:style w:type="paragraph" w:styleId="Heading2">
    <w:name w:val="heading 2"/>
    <w:aliases w:val="F4 Heading 2 - SubSection,(SubSection),h2,Para Nos,Para,Main Heading,Main Headi,Numbered - 2,(Main Heading),Paragraph,Sub Heading,ignorer2,Oscar Faber 2,Headline 2,2,headi,heading2,h21,h22,21,H2,l2,kopregel 2,Dossier Head 2,heading 2,..."/>
    <w:basedOn w:val="Normal"/>
    <w:next w:val="Normal"/>
    <w:link w:val="Heading2Char"/>
    <w:qFormat/>
    <w:pPr>
      <w:keepNext/>
      <w:numPr>
        <w:ilvl w:val="1"/>
        <w:numId w:val="18"/>
      </w:numPr>
      <w:outlineLvl w:val="1"/>
    </w:pPr>
    <w:rPr>
      <w:b/>
    </w:rPr>
  </w:style>
  <w:style w:type="paragraph" w:styleId="Heading3">
    <w:name w:val="heading 3"/>
    <w:aliases w:val="F5 Heading 3,h3,Numbered - 3,H3,H31,Headline 3,h31,h32,Sub Paragraph,Voorwoord,ASAPHeading 3,Level 1 - 1,Heading 3 - old,heading 3,Heading 2.3,1.2.3.,Titles,(Alt+3),(Alt+3)1,(Alt+3)2,(Alt+3)3,(Alt+3)4,(Alt+3)5,(Alt+3)6,(Alt+3)11,(Alt+3)21"/>
    <w:basedOn w:val="Normal"/>
    <w:next w:val="Normal"/>
    <w:link w:val="Heading3Char"/>
    <w:uiPriority w:val="6"/>
    <w:qFormat/>
    <w:pPr>
      <w:keepNext/>
      <w:numPr>
        <w:ilvl w:val="2"/>
        <w:numId w:val="18"/>
      </w:numPr>
      <w:outlineLvl w:val="2"/>
    </w:pPr>
    <w:rPr>
      <w:i/>
      <w:u w:val="single"/>
      <w:lang w:val="en-IE"/>
    </w:rPr>
  </w:style>
  <w:style w:type="paragraph" w:styleId="Heading4">
    <w:name w:val="heading 4"/>
    <w:aliases w:val="level 3 subhead,PA Micro Section,(Alt+4),H41,(Alt+4)1,H42,(Alt+4)2,H43,(Alt+4)3,H44,(Alt+4)4,H45,(Alt+4)5,H411,(Alt+4)11,H421,(Alt+4)21,H431,(Alt+4)31,H46,(Alt+4)6,H412,(Alt+4)12,H422,(Alt+4)22,H432,(Alt+4)32,H47,(Alt+4)7,H48,(Alt+4)8,H49"/>
    <w:basedOn w:val="Normal"/>
    <w:next w:val="Text4"/>
    <w:link w:val="Heading4Char"/>
    <w:qFormat/>
    <w:pPr>
      <w:keepNext/>
      <w:numPr>
        <w:ilvl w:val="3"/>
        <w:numId w:val="18"/>
      </w:numPr>
      <w:outlineLvl w:val="3"/>
    </w:pPr>
  </w:style>
  <w:style w:type="paragraph" w:styleId="Heading5">
    <w:name w:val="heading 5"/>
    <w:basedOn w:val="Normal"/>
    <w:next w:val="Normal"/>
    <w:uiPriority w:val="9"/>
    <w:qFormat/>
    <w:pPr>
      <w:tabs>
        <w:tab w:val="num" w:pos="0"/>
      </w:tabs>
      <w:spacing w:before="240" w:after="60"/>
      <w:outlineLvl w:val="4"/>
    </w:pPr>
    <w:rPr>
      <w:rFonts w:ascii="Arial" w:hAnsi="Arial"/>
      <w:sz w:val="22"/>
    </w:rPr>
  </w:style>
  <w:style w:type="paragraph" w:styleId="Heading6">
    <w:name w:val="heading 6"/>
    <w:basedOn w:val="Normal"/>
    <w:next w:val="Normal"/>
    <w:uiPriority w:val="9"/>
    <w:qFormat/>
    <w:pPr>
      <w:tabs>
        <w:tab w:val="num" w:pos="0"/>
      </w:tabs>
      <w:spacing w:before="240" w:after="60"/>
      <w:outlineLvl w:val="5"/>
    </w:pPr>
    <w:rPr>
      <w:rFonts w:ascii="Arial" w:hAnsi="Arial"/>
      <w:i/>
      <w:sz w:val="22"/>
    </w:rPr>
  </w:style>
  <w:style w:type="paragraph" w:styleId="Heading7">
    <w:name w:val="heading 7"/>
    <w:basedOn w:val="Normal"/>
    <w:next w:val="Normal"/>
    <w:uiPriority w:val="9"/>
    <w:qFormat/>
    <w:pPr>
      <w:tabs>
        <w:tab w:val="num" w:pos="0"/>
      </w:tabs>
      <w:spacing w:before="240" w:after="60"/>
      <w:outlineLvl w:val="6"/>
    </w:pPr>
    <w:rPr>
      <w:rFonts w:ascii="Arial" w:hAnsi="Arial"/>
      <w:sz w:val="20"/>
    </w:rPr>
  </w:style>
  <w:style w:type="paragraph" w:styleId="Heading8">
    <w:name w:val="heading 8"/>
    <w:basedOn w:val="Normal"/>
    <w:next w:val="Normal"/>
    <w:uiPriority w:val="9"/>
    <w:qFormat/>
    <w:pPr>
      <w:tabs>
        <w:tab w:val="num" w:pos="0"/>
      </w:tabs>
      <w:spacing w:before="240" w:after="60"/>
      <w:outlineLvl w:val="7"/>
    </w:pPr>
    <w:rPr>
      <w:rFonts w:ascii="Arial" w:hAnsi="Arial"/>
      <w:i/>
      <w:sz w:val="20"/>
    </w:rPr>
  </w:style>
  <w:style w:type="paragraph" w:styleId="Heading9">
    <w:name w:val="heading 9"/>
    <w:basedOn w:val="Normal"/>
    <w:next w:val="Normal"/>
    <w:uiPriority w:val="9"/>
    <w:qFormat/>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link w:val="BodyTextChar"/>
    <w:uiPriority w:val="99"/>
    <w:pPr>
      <w:spacing w:after="120"/>
    </w:pPr>
  </w:style>
  <w:style w:type="paragraph" w:styleId="BodyText2">
    <w:name w:val="Body Text 2"/>
    <w:basedOn w:val="Normal"/>
    <w:pPr>
      <w:spacing w:after="120" w:line="480" w:lineRule="auto"/>
    </w:pPr>
  </w:style>
  <w:style w:type="paragraph" w:styleId="BodyText3">
    <w:name w:val="Body Text 3"/>
    <w:basedOn w:val="Normal"/>
    <w:link w:val="BodyText3Char"/>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uiPriority w:val="99"/>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qFormat/>
    <w:pPr>
      <w:spacing w:after="0"/>
      <w:ind w:right="-567"/>
      <w:jc w:val="left"/>
    </w:pPr>
    <w:rPr>
      <w:sz w:val="16"/>
    </w:rPr>
  </w:style>
  <w:style w:type="paragraph" w:styleId="FootnoteText">
    <w:name w:val="footnote text"/>
    <w:aliases w:val="Char,Fußnote,Carattere,fn,Footnotes,Footnote ak,Footnote Text Char1,Footnote Text Char Char,fn Char Char,footnote text Char Char,Footnotes Char Char,Footnote ak Char Char,fn Char1,footnote text Char1,Footnotes Char1,ft,Footnote Text_EP-LC"/>
    <w:basedOn w:val="Normal"/>
    <w:link w:val="FootnoteTextChar"/>
    <w:qFormat/>
    <w:pPr>
      <w:ind w:left="357" w:hanging="357"/>
    </w:pPr>
    <w:rPr>
      <w:sz w:val="20"/>
    </w:rPr>
  </w:style>
  <w:style w:type="paragraph" w:styleId="Header">
    <w:name w:val="header"/>
    <w:basedOn w:val="Normal"/>
    <w:link w:val="HeaderChar"/>
    <w:pPr>
      <w:tabs>
        <w:tab w:val="center" w:pos="4153"/>
        <w:tab w:val="right" w:pos="8306"/>
      </w:tabs>
    </w:pPr>
    <w:rPr>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uiPriority w:val="29"/>
    <w:pPr>
      <w:numPr>
        <w:numId w:val="3"/>
      </w:numPr>
    </w:pPr>
  </w:style>
  <w:style w:type="paragraph" w:styleId="ListBullet2">
    <w:name w:val="List Bullet 2"/>
    <w:basedOn w:val="Text2"/>
    <w:pPr>
      <w:numPr>
        <w:numId w:val="5"/>
      </w:numPr>
      <w:tabs>
        <w:tab w:val="clear" w:pos="2302"/>
      </w:tabs>
    </w:pPr>
  </w:style>
  <w:style w:type="paragraph" w:styleId="ListBullet3">
    <w:name w:val="List Bullet 3"/>
    <w:basedOn w:val="Text3"/>
    <w:pPr>
      <w:numPr>
        <w:numId w:val="6"/>
      </w:numPr>
      <w:tabs>
        <w:tab w:val="clear" w:pos="2302"/>
      </w:tabs>
    </w:pPr>
  </w:style>
  <w:style w:type="paragraph" w:styleId="ListBullet4">
    <w:name w:val="List Bullet 4"/>
    <w:basedOn w:val="Text4"/>
    <w:pPr>
      <w:numPr>
        <w:numId w:val="7"/>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9"/>
      </w:numPr>
    </w:pPr>
  </w:style>
  <w:style w:type="paragraph" w:styleId="ListNumber2">
    <w:name w:val="List Number 2"/>
    <w:basedOn w:val="Text2"/>
    <w:pPr>
      <w:numPr>
        <w:numId w:val="14"/>
      </w:numPr>
      <w:tabs>
        <w:tab w:val="clear" w:pos="2302"/>
      </w:tabs>
    </w:pPr>
  </w:style>
  <w:style w:type="paragraph" w:styleId="ListNumber3">
    <w:name w:val="List Number 3"/>
    <w:basedOn w:val="Text3"/>
    <w:pPr>
      <w:numPr>
        <w:numId w:val="15"/>
      </w:numPr>
      <w:tabs>
        <w:tab w:val="clear" w:pos="2302"/>
      </w:tabs>
    </w:pPr>
  </w:style>
  <w:style w:type="paragraph" w:styleId="ListNumber4">
    <w:name w:val="List Number 4"/>
    <w:basedOn w:val="Text4"/>
    <w:pPr>
      <w:numPr>
        <w:numId w:val="16"/>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uiPriority w:val="39"/>
    <w:pPr>
      <w:tabs>
        <w:tab w:val="right" w:leader="dot" w:pos="8640"/>
      </w:tabs>
      <w:spacing w:before="120" w:after="120"/>
      <w:ind w:left="482" w:right="720" w:hanging="482"/>
    </w:pPr>
    <w:rPr>
      <w:caps/>
    </w:rPr>
  </w:style>
  <w:style w:type="paragraph" w:styleId="TOC2">
    <w:name w:val="toc 2"/>
    <w:basedOn w:val="Normal"/>
    <w:next w:val="Normal"/>
    <w:uiPriority w:val="39"/>
    <w:pPr>
      <w:tabs>
        <w:tab w:val="right" w:leader="dot" w:pos="8640"/>
      </w:tabs>
      <w:spacing w:before="60" w:after="60"/>
      <w:ind w:left="1077" w:right="720" w:hanging="595"/>
    </w:pPr>
  </w:style>
  <w:style w:type="paragraph" w:styleId="TOC3">
    <w:name w:val="toc 3"/>
    <w:basedOn w:val="Normal"/>
    <w:next w:val="Normal"/>
    <w:uiPriority w:val="39"/>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4"/>
      </w:numPr>
    </w:pPr>
  </w:style>
  <w:style w:type="paragraph" w:customStyle="1" w:styleId="ListDash">
    <w:name w:val="List Dash"/>
    <w:basedOn w:val="Normal"/>
    <w:pPr>
      <w:numPr>
        <w:numId w:val="8"/>
      </w:numPr>
    </w:pPr>
  </w:style>
  <w:style w:type="paragraph" w:customStyle="1" w:styleId="ListDash1">
    <w:name w:val="List Dash 1"/>
    <w:basedOn w:val="Text1"/>
    <w:pPr>
      <w:numPr>
        <w:numId w:val="9"/>
      </w:numPr>
    </w:pPr>
  </w:style>
  <w:style w:type="paragraph" w:customStyle="1" w:styleId="ListDash2">
    <w:name w:val="List Dash 2"/>
    <w:basedOn w:val="Text2"/>
    <w:pPr>
      <w:numPr>
        <w:numId w:val="10"/>
      </w:numPr>
      <w:tabs>
        <w:tab w:val="clear" w:pos="2302"/>
      </w:tabs>
    </w:pPr>
  </w:style>
  <w:style w:type="paragraph" w:customStyle="1" w:styleId="ListDash3">
    <w:name w:val="List Dash 3"/>
    <w:basedOn w:val="Text3"/>
    <w:pPr>
      <w:numPr>
        <w:numId w:val="11"/>
      </w:numPr>
      <w:tabs>
        <w:tab w:val="clear" w:pos="2302"/>
      </w:tabs>
    </w:pPr>
  </w:style>
  <w:style w:type="paragraph" w:customStyle="1" w:styleId="ListDash4">
    <w:name w:val="List Dash 4"/>
    <w:basedOn w:val="Text4"/>
    <w:pPr>
      <w:numPr>
        <w:numId w:val="12"/>
      </w:numPr>
      <w:tabs>
        <w:tab w:val="clear" w:pos="2302"/>
      </w:tabs>
    </w:pPr>
  </w:style>
  <w:style w:type="paragraph" w:customStyle="1" w:styleId="ListNumberLevel2">
    <w:name w:val="List Number (Level 2)"/>
    <w:basedOn w:val="Normal"/>
    <w:pPr>
      <w:numPr>
        <w:ilvl w:val="1"/>
        <w:numId w:val="19"/>
      </w:numPr>
    </w:pPr>
  </w:style>
  <w:style w:type="paragraph" w:customStyle="1" w:styleId="ListNumberLevel3">
    <w:name w:val="List Number (Level 3)"/>
    <w:basedOn w:val="Normal"/>
    <w:pPr>
      <w:numPr>
        <w:ilvl w:val="2"/>
        <w:numId w:val="19"/>
      </w:numPr>
    </w:pPr>
  </w:style>
  <w:style w:type="paragraph" w:customStyle="1" w:styleId="ListNumberLevel4">
    <w:name w:val="List Number (Level 4)"/>
    <w:basedOn w:val="Normal"/>
    <w:pPr>
      <w:numPr>
        <w:ilvl w:val="3"/>
        <w:numId w:val="19"/>
      </w:numPr>
    </w:pPr>
  </w:style>
  <w:style w:type="paragraph" w:customStyle="1" w:styleId="ListNumber1">
    <w:name w:val="List Number 1"/>
    <w:basedOn w:val="Text1"/>
    <w:pPr>
      <w:numPr>
        <w:numId w:val="13"/>
      </w:numPr>
    </w:pPr>
  </w:style>
  <w:style w:type="paragraph" w:customStyle="1" w:styleId="ListNumber1Level2">
    <w:name w:val="List Number 1 (Level 2)"/>
    <w:basedOn w:val="Text1"/>
    <w:pPr>
      <w:numPr>
        <w:ilvl w:val="1"/>
        <w:numId w:val="13"/>
      </w:numPr>
    </w:pPr>
  </w:style>
  <w:style w:type="paragraph" w:customStyle="1" w:styleId="ListNumber1Level3">
    <w:name w:val="List Number 1 (Level 3)"/>
    <w:basedOn w:val="Text1"/>
    <w:pPr>
      <w:numPr>
        <w:ilvl w:val="2"/>
        <w:numId w:val="13"/>
      </w:numPr>
    </w:pPr>
  </w:style>
  <w:style w:type="paragraph" w:customStyle="1" w:styleId="ListNumber1Level4">
    <w:name w:val="List Number 1 (Level 4)"/>
    <w:basedOn w:val="Text1"/>
    <w:pPr>
      <w:numPr>
        <w:ilvl w:val="3"/>
        <w:numId w:val="13"/>
      </w:numPr>
    </w:pPr>
  </w:style>
  <w:style w:type="paragraph" w:customStyle="1" w:styleId="ListNumber2Level2">
    <w:name w:val="List Number 2 (Level 2)"/>
    <w:basedOn w:val="Text2"/>
    <w:pPr>
      <w:numPr>
        <w:ilvl w:val="1"/>
        <w:numId w:val="14"/>
      </w:numPr>
      <w:tabs>
        <w:tab w:val="clear" w:pos="2302"/>
      </w:tabs>
    </w:pPr>
  </w:style>
  <w:style w:type="paragraph" w:customStyle="1" w:styleId="ListNumber2Level3">
    <w:name w:val="List Number 2 (Level 3)"/>
    <w:basedOn w:val="Text2"/>
    <w:pPr>
      <w:numPr>
        <w:ilvl w:val="2"/>
        <w:numId w:val="14"/>
      </w:numPr>
      <w:tabs>
        <w:tab w:val="clear" w:pos="2302"/>
      </w:tabs>
    </w:pPr>
  </w:style>
  <w:style w:type="paragraph" w:customStyle="1" w:styleId="ListNumber2Level4">
    <w:name w:val="List Number 2 (Level 4)"/>
    <w:basedOn w:val="Text2"/>
    <w:pPr>
      <w:numPr>
        <w:ilvl w:val="3"/>
        <w:numId w:val="14"/>
      </w:numPr>
      <w:tabs>
        <w:tab w:val="clear" w:pos="2302"/>
      </w:tabs>
    </w:pPr>
  </w:style>
  <w:style w:type="paragraph" w:customStyle="1" w:styleId="ListNumber3Level2">
    <w:name w:val="List Number 3 (Level 2)"/>
    <w:basedOn w:val="Text3"/>
    <w:pPr>
      <w:numPr>
        <w:ilvl w:val="1"/>
        <w:numId w:val="15"/>
      </w:numPr>
      <w:tabs>
        <w:tab w:val="clear" w:pos="2302"/>
      </w:tabs>
    </w:pPr>
  </w:style>
  <w:style w:type="paragraph" w:customStyle="1" w:styleId="ListNumber3Level3">
    <w:name w:val="List Number 3 (Level 3)"/>
    <w:basedOn w:val="Text3"/>
    <w:pPr>
      <w:numPr>
        <w:ilvl w:val="2"/>
        <w:numId w:val="15"/>
      </w:numPr>
      <w:tabs>
        <w:tab w:val="clear" w:pos="2302"/>
      </w:tabs>
    </w:pPr>
  </w:style>
  <w:style w:type="paragraph" w:customStyle="1" w:styleId="ListNumber3Level4">
    <w:name w:val="List Number 3 (Level 4)"/>
    <w:basedOn w:val="Text3"/>
    <w:pPr>
      <w:numPr>
        <w:ilvl w:val="3"/>
        <w:numId w:val="15"/>
      </w:numPr>
      <w:tabs>
        <w:tab w:val="clear" w:pos="2302"/>
      </w:tabs>
    </w:pPr>
  </w:style>
  <w:style w:type="paragraph" w:customStyle="1" w:styleId="ListNumber4Level2">
    <w:name w:val="List Number 4 (Level 2)"/>
    <w:basedOn w:val="Text4"/>
    <w:pPr>
      <w:numPr>
        <w:ilvl w:val="1"/>
        <w:numId w:val="16"/>
      </w:numPr>
      <w:tabs>
        <w:tab w:val="clear" w:pos="2302"/>
      </w:tabs>
    </w:pPr>
  </w:style>
  <w:style w:type="paragraph" w:customStyle="1" w:styleId="ListNumber4Level3">
    <w:name w:val="List Number 4 (Level 3)"/>
    <w:basedOn w:val="Text4"/>
    <w:pPr>
      <w:numPr>
        <w:ilvl w:val="2"/>
        <w:numId w:val="16"/>
      </w:numPr>
      <w:tabs>
        <w:tab w:val="clear" w:pos="2302"/>
      </w:tabs>
    </w:pPr>
  </w:style>
  <w:style w:type="paragraph" w:customStyle="1" w:styleId="ListNumber4Level4">
    <w:name w:val="List Number 4 (Level 4)"/>
    <w:basedOn w:val="Text4"/>
    <w:pPr>
      <w:numPr>
        <w:ilvl w:val="3"/>
        <w:numId w:val="16"/>
      </w:numPr>
      <w:tabs>
        <w:tab w:val="clear" w:pos="2302"/>
      </w:tabs>
    </w:pPr>
  </w:style>
  <w:style w:type="paragraph" w:styleId="TOCHeading">
    <w:name w:val="TOC Heading"/>
    <w:basedOn w:val="Normal"/>
    <w:next w:val="Normal"/>
    <w:uiPriority w:val="39"/>
    <w:qFormat/>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lang w:val="de-DE"/>
    </w:rPr>
  </w:style>
  <w:style w:type="paragraph" w:customStyle="1" w:styleId="RUE">
    <w:name w:val="RUE"/>
    <w:basedOn w:val="Normal"/>
    <w:pPr>
      <w:spacing w:after="0"/>
      <w:jc w:val="center"/>
    </w:pPr>
    <w:rPr>
      <w:b/>
      <w:caps/>
      <w:sz w:val="32"/>
      <w:bdr w:val="single" w:sz="18" w:space="0" w:color="auto"/>
      <w:lang w:val="de-DE"/>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17"/>
      </w:numPr>
    </w:pPr>
  </w:style>
  <w:style w:type="character" w:customStyle="1" w:styleId="Heading1Char">
    <w:name w:val="Heading 1 Char"/>
    <w:aliases w:val="F3 Heading 1 - Section Char,(Section) Char,h1 Char,Numbered - 1 Char,Section Char,Chapter Hdg Char,CH TITLE 1 Char,Chapter Heading Char,Headline 1 Char,cover1 Char,intoduction Char,head1 Char,IMPACT STUDY TITLE1 Char,TITLE 1 NR Char"/>
    <w:basedOn w:val="DefaultParagraphFont"/>
    <w:link w:val="Heading1"/>
    <w:rPr>
      <w:b/>
      <w:smallCaps/>
      <w:lang w:eastAsia="en-US"/>
    </w:rPr>
  </w:style>
  <w:style w:type="character" w:customStyle="1" w:styleId="Heading2Char">
    <w:name w:val="Heading 2 Char"/>
    <w:aliases w:val="F4 Heading 2 - SubSection Char,(SubSection) Char,h2 Char,Para Nos Char,Para Char,Main Heading Char,Main Headi Char,Numbered - 2 Char,(Main Heading) Char,Paragraph Char,Sub Heading Char,ignorer2 Char,Oscar Faber 2 Char,Headline 2 Char"/>
    <w:basedOn w:val="DefaultParagraphFont"/>
    <w:link w:val="Heading2"/>
    <w:rPr>
      <w:b/>
      <w:lang w:eastAsia="en-US"/>
    </w:rPr>
  </w:style>
  <w:style w:type="character" w:customStyle="1" w:styleId="FooterChar">
    <w:name w:val="Footer Char"/>
    <w:basedOn w:val="DefaultParagraphFont"/>
    <w:link w:val="Footer"/>
    <w:uiPriority w:val="99"/>
    <w:rPr>
      <w:sz w:val="16"/>
      <w:lang w:eastAsia="en-US"/>
    </w:rPr>
  </w:style>
  <w:style w:type="character" w:customStyle="1" w:styleId="HeaderChar">
    <w:name w:val="Header Char"/>
    <w:basedOn w:val="DefaultParagraphFont"/>
    <w:link w:val="Header"/>
    <w:rPr>
      <w:szCs w:val="20"/>
      <w:lang w:eastAsia="en-US"/>
    </w:rPr>
  </w:style>
  <w:style w:type="character" w:styleId="FootnoteReference">
    <w:name w:val="footnote reference"/>
    <w:aliases w:val="Footnote Reference Superscript,Footnote symbol,BVI fnr, BVI fnr,Footnote reference number,note TESI,Appel note de bas de p,Nota,SUPERS,Footnote number,EN Footnote Reference,-E Fußnotenzeichen,number Char Char,number,Ref,styl,styli,R"/>
    <w:link w:val="FootnoteReferenceLVL6"/>
    <w:uiPriority w:val="99"/>
    <w:qFormat/>
    <w:rPr>
      <w:vertAlign w:val="superscript"/>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styleId="Emphasis">
    <w:name w:val="Emphasis"/>
    <w:basedOn w:val="DefaultParagraphFont"/>
    <w:uiPriority w:val="20"/>
    <w:qFormat/>
    <w:rPr>
      <w:i/>
      <w:iCs/>
    </w:rPr>
  </w:style>
  <w:style w:type="character" w:styleId="Hyperlink">
    <w:name w:val="Hyperlink"/>
    <w:basedOn w:val="DefaultParagraphFont"/>
    <w:uiPriority w:val="99"/>
    <w:unhideWhenUsed/>
    <w:rPr>
      <w:color w:val="0000FF" w:themeColor="hyperlink"/>
      <w:u w:val="single"/>
    </w:rPr>
  </w:style>
  <w:style w:type="character" w:styleId="EndnoteReference">
    <w:name w:val="endnote reference"/>
    <w:basedOn w:val="DefaultParagraphFont"/>
    <w:uiPriority w:val="99"/>
    <w:semiHidden/>
    <w:unhideWhenUsed/>
    <w:rPr>
      <w:vertAlign w:val="superscript"/>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TextChar">
    <w:name w:val="Comment Text Char"/>
    <w:basedOn w:val="DefaultParagraphFont"/>
    <w:link w:val="CommentText"/>
    <w:uiPriority w:val="99"/>
    <w:rPr>
      <w:lang w:eastAsia="en-US"/>
    </w:rPr>
  </w:style>
  <w:style w:type="character" w:customStyle="1" w:styleId="CommentSubjectChar">
    <w:name w:val="Comment Subject Char"/>
    <w:basedOn w:val="CommentTextChar"/>
    <w:link w:val="CommentSubject"/>
    <w:uiPriority w:val="99"/>
    <w:semiHidden/>
    <w:rPr>
      <w:b/>
      <w:bCs/>
      <w:lang w:eastAsia="en-US"/>
    </w:rPr>
  </w:style>
  <w:style w:type="paragraph" w:styleId="Revision">
    <w:name w:val="Revision"/>
    <w:hidden/>
    <w:uiPriority w:val="99"/>
    <w:semiHidden/>
    <w:rPr>
      <w:lang w:eastAsia="en-US"/>
    </w:rPr>
  </w:style>
  <w:style w:type="character" w:customStyle="1" w:styleId="FootnoteTextChar">
    <w:name w:val="Footnote Text Char"/>
    <w:aliases w:val="Char Char,Fußnote Char,Carattere Char,fn Char,Footnotes Char,Footnote ak Char,Footnote Text Char1 Char,Footnote Text Char Char Char,fn Char Char Char,footnote text Char Char Char,Footnotes Char Char Char,Footnote ak Char Char Char"/>
    <w:basedOn w:val="DefaultParagraphFont"/>
    <w:link w:val="FootnoteText"/>
    <w:rPr>
      <w:lang w:eastAsia="en-US"/>
    </w:rPr>
  </w:style>
  <w:style w:type="character" w:customStyle="1" w:styleId="Heading3Char">
    <w:name w:val="Heading 3 Char"/>
    <w:aliases w:val="F5 Heading 3 Char,h3 Char,Numbered - 3 Char,H3 Char,H31 Char,Headline 3 Char,h31 Char,h32 Char,Sub Paragraph Char,Voorwoord Char,ASAPHeading 3 Char,Level 1 - 1 Char,Heading 3 - old Char,heading 3 Char,Heading 2.3 Char,1.2.3. Char"/>
    <w:basedOn w:val="DefaultParagraphFont"/>
    <w:link w:val="Heading3"/>
    <w:uiPriority w:val="6"/>
    <w:rPr>
      <w:i/>
      <w:u w:val="single"/>
      <w:lang w:val="en-IE" w:eastAsia="en-US"/>
    </w:rPr>
  </w:style>
  <w:style w:type="character" w:customStyle="1" w:styleId="Heading4Char">
    <w:name w:val="Heading 4 Char"/>
    <w:aliases w:val="level 3 subhead Char,PA Micro Section Char,(Alt+4) Char,H41 Char,(Alt+4)1 Char,H42 Char,(Alt+4)2 Char,H43 Char,(Alt+4)3 Char,H44 Char,(Alt+4)4 Char,H45 Char,(Alt+4)5 Char,H411 Char,(Alt+4)11 Char,H421 Char,(Alt+4)21 Char,H431 Char"/>
    <w:basedOn w:val="DefaultParagraphFont"/>
    <w:link w:val="Heading4"/>
    <w:rPr>
      <w:lang w:eastAsia="en-US"/>
    </w:rPr>
  </w:style>
  <w:style w:type="table" w:customStyle="1" w:styleId="TableGrid1">
    <w:name w:val="Table Grid1"/>
    <w:basedOn w:val="TableNormal"/>
    <w:next w:val="TableGrid"/>
    <w:uiPriority w:val="59"/>
    <w:rPr>
      <w:rFonts w:ascii="Verdana" w:eastAsiaTheme="minorHAnsi" w:hAnsi="Verdana" w:cstheme="minorBidi"/>
      <w:sz w:val="18"/>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r">
    <w:name w:val="Marker"/>
    <w:rPr>
      <w:color w:val="0000FF"/>
      <w:shd w:val="clear" w:color="auto" w:fill="auto"/>
    </w:rPr>
  </w:style>
  <w:style w:type="paragraph" w:customStyle="1" w:styleId="FigureTitle">
    <w:name w:val="Figure Title"/>
    <w:basedOn w:val="Normal"/>
    <w:uiPriority w:val="29"/>
    <w:qFormat/>
    <w:pPr>
      <w:keepNext/>
      <w:keepLines/>
      <w:numPr>
        <w:numId w:val="20"/>
      </w:numPr>
      <w:spacing w:before="120" w:after="120"/>
      <w:jc w:val="left"/>
      <w:outlineLvl w:val="2"/>
    </w:pPr>
    <w:rPr>
      <w:rFonts w:ascii="Verdana" w:eastAsiaTheme="majorEastAsia" w:hAnsi="Verdana" w:cstheme="majorBidi"/>
      <w:bCs/>
      <w:i/>
      <w:sz w:val="20"/>
      <w:szCs w:val="22"/>
    </w:rPr>
  </w:style>
  <w:style w:type="numbering" w:customStyle="1" w:styleId="NumbListFigures">
    <w:name w:val="NumbList Figures"/>
    <w:uiPriority w:val="99"/>
    <w:pPr>
      <w:numPr>
        <w:numId w:val="20"/>
      </w:numPr>
    </w:pPr>
  </w:style>
  <w:style w:type="character" w:styleId="Strong">
    <w:name w:val="Strong"/>
    <w:basedOn w:val="DefaultParagraphFont"/>
    <w:uiPriority w:val="22"/>
    <w:qFormat/>
    <w:rPr>
      <w:b/>
      <w:bCs/>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apple-converted-space">
    <w:name w:val="apple-converted-space"/>
    <w:basedOn w:val="DefaultParagraphFont"/>
  </w:style>
  <w:style w:type="paragraph" w:customStyle="1" w:styleId="astandard3520normal">
    <w:name w:val="a_standard__35__20_normal"/>
    <w:basedOn w:val="Normal"/>
    <w:pPr>
      <w:spacing w:before="100" w:beforeAutospacing="1" w:after="100" w:afterAutospacing="1"/>
      <w:jc w:val="left"/>
    </w:pPr>
    <w:rPr>
      <w:rFonts w:ascii="Times" w:hAnsi="Times"/>
      <w:sz w:val="20"/>
      <w:szCs w:val="20"/>
      <w:lang w:val="en-US"/>
    </w:rPr>
  </w:style>
  <w:style w:type="character" w:customStyle="1" w:styleId="at1">
    <w:name w:val="a__t1"/>
    <w:basedOn w:val="DefaultParagraphFont"/>
  </w:style>
  <w:style w:type="character" w:customStyle="1" w:styleId="at13">
    <w:name w:val="a__t13"/>
    <w:basedOn w:val="DefaultParagraphFont"/>
  </w:style>
  <w:style w:type="paragraph" w:customStyle="1" w:styleId="a3520normalp6">
    <w:name w:val="a__35__20_normal_p6"/>
    <w:basedOn w:val="Normal"/>
    <w:pPr>
      <w:spacing w:before="100" w:beforeAutospacing="1" w:after="100" w:afterAutospacing="1"/>
      <w:jc w:val="left"/>
    </w:pPr>
    <w:rPr>
      <w:rFonts w:ascii="Times" w:hAnsi="Times"/>
      <w:sz w:val="20"/>
      <w:szCs w:val="20"/>
      <w:lang w:val="en-US"/>
    </w:rPr>
  </w:style>
  <w:style w:type="paragraph" w:customStyle="1" w:styleId="a3520normalp7">
    <w:name w:val="a__35__20_normal_p7"/>
    <w:basedOn w:val="Normal"/>
    <w:pPr>
      <w:spacing w:before="100" w:beforeAutospacing="1" w:after="100" w:afterAutospacing="1"/>
      <w:jc w:val="left"/>
    </w:pPr>
    <w:rPr>
      <w:rFonts w:ascii="Times" w:hAnsi="Times"/>
      <w:sz w:val="20"/>
      <w:szCs w:val="20"/>
      <w:lang w:val="en-US"/>
    </w:rPr>
  </w:style>
  <w:style w:type="paragraph" w:customStyle="1" w:styleId="aec20headingsp11">
    <w:name w:val="a_ec_20_headings_p11"/>
    <w:basedOn w:val="Normal"/>
    <w:pPr>
      <w:spacing w:before="100" w:beforeAutospacing="1" w:after="100" w:afterAutospacing="1"/>
      <w:jc w:val="left"/>
    </w:pPr>
    <w:rPr>
      <w:rFonts w:ascii="Times" w:hAnsi="Times"/>
      <w:sz w:val="20"/>
      <w:szCs w:val="20"/>
      <w:lang w:val="en-US"/>
    </w:rPr>
  </w:style>
  <w:style w:type="paragraph" w:customStyle="1" w:styleId="astandard3620cad">
    <w:name w:val="a_standard__36__20_cad"/>
    <w:basedOn w:val="Normal"/>
    <w:pPr>
      <w:spacing w:before="100" w:beforeAutospacing="1" w:after="100" w:afterAutospacing="1"/>
      <w:jc w:val="left"/>
    </w:pPr>
    <w:rPr>
      <w:rFonts w:ascii="Times" w:hAnsi="Times"/>
      <w:sz w:val="20"/>
      <w:szCs w:val="20"/>
      <w:lang w:val="en-US"/>
    </w:rPr>
  </w:style>
  <w:style w:type="paragraph" w:customStyle="1" w:styleId="astandard3220nom">
    <w:name w:val="a_standard__32__20_nom"/>
    <w:basedOn w:val="Normal"/>
    <w:pPr>
      <w:spacing w:before="100" w:beforeAutospacing="1" w:after="100" w:afterAutospacing="1"/>
      <w:jc w:val="left"/>
    </w:pPr>
    <w:rPr>
      <w:rFonts w:ascii="Times" w:hAnsi="Times"/>
      <w:sz w:val="20"/>
      <w:szCs w:val="20"/>
      <w:lang w:val="en-US"/>
    </w:rPr>
  </w:style>
  <w:style w:type="paragraph" w:customStyle="1" w:styleId="astandard3320fonction">
    <w:name w:val="a_standard__33__20_fonction"/>
    <w:basedOn w:val="Normal"/>
    <w:pPr>
      <w:spacing w:before="100" w:beforeAutospacing="1" w:after="100" w:afterAutospacing="1"/>
      <w:jc w:val="left"/>
    </w:pPr>
    <w:rPr>
      <w:rFonts w:ascii="Times" w:hAnsi="Times"/>
      <w:sz w:val="20"/>
      <w:szCs w:val="20"/>
      <w:lang w:val="en-US"/>
    </w:rPr>
  </w:style>
  <w:style w:type="paragraph" w:customStyle="1" w:styleId="astandard3320titre">
    <w:name w:val="a_standard__33__20_titre"/>
    <w:basedOn w:val="Normal"/>
    <w:pPr>
      <w:spacing w:before="100" w:beforeAutospacing="1" w:after="100" w:afterAutospacing="1"/>
      <w:jc w:val="left"/>
    </w:pPr>
    <w:rPr>
      <w:rFonts w:ascii="Times" w:hAnsi="Times"/>
      <w:sz w:val="20"/>
      <w:szCs w:val="20"/>
      <w:lang w:val="en-US"/>
    </w:rPr>
  </w:style>
  <w:style w:type="paragraph" w:customStyle="1" w:styleId="astandard3420contexte">
    <w:name w:val="a_standard__34__20_contexte"/>
    <w:basedOn w:val="Normal"/>
    <w:pPr>
      <w:spacing w:before="100" w:beforeAutospacing="1" w:after="100" w:afterAutospacing="1"/>
      <w:jc w:val="left"/>
    </w:pPr>
    <w:rPr>
      <w:rFonts w:ascii="Times" w:hAnsi="Times"/>
      <w:sz w:val="20"/>
      <w:szCs w:val="20"/>
      <w:lang w:val="en-US"/>
    </w:rPr>
  </w:style>
  <w:style w:type="paragraph" w:customStyle="1" w:styleId="astandard3520lieu5fdate">
    <w:name w:val="a_standard__35__20_lieu_5f_date"/>
    <w:basedOn w:val="Normal"/>
    <w:pPr>
      <w:spacing w:before="100" w:beforeAutospacing="1" w:after="100" w:afterAutospacing="1"/>
      <w:jc w:val="left"/>
    </w:pPr>
    <w:rPr>
      <w:rFonts w:ascii="Times" w:hAnsi="Times"/>
      <w:sz w:val="20"/>
      <w:szCs w:val="20"/>
      <w:lang w:val="en-US"/>
    </w:rPr>
  </w:style>
  <w:style w:type="character" w:customStyle="1" w:styleId="at2">
    <w:name w:val="a__t2"/>
    <w:basedOn w:val="DefaultParagraphFont"/>
  </w:style>
  <w:style w:type="paragraph" w:styleId="NormalWeb">
    <w:name w:val="Normal (Web)"/>
    <w:basedOn w:val="Normal"/>
    <w:uiPriority w:val="99"/>
    <w:unhideWhenUsed/>
    <w:pPr>
      <w:spacing w:before="100" w:beforeAutospacing="1" w:after="100" w:afterAutospacing="1"/>
      <w:jc w:val="left"/>
    </w:pPr>
    <w:rPr>
      <w:rFonts w:ascii="Times" w:hAnsi="Times"/>
      <w:sz w:val="20"/>
      <w:szCs w:val="20"/>
      <w:lang w:val="en-US"/>
    </w:rPr>
  </w:style>
  <w:style w:type="paragraph" w:customStyle="1" w:styleId="astandardfootnote">
    <w:name w:val="a_standard_footnote"/>
    <w:basedOn w:val="Normal"/>
    <w:pPr>
      <w:spacing w:before="100" w:beforeAutospacing="1" w:after="100" w:afterAutospacing="1"/>
      <w:jc w:val="left"/>
    </w:pPr>
    <w:rPr>
      <w:rFonts w:ascii="Times" w:hAnsi="Times"/>
      <w:sz w:val="20"/>
      <w:szCs w:val="20"/>
      <w:lang w:val="en-US"/>
    </w:rPr>
  </w:style>
  <w:style w:type="character" w:customStyle="1" w:styleId="at5">
    <w:name w:val="a__t5"/>
    <w:basedOn w:val="DefaultParagraphFont"/>
  </w:style>
  <w:style w:type="character" w:customStyle="1" w:styleId="at7">
    <w:name w:val="a__t7"/>
    <w:basedOn w:val="DefaultParagraphFont"/>
  </w:style>
  <w:style w:type="character" w:customStyle="1" w:styleId="Bodytext0">
    <w:name w:val="Body text_"/>
    <w:basedOn w:val="DefaultParagraphFont"/>
    <w:link w:val="BodyText7"/>
    <w:rPr>
      <w:rFonts w:ascii="Arial" w:eastAsia="Arial" w:hAnsi="Arial" w:cs="Arial"/>
      <w:sz w:val="18"/>
      <w:szCs w:val="18"/>
      <w:shd w:val="clear" w:color="auto" w:fill="FFFFFF"/>
    </w:rPr>
  </w:style>
  <w:style w:type="character" w:customStyle="1" w:styleId="Heading2210pt">
    <w:name w:val="Heading #2 (2) + 10 pt"/>
    <w:basedOn w:val="DefaultParagraphFont"/>
    <w:rPr>
      <w:rFonts w:ascii="Arial" w:eastAsia="Arial" w:hAnsi="Arial" w:cs="Arial"/>
      <w:b w:val="0"/>
      <w:bCs w:val="0"/>
      <w:i w:val="0"/>
      <w:iCs w:val="0"/>
      <w:smallCaps w:val="0"/>
      <w:strike w:val="0"/>
      <w:color w:val="000000"/>
      <w:spacing w:val="0"/>
      <w:w w:val="100"/>
      <w:position w:val="0"/>
      <w:sz w:val="20"/>
      <w:szCs w:val="20"/>
      <w:u w:val="none"/>
      <w:lang w:val="sl"/>
    </w:rPr>
  </w:style>
  <w:style w:type="paragraph" w:customStyle="1" w:styleId="BodyText7">
    <w:name w:val="Body Text7"/>
    <w:basedOn w:val="Normal"/>
    <w:link w:val="Bodytext0"/>
    <w:pPr>
      <w:widowControl w:val="0"/>
      <w:shd w:val="clear" w:color="auto" w:fill="FFFFFF"/>
      <w:spacing w:before="300" w:after="120" w:line="307" w:lineRule="exact"/>
      <w:ind w:hanging="360"/>
    </w:pPr>
    <w:rPr>
      <w:rFonts w:ascii="Arial" w:eastAsia="Arial" w:hAnsi="Arial" w:cs="Arial"/>
      <w:sz w:val="18"/>
      <w:szCs w:val="18"/>
      <w:lang w:eastAsia="en-GB"/>
    </w:rPr>
  </w:style>
  <w:style w:type="character" w:customStyle="1" w:styleId="Footnote">
    <w:name w:val="Footnote_"/>
    <w:basedOn w:val="DefaultParagraphFont"/>
    <w:link w:val="Footnote0"/>
    <w:rPr>
      <w:rFonts w:ascii="Arial" w:eastAsia="Arial" w:hAnsi="Arial" w:cs="Arial"/>
      <w:sz w:val="15"/>
      <w:szCs w:val="15"/>
      <w:shd w:val="clear" w:color="auto" w:fill="FFFFFF"/>
    </w:rPr>
  </w:style>
  <w:style w:type="paragraph" w:customStyle="1" w:styleId="Footnote0">
    <w:name w:val="Footnote"/>
    <w:basedOn w:val="Normal"/>
    <w:link w:val="Footnote"/>
    <w:pPr>
      <w:widowControl w:val="0"/>
      <w:shd w:val="clear" w:color="auto" w:fill="FFFFFF"/>
      <w:spacing w:after="0" w:line="216" w:lineRule="exact"/>
      <w:ind w:hanging="280"/>
    </w:pPr>
    <w:rPr>
      <w:rFonts w:ascii="Arial" w:eastAsia="Arial" w:hAnsi="Arial" w:cs="Arial"/>
      <w:sz w:val="15"/>
      <w:szCs w:val="15"/>
      <w:lang w:eastAsia="en-GB"/>
    </w:rPr>
  </w:style>
  <w:style w:type="character" w:customStyle="1" w:styleId="BodyTextChar">
    <w:name w:val="Body Text Char"/>
    <w:basedOn w:val="DefaultParagraphFont"/>
    <w:link w:val="BodyText"/>
    <w:uiPriority w:val="99"/>
    <w:rPr>
      <w:lang w:eastAsia="en-US"/>
    </w:rPr>
  </w:style>
  <w:style w:type="paragraph" w:customStyle="1" w:styleId="FootnoteReferenceLVL6">
    <w:name w:val="Footnote Reference_LVL6"/>
    <w:aliases w:val="Footnote Reference_LVL61,Footnote Reference_LVL62,Footnote Reference_LVL63,Footnote Reference_LVL64,fr,Odwo&lt;0142&gt;anie przypisu,SUPER,BVI fnr Char1 Char"/>
    <w:basedOn w:val="Normal"/>
    <w:next w:val="Normal"/>
    <w:link w:val="FootnoteReference"/>
    <w:uiPriority w:val="99"/>
    <w:pPr>
      <w:spacing w:after="160" w:line="240" w:lineRule="exact"/>
    </w:pPr>
    <w:rPr>
      <w:vertAlign w:val="superscript"/>
      <w:lang w:eastAsia="en-GB"/>
    </w:rPr>
  </w:style>
  <w:style w:type="paragraph" w:customStyle="1" w:styleId="Default">
    <w:name w:val="Default"/>
    <w:pPr>
      <w:autoSpaceDE w:val="0"/>
      <w:autoSpaceDN w:val="0"/>
      <w:adjustRightInd w:val="0"/>
    </w:pPr>
    <w:rPr>
      <w:rFonts w:eastAsiaTheme="minorHAnsi"/>
      <w:color w:val="000000"/>
      <w:lang w:eastAsia="en-US"/>
    </w:rPr>
  </w:style>
  <w:style w:type="paragraph" w:customStyle="1" w:styleId="ZCom">
    <w:name w:val="Z_Com"/>
    <w:basedOn w:val="Normal"/>
    <w:next w:val="ZDGName"/>
    <w:uiPriority w:val="99"/>
    <w:pPr>
      <w:widowControl w:val="0"/>
      <w:autoSpaceDE w:val="0"/>
      <w:autoSpaceDN w:val="0"/>
      <w:spacing w:after="0"/>
      <w:ind w:right="85"/>
    </w:pPr>
    <w:rPr>
      <w:rFonts w:ascii="Arial" w:eastAsiaTheme="minorEastAsia" w:hAnsi="Arial" w:cs="Arial"/>
      <w:lang w:eastAsia="en-GB"/>
    </w:rPr>
  </w:style>
  <w:style w:type="paragraph" w:customStyle="1" w:styleId="ZDGName">
    <w:name w:val="Z_DGName"/>
    <w:basedOn w:val="Normal"/>
    <w:uiPriority w:val="99"/>
    <w:pPr>
      <w:widowControl w:val="0"/>
      <w:autoSpaceDE w:val="0"/>
      <w:autoSpaceDN w:val="0"/>
      <w:spacing w:after="0"/>
      <w:ind w:right="85"/>
      <w:jc w:val="left"/>
    </w:pPr>
    <w:rPr>
      <w:rFonts w:ascii="Arial" w:eastAsiaTheme="minorEastAsia" w:hAnsi="Arial" w:cs="Arial"/>
      <w:sz w:val="16"/>
      <w:szCs w:val="16"/>
      <w:lang w:eastAsia="en-GB"/>
    </w:rPr>
  </w:style>
  <w:style w:type="paragraph" w:customStyle="1" w:styleId="TableTextNoSpace">
    <w:name w:val="TableTextNoSpace"/>
    <w:basedOn w:val="Normal"/>
    <w:uiPriority w:val="15"/>
    <w:qFormat/>
    <w:pPr>
      <w:spacing w:after="0" w:line="220" w:lineRule="atLeast"/>
      <w:ind w:left="57" w:right="57"/>
      <w:jc w:val="left"/>
    </w:pPr>
    <w:rPr>
      <w:rFonts w:ascii="Arial" w:eastAsiaTheme="minorHAnsi" w:hAnsi="Arial"/>
      <w:sz w:val="18"/>
    </w:rPr>
  </w:style>
  <w:style w:type="character" w:customStyle="1" w:styleId="st">
    <w:name w:val="st"/>
    <w:basedOn w:val="DefaultParagraphFont"/>
  </w:style>
  <w:style w:type="character" w:customStyle="1" w:styleId="BodyText3Char">
    <w:name w:val="Body Text 3 Char"/>
    <w:basedOn w:val="DefaultParagraphFont"/>
    <w:link w:val="BodyText3"/>
    <w:rPr>
      <w:sz w:val="16"/>
      <w:lang w:eastAsia="en-US"/>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bCs/>
    </w:rPr>
  </w:style>
  <w:style w:type="character" w:customStyle="1" w:styleId="FooterCoverPageChar">
    <w:name w:val="Footer Cover Page Char"/>
    <w:basedOn w:val="DefaultParagraphFont"/>
    <w:link w:val="FooterCoverPage"/>
    <w:rPr>
      <w:bCs/>
      <w:lang w:eastAsia="en-US"/>
    </w:rPr>
  </w:style>
  <w:style w:type="paragraph" w:customStyle="1" w:styleId="HeaderCoverPage">
    <w:name w:val="Header Cover Page"/>
    <w:basedOn w:val="Normal"/>
    <w:link w:val="HeaderCoverPageChar"/>
    <w:pPr>
      <w:tabs>
        <w:tab w:val="center" w:pos="4535"/>
        <w:tab w:val="right" w:pos="9071"/>
      </w:tabs>
      <w:spacing w:after="120"/>
    </w:pPr>
    <w:rPr>
      <w:bCs/>
    </w:rPr>
  </w:style>
  <w:style w:type="character" w:customStyle="1" w:styleId="HeaderCoverPageChar">
    <w:name w:val="Header Cover Page Char"/>
    <w:basedOn w:val="DefaultParagraphFont"/>
    <w:link w:val="HeaderCoverPage"/>
    <w:rPr>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2674">
      <w:bodyDiv w:val="1"/>
      <w:marLeft w:val="0"/>
      <w:marRight w:val="0"/>
      <w:marTop w:val="0"/>
      <w:marBottom w:val="0"/>
      <w:divBdr>
        <w:top w:val="none" w:sz="0" w:space="0" w:color="auto"/>
        <w:left w:val="none" w:sz="0" w:space="0" w:color="auto"/>
        <w:bottom w:val="none" w:sz="0" w:space="0" w:color="auto"/>
        <w:right w:val="none" w:sz="0" w:space="0" w:color="auto"/>
      </w:divBdr>
    </w:div>
    <w:div w:id="9258339">
      <w:bodyDiv w:val="1"/>
      <w:marLeft w:val="0"/>
      <w:marRight w:val="0"/>
      <w:marTop w:val="0"/>
      <w:marBottom w:val="0"/>
      <w:divBdr>
        <w:top w:val="none" w:sz="0" w:space="0" w:color="auto"/>
        <w:left w:val="none" w:sz="0" w:space="0" w:color="auto"/>
        <w:bottom w:val="none" w:sz="0" w:space="0" w:color="auto"/>
        <w:right w:val="none" w:sz="0" w:space="0" w:color="auto"/>
      </w:divBdr>
    </w:div>
    <w:div w:id="15354678">
      <w:bodyDiv w:val="1"/>
      <w:marLeft w:val="0"/>
      <w:marRight w:val="0"/>
      <w:marTop w:val="0"/>
      <w:marBottom w:val="0"/>
      <w:divBdr>
        <w:top w:val="none" w:sz="0" w:space="0" w:color="auto"/>
        <w:left w:val="none" w:sz="0" w:space="0" w:color="auto"/>
        <w:bottom w:val="none" w:sz="0" w:space="0" w:color="auto"/>
        <w:right w:val="none" w:sz="0" w:space="0" w:color="auto"/>
      </w:divBdr>
    </w:div>
    <w:div w:id="20127632">
      <w:bodyDiv w:val="1"/>
      <w:marLeft w:val="0"/>
      <w:marRight w:val="0"/>
      <w:marTop w:val="0"/>
      <w:marBottom w:val="0"/>
      <w:divBdr>
        <w:top w:val="none" w:sz="0" w:space="0" w:color="auto"/>
        <w:left w:val="none" w:sz="0" w:space="0" w:color="auto"/>
        <w:bottom w:val="none" w:sz="0" w:space="0" w:color="auto"/>
        <w:right w:val="none" w:sz="0" w:space="0" w:color="auto"/>
      </w:divBdr>
      <w:divsChild>
        <w:div w:id="1426345846">
          <w:marLeft w:val="0"/>
          <w:marRight w:val="0"/>
          <w:marTop w:val="0"/>
          <w:marBottom w:val="0"/>
          <w:divBdr>
            <w:top w:val="none" w:sz="0" w:space="0" w:color="auto"/>
            <w:left w:val="none" w:sz="0" w:space="0" w:color="auto"/>
            <w:bottom w:val="none" w:sz="0" w:space="0" w:color="auto"/>
            <w:right w:val="none" w:sz="0" w:space="0" w:color="auto"/>
          </w:divBdr>
          <w:divsChild>
            <w:div w:id="1232890342">
              <w:marLeft w:val="0"/>
              <w:marRight w:val="0"/>
              <w:marTop w:val="0"/>
              <w:marBottom w:val="0"/>
              <w:divBdr>
                <w:top w:val="none" w:sz="0" w:space="0" w:color="auto"/>
                <w:left w:val="none" w:sz="0" w:space="0" w:color="auto"/>
                <w:bottom w:val="none" w:sz="0" w:space="0" w:color="auto"/>
                <w:right w:val="none" w:sz="0" w:space="0" w:color="auto"/>
              </w:divBdr>
              <w:divsChild>
                <w:div w:id="164134813">
                  <w:marLeft w:val="0"/>
                  <w:marRight w:val="0"/>
                  <w:marTop w:val="0"/>
                  <w:marBottom w:val="0"/>
                  <w:divBdr>
                    <w:top w:val="none" w:sz="0" w:space="0" w:color="auto"/>
                    <w:left w:val="none" w:sz="0" w:space="0" w:color="auto"/>
                    <w:bottom w:val="none" w:sz="0" w:space="0" w:color="auto"/>
                    <w:right w:val="none" w:sz="0" w:space="0" w:color="auto"/>
                  </w:divBdr>
                  <w:divsChild>
                    <w:div w:id="2052536558">
                      <w:marLeft w:val="1"/>
                      <w:marRight w:val="1"/>
                      <w:marTop w:val="0"/>
                      <w:marBottom w:val="0"/>
                      <w:divBdr>
                        <w:top w:val="none" w:sz="0" w:space="0" w:color="auto"/>
                        <w:left w:val="none" w:sz="0" w:space="0" w:color="auto"/>
                        <w:bottom w:val="none" w:sz="0" w:space="0" w:color="auto"/>
                        <w:right w:val="none" w:sz="0" w:space="0" w:color="auto"/>
                      </w:divBdr>
                      <w:divsChild>
                        <w:div w:id="1361083370">
                          <w:marLeft w:val="0"/>
                          <w:marRight w:val="0"/>
                          <w:marTop w:val="0"/>
                          <w:marBottom w:val="0"/>
                          <w:divBdr>
                            <w:top w:val="none" w:sz="0" w:space="0" w:color="auto"/>
                            <w:left w:val="none" w:sz="0" w:space="0" w:color="auto"/>
                            <w:bottom w:val="none" w:sz="0" w:space="0" w:color="auto"/>
                            <w:right w:val="none" w:sz="0" w:space="0" w:color="auto"/>
                          </w:divBdr>
                          <w:divsChild>
                            <w:div w:id="1255479383">
                              <w:marLeft w:val="0"/>
                              <w:marRight w:val="0"/>
                              <w:marTop w:val="0"/>
                              <w:marBottom w:val="360"/>
                              <w:divBdr>
                                <w:top w:val="none" w:sz="0" w:space="0" w:color="auto"/>
                                <w:left w:val="none" w:sz="0" w:space="0" w:color="auto"/>
                                <w:bottom w:val="none" w:sz="0" w:space="0" w:color="auto"/>
                                <w:right w:val="none" w:sz="0" w:space="0" w:color="auto"/>
                              </w:divBdr>
                              <w:divsChild>
                                <w:div w:id="404912869">
                                  <w:marLeft w:val="0"/>
                                  <w:marRight w:val="0"/>
                                  <w:marTop w:val="0"/>
                                  <w:marBottom w:val="0"/>
                                  <w:divBdr>
                                    <w:top w:val="none" w:sz="0" w:space="0" w:color="auto"/>
                                    <w:left w:val="none" w:sz="0" w:space="0" w:color="auto"/>
                                    <w:bottom w:val="none" w:sz="0" w:space="0" w:color="auto"/>
                                    <w:right w:val="none" w:sz="0" w:space="0" w:color="auto"/>
                                  </w:divBdr>
                                  <w:divsChild>
                                    <w:div w:id="803931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78721">
      <w:bodyDiv w:val="1"/>
      <w:marLeft w:val="0"/>
      <w:marRight w:val="0"/>
      <w:marTop w:val="0"/>
      <w:marBottom w:val="0"/>
      <w:divBdr>
        <w:top w:val="none" w:sz="0" w:space="0" w:color="auto"/>
        <w:left w:val="none" w:sz="0" w:space="0" w:color="auto"/>
        <w:bottom w:val="none" w:sz="0" w:space="0" w:color="auto"/>
        <w:right w:val="none" w:sz="0" w:space="0" w:color="auto"/>
      </w:divBdr>
    </w:div>
    <w:div w:id="23674970">
      <w:bodyDiv w:val="1"/>
      <w:marLeft w:val="0"/>
      <w:marRight w:val="0"/>
      <w:marTop w:val="0"/>
      <w:marBottom w:val="0"/>
      <w:divBdr>
        <w:top w:val="none" w:sz="0" w:space="0" w:color="auto"/>
        <w:left w:val="none" w:sz="0" w:space="0" w:color="auto"/>
        <w:bottom w:val="none" w:sz="0" w:space="0" w:color="auto"/>
        <w:right w:val="none" w:sz="0" w:space="0" w:color="auto"/>
      </w:divBdr>
    </w:div>
    <w:div w:id="35738542">
      <w:bodyDiv w:val="1"/>
      <w:marLeft w:val="0"/>
      <w:marRight w:val="0"/>
      <w:marTop w:val="0"/>
      <w:marBottom w:val="0"/>
      <w:divBdr>
        <w:top w:val="none" w:sz="0" w:space="0" w:color="auto"/>
        <w:left w:val="none" w:sz="0" w:space="0" w:color="auto"/>
        <w:bottom w:val="none" w:sz="0" w:space="0" w:color="auto"/>
        <w:right w:val="none" w:sz="0" w:space="0" w:color="auto"/>
      </w:divBdr>
    </w:div>
    <w:div w:id="40059509">
      <w:bodyDiv w:val="1"/>
      <w:marLeft w:val="0"/>
      <w:marRight w:val="0"/>
      <w:marTop w:val="0"/>
      <w:marBottom w:val="0"/>
      <w:divBdr>
        <w:top w:val="none" w:sz="0" w:space="0" w:color="auto"/>
        <w:left w:val="none" w:sz="0" w:space="0" w:color="auto"/>
        <w:bottom w:val="none" w:sz="0" w:space="0" w:color="auto"/>
        <w:right w:val="none" w:sz="0" w:space="0" w:color="auto"/>
      </w:divBdr>
    </w:div>
    <w:div w:id="82923918">
      <w:bodyDiv w:val="1"/>
      <w:marLeft w:val="0"/>
      <w:marRight w:val="0"/>
      <w:marTop w:val="0"/>
      <w:marBottom w:val="0"/>
      <w:divBdr>
        <w:top w:val="none" w:sz="0" w:space="0" w:color="auto"/>
        <w:left w:val="none" w:sz="0" w:space="0" w:color="auto"/>
        <w:bottom w:val="none" w:sz="0" w:space="0" w:color="auto"/>
        <w:right w:val="none" w:sz="0" w:space="0" w:color="auto"/>
      </w:divBdr>
    </w:div>
    <w:div w:id="84888395">
      <w:bodyDiv w:val="1"/>
      <w:marLeft w:val="0"/>
      <w:marRight w:val="0"/>
      <w:marTop w:val="0"/>
      <w:marBottom w:val="0"/>
      <w:divBdr>
        <w:top w:val="none" w:sz="0" w:space="0" w:color="auto"/>
        <w:left w:val="none" w:sz="0" w:space="0" w:color="auto"/>
        <w:bottom w:val="none" w:sz="0" w:space="0" w:color="auto"/>
        <w:right w:val="none" w:sz="0" w:space="0" w:color="auto"/>
      </w:divBdr>
    </w:div>
    <w:div w:id="93212232">
      <w:bodyDiv w:val="1"/>
      <w:marLeft w:val="0"/>
      <w:marRight w:val="0"/>
      <w:marTop w:val="0"/>
      <w:marBottom w:val="0"/>
      <w:divBdr>
        <w:top w:val="none" w:sz="0" w:space="0" w:color="auto"/>
        <w:left w:val="none" w:sz="0" w:space="0" w:color="auto"/>
        <w:bottom w:val="none" w:sz="0" w:space="0" w:color="auto"/>
        <w:right w:val="none" w:sz="0" w:space="0" w:color="auto"/>
      </w:divBdr>
    </w:div>
    <w:div w:id="94716876">
      <w:bodyDiv w:val="1"/>
      <w:marLeft w:val="0"/>
      <w:marRight w:val="0"/>
      <w:marTop w:val="0"/>
      <w:marBottom w:val="0"/>
      <w:divBdr>
        <w:top w:val="none" w:sz="0" w:space="0" w:color="auto"/>
        <w:left w:val="none" w:sz="0" w:space="0" w:color="auto"/>
        <w:bottom w:val="none" w:sz="0" w:space="0" w:color="auto"/>
        <w:right w:val="none" w:sz="0" w:space="0" w:color="auto"/>
      </w:divBdr>
    </w:div>
    <w:div w:id="95757117">
      <w:bodyDiv w:val="1"/>
      <w:marLeft w:val="0"/>
      <w:marRight w:val="0"/>
      <w:marTop w:val="0"/>
      <w:marBottom w:val="0"/>
      <w:divBdr>
        <w:top w:val="none" w:sz="0" w:space="0" w:color="auto"/>
        <w:left w:val="none" w:sz="0" w:space="0" w:color="auto"/>
        <w:bottom w:val="none" w:sz="0" w:space="0" w:color="auto"/>
        <w:right w:val="none" w:sz="0" w:space="0" w:color="auto"/>
      </w:divBdr>
    </w:div>
    <w:div w:id="110176284">
      <w:bodyDiv w:val="1"/>
      <w:marLeft w:val="0"/>
      <w:marRight w:val="0"/>
      <w:marTop w:val="0"/>
      <w:marBottom w:val="0"/>
      <w:divBdr>
        <w:top w:val="none" w:sz="0" w:space="0" w:color="auto"/>
        <w:left w:val="none" w:sz="0" w:space="0" w:color="auto"/>
        <w:bottom w:val="none" w:sz="0" w:space="0" w:color="auto"/>
        <w:right w:val="none" w:sz="0" w:space="0" w:color="auto"/>
      </w:divBdr>
    </w:div>
    <w:div w:id="126121102">
      <w:bodyDiv w:val="1"/>
      <w:marLeft w:val="0"/>
      <w:marRight w:val="0"/>
      <w:marTop w:val="0"/>
      <w:marBottom w:val="0"/>
      <w:divBdr>
        <w:top w:val="none" w:sz="0" w:space="0" w:color="auto"/>
        <w:left w:val="none" w:sz="0" w:space="0" w:color="auto"/>
        <w:bottom w:val="none" w:sz="0" w:space="0" w:color="auto"/>
        <w:right w:val="none" w:sz="0" w:space="0" w:color="auto"/>
      </w:divBdr>
    </w:div>
    <w:div w:id="129710606">
      <w:bodyDiv w:val="1"/>
      <w:marLeft w:val="0"/>
      <w:marRight w:val="0"/>
      <w:marTop w:val="0"/>
      <w:marBottom w:val="0"/>
      <w:divBdr>
        <w:top w:val="none" w:sz="0" w:space="0" w:color="auto"/>
        <w:left w:val="none" w:sz="0" w:space="0" w:color="auto"/>
        <w:bottom w:val="none" w:sz="0" w:space="0" w:color="auto"/>
        <w:right w:val="none" w:sz="0" w:space="0" w:color="auto"/>
      </w:divBdr>
    </w:div>
    <w:div w:id="146167151">
      <w:bodyDiv w:val="1"/>
      <w:marLeft w:val="0"/>
      <w:marRight w:val="0"/>
      <w:marTop w:val="0"/>
      <w:marBottom w:val="0"/>
      <w:divBdr>
        <w:top w:val="none" w:sz="0" w:space="0" w:color="auto"/>
        <w:left w:val="none" w:sz="0" w:space="0" w:color="auto"/>
        <w:bottom w:val="none" w:sz="0" w:space="0" w:color="auto"/>
        <w:right w:val="none" w:sz="0" w:space="0" w:color="auto"/>
      </w:divBdr>
    </w:div>
    <w:div w:id="150945090">
      <w:bodyDiv w:val="1"/>
      <w:marLeft w:val="0"/>
      <w:marRight w:val="0"/>
      <w:marTop w:val="0"/>
      <w:marBottom w:val="0"/>
      <w:divBdr>
        <w:top w:val="none" w:sz="0" w:space="0" w:color="auto"/>
        <w:left w:val="none" w:sz="0" w:space="0" w:color="auto"/>
        <w:bottom w:val="none" w:sz="0" w:space="0" w:color="auto"/>
        <w:right w:val="none" w:sz="0" w:space="0" w:color="auto"/>
      </w:divBdr>
    </w:div>
    <w:div w:id="171184986">
      <w:bodyDiv w:val="1"/>
      <w:marLeft w:val="0"/>
      <w:marRight w:val="0"/>
      <w:marTop w:val="0"/>
      <w:marBottom w:val="0"/>
      <w:divBdr>
        <w:top w:val="none" w:sz="0" w:space="0" w:color="auto"/>
        <w:left w:val="none" w:sz="0" w:space="0" w:color="auto"/>
        <w:bottom w:val="none" w:sz="0" w:space="0" w:color="auto"/>
        <w:right w:val="none" w:sz="0" w:space="0" w:color="auto"/>
      </w:divBdr>
    </w:div>
    <w:div w:id="190147429">
      <w:bodyDiv w:val="1"/>
      <w:marLeft w:val="0"/>
      <w:marRight w:val="0"/>
      <w:marTop w:val="0"/>
      <w:marBottom w:val="0"/>
      <w:divBdr>
        <w:top w:val="none" w:sz="0" w:space="0" w:color="auto"/>
        <w:left w:val="none" w:sz="0" w:space="0" w:color="auto"/>
        <w:bottom w:val="none" w:sz="0" w:space="0" w:color="auto"/>
        <w:right w:val="none" w:sz="0" w:space="0" w:color="auto"/>
      </w:divBdr>
      <w:divsChild>
        <w:div w:id="606161181">
          <w:marLeft w:val="0"/>
          <w:marRight w:val="0"/>
          <w:marTop w:val="0"/>
          <w:marBottom w:val="0"/>
          <w:divBdr>
            <w:top w:val="none" w:sz="0" w:space="0" w:color="auto"/>
            <w:left w:val="none" w:sz="0" w:space="0" w:color="auto"/>
            <w:bottom w:val="none" w:sz="0" w:space="0" w:color="auto"/>
            <w:right w:val="none" w:sz="0" w:space="0" w:color="auto"/>
          </w:divBdr>
          <w:divsChild>
            <w:div w:id="892692174">
              <w:marLeft w:val="0"/>
              <w:marRight w:val="0"/>
              <w:marTop w:val="0"/>
              <w:marBottom w:val="0"/>
              <w:divBdr>
                <w:top w:val="none" w:sz="0" w:space="0" w:color="auto"/>
                <w:left w:val="none" w:sz="0" w:space="0" w:color="auto"/>
                <w:bottom w:val="none" w:sz="0" w:space="0" w:color="auto"/>
                <w:right w:val="none" w:sz="0" w:space="0" w:color="auto"/>
              </w:divBdr>
              <w:divsChild>
                <w:div w:id="85927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23300">
      <w:bodyDiv w:val="1"/>
      <w:marLeft w:val="0"/>
      <w:marRight w:val="0"/>
      <w:marTop w:val="0"/>
      <w:marBottom w:val="0"/>
      <w:divBdr>
        <w:top w:val="none" w:sz="0" w:space="0" w:color="auto"/>
        <w:left w:val="none" w:sz="0" w:space="0" w:color="auto"/>
        <w:bottom w:val="none" w:sz="0" w:space="0" w:color="auto"/>
        <w:right w:val="none" w:sz="0" w:space="0" w:color="auto"/>
      </w:divBdr>
    </w:div>
    <w:div w:id="203518546">
      <w:bodyDiv w:val="1"/>
      <w:marLeft w:val="0"/>
      <w:marRight w:val="0"/>
      <w:marTop w:val="0"/>
      <w:marBottom w:val="0"/>
      <w:divBdr>
        <w:top w:val="none" w:sz="0" w:space="0" w:color="auto"/>
        <w:left w:val="none" w:sz="0" w:space="0" w:color="auto"/>
        <w:bottom w:val="none" w:sz="0" w:space="0" w:color="auto"/>
        <w:right w:val="none" w:sz="0" w:space="0" w:color="auto"/>
      </w:divBdr>
    </w:div>
    <w:div w:id="232736811">
      <w:bodyDiv w:val="1"/>
      <w:marLeft w:val="0"/>
      <w:marRight w:val="0"/>
      <w:marTop w:val="0"/>
      <w:marBottom w:val="0"/>
      <w:divBdr>
        <w:top w:val="none" w:sz="0" w:space="0" w:color="auto"/>
        <w:left w:val="none" w:sz="0" w:space="0" w:color="auto"/>
        <w:bottom w:val="none" w:sz="0" w:space="0" w:color="auto"/>
        <w:right w:val="none" w:sz="0" w:space="0" w:color="auto"/>
      </w:divBdr>
    </w:div>
    <w:div w:id="248076660">
      <w:bodyDiv w:val="1"/>
      <w:marLeft w:val="0"/>
      <w:marRight w:val="0"/>
      <w:marTop w:val="0"/>
      <w:marBottom w:val="0"/>
      <w:divBdr>
        <w:top w:val="none" w:sz="0" w:space="0" w:color="auto"/>
        <w:left w:val="none" w:sz="0" w:space="0" w:color="auto"/>
        <w:bottom w:val="none" w:sz="0" w:space="0" w:color="auto"/>
        <w:right w:val="none" w:sz="0" w:space="0" w:color="auto"/>
      </w:divBdr>
    </w:div>
    <w:div w:id="255095308">
      <w:bodyDiv w:val="1"/>
      <w:marLeft w:val="0"/>
      <w:marRight w:val="0"/>
      <w:marTop w:val="0"/>
      <w:marBottom w:val="0"/>
      <w:divBdr>
        <w:top w:val="none" w:sz="0" w:space="0" w:color="auto"/>
        <w:left w:val="none" w:sz="0" w:space="0" w:color="auto"/>
        <w:bottom w:val="none" w:sz="0" w:space="0" w:color="auto"/>
        <w:right w:val="none" w:sz="0" w:space="0" w:color="auto"/>
      </w:divBdr>
    </w:div>
    <w:div w:id="272783070">
      <w:bodyDiv w:val="1"/>
      <w:marLeft w:val="0"/>
      <w:marRight w:val="0"/>
      <w:marTop w:val="0"/>
      <w:marBottom w:val="0"/>
      <w:divBdr>
        <w:top w:val="none" w:sz="0" w:space="0" w:color="auto"/>
        <w:left w:val="none" w:sz="0" w:space="0" w:color="auto"/>
        <w:bottom w:val="none" w:sz="0" w:space="0" w:color="auto"/>
        <w:right w:val="none" w:sz="0" w:space="0" w:color="auto"/>
      </w:divBdr>
    </w:div>
    <w:div w:id="275410419">
      <w:bodyDiv w:val="1"/>
      <w:marLeft w:val="0"/>
      <w:marRight w:val="0"/>
      <w:marTop w:val="0"/>
      <w:marBottom w:val="0"/>
      <w:divBdr>
        <w:top w:val="none" w:sz="0" w:space="0" w:color="auto"/>
        <w:left w:val="none" w:sz="0" w:space="0" w:color="auto"/>
        <w:bottom w:val="none" w:sz="0" w:space="0" w:color="auto"/>
        <w:right w:val="none" w:sz="0" w:space="0" w:color="auto"/>
      </w:divBdr>
    </w:div>
    <w:div w:id="276063960">
      <w:bodyDiv w:val="1"/>
      <w:marLeft w:val="0"/>
      <w:marRight w:val="0"/>
      <w:marTop w:val="0"/>
      <w:marBottom w:val="0"/>
      <w:divBdr>
        <w:top w:val="none" w:sz="0" w:space="0" w:color="auto"/>
        <w:left w:val="none" w:sz="0" w:space="0" w:color="auto"/>
        <w:bottom w:val="none" w:sz="0" w:space="0" w:color="auto"/>
        <w:right w:val="none" w:sz="0" w:space="0" w:color="auto"/>
      </w:divBdr>
    </w:div>
    <w:div w:id="285933710">
      <w:bodyDiv w:val="1"/>
      <w:marLeft w:val="0"/>
      <w:marRight w:val="0"/>
      <w:marTop w:val="0"/>
      <w:marBottom w:val="0"/>
      <w:divBdr>
        <w:top w:val="none" w:sz="0" w:space="0" w:color="auto"/>
        <w:left w:val="none" w:sz="0" w:space="0" w:color="auto"/>
        <w:bottom w:val="none" w:sz="0" w:space="0" w:color="auto"/>
        <w:right w:val="none" w:sz="0" w:space="0" w:color="auto"/>
      </w:divBdr>
    </w:div>
    <w:div w:id="290862183">
      <w:bodyDiv w:val="1"/>
      <w:marLeft w:val="0"/>
      <w:marRight w:val="0"/>
      <w:marTop w:val="0"/>
      <w:marBottom w:val="0"/>
      <w:divBdr>
        <w:top w:val="none" w:sz="0" w:space="0" w:color="auto"/>
        <w:left w:val="none" w:sz="0" w:space="0" w:color="auto"/>
        <w:bottom w:val="none" w:sz="0" w:space="0" w:color="auto"/>
        <w:right w:val="none" w:sz="0" w:space="0" w:color="auto"/>
      </w:divBdr>
    </w:div>
    <w:div w:id="301278154">
      <w:bodyDiv w:val="1"/>
      <w:marLeft w:val="0"/>
      <w:marRight w:val="0"/>
      <w:marTop w:val="0"/>
      <w:marBottom w:val="0"/>
      <w:divBdr>
        <w:top w:val="none" w:sz="0" w:space="0" w:color="auto"/>
        <w:left w:val="none" w:sz="0" w:space="0" w:color="auto"/>
        <w:bottom w:val="none" w:sz="0" w:space="0" w:color="auto"/>
        <w:right w:val="none" w:sz="0" w:space="0" w:color="auto"/>
      </w:divBdr>
    </w:div>
    <w:div w:id="301737588">
      <w:bodyDiv w:val="1"/>
      <w:marLeft w:val="0"/>
      <w:marRight w:val="0"/>
      <w:marTop w:val="0"/>
      <w:marBottom w:val="0"/>
      <w:divBdr>
        <w:top w:val="none" w:sz="0" w:space="0" w:color="auto"/>
        <w:left w:val="none" w:sz="0" w:space="0" w:color="auto"/>
        <w:bottom w:val="none" w:sz="0" w:space="0" w:color="auto"/>
        <w:right w:val="none" w:sz="0" w:space="0" w:color="auto"/>
      </w:divBdr>
    </w:div>
    <w:div w:id="313216610">
      <w:bodyDiv w:val="1"/>
      <w:marLeft w:val="0"/>
      <w:marRight w:val="0"/>
      <w:marTop w:val="0"/>
      <w:marBottom w:val="0"/>
      <w:divBdr>
        <w:top w:val="none" w:sz="0" w:space="0" w:color="auto"/>
        <w:left w:val="none" w:sz="0" w:space="0" w:color="auto"/>
        <w:bottom w:val="none" w:sz="0" w:space="0" w:color="auto"/>
        <w:right w:val="none" w:sz="0" w:space="0" w:color="auto"/>
      </w:divBdr>
      <w:divsChild>
        <w:div w:id="276764147">
          <w:marLeft w:val="0"/>
          <w:marRight w:val="0"/>
          <w:marTop w:val="0"/>
          <w:marBottom w:val="0"/>
          <w:divBdr>
            <w:top w:val="none" w:sz="0" w:space="0" w:color="auto"/>
            <w:left w:val="none" w:sz="0" w:space="0" w:color="auto"/>
            <w:bottom w:val="none" w:sz="0" w:space="0" w:color="auto"/>
            <w:right w:val="none" w:sz="0" w:space="0" w:color="auto"/>
          </w:divBdr>
          <w:divsChild>
            <w:div w:id="1198202535">
              <w:marLeft w:val="0"/>
              <w:marRight w:val="0"/>
              <w:marTop w:val="0"/>
              <w:marBottom w:val="0"/>
              <w:divBdr>
                <w:top w:val="none" w:sz="0" w:space="0" w:color="auto"/>
                <w:left w:val="none" w:sz="0" w:space="0" w:color="auto"/>
                <w:bottom w:val="none" w:sz="0" w:space="0" w:color="auto"/>
                <w:right w:val="none" w:sz="0" w:space="0" w:color="auto"/>
              </w:divBdr>
              <w:divsChild>
                <w:div w:id="1023432508">
                  <w:marLeft w:val="0"/>
                  <w:marRight w:val="0"/>
                  <w:marTop w:val="0"/>
                  <w:marBottom w:val="0"/>
                  <w:divBdr>
                    <w:top w:val="none" w:sz="0" w:space="0" w:color="auto"/>
                    <w:left w:val="none" w:sz="0" w:space="0" w:color="auto"/>
                    <w:bottom w:val="none" w:sz="0" w:space="0" w:color="auto"/>
                    <w:right w:val="none" w:sz="0" w:space="0" w:color="auto"/>
                  </w:divBdr>
                  <w:divsChild>
                    <w:div w:id="2042902133">
                      <w:marLeft w:val="1"/>
                      <w:marRight w:val="1"/>
                      <w:marTop w:val="0"/>
                      <w:marBottom w:val="0"/>
                      <w:divBdr>
                        <w:top w:val="none" w:sz="0" w:space="0" w:color="auto"/>
                        <w:left w:val="none" w:sz="0" w:space="0" w:color="auto"/>
                        <w:bottom w:val="none" w:sz="0" w:space="0" w:color="auto"/>
                        <w:right w:val="none" w:sz="0" w:space="0" w:color="auto"/>
                      </w:divBdr>
                      <w:divsChild>
                        <w:div w:id="313070029">
                          <w:marLeft w:val="0"/>
                          <w:marRight w:val="0"/>
                          <w:marTop w:val="0"/>
                          <w:marBottom w:val="0"/>
                          <w:divBdr>
                            <w:top w:val="none" w:sz="0" w:space="0" w:color="auto"/>
                            <w:left w:val="none" w:sz="0" w:space="0" w:color="auto"/>
                            <w:bottom w:val="none" w:sz="0" w:space="0" w:color="auto"/>
                            <w:right w:val="none" w:sz="0" w:space="0" w:color="auto"/>
                          </w:divBdr>
                          <w:divsChild>
                            <w:div w:id="56709099">
                              <w:marLeft w:val="0"/>
                              <w:marRight w:val="0"/>
                              <w:marTop w:val="0"/>
                              <w:marBottom w:val="360"/>
                              <w:divBdr>
                                <w:top w:val="none" w:sz="0" w:space="0" w:color="auto"/>
                                <w:left w:val="none" w:sz="0" w:space="0" w:color="auto"/>
                                <w:bottom w:val="none" w:sz="0" w:space="0" w:color="auto"/>
                                <w:right w:val="none" w:sz="0" w:space="0" w:color="auto"/>
                              </w:divBdr>
                              <w:divsChild>
                                <w:div w:id="174539664">
                                  <w:marLeft w:val="0"/>
                                  <w:marRight w:val="0"/>
                                  <w:marTop w:val="0"/>
                                  <w:marBottom w:val="0"/>
                                  <w:divBdr>
                                    <w:top w:val="none" w:sz="0" w:space="0" w:color="auto"/>
                                    <w:left w:val="none" w:sz="0" w:space="0" w:color="auto"/>
                                    <w:bottom w:val="none" w:sz="0" w:space="0" w:color="auto"/>
                                    <w:right w:val="none" w:sz="0" w:space="0" w:color="auto"/>
                                  </w:divBdr>
                                  <w:divsChild>
                                    <w:div w:id="169668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1860352">
      <w:bodyDiv w:val="1"/>
      <w:marLeft w:val="0"/>
      <w:marRight w:val="0"/>
      <w:marTop w:val="0"/>
      <w:marBottom w:val="0"/>
      <w:divBdr>
        <w:top w:val="none" w:sz="0" w:space="0" w:color="auto"/>
        <w:left w:val="none" w:sz="0" w:space="0" w:color="auto"/>
        <w:bottom w:val="none" w:sz="0" w:space="0" w:color="auto"/>
        <w:right w:val="none" w:sz="0" w:space="0" w:color="auto"/>
      </w:divBdr>
    </w:div>
    <w:div w:id="323507474">
      <w:bodyDiv w:val="1"/>
      <w:marLeft w:val="0"/>
      <w:marRight w:val="0"/>
      <w:marTop w:val="0"/>
      <w:marBottom w:val="0"/>
      <w:divBdr>
        <w:top w:val="none" w:sz="0" w:space="0" w:color="auto"/>
        <w:left w:val="none" w:sz="0" w:space="0" w:color="auto"/>
        <w:bottom w:val="none" w:sz="0" w:space="0" w:color="auto"/>
        <w:right w:val="none" w:sz="0" w:space="0" w:color="auto"/>
      </w:divBdr>
    </w:div>
    <w:div w:id="331027701">
      <w:bodyDiv w:val="1"/>
      <w:marLeft w:val="0"/>
      <w:marRight w:val="0"/>
      <w:marTop w:val="0"/>
      <w:marBottom w:val="0"/>
      <w:divBdr>
        <w:top w:val="none" w:sz="0" w:space="0" w:color="auto"/>
        <w:left w:val="none" w:sz="0" w:space="0" w:color="auto"/>
        <w:bottom w:val="none" w:sz="0" w:space="0" w:color="auto"/>
        <w:right w:val="none" w:sz="0" w:space="0" w:color="auto"/>
      </w:divBdr>
    </w:div>
    <w:div w:id="338392314">
      <w:bodyDiv w:val="1"/>
      <w:marLeft w:val="0"/>
      <w:marRight w:val="0"/>
      <w:marTop w:val="0"/>
      <w:marBottom w:val="0"/>
      <w:divBdr>
        <w:top w:val="none" w:sz="0" w:space="0" w:color="auto"/>
        <w:left w:val="none" w:sz="0" w:space="0" w:color="auto"/>
        <w:bottom w:val="none" w:sz="0" w:space="0" w:color="auto"/>
        <w:right w:val="none" w:sz="0" w:space="0" w:color="auto"/>
      </w:divBdr>
    </w:div>
    <w:div w:id="358971831">
      <w:bodyDiv w:val="1"/>
      <w:marLeft w:val="0"/>
      <w:marRight w:val="0"/>
      <w:marTop w:val="0"/>
      <w:marBottom w:val="0"/>
      <w:divBdr>
        <w:top w:val="none" w:sz="0" w:space="0" w:color="auto"/>
        <w:left w:val="none" w:sz="0" w:space="0" w:color="auto"/>
        <w:bottom w:val="none" w:sz="0" w:space="0" w:color="auto"/>
        <w:right w:val="none" w:sz="0" w:space="0" w:color="auto"/>
      </w:divBdr>
    </w:div>
    <w:div w:id="423503953">
      <w:bodyDiv w:val="1"/>
      <w:marLeft w:val="0"/>
      <w:marRight w:val="0"/>
      <w:marTop w:val="0"/>
      <w:marBottom w:val="0"/>
      <w:divBdr>
        <w:top w:val="none" w:sz="0" w:space="0" w:color="auto"/>
        <w:left w:val="none" w:sz="0" w:space="0" w:color="auto"/>
        <w:bottom w:val="none" w:sz="0" w:space="0" w:color="auto"/>
        <w:right w:val="none" w:sz="0" w:space="0" w:color="auto"/>
      </w:divBdr>
    </w:div>
    <w:div w:id="427044166">
      <w:bodyDiv w:val="1"/>
      <w:marLeft w:val="0"/>
      <w:marRight w:val="0"/>
      <w:marTop w:val="0"/>
      <w:marBottom w:val="0"/>
      <w:divBdr>
        <w:top w:val="none" w:sz="0" w:space="0" w:color="auto"/>
        <w:left w:val="none" w:sz="0" w:space="0" w:color="auto"/>
        <w:bottom w:val="none" w:sz="0" w:space="0" w:color="auto"/>
        <w:right w:val="none" w:sz="0" w:space="0" w:color="auto"/>
      </w:divBdr>
    </w:div>
    <w:div w:id="429551071">
      <w:bodyDiv w:val="1"/>
      <w:marLeft w:val="0"/>
      <w:marRight w:val="0"/>
      <w:marTop w:val="0"/>
      <w:marBottom w:val="0"/>
      <w:divBdr>
        <w:top w:val="none" w:sz="0" w:space="0" w:color="auto"/>
        <w:left w:val="none" w:sz="0" w:space="0" w:color="auto"/>
        <w:bottom w:val="none" w:sz="0" w:space="0" w:color="auto"/>
        <w:right w:val="none" w:sz="0" w:space="0" w:color="auto"/>
      </w:divBdr>
    </w:div>
    <w:div w:id="438567990">
      <w:bodyDiv w:val="1"/>
      <w:marLeft w:val="0"/>
      <w:marRight w:val="0"/>
      <w:marTop w:val="0"/>
      <w:marBottom w:val="0"/>
      <w:divBdr>
        <w:top w:val="none" w:sz="0" w:space="0" w:color="auto"/>
        <w:left w:val="none" w:sz="0" w:space="0" w:color="auto"/>
        <w:bottom w:val="none" w:sz="0" w:space="0" w:color="auto"/>
        <w:right w:val="none" w:sz="0" w:space="0" w:color="auto"/>
      </w:divBdr>
    </w:div>
    <w:div w:id="450710924">
      <w:bodyDiv w:val="1"/>
      <w:marLeft w:val="0"/>
      <w:marRight w:val="0"/>
      <w:marTop w:val="0"/>
      <w:marBottom w:val="0"/>
      <w:divBdr>
        <w:top w:val="none" w:sz="0" w:space="0" w:color="auto"/>
        <w:left w:val="none" w:sz="0" w:space="0" w:color="auto"/>
        <w:bottom w:val="none" w:sz="0" w:space="0" w:color="auto"/>
        <w:right w:val="none" w:sz="0" w:space="0" w:color="auto"/>
      </w:divBdr>
    </w:div>
    <w:div w:id="459080923">
      <w:bodyDiv w:val="1"/>
      <w:marLeft w:val="0"/>
      <w:marRight w:val="0"/>
      <w:marTop w:val="0"/>
      <w:marBottom w:val="0"/>
      <w:divBdr>
        <w:top w:val="none" w:sz="0" w:space="0" w:color="auto"/>
        <w:left w:val="none" w:sz="0" w:space="0" w:color="auto"/>
        <w:bottom w:val="none" w:sz="0" w:space="0" w:color="auto"/>
        <w:right w:val="none" w:sz="0" w:space="0" w:color="auto"/>
      </w:divBdr>
    </w:div>
    <w:div w:id="473566237">
      <w:bodyDiv w:val="1"/>
      <w:marLeft w:val="0"/>
      <w:marRight w:val="0"/>
      <w:marTop w:val="0"/>
      <w:marBottom w:val="0"/>
      <w:divBdr>
        <w:top w:val="none" w:sz="0" w:space="0" w:color="auto"/>
        <w:left w:val="none" w:sz="0" w:space="0" w:color="auto"/>
        <w:bottom w:val="none" w:sz="0" w:space="0" w:color="auto"/>
        <w:right w:val="none" w:sz="0" w:space="0" w:color="auto"/>
      </w:divBdr>
    </w:div>
    <w:div w:id="494608164">
      <w:bodyDiv w:val="1"/>
      <w:marLeft w:val="0"/>
      <w:marRight w:val="0"/>
      <w:marTop w:val="0"/>
      <w:marBottom w:val="0"/>
      <w:divBdr>
        <w:top w:val="none" w:sz="0" w:space="0" w:color="auto"/>
        <w:left w:val="none" w:sz="0" w:space="0" w:color="auto"/>
        <w:bottom w:val="none" w:sz="0" w:space="0" w:color="auto"/>
        <w:right w:val="none" w:sz="0" w:space="0" w:color="auto"/>
      </w:divBdr>
    </w:div>
    <w:div w:id="510920852">
      <w:bodyDiv w:val="1"/>
      <w:marLeft w:val="0"/>
      <w:marRight w:val="0"/>
      <w:marTop w:val="0"/>
      <w:marBottom w:val="0"/>
      <w:divBdr>
        <w:top w:val="none" w:sz="0" w:space="0" w:color="auto"/>
        <w:left w:val="none" w:sz="0" w:space="0" w:color="auto"/>
        <w:bottom w:val="none" w:sz="0" w:space="0" w:color="auto"/>
        <w:right w:val="none" w:sz="0" w:space="0" w:color="auto"/>
      </w:divBdr>
    </w:div>
    <w:div w:id="521238085">
      <w:bodyDiv w:val="1"/>
      <w:marLeft w:val="0"/>
      <w:marRight w:val="0"/>
      <w:marTop w:val="0"/>
      <w:marBottom w:val="0"/>
      <w:divBdr>
        <w:top w:val="none" w:sz="0" w:space="0" w:color="auto"/>
        <w:left w:val="none" w:sz="0" w:space="0" w:color="auto"/>
        <w:bottom w:val="none" w:sz="0" w:space="0" w:color="auto"/>
        <w:right w:val="none" w:sz="0" w:space="0" w:color="auto"/>
      </w:divBdr>
    </w:div>
    <w:div w:id="556748196">
      <w:bodyDiv w:val="1"/>
      <w:marLeft w:val="0"/>
      <w:marRight w:val="0"/>
      <w:marTop w:val="0"/>
      <w:marBottom w:val="0"/>
      <w:divBdr>
        <w:top w:val="none" w:sz="0" w:space="0" w:color="auto"/>
        <w:left w:val="none" w:sz="0" w:space="0" w:color="auto"/>
        <w:bottom w:val="none" w:sz="0" w:space="0" w:color="auto"/>
        <w:right w:val="none" w:sz="0" w:space="0" w:color="auto"/>
      </w:divBdr>
    </w:div>
    <w:div w:id="559950570">
      <w:bodyDiv w:val="1"/>
      <w:marLeft w:val="0"/>
      <w:marRight w:val="0"/>
      <w:marTop w:val="0"/>
      <w:marBottom w:val="0"/>
      <w:divBdr>
        <w:top w:val="none" w:sz="0" w:space="0" w:color="auto"/>
        <w:left w:val="none" w:sz="0" w:space="0" w:color="auto"/>
        <w:bottom w:val="none" w:sz="0" w:space="0" w:color="auto"/>
        <w:right w:val="none" w:sz="0" w:space="0" w:color="auto"/>
      </w:divBdr>
    </w:div>
    <w:div w:id="563033020">
      <w:bodyDiv w:val="1"/>
      <w:marLeft w:val="0"/>
      <w:marRight w:val="0"/>
      <w:marTop w:val="0"/>
      <w:marBottom w:val="0"/>
      <w:divBdr>
        <w:top w:val="none" w:sz="0" w:space="0" w:color="auto"/>
        <w:left w:val="none" w:sz="0" w:space="0" w:color="auto"/>
        <w:bottom w:val="none" w:sz="0" w:space="0" w:color="auto"/>
        <w:right w:val="none" w:sz="0" w:space="0" w:color="auto"/>
      </w:divBdr>
      <w:divsChild>
        <w:div w:id="402873056">
          <w:marLeft w:val="0"/>
          <w:marRight w:val="57"/>
          <w:marTop w:val="0"/>
          <w:marBottom w:val="120"/>
          <w:divBdr>
            <w:top w:val="none" w:sz="0" w:space="0" w:color="auto"/>
            <w:left w:val="none" w:sz="0" w:space="0" w:color="auto"/>
            <w:bottom w:val="none" w:sz="0" w:space="0" w:color="auto"/>
            <w:right w:val="none" w:sz="0" w:space="0" w:color="auto"/>
          </w:divBdr>
          <w:divsChild>
            <w:div w:id="714431705">
              <w:marLeft w:val="0"/>
              <w:marRight w:val="0"/>
              <w:marTop w:val="0"/>
              <w:marBottom w:val="0"/>
              <w:divBdr>
                <w:top w:val="none" w:sz="0" w:space="0" w:color="auto"/>
                <w:left w:val="none" w:sz="0" w:space="0" w:color="auto"/>
                <w:bottom w:val="none" w:sz="0" w:space="0" w:color="auto"/>
                <w:right w:val="none" w:sz="0" w:space="0" w:color="auto"/>
              </w:divBdr>
            </w:div>
          </w:divsChild>
        </w:div>
        <w:div w:id="538124995">
          <w:marLeft w:val="0"/>
          <w:marRight w:val="57"/>
          <w:marTop w:val="0"/>
          <w:marBottom w:val="120"/>
          <w:divBdr>
            <w:top w:val="none" w:sz="0" w:space="0" w:color="auto"/>
            <w:left w:val="none" w:sz="0" w:space="0" w:color="auto"/>
            <w:bottom w:val="none" w:sz="0" w:space="0" w:color="auto"/>
            <w:right w:val="none" w:sz="0" w:space="0" w:color="auto"/>
          </w:divBdr>
          <w:divsChild>
            <w:div w:id="1585526328">
              <w:marLeft w:val="0"/>
              <w:marRight w:val="0"/>
              <w:marTop w:val="0"/>
              <w:marBottom w:val="0"/>
              <w:divBdr>
                <w:top w:val="none" w:sz="0" w:space="0" w:color="auto"/>
                <w:left w:val="none" w:sz="0" w:space="0" w:color="auto"/>
                <w:bottom w:val="none" w:sz="0" w:space="0" w:color="auto"/>
                <w:right w:val="none" w:sz="0" w:space="0" w:color="auto"/>
              </w:divBdr>
            </w:div>
          </w:divsChild>
        </w:div>
        <w:div w:id="864294352">
          <w:marLeft w:val="0"/>
          <w:marRight w:val="57"/>
          <w:marTop w:val="0"/>
          <w:marBottom w:val="120"/>
          <w:divBdr>
            <w:top w:val="none" w:sz="0" w:space="0" w:color="auto"/>
            <w:left w:val="none" w:sz="0" w:space="0" w:color="auto"/>
            <w:bottom w:val="none" w:sz="0" w:space="0" w:color="auto"/>
            <w:right w:val="none" w:sz="0" w:space="0" w:color="auto"/>
          </w:divBdr>
          <w:divsChild>
            <w:div w:id="1561360514">
              <w:marLeft w:val="0"/>
              <w:marRight w:val="0"/>
              <w:marTop w:val="0"/>
              <w:marBottom w:val="0"/>
              <w:divBdr>
                <w:top w:val="none" w:sz="0" w:space="0" w:color="auto"/>
                <w:left w:val="none" w:sz="0" w:space="0" w:color="auto"/>
                <w:bottom w:val="none" w:sz="0" w:space="0" w:color="auto"/>
                <w:right w:val="none" w:sz="0" w:space="0" w:color="auto"/>
              </w:divBdr>
            </w:div>
          </w:divsChild>
        </w:div>
        <w:div w:id="1654337395">
          <w:marLeft w:val="0"/>
          <w:marRight w:val="57"/>
          <w:marTop w:val="0"/>
          <w:marBottom w:val="120"/>
          <w:divBdr>
            <w:top w:val="none" w:sz="0" w:space="0" w:color="auto"/>
            <w:left w:val="none" w:sz="0" w:space="0" w:color="auto"/>
            <w:bottom w:val="none" w:sz="0" w:space="0" w:color="auto"/>
            <w:right w:val="none" w:sz="0" w:space="0" w:color="auto"/>
          </w:divBdr>
          <w:divsChild>
            <w:div w:id="798305816">
              <w:marLeft w:val="0"/>
              <w:marRight w:val="0"/>
              <w:marTop w:val="0"/>
              <w:marBottom w:val="0"/>
              <w:divBdr>
                <w:top w:val="none" w:sz="0" w:space="0" w:color="auto"/>
                <w:left w:val="none" w:sz="0" w:space="0" w:color="auto"/>
                <w:bottom w:val="none" w:sz="0" w:space="0" w:color="auto"/>
                <w:right w:val="none" w:sz="0" w:space="0" w:color="auto"/>
              </w:divBdr>
            </w:div>
          </w:divsChild>
        </w:div>
        <w:div w:id="1981307548">
          <w:marLeft w:val="0"/>
          <w:marRight w:val="0"/>
          <w:marTop w:val="0"/>
          <w:marBottom w:val="0"/>
          <w:divBdr>
            <w:top w:val="none" w:sz="0" w:space="0" w:color="auto"/>
            <w:left w:val="none" w:sz="0" w:space="0" w:color="auto"/>
            <w:bottom w:val="none" w:sz="0" w:space="0" w:color="auto"/>
            <w:right w:val="none" w:sz="0" w:space="0" w:color="auto"/>
          </w:divBdr>
          <w:divsChild>
            <w:div w:id="671495241">
              <w:marLeft w:val="0"/>
              <w:marRight w:val="0"/>
              <w:marTop w:val="0"/>
              <w:marBottom w:val="0"/>
              <w:divBdr>
                <w:top w:val="none" w:sz="0" w:space="0" w:color="auto"/>
                <w:left w:val="none" w:sz="0" w:space="0" w:color="auto"/>
                <w:bottom w:val="none" w:sz="0" w:space="0" w:color="auto"/>
                <w:right w:val="none" w:sz="0" w:space="0" w:color="auto"/>
              </w:divBdr>
              <w:divsChild>
                <w:div w:id="676538205">
                  <w:marLeft w:val="0"/>
                  <w:marRight w:val="57"/>
                  <w:marTop w:val="0"/>
                  <w:marBottom w:val="0"/>
                  <w:divBdr>
                    <w:top w:val="none" w:sz="0" w:space="0" w:color="auto"/>
                    <w:left w:val="none" w:sz="0" w:space="0" w:color="auto"/>
                    <w:bottom w:val="none" w:sz="0" w:space="0" w:color="auto"/>
                    <w:right w:val="none" w:sz="0" w:space="0" w:color="auto"/>
                  </w:divBdr>
                  <w:divsChild>
                    <w:div w:id="191310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2766638">
      <w:bodyDiv w:val="1"/>
      <w:marLeft w:val="0"/>
      <w:marRight w:val="0"/>
      <w:marTop w:val="0"/>
      <w:marBottom w:val="0"/>
      <w:divBdr>
        <w:top w:val="none" w:sz="0" w:space="0" w:color="auto"/>
        <w:left w:val="none" w:sz="0" w:space="0" w:color="auto"/>
        <w:bottom w:val="none" w:sz="0" w:space="0" w:color="auto"/>
        <w:right w:val="none" w:sz="0" w:space="0" w:color="auto"/>
      </w:divBdr>
    </w:div>
    <w:div w:id="594749731">
      <w:bodyDiv w:val="1"/>
      <w:marLeft w:val="0"/>
      <w:marRight w:val="0"/>
      <w:marTop w:val="0"/>
      <w:marBottom w:val="0"/>
      <w:divBdr>
        <w:top w:val="none" w:sz="0" w:space="0" w:color="auto"/>
        <w:left w:val="none" w:sz="0" w:space="0" w:color="auto"/>
        <w:bottom w:val="none" w:sz="0" w:space="0" w:color="auto"/>
        <w:right w:val="none" w:sz="0" w:space="0" w:color="auto"/>
      </w:divBdr>
    </w:div>
    <w:div w:id="608925821">
      <w:bodyDiv w:val="1"/>
      <w:marLeft w:val="0"/>
      <w:marRight w:val="0"/>
      <w:marTop w:val="0"/>
      <w:marBottom w:val="0"/>
      <w:divBdr>
        <w:top w:val="none" w:sz="0" w:space="0" w:color="auto"/>
        <w:left w:val="none" w:sz="0" w:space="0" w:color="auto"/>
        <w:bottom w:val="none" w:sz="0" w:space="0" w:color="auto"/>
        <w:right w:val="none" w:sz="0" w:space="0" w:color="auto"/>
      </w:divBdr>
    </w:div>
    <w:div w:id="610363219">
      <w:bodyDiv w:val="1"/>
      <w:marLeft w:val="0"/>
      <w:marRight w:val="0"/>
      <w:marTop w:val="0"/>
      <w:marBottom w:val="0"/>
      <w:divBdr>
        <w:top w:val="none" w:sz="0" w:space="0" w:color="auto"/>
        <w:left w:val="none" w:sz="0" w:space="0" w:color="auto"/>
        <w:bottom w:val="none" w:sz="0" w:space="0" w:color="auto"/>
        <w:right w:val="none" w:sz="0" w:space="0" w:color="auto"/>
      </w:divBdr>
    </w:div>
    <w:div w:id="611479439">
      <w:bodyDiv w:val="1"/>
      <w:marLeft w:val="0"/>
      <w:marRight w:val="0"/>
      <w:marTop w:val="0"/>
      <w:marBottom w:val="0"/>
      <w:divBdr>
        <w:top w:val="none" w:sz="0" w:space="0" w:color="auto"/>
        <w:left w:val="none" w:sz="0" w:space="0" w:color="auto"/>
        <w:bottom w:val="none" w:sz="0" w:space="0" w:color="auto"/>
        <w:right w:val="none" w:sz="0" w:space="0" w:color="auto"/>
      </w:divBdr>
    </w:div>
    <w:div w:id="612444234">
      <w:bodyDiv w:val="1"/>
      <w:marLeft w:val="0"/>
      <w:marRight w:val="0"/>
      <w:marTop w:val="0"/>
      <w:marBottom w:val="0"/>
      <w:divBdr>
        <w:top w:val="none" w:sz="0" w:space="0" w:color="auto"/>
        <w:left w:val="none" w:sz="0" w:space="0" w:color="auto"/>
        <w:bottom w:val="none" w:sz="0" w:space="0" w:color="auto"/>
        <w:right w:val="none" w:sz="0" w:space="0" w:color="auto"/>
      </w:divBdr>
    </w:div>
    <w:div w:id="625236905">
      <w:bodyDiv w:val="1"/>
      <w:marLeft w:val="0"/>
      <w:marRight w:val="0"/>
      <w:marTop w:val="0"/>
      <w:marBottom w:val="0"/>
      <w:divBdr>
        <w:top w:val="none" w:sz="0" w:space="0" w:color="auto"/>
        <w:left w:val="none" w:sz="0" w:space="0" w:color="auto"/>
        <w:bottom w:val="none" w:sz="0" w:space="0" w:color="auto"/>
        <w:right w:val="none" w:sz="0" w:space="0" w:color="auto"/>
      </w:divBdr>
    </w:div>
    <w:div w:id="628046968">
      <w:bodyDiv w:val="1"/>
      <w:marLeft w:val="0"/>
      <w:marRight w:val="0"/>
      <w:marTop w:val="0"/>
      <w:marBottom w:val="0"/>
      <w:divBdr>
        <w:top w:val="none" w:sz="0" w:space="0" w:color="auto"/>
        <w:left w:val="none" w:sz="0" w:space="0" w:color="auto"/>
        <w:bottom w:val="none" w:sz="0" w:space="0" w:color="auto"/>
        <w:right w:val="none" w:sz="0" w:space="0" w:color="auto"/>
      </w:divBdr>
    </w:div>
    <w:div w:id="635182893">
      <w:bodyDiv w:val="1"/>
      <w:marLeft w:val="0"/>
      <w:marRight w:val="0"/>
      <w:marTop w:val="0"/>
      <w:marBottom w:val="0"/>
      <w:divBdr>
        <w:top w:val="none" w:sz="0" w:space="0" w:color="auto"/>
        <w:left w:val="none" w:sz="0" w:space="0" w:color="auto"/>
        <w:bottom w:val="none" w:sz="0" w:space="0" w:color="auto"/>
        <w:right w:val="none" w:sz="0" w:space="0" w:color="auto"/>
      </w:divBdr>
    </w:div>
    <w:div w:id="636566366">
      <w:bodyDiv w:val="1"/>
      <w:marLeft w:val="0"/>
      <w:marRight w:val="0"/>
      <w:marTop w:val="0"/>
      <w:marBottom w:val="0"/>
      <w:divBdr>
        <w:top w:val="none" w:sz="0" w:space="0" w:color="auto"/>
        <w:left w:val="none" w:sz="0" w:space="0" w:color="auto"/>
        <w:bottom w:val="none" w:sz="0" w:space="0" w:color="auto"/>
        <w:right w:val="none" w:sz="0" w:space="0" w:color="auto"/>
      </w:divBdr>
    </w:div>
    <w:div w:id="670177736">
      <w:bodyDiv w:val="1"/>
      <w:marLeft w:val="0"/>
      <w:marRight w:val="0"/>
      <w:marTop w:val="0"/>
      <w:marBottom w:val="0"/>
      <w:divBdr>
        <w:top w:val="none" w:sz="0" w:space="0" w:color="auto"/>
        <w:left w:val="none" w:sz="0" w:space="0" w:color="auto"/>
        <w:bottom w:val="none" w:sz="0" w:space="0" w:color="auto"/>
        <w:right w:val="none" w:sz="0" w:space="0" w:color="auto"/>
      </w:divBdr>
    </w:div>
    <w:div w:id="686294537">
      <w:bodyDiv w:val="1"/>
      <w:marLeft w:val="0"/>
      <w:marRight w:val="0"/>
      <w:marTop w:val="0"/>
      <w:marBottom w:val="0"/>
      <w:divBdr>
        <w:top w:val="none" w:sz="0" w:space="0" w:color="auto"/>
        <w:left w:val="none" w:sz="0" w:space="0" w:color="auto"/>
        <w:bottom w:val="none" w:sz="0" w:space="0" w:color="auto"/>
        <w:right w:val="none" w:sz="0" w:space="0" w:color="auto"/>
      </w:divBdr>
    </w:div>
    <w:div w:id="706564682">
      <w:bodyDiv w:val="1"/>
      <w:marLeft w:val="0"/>
      <w:marRight w:val="0"/>
      <w:marTop w:val="0"/>
      <w:marBottom w:val="0"/>
      <w:divBdr>
        <w:top w:val="none" w:sz="0" w:space="0" w:color="auto"/>
        <w:left w:val="none" w:sz="0" w:space="0" w:color="auto"/>
        <w:bottom w:val="none" w:sz="0" w:space="0" w:color="auto"/>
        <w:right w:val="none" w:sz="0" w:space="0" w:color="auto"/>
      </w:divBdr>
      <w:divsChild>
        <w:div w:id="1599631279">
          <w:marLeft w:val="0"/>
          <w:marRight w:val="0"/>
          <w:marTop w:val="0"/>
          <w:marBottom w:val="0"/>
          <w:divBdr>
            <w:top w:val="none" w:sz="0" w:space="0" w:color="auto"/>
            <w:left w:val="none" w:sz="0" w:space="0" w:color="auto"/>
            <w:bottom w:val="none" w:sz="0" w:space="0" w:color="auto"/>
            <w:right w:val="none" w:sz="0" w:space="0" w:color="auto"/>
          </w:divBdr>
          <w:divsChild>
            <w:div w:id="1889148576">
              <w:marLeft w:val="0"/>
              <w:marRight w:val="0"/>
              <w:marTop w:val="0"/>
              <w:marBottom w:val="0"/>
              <w:divBdr>
                <w:top w:val="none" w:sz="0" w:space="0" w:color="auto"/>
                <w:left w:val="none" w:sz="0" w:space="0" w:color="auto"/>
                <w:bottom w:val="none" w:sz="0" w:space="0" w:color="auto"/>
                <w:right w:val="none" w:sz="0" w:space="0" w:color="auto"/>
              </w:divBdr>
              <w:divsChild>
                <w:div w:id="4529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072835">
      <w:bodyDiv w:val="1"/>
      <w:marLeft w:val="0"/>
      <w:marRight w:val="0"/>
      <w:marTop w:val="0"/>
      <w:marBottom w:val="0"/>
      <w:divBdr>
        <w:top w:val="none" w:sz="0" w:space="0" w:color="auto"/>
        <w:left w:val="none" w:sz="0" w:space="0" w:color="auto"/>
        <w:bottom w:val="none" w:sz="0" w:space="0" w:color="auto"/>
        <w:right w:val="none" w:sz="0" w:space="0" w:color="auto"/>
      </w:divBdr>
    </w:div>
    <w:div w:id="712848530">
      <w:bodyDiv w:val="1"/>
      <w:marLeft w:val="0"/>
      <w:marRight w:val="0"/>
      <w:marTop w:val="0"/>
      <w:marBottom w:val="0"/>
      <w:divBdr>
        <w:top w:val="none" w:sz="0" w:space="0" w:color="auto"/>
        <w:left w:val="none" w:sz="0" w:space="0" w:color="auto"/>
        <w:bottom w:val="none" w:sz="0" w:space="0" w:color="auto"/>
        <w:right w:val="none" w:sz="0" w:space="0" w:color="auto"/>
      </w:divBdr>
    </w:div>
    <w:div w:id="712924809">
      <w:bodyDiv w:val="1"/>
      <w:marLeft w:val="0"/>
      <w:marRight w:val="0"/>
      <w:marTop w:val="0"/>
      <w:marBottom w:val="0"/>
      <w:divBdr>
        <w:top w:val="none" w:sz="0" w:space="0" w:color="auto"/>
        <w:left w:val="none" w:sz="0" w:space="0" w:color="auto"/>
        <w:bottom w:val="none" w:sz="0" w:space="0" w:color="auto"/>
        <w:right w:val="none" w:sz="0" w:space="0" w:color="auto"/>
      </w:divBdr>
    </w:div>
    <w:div w:id="713501581">
      <w:bodyDiv w:val="1"/>
      <w:marLeft w:val="0"/>
      <w:marRight w:val="0"/>
      <w:marTop w:val="0"/>
      <w:marBottom w:val="0"/>
      <w:divBdr>
        <w:top w:val="none" w:sz="0" w:space="0" w:color="auto"/>
        <w:left w:val="none" w:sz="0" w:space="0" w:color="auto"/>
        <w:bottom w:val="none" w:sz="0" w:space="0" w:color="auto"/>
        <w:right w:val="none" w:sz="0" w:space="0" w:color="auto"/>
      </w:divBdr>
    </w:div>
    <w:div w:id="724111328">
      <w:bodyDiv w:val="1"/>
      <w:marLeft w:val="0"/>
      <w:marRight w:val="0"/>
      <w:marTop w:val="0"/>
      <w:marBottom w:val="0"/>
      <w:divBdr>
        <w:top w:val="none" w:sz="0" w:space="0" w:color="auto"/>
        <w:left w:val="none" w:sz="0" w:space="0" w:color="auto"/>
        <w:bottom w:val="none" w:sz="0" w:space="0" w:color="auto"/>
        <w:right w:val="none" w:sz="0" w:space="0" w:color="auto"/>
      </w:divBdr>
    </w:div>
    <w:div w:id="747574846">
      <w:bodyDiv w:val="1"/>
      <w:marLeft w:val="0"/>
      <w:marRight w:val="0"/>
      <w:marTop w:val="0"/>
      <w:marBottom w:val="0"/>
      <w:divBdr>
        <w:top w:val="none" w:sz="0" w:space="0" w:color="auto"/>
        <w:left w:val="none" w:sz="0" w:space="0" w:color="auto"/>
        <w:bottom w:val="none" w:sz="0" w:space="0" w:color="auto"/>
        <w:right w:val="none" w:sz="0" w:space="0" w:color="auto"/>
      </w:divBdr>
    </w:div>
    <w:div w:id="773481064">
      <w:bodyDiv w:val="1"/>
      <w:marLeft w:val="0"/>
      <w:marRight w:val="0"/>
      <w:marTop w:val="0"/>
      <w:marBottom w:val="0"/>
      <w:divBdr>
        <w:top w:val="none" w:sz="0" w:space="0" w:color="auto"/>
        <w:left w:val="none" w:sz="0" w:space="0" w:color="auto"/>
        <w:bottom w:val="none" w:sz="0" w:space="0" w:color="auto"/>
        <w:right w:val="none" w:sz="0" w:space="0" w:color="auto"/>
      </w:divBdr>
    </w:div>
    <w:div w:id="781143708">
      <w:bodyDiv w:val="1"/>
      <w:marLeft w:val="0"/>
      <w:marRight w:val="0"/>
      <w:marTop w:val="0"/>
      <w:marBottom w:val="0"/>
      <w:divBdr>
        <w:top w:val="none" w:sz="0" w:space="0" w:color="auto"/>
        <w:left w:val="none" w:sz="0" w:space="0" w:color="auto"/>
        <w:bottom w:val="none" w:sz="0" w:space="0" w:color="auto"/>
        <w:right w:val="none" w:sz="0" w:space="0" w:color="auto"/>
      </w:divBdr>
    </w:div>
    <w:div w:id="801465275">
      <w:bodyDiv w:val="1"/>
      <w:marLeft w:val="0"/>
      <w:marRight w:val="0"/>
      <w:marTop w:val="0"/>
      <w:marBottom w:val="0"/>
      <w:divBdr>
        <w:top w:val="none" w:sz="0" w:space="0" w:color="auto"/>
        <w:left w:val="none" w:sz="0" w:space="0" w:color="auto"/>
        <w:bottom w:val="none" w:sz="0" w:space="0" w:color="auto"/>
        <w:right w:val="none" w:sz="0" w:space="0" w:color="auto"/>
      </w:divBdr>
    </w:div>
    <w:div w:id="811606132">
      <w:bodyDiv w:val="1"/>
      <w:marLeft w:val="0"/>
      <w:marRight w:val="0"/>
      <w:marTop w:val="0"/>
      <w:marBottom w:val="0"/>
      <w:divBdr>
        <w:top w:val="none" w:sz="0" w:space="0" w:color="auto"/>
        <w:left w:val="none" w:sz="0" w:space="0" w:color="auto"/>
        <w:bottom w:val="none" w:sz="0" w:space="0" w:color="auto"/>
        <w:right w:val="none" w:sz="0" w:space="0" w:color="auto"/>
      </w:divBdr>
    </w:div>
    <w:div w:id="814102917">
      <w:bodyDiv w:val="1"/>
      <w:marLeft w:val="0"/>
      <w:marRight w:val="0"/>
      <w:marTop w:val="0"/>
      <w:marBottom w:val="0"/>
      <w:divBdr>
        <w:top w:val="none" w:sz="0" w:space="0" w:color="auto"/>
        <w:left w:val="none" w:sz="0" w:space="0" w:color="auto"/>
        <w:bottom w:val="none" w:sz="0" w:space="0" w:color="auto"/>
        <w:right w:val="none" w:sz="0" w:space="0" w:color="auto"/>
      </w:divBdr>
    </w:div>
    <w:div w:id="820081145">
      <w:bodyDiv w:val="1"/>
      <w:marLeft w:val="0"/>
      <w:marRight w:val="0"/>
      <w:marTop w:val="0"/>
      <w:marBottom w:val="0"/>
      <w:divBdr>
        <w:top w:val="none" w:sz="0" w:space="0" w:color="auto"/>
        <w:left w:val="none" w:sz="0" w:space="0" w:color="auto"/>
        <w:bottom w:val="none" w:sz="0" w:space="0" w:color="auto"/>
        <w:right w:val="none" w:sz="0" w:space="0" w:color="auto"/>
      </w:divBdr>
    </w:div>
    <w:div w:id="889724861">
      <w:bodyDiv w:val="1"/>
      <w:marLeft w:val="0"/>
      <w:marRight w:val="0"/>
      <w:marTop w:val="0"/>
      <w:marBottom w:val="0"/>
      <w:divBdr>
        <w:top w:val="none" w:sz="0" w:space="0" w:color="auto"/>
        <w:left w:val="none" w:sz="0" w:space="0" w:color="auto"/>
        <w:bottom w:val="none" w:sz="0" w:space="0" w:color="auto"/>
        <w:right w:val="none" w:sz="0" w:space="0" w:color="auto"/>
      </w:divBdr>
    </w:div>
    <w:div w:id="908541519">
      <w:bodyDiv w:val="1"/>
      <w:marLeft w:val="0"/>
      <w:marRight w:val="0"/>
      <w:marTop w:val="0"/>
      <w:marBottom w:val="0"/>
      <w:divBdr>
        <w:top w:val="none" w:sz="0" w:space="0" w:color="auto"/>
        <w:left w:val="none" w:sz="0" w:space="0" w:color="auto"/>
        <w:bottom w:val="none" w:sz="0" w:space="0" w:color="auto"/>
        <w:right w:val="none" w:sz="0" w:space="0" w:color="auto"/>
      </w:divBdr>
    </w:div>
    <w:div w:id="912550334">
      <w:bodyDiv w:val="1"/>
      <w:marLeft w:val="0"/>
      <w:marRight w:val="0"/>
      <w:marTop w:val="0"/>
      <w:marBottom w:val="0"/>
      <w:divBdr>
        <w:top w:val="none" w:sz="0" w:space="0" w:color="auto"/>
        <w:left w:val="none" w:sz="0" w:space="0" w:color="auto"/>
        <w:bottom w:val="none" w:sz="0" w:space="0" w:color="auto"/>
        <w:right w:val="none" w:sz="0" w:space="0" w:color="auto"/>
      </w:divBdr>
    </w:div>
    <w:div w:id="919220001">
      <w:bodyDiv w:val="1"/>
      <w:marLeft w:val="0"/>
      <w:marRight w:val="0"/>
      <w:marTop w:val="0"/>
      <w:marBottom w:val="0"/>
      <w:divBdr>
        <w:top w:val="none" w:sz="0" w:space="0" w:color="auto"/>
        <w:left w:val="none" w:sz="0" w:space="0" w:color="auto"/>
        <w:bottom w:val="none" w:sz="0" w:space="0" w:color="auto"/>
        <w:right w:val="none" w:sz="0" w:space="0" w:color="auto"/>
      </w:divBdr>
    </w:div>
    <w:div w:id="928271252">
      <w:bodyDiv w:val="1"/>
      <w:marLeft w:val="0"/>
      <w:marRight w:val="0"/>
      <w:marTop w:val="0"/>
      <w:marBottom w:val="0"/>
      <w:divBdr>
        <w:top w:val="none" w:sz="0" w:space="0" w:color="auto"/>
        <w:left w:val="none" w:sz="0" w:space="0" w:color="auto"/>
        <w:bottom w:val="none" w:sz="0" w:space="0" w:color="auto"/>
        <w:right w:val="none" w:sz="0" w:space="0" w:color="auto"/>
      </w:divBdr>
    </w:div>
    <w:div w:id="948702469">
      <w:bodyDiv w:val="1"/>
      <w:marLeft w:val="0"/>
      <w:marRight w:val="0"/>
      <w:marTop w:val="0"/>
      <w:marBottom w:val="0"/>
      <w:divBdr>
        <w:top w:val="none" w:sz="0" w:space="0" w:color="auto"/>
        <w:left w:val="none" w:sz="0" w:space="0" w:color="auto"/>
        <w:bottom w:val="none" w:sz="0" w:space="0" w:color="auto"/>
        <w:right w:val="none" w:sz="0" w:space="0" w:color="auto"/>
      </w:divBdr>
    </w:div>
    <w:div w:id="1015112231">
      <w:bodyDiv w:val="1"/>
      <w:marLeft w:val="0"/>
      <w:marRight w:val="0"/>
      <w:marTop w:val="0"/>
      <w:marBottom w:val="0"/>
      <w:divBdr>
        <w:top w:val="none" w:sz="0" w:space="0" w:color="auto"/>
        <w:left w:val="none" w:sz="0" w:space="0" w:color="auto"/>
        <w:bottom w:val="none" w:sz="0" w:space="0" w:color="auto"/>
        <w:right w:val="none" w:sz="0" w:space="0" w:color="auto"/>
      </w:divBdr>
    </w:div>
    <w:div w:id="1027678957">
      <w:bodyDiv w:val="1"/>
      <w:marLeft w:val="0"/>
      <w:marRight w:val="0"/>
      <w:marTop w:val="0"/>
      <w:marBottom w:val="0"/>
      <w:divBdr>
        <w:top w:val="none" w:sz="0" w:space="0" w:color="auto"/>
        <w:left w:val="none" w:sz="0" w:space="0" w:color="auto"/>
        <w:bottom w:val="none" w:sz="0" w:space="0" w:color="auto"/>
        <w:right w:val="none" w:sz="0" w:space="0" w:color="auto"/>
      </w:divBdr>
    </w:div>
    <w:div w:id="1034161304">
      <w:bodyDiv w:val="1"/>
      <w:marLeft w:val="0"/>
      <w:marRight w:val="0"/>
      <w:marTop w:val="0"/>
      <w:marBottom w:val="0"/>
      <w:divBdr>
        <w:top w:val="none" w:sz="0" w:space="0" w:color="auto"/>
        <w:left w:val="none" w:sz="0" w:space="0" w:color="auto"/>
        <w:bottom w:val="none" w:sz="0" w:space="0" w:color="auto"/>
        <w:right w:val="none" w:sz="0" w:space="0" w:color="auto"/>
      </w:divBdr>
    </w:div>
    <w:div w:id="1049649219">
      <w:bodyDiv w:val="1"/>
      <w:marLeft w:val="0"/>
      <w:marRight w:val="0"/>
      <w:marTop w:val="0"/>
      <w:marBottom w:val="0"/>
      <w:divBdr>
        <w:top w:val="none" w:sz="0" w:space="0" w:color="auto"/>
        <w:left w:val="none" w:sz="0" w:space="0" w:color="auto"/>
        <w:bottom w:val="none" w:sz="0" w:space="0" w:color="auto"/>
        <w:right w:val="none" w:sz="0" w:space="0" w:color="auto"/>
      </w:divBdr>
    </w:div>
    <w:div w:id="1090082006">
      <w:bodyDiv w:val="1"/>
      <w:marLeft w:val="0"/>
      <w:marRight w:val="0"/>
      <w:marTop w:val="0"/>
      <w:marBottom w:val="0"/>
      <w:divBdr>
        <w:top w:val="none" w:sz="0" w:space="0" w:color="auto"/>
        <w:left w:val="none" w:sz="0" w:space="0" w:color="auto"/>
        <w:bottom w:val="none" w:sz="0" w:space="0" w:color="auto"/>
        <w:right w:val="none" w:sz="0" w:space="0" w:color="auto"/>
      </w:divBdr>
    </w:div>
    <w:div w:id="1090348614">
      <w:bodyDiv w:val="1"/>
      <w:marLeft w:val="0"/>
      <w:marRight w:val="0"/>
      <w:marTop w:val="0"/>
      <w:marBottom w:val="0"/>
      <w:divBdr>
        <w:top w:val="none" w:sz="0" w:space="0" w:color="auto"/>
        <w:left w:val="none" w:sz="0" w:space="0" w:color="auto"/>
        <w:bottom w:val="none" w:sz="0" w:space="0" w:color="auto"/>
        <w:right w:val="none" w:sz="0" w:space="0" w:color="auto"/>
      </w:divBdr>
    </w:div>
    <w:div w:id="1096092154">
      <w:bodyDiv w:val="1"/>
      <w:marLeft w:val="0"/>
      <w:marRight w:val="0"/>
      <w:marTop w:val="0"/>
      <w:marBottom w:val="0"/>
      <w:divBdr>
        <w:top w:val="none" w:sz="0" w:space="0" w:color="auto"/>
        <w:left w:val="none" w:sz="0" w:space="0" w:color="auto"/>
        <w:bottom w:val="none" w:sz="0" w:space="0" w:color="auto"/>
        <w:right w:val="none" w:sz="0" w:space="0" w:color="auto"/>
      </w:divBdr>
    </w:div>
    <w:div w:id="1111168219">
      <w:bodyDiv w:val="1"/>
      <w:marLeft w:val="0"/>
      <w:marRight w:val="0"/>
      <w:marTop w:val="0"/>
      <w:marBottom w:val="0"/>
      <w:divBdr>
        <w:top w:val="none" w:sz="0" w:space="0" w:color="auto"/>
        <w:left w:val="none" w:sz="0" w:space="0" w:color="auto"/>
        <w:bottom w:val="none" w:sz="0" w:space="0" w:color="auto"/>
        <w:right w:val="none" w:sz="0" w:space="0" w:color="auto"/>
      </w:divBdr>
    </w:div>
    <w:div w:id="1129933112">
      <w:bodyDiv w:val="1"/>
      <w:marLeft w:val="0"/>
      <w:marRight w:val="0"/>
      <w:marTop w:val="0"/>
      <w:marBottom w:val="0"/>
      <w:divBdr>
        <w:top w:val="none" w:sz="0" w:space="0" w:color="auto"/>
        <w:left w:val="none" w:sz="0" w:space="0" w:color="auto"/>
        <w:bottom w:val="none" w:sz="0" w:space="0" w:color="auto"/>
        <w:right w:val="none" w:sz="0" w:space="0" w:color="auto"/>
      </w:divBdr>
    </w:div>
    <w:div w:id="1143231552">
      <w:bodyDiv w:val="1"/>
      <w:marLeft w:val="0"/>
      <w:marRight w:val="0"/>
      <w:marTop w:val="0"/>
      <w:marBottom w:val="0"/>
      <w:divBdr>
        <w:top w:val="none" w:sz="0" w:space="0" w:color="auto"/>
        <w:left w:val="none" w:sz="0" w:space="0" w:color="auto"/>
        <w:bottom w:val="none" w:sz="0" w:space="0" w:color="auto"/>
        <w:right w:val="none" w:sz="0" w:space="0" w:color="auto"/>
      </w:divBdr>
    </w:div>
    <w:div w:id="1147553777">
      <w:bodyDiv w:val="1"/>
      <w:marLeft w:val="0"/>
      <w:marRight w:val="0"/>
      <w:marTop w:val="0"/>
      <w:marBottom w:val="0"/>
      <w:divBdr>
        <w:top w:val="none" w:sz="0" w:space="0" w:color="auto"/>
        <w:left w:val="none" w:sz="0" w:space="0" w:color="auto"/>
        <w:bottom w:val="none" w:sz="0" w:space="0" w:color="auto"/>
        <w:right w:val="none" w:sz="0" w:space="0" w:color="auto"/>
      </w:divBdr>
    </w:div>
    <w:div w:id="1148866762">
      <w:bodyDiv w:val="1"/>
      <w:marLeft w:val="0"/>
      <w:marRight w:val="0"/>
      <w:marTop w:val="0"/>
      <w:marBottom w:val="0"/>
      <w:divBdr>
        <w:top w:val="none" w:sz="0" w:space="0" w:color="auto"/>
        <w:left w:val="none" w:sz="0" w:space="0" w:color="auto"/>
        <w:bottom w:val="none" w:sz="0" w:space="0" w:color="auto"/>
        <w:right w:val="none" w:sz="0" w:space="0" w:color="auto"/>
      </w:divBdr>
    </w:div>
    <w:div w:id="1151211978">
      <w:bodyDiv w:val="1"/>
      <w:marLeft w:val="0"/>
      <w:marRight w:val="0"/>
      <w:marTop w:val="0"/>
      <w:marBottom w:val="0"/>
      <w:divBdr>
        <w:top w:val="none" w:sz="0" w:space="0" w:color="auto"/>
        <w:left w:val="none" w:sz="0" w:space="0" w:color="auto"/>
        <w:bottom w:val="none" w:sz="0" w:space="0" w:color="auto"/>
        <w:right w:val="none" w:sz="0" w:space="0" w:color="auto"/>
      </w:divBdr>
    </w:div>
    <w:div w:id="1153567723">
      <w:bodyDiv w:val="1"/>
      <w:marLeft w:val="0"/>
      <w:marRight w:val="0"/>
      <w:marTop w:val="0"/>
      <w:marBottom w:val="0"/>
      <w:divBdr>
        <w:top w:val="none" w:sz="0" w:space="0" w:color="auto"/>
        <w:left w:val="none" w:sz="0" w:space="0" w:color="auto"/>
        <w:bottom w:val="none" w:sz="0" w:space="0" w:color="auto"/>
        <w:right w:val="none" w:sz="0" w:space="0" w:color="auto"/>
      </w:divBdr>
    </w:div>
    <w:div w:id="1171525928">
      <w:bodyDiv w:val="1"/>
      <w:marLeft w:val="0"/>
      <w:marRight w:val="0"/>
      <w:marTop w:val="0"/>
      <w:marBottom w:val="0"/>
      <w:divBdr>
        <w:top w:val="none" w:sz="0" w:space="0" w:color="auto"/>
        <w:left w:val="none" w:sz="0" w:space="0" w:color="auto"/>
        <w:bottom w:val="none" w:sz="0" w:space="0" w:color="auto"/>
        <w:right w:val="none" w:sz="0" w:space="0" w:color="auto"/>
      </w:divBdr>
    </w:div>
    <w:div w:id="1178345575">
      <w:bodyDiv w:val="1"/>
      <w:marLeft w:val="0"/>
      <w:marRight w:val="0"/>
      <w:marTop w:val="0"/>
      <w:marBottom w:val="0"/>
      <w:divBdr>
        <w:top w:val="none" w:sz="0" w:space="0" w:color="auto"/>
        <w:left w:val="none" w:sz="0" w:space="0" w:color="auto"/>
        <w:bottom w:val="none" w:sz="0" w:space="0" w:color="auto"/>
        <w:right w:val="none" w:sz="0" w:space="0" w:color="auto"/>
      </w:divBdr>
    </w:div>
    <w:div w:id="1185090761">
      <w:bodyDiv w:val="1"/>
      <w:marLeft w:val="0"/>
      <w:marRight w:val="0"/>
      <w:marTop w:val="0"/>
      <w:marBottom w:val="0"/>
      <w:divBdr>
        <w:top w:val="none" w:sz="0" w:space="0" w:color="auto"/>
        <w:left w:val="none" w:sz="0" w:space="0" w:color="auto"/>
        <w:bottom w:val="none" w:sz="0" w:space="0" w:color="auto"/>
        <w:right w:val="none" w:sz="0" w:space="0" w:color="auto"/>
      </w:divBdr>
    </w:div>
    <w:div w:id="1188253638">
      <w:bodyDiv w:val="1"/>
      <w:marLeft w:val="0"/>
      <w:marRight w:val="0"/>
      <w:marTop w:val="0"/>
      <w:marBottom w:val="0"/>
      <w:divBdr>
        <w:top w:val="none" w:sz="0" w:space="0" w:color="auto"/>
        <w:left w:val="none" w:sz="0" w:space="0" w:color="auto"/>
        <w:bottom w:val="none" w:sz="0" w:space="0" w:color="auto"/>
        <w:right w:val="none" w:sz="0" w:space="0" w:color="auto"/>
      </w:divBdr>
    </w:div>
    <w:div w:id="1188716505">
      <w:bodyDiv w:val="1"/>
      <w:marLeft w:val="0"/>
      <w:marRight w:val="0"/>
      <w:marTop w:val="0"/>
      <w:marBottom w:val="0"/>
      <w:divBdr>
        <w:top w:val="none" w:sz="0" w:space="0" w:color="auto"/>
        <w:left w:val="none" w:sz="0" w:space="0" w:color="auto"/>
        <w:bottom w:val="none" w:sz="0" w:space="0" w:color="auto"/>
        <w:right w:val="none" w:sz="0" w:space="0" w:color="auto"/>
      </w:divBdr>
    </w:div>
    <w:div w:id="1189755740">
      <w:bodyDiv w:val="1"/>
      <w:marLeft w:val="0"/>
      <w:marRight w:val="0"/>
      <w:marTop w:val="0"/>
      <w:marBottom w:val="0"/>
      <w:divBdr>
        <w:top w:val="none" w:sz="0" w:space="0" w:color="auto"/>
        <w:left w:val="none" w:sz="0" w:space="0" w:color="auto"/>
        <w:bottom w:val="none" w:sz="0" w:space="0" w:color="auto"/>
        <w:right w:val="none" w:sz="0" w:space="0" w:color="auto"/>
      </w:divBdr>
    </w:div>
    <w:div w:id="1200361318">
      <w:bodyDiv w:val="1"/>
      <w:marLeft w:val="0"/>
      <w:marRight w:val="0"/>
      <w:marTop w:val="0"/>
      <w:marBottom w:val="0"/>
      <w:divBdr>
        <w:top w:val="none" w:sz="0" w:space="0" w:color="auto"/>
        <w:left w:val="none" w:sz="0" w:space="0" w:color="auto"/>
        <w:bottom w:val="none" w:sz="0" w:space="0" w:color="auto"/>
        <w:right w:val="none" w:sz="0" w:space="0" w:color="auto"/>
      </w:divBdr>
      <w:divsChild>
        <w:div w:id="72628157">
          <w:marLeft w:val="446"/>
          <w:marRight w:val="0"/>
          <w:marTop w:val="0"/>
          <w:marBottom w:val="0"/>
          <w:divBdr>
            <w:top w:val="none" w:sz="0" w:space="0" w:color="auto"/>
            <w:left w:val="none" w:sz="0" w:space="0" w:color="auto"/>
            <w:bottom w:val="none" w:sz="0" w:space="0" w:color="auto"/>
            <w:right w:val="none" w:sz="0" w:space="0" w:color="auto"/>
          </w:divBdr>
        </w:div>
        <w:div w:id="526791626">
          <w:marLeft w:val="446"/>
          <w:marRight w:val="0"/>
          <w:marTop w:val="0"/>
          <w:marBottom w:val="0"/>
          <w:divBdr>
            <w:top w:val="none" w:sz="0" w:space="0" w:color="auto"/>
            <w:left w:val="none" w:sz="0" w:space="0" w:color="auto"/>
            <w:bottom w:val="none" w:sz="0" w:space="0" w:color="auto"/>
            <w:right w:val="none" w:sz="0" w:space="0" w:color="auto"/>
          </w:divBdr>
        </w:div>
        <w:div w:id="941692251">
          <w:marLeft w:val="446"/>
          <w:marRight w:val="0"/>
          <w:marTop w:val="0"/>
          <w:marBottom w:val="0"/>
          <w:divBdr>
            <w:top w:val="none" w:sz="0" w:space="0" w:color="auto"/>
            <w:left w:val="none" w:sz="0" w:space="0" w:color="auto"/>
            <w:bottom w:val="none" w:sz="0" w:space="0" w:color="auto"/>
            <w:right w:val="none" w:sz="0" w:space="0" w:color="auto"/>
          </w:divBdr>
        </w:div>
        <w:div w:id="1034696678">
          <w:marLeft w:val="446"/>
          <w:marRight w:val="0"/>
          <w:marTop w:val="0"/>
          <w:marBottom w:val="0"/>
          <w:divBdr>
            <w:top w:val="none" w:sz="0" w:space="0" w:color="auto"/>
            <w:left w:val="none" w:sz="0" w:space="0" w:color="auto"/>
            <w:bottom w:val="none" w:sz="0" w:space="0" w:color="auto"/>
            <w:right w:val="none" w:sz="0" w:space="0" w:color="auto"/>
          </w:divBdr>
        </w:div>
        <w:div w:id="1728911928">
          <w:marLeft w:val="446"/>
          <w:marRight w:val="0"/>
          <w:marTop w:val="0"/>
          <w:marBottom w:val="0"/>
          <w:divBdr>
            <w:top w:val="none" w:sz="0" w:space="0" w:color="auto"/>
            <w:left w:val="none" w:sz="0" w:space="0" w:color="auto"/>
            <w:bottom w:val="none" w:sz="0" w:space="0" w:color="auto"/>
            <w:right w:val="none" w:sz="0" w:space="0" w:color="auto"/>
          </w:divBdr>
        </w:div>
        <w:div w:id="1977831705">
          <w:marLeft w:val="446"/>
          <w:marRight w:val="0"/>
          <w:marTop w:val="0"/>
          <w:marBottom w:val="0"/>
          <w:divBdr>
            <w:top w:val="none" w:sz="0" w:space="0" w:color="auto"/>
            <w:left w:val="none" w:sz="0" w:space="0" w:color="auto"/>
            <w:bottom w:val="none" w:sz="0" w:space="0" w:color="auto"/>
            <w:right w:val="none" w:sz="0" w:space="0" w:color="auto"/>
          </w:divBdr>
        </w:div>
        <w:div w:id="2012025090">
          <w:marLeft w:val="446"/>
          <w:marRight w:val="0"/>
          <w:marTop w:val="0"/>
          <w:marBottom w:val="0"/>
          <w:divBdr>
            <w:top w:val="none" w:sz="0" w:space="0" w:color="auto"/>
            <w:left w:val="none" w:sz="0" w:space="0" w:color="auto"/>
            <w:bottom w:val="none" w:sz="0" w:space="0" w:color="auto"/>
            <w:right w:val="none" w:sz="0" w:space="0" w:color="auto"/>
          </w:divBdr>
        </w:div>
        <w:div w:id="2066709676">
          <w:marLeft w:val="446"/>
          <w:marRight w:val="0"/>
          <w:marTop w:val="0"/>
          <w:marBottom w:val="0"/>
          <w:divBdr>
            <w:top w:val="none" w:sz="0" w:space="0" w:color="auto"/>
            <w:left w:val="none" w:sz="0" w:space="0" w:color="auto"/>
            <w:bottom w:val="none" w:sz="0" w:space="0" w:color="auto"/>
            <w:right w:val="none" w:sz="0" w:space="0" w:color="auto"/>
          </w:divBdr>
        </w:div>
      </w:divsChild>
    </w:div>
    <w:div w:id="1201821360">
      <w:bodyDiv w:val="1"/>
      <w:marLeft w:val="0"/>
      <w:marRight w:val="0"/>
      <w:marTop w:val="0"/>
      <w:marBottom w:val="0"/>
      <w:divBdr>
        <w:top w:val="none" w:sz="0" w:space="0" w:color="auto"/>
        <w:left w:val="none" w:sz="0" w:space="0" w:color="auto"/>
        <w:bottom w:val="none" w:sz="0" w:space="0" w:color="auto"/>
        <w:right w:val="none" w:sz="0" w:space="0" w:color="auto"/>
      </w:divBdr>
    </w:div>
    <w:div w:id="1215895667">
      <w:bodyDiv w:val="1"/>
      <w:marLeft w:val="0"/>
      <w:marRight w:val="0"/>
      <w:marTop w:val="0"/>
      <w:marBottom w:val="0"/>
      <w:divBdr>
        <w:top w:val="none" w:sz="0" w:space="0" w:color="auto"/>
        <w:left w:val="none" w:sz="0" w:space="0" w:color="auto"/>
        <w:bottom w:val="none" w:sz="0" w:space="0" w:color="auto"/>
        <w:right w:val="none" w:sz="0" w:space="0" w:color="auto"/>
      </w:divBdr>
    </w:div>
    <w:div w:id="1222715747">
      <w:bodyDiv w:val="1"/>
      <w:marLeft w:val="0"/>
      <w:marRight w:val="0"/>
      <w:marTop w:val="0"/>
      <w:marBottom w:val="0"/>
      <w:divBdr>
        <w:top w:val="none" w:sz="0" w:space="0" w:color="auto"/>
        <w:left w:val="none" w:sz="0" w:space="0" w:color="auto"/>
        <w:bottom w:val="none" w:sz="0" w:space="0" w:color="auto"/>
        <w:right w:val="none" w:sz="0" w:space="0" w:color="auto"/>
      </w:divBdr>
    </w:div>
    <w:div w:id="1225483997">
      <w:bodyDiv w:val="1"/>
      <w:marLeft w:val="0"/>
      <w:marRight w:val="0"/>
      <w:marTop w:val="0"/>
      <w:marBottom w:val="0"/>
      <w:divBdr>
        <w:top w:val="none" w:sz="0" w:space="0" w:color="auto"/>
        <w:left w:val="none" w:sz="0" w:space="0" w:color="auto"/>
        <w:bottom w:val="none" w:sz="0" w:space="0" w:color="auto"/>
        <w:right w:val="none" w:sz="0" w:space="0" w:color="auto"/>
      </w:divBdr>
    </w:div>
    <w:div w:id="1233278174">
      <w:bodyDiv w:val="1"/>
      <w:marLeft w:val="0"/>
      <w:marRight w:val="0"/>
      <w:marTop w:val="0"/>
      <w:marBottom w:val="0"/>
      <w:divBdr>
        <w:top w:val="none" w:sz="0" w:space="0" w:color="auto"/>
        <w:left w:val="none" w:sz="0" w:space="0" w:color="auto"/>
        <w:bottom w:val="none" w:sz="0" w:space="0" w:color="auto"/>
        <w:right w:val="none" w:sz="0" w:space="0" w:color="auto"/>
      </w:divBdr>
    </w:div>
    <w:div w:id="1234585335">
      <w:bodyDiv w:val="1"/>
      <w:marLeft w:val="0"/>
      <w:marRight w:val="0"/>
      <w:marTop w:val="0"/>
      <w:marBottom w:val="0"/>
      <w:divBdr>
        <w:top w:val="none" w:sz="0" w:space="0" w:color="auto"/>
        <w:left w:val="none" w:sz="0" w:space="0" w:color="auto"/>
        <w:bottom w:val="none" w:sz="0" w:space="0" w:color="auto"/>
        <w:right w:val="none" w:sz="0" w:space="0" w:color="auto"/>
      </w:divBdr>
    </w:div>
    <w:div w:id="1242642325">
      <w:bodyDiv w:val="1"/>
      <w:marLeft w:val="0"/>
      <w:marRight w:val="0"/>
      <w:marTop w:val="0"/>
      <w:marBottom w:val="0"/>
      <w:divBdr>
        <w:top w:val="none" w:sz="0" w:space="0" w:color="auto"/>
        <w:left w:val="none" w:sz="0" w:space="0" w:color="auto"/>
        <w:bottom w:val="none" w:sz="0" w:space="0" w:color="auto"/>
        <w:right w:val="none" w:sz="0" w:space="0" w:color="auto"/>
      </w:divBdr>
    </w:div>
    <w:div w:id="1242982607">
      <w:bodyDiv w:val="1"/>
      <w:marLeft w:val="0"/>
      <w:marRight w:val="0"/>
      <w:marTop w:val="0"/>
      <w:marBottom w:val="0"/>
      <w:divBdr>
        <w:top w:val="none" w:sz="0" w:space="0" w:color="auto"/>
        <w:left w:val="none" w:sz="0" w:space="0" w:color="auto"/>
        <w:bottom w:val="none" w:sz="0" w:space="0" w:color="auto"/>
        <w:right w:val="none" w:sz="0" w:space="0" w:color="auto"/>
      </w:divBdr>
    </w:div>
    <w:div w:id="1270046835">
      <w:bodyDiv w:val="1"/>
      <w:marLeft w:val="0"/>
      <w:marRight w:val="0"/>
      <w:marTop w:val="0"/>
      <w:marBottom w:val="0"/>
      <w:divBdr>
        <w:top w:val="none" w:sz="0" w:space="0" w:color="auto"/>
        <w:left w:val="none" w:sz="0" w:space="0" w:color="auto"/>
        <w:bottom w:val="none" w:sz="0" w:space="0" w:color="auto"/>
        <w:right w:val="none" w:sz="0" w:space="0" w:color="auto"/>
      </w:divBdr>
    </w:div>
    <w:div w:id="1283800237">
      <w:bodyDiv w:val="1"/>
      <w:marLeft w:val="0"/>
      <w:marRight w:val="0"/>
      <w:marTop w:val="0"/>
      <w:marBottom w:val="0"/>
      <w:divBdr>
        <w:top w:val="none" w:sz="0" w:space="0" w:color="auto"/>
        <w:left w:val="none" w:sz="0" w:space="0" w:color="auto"/>
        <w:bottom w:val="none" w:sz="0" w:space="0" w:color="auto"/>
        <w:right w:val="none" w:sz="0" w:space="0" w:color="auto"/>
      </w:divBdr>
    </w:div>
    <w:div w:id="1285237795">
      <w:bodyDiv w:val="1"/>
      <w:marLeft w:val="0"/>
      <w:marRight w:val="0"/>
      <w:marTop w:val="0"/>
      <w:marBottom w:val="0"/>
      <w:divBdr>
        <w:top w:val="none" w:sz="0" w:space="0" w:color="auto"/>
        <w:left w:val="none" w:sz="0" w:space="0" w:color="auto"/>
        <w:bottom w:val="none" w:sz="0" w:space="0" w:color="auto"/>
        <w:right w:val="none" w:sz="0" w:space="0" w:color="auto"/>
      </w:divBdr>
    </w:div>
    <w:div w:id="1322390339">
      <w:bodyDiv w:val="1"/>
      <w:marLeft w:val="0"/>
      <w:marRight w:val="0"/>
      <w:marTop w:val="0"/>
      <w:marBottom w:val="0"/>
      <w:divBdr>
        <w:top w:val="none" w:sz="0" w:space="0" w:color="auto"/>
        <w:left w:val="none" w:sz="0" w:space="0" w:color="auto"/>
        <w:bottom w:val="none" w:sz="0" w:space="0" w:color="auto"/>
        <w:right w:val="none" w:sz="0" w:space="0" w:color="auto"/>
      </w:divBdr>
      <w:divsChild>
        <w:div w:id="1499611553">
          <w:marLeft w:val="0"/>
          <w:marRight w:val="0"/>
          <w:marTop w:val="0"/>
          <w:marBottom w:val="0"/>
          <w:divBdr>
            <w:top w:val="none" w:sz="0" w:space="0" w:color="auto"/>
            <w:left w:val="none" w:sz="0" w:space="0" w:color="auto"/>
            <w:bottom w:val="none" w:sz="0" w:space="0" w:color="auto"/>
            <w:right w:val="none" w:sz="0" w:space="0" w:color="auto"/>
          </w:divBdr>
          <w:divsChild>
            <w:div w:id="517355813">
              <w:marLeft w:val="0"/>
              <w:marRight w:val="0"/>
              <w:marTop w:val="0"/>
              <w:marBottom w:val="0"/>
              <w:divBdr>
                <w:top w:val="none" w:sz="0" w:space="0" w:color="auto"/>
                <w:left w:val="none" w:sz="0" w:space="0" w:color="auto"/>
                <w:bottom w:val="none" w:sz="0" w:space="0" w:color="auto"/>
                <w:right w:val="none" w:sz="0" w:space="0" w:color="auto"/>
              </w:divBdr>
              <w:divsChild>
                <w:div w:id="33996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135952">
      <w:bodyDiv w:val="1"/>
      <w:marLeft w:val="0"/>
      <w:marRight w:val="0"/>
      <w:marTop w:val="0"/>
      <w:marBottom w:val="0"/>
      <w:divBdr>
        <w:top w:val="none" w:sz="0" w:space="0" w:color="auto"/>
        <w:left w:val="none" w:sz="0" w:space="0" w:color="auto"/>
        <w:bottom w:val="none" w:sz="0" w:space="0" w:color="auto"/>
        <w:right w:val="none" w:sz="0" w:space="0" w:color="auto"/>
      </w:divBdr>
    </w:div>
    <w:div w:id="1352487515">
      <w:bodyDiv w:val="1"/>
      <w:marLeft w:val="0"/>
      <w:marRight w:val="0"/>
      <w:marTop w:val="0"/>
      <w:marBottom w:val="0"/>
      <w:divBdr>
        <w:top w:val="none" w:sz="0" w:space="0" w:color="auto"/>
        <w:left w:val="none" w:sz="0" w:space="0" w:color="auto"/>
        <w:bottom w:val="none" w:sz="0" w:space="0" w:color="auto"/>
        <w:right w:val="none" w:sz="0" w:space="0" w:color="auto"/>
      </w:divBdr>
    </w:div>
    <w:div w:id="1376200223">
      <w:bodyDiv w:val="1"/>
      <w:marLeft w:val="0"/>
      <w:marRight w:val="0"/>
      <w:marTop w:val="0"/>
      <w:marBottom w:val="0"/>
      <w:divBdr>
        <w:top w:val="none" w:sz="0" w:space="0" w:color="auto"/>
        <w:left w:val="none" w:sz="0" w:space="0" w:color="auto"/>
        <w:bottom w:val="none" w:sz="0" w:space="0" w:color="auto"/>
        <w:right w:val="none" w:sz="0" w:space="0" w:color="auto"/>
      </w:divBdr>
    </w:div>
    <w:div w:id="1377779206">
      <w:bodyDiv w:val="1"/>
      <w:marLeft w:val="0"/>
      <w:marRight w:val="0"/>
      <w:marTop w:val="0"/>
      <w:marBottom w:val="0"/>
      <w:divBdr>
        <w:top w:val="none" w:sz="0" w:space="0" w:color="auto"/>
        <w:left w:val="none" w:sz="0" w:space="0" w:color="auto"/>
        <w:bottom w:val="none" w:sz="0" w:space="0" w:color="auto"/>
        <w:right w:val="none" w:sz="0" w:space="0" w:color="auto"/>
      </w:divBdr>
    </w:div>
    <w:div w:id="1387338962">
      <w:bodyDiv w:val="1"/>
      <w:marLeft w:val="0"/>
      <w:marRight w:val="0"/>
      <w:marTop w:val="0"/>
      <w:marBottom w:val="0"/>
      <w:divBdr>
        <w:top w:val="none" w:sz="0" w:space="0" w:color="auto"/>
        <w:left w:val="none" w:sz="0" w:space="0" w:color="auto"/>
        <w:bottom w:val="none" w:sz="0" w:space="0" w:color="auto"/>
        <w:right w:val="none" w:sz="0" w:space="0" w:color="auto"/>
      </w:divBdr>
    </w:div>
    <w:div w:id="1390764755">
      <w:bodyDiv w:val="1"/>
      <w:marLeft w:val="0"/>
      <w:marRight w:val="0"/>
      <w:marTop w:val="0"/>
      <w:marBottom w:val="0"/>
      <w:divBdr>
        <w:top w:val="none" w:sz="0" w:space="0" w:color="auto"/>
        <w:left w:val="none" w:sz="0" w:space="0" w:color="auto"/>
        <w:bottom w:val="none" w:sz="0" w:space="0" w:color="auto"/>
        <w:right w:val="none" w:sz="0" w:space="0" w:color="auto"/>
      </w:divBdr>
    </w:div>
    <w:div w:id="1399861524">
      <w:bodyDiv w:val="1"/>
      <w:marLeft w:val="0"/>
      <w:marRight w:val="0"/>
      <w:marTop w:val="0"/>
      <w:marBottom w:val="0"/>
      <w:divBdr>
        <w:top w:val="none" w:sz="0" w:space="0" w:color="auto"/>
        <w:left w:val="none" w:sz="0" w:space="0" w:color="auto"/>
        <w:bottom w:val="none" w:sz="0" w:space="0" w:color="auto"/>
        <w:right w:val="none" w:sz="0" w:space="0" w:color="auto"/>
      </w:divBdr>
    </w:div>
    <w:div w:id="1424184198">
      <w:bodyDiv w:val="1"/>
      <w:marLeft w:val="0"/>
      <w:marRight w:val="0"/>
      <w:marTop w:val="0"/>
      <w:marBottom w:val="0"/>
      <w:divBdr>
        <w:top w:val="none" w:sz="0" w:space="0" w:color="auto"/>
        <w:left w:val="none" w:sz="0" w:space="0" w:color="auto"/>
        <w:bottom w:val="none" w:sz="0" w:space="0" w:color="auto"/>
        <w:right w:val="none" w:sz="0" w:space="0" w:color="auto"/>
      </w:divBdr>
    </w:div>
    <w:div w:id="1430466962">
      <w:bodyDiv w:val="1"/>
      <w:marLeft w:val="0"/>
      <w:marRight w:val="0"/>
      <w:marTop w:val="0"/>
      <w:marBottom w:val="0"/>
      <w:divBdr>
        <w:top w:val="none" w:sz="0" w:space="0" w:color="auto"/>
        <w:left w:val="none" w:sz="0" w:space="0" w:color="auto"/>
        <w:bottom w:val="none" w:sz="0" w:space="0" w:color="auto"/>
        <w:right w:val="none" w:sz="0" w:space="0" w:color="auto"/>
      </w:divBdr>
    </w:div>
    <w:div w:id="1432051251">
      <w:bodyDiv w:val="1"/>
      <w:marLeft w:val="0"/>
      <w:marRight w:val="0"/>
      <w:marTop w:val="0"/>
      <w:marBottom w:val="0"/>
      <w:divBdr>
        <w:top w:val="none" w:sz="0" w:space="0" w:color="auto"/>
        <w:left w:val="none" w:sz="0" w:space="0" w:color="auto"/>
        <w:bottom w:val="none" w:sz="0" w:space="0" w:color="auto"/>
        <w:right w:val="none" w:sz="0" w:space="0" w:color="auto"/>
      </w:divBdr>
    </w:div>
    <w:div w:id="1441030814">
      <w:bodyDiv w:val="1"/>
      <w:marLeft w:val="0"/>
      <w:marRight w:val="0"/>
      <w:marTop w:val="0"/>
      <w:marBottom w:val="0"/>
      <w:divBdr>
        <w:top w:val="none" w:sz="0" w:space="0" w:color="auto"/>
        <w:left w:val="none" w:sz="0" w:space="0" w:color="auto"/>
        <w:bottom w:val="none" w:sz="0" w:space="0" w:color="auto"/>
        <w:right w:val="none" w:sz="0" w:space="0" w:color="auto"/>
      </w:divBdr>
    </w:div>
    <w:div w:id="1458527155">
      <w:bodyDiv w:val="1"/>
      <w:marLeft w:val="0"/>
      <w:marRight w:val="0"/>
      <w:marTop w:val="0"/>
      <w:marBottom w:val="0"/>
      <w:divBdr>
        <w:top w:val="none" w:sz="0" w:space="0" w:color="auto"/>
        <w:left w:val="none" w:sz="0" w:space="0" w:color="auto"/>
        <w:bottom w:val="none" w:sz="0" w:space="0" w:color="auto"/>
        <w:right w:val="none" w:sz="0" w:space="0" w:color="auto"/>
      </w:divBdr>
    </w:div>
    <w:div w:id="1461654299">
      <w:bodyDiv w:val="1"/>
      <w:marLeft w:val="0"/>
      <w:marRight w:val="0"/>
      <w:marTop w:val="0"/>
      <w:marBottom w:val="0"/>
      <w:divBdr>
        <w:top w:val="none" w:sz="0" w:space="0" w:color="auto"/>
        <w:left w:val="none" w:sz="0" w:space="0" w:color="auto"/>
        <w:bottom w:val="none" w:sz="0" w:space="0" w:color="auto"/>
        <w:right w:val="none" w:sz="0" w:space="0" w:color="auto"/>
      </w:divBdr>
    </w:div>
    <w:div w:id="1477723403">
      <w:bodyDiv w:val="1"/>
      <w:marLeft w:val="0"/>
      <w:marRight w:val="0"/>
      <w:marTop w:val="0"/>
      <w:marBottom w:val="0"/>
      <w:divBdr>
        <w:top w:val="none" w:sz="0" w:space="0" w:color="auto"/>
        <w:left w:val="none" w:sz="0" w:space="0" w:color="auto"/>
        <w:bottom w:val="none" w:sz="0" w:space="0" w:color="auto"/>
        <w:right w:val="none" w:sz="0" w:space="0" w:color="auto"/>
      </w:divBdr>
    </w:div>
    <w:div w:id="1496335614">
      <w:bodyDiv w:val="1"/>
      <w:marLeft w:val="0"/>
      <w:marRight w:val="0"/>
      <w:marTop w:val="0"/>
      <w:marBottom w:val="0"/>
      <w:divBdr>
        <w:top w:val="none" w:sz="0" w:space="0" w:color="auto"/>
        <w:left w:val="none" w:sz="0" w:space="0" w:color="auto"/>
        <w:bottom w:val="none" w:sz="0" w:space="0" w:color="auto"/>
        <w:right w:val="none" w:sz="0" w:space="0" w:color="auto"/>
      </w:divBdr>
    </w:div>
    <w:div w:id="1497191209">
      <w:bodyDiv w:val="1"/>
      <w:marLeft w:val="0"/>
      <w:marRight w:val="0"/>
      <w:marTop w:val="0"/>
      <w:marBottom w:val="0"/>
      <w:divBdr>
        <w:top w:val="none" w:sz="0" w:space="0" w:color="auto"/>
        <w:left w:val="none" w:sz="0" w:space="0" w:color="auto"/>
        <w:bottom w:val="none" w:sz="0" w:space="0" w:color="auto"/>
        <w:right w:val="none" w:sz="0" w:space="0" w:color="auto"/>
      </w:divBdr>
    </w:div>
    <w:div w:id="1507550790">
      <w:bodyDiv w:val="1"/>
      <w:marLeft w:val="0"/>
      <w:marRight w:val="0"/>
      <w:marTop w:val="0"/>
      <w:marBottom w:val="0"/>
      <w:divBdr>
        <w:top w:val="none" w:sz="0" w:space="0" w:color="auto"/>
        <w:left w:val="none" w:sz="0" w:space="0" w:color="auto"/>
        <w:bottom w:val="none" w:sz="0" w:space="0" w:color="auto"/>
        <w:right w:val="none" w:sz="0" w:space="0" w:color="auto"/>
      </w:divBdr>
    </w:div>
    <w:div w:id="1508669584">
      <w:bodyDiv w:val="1"/>
      <w:marLeft w:val="0"/>
      <w:marRight w:val="0"/>
      <w:marTop w:val="0"/>
      <w:marBottom w:val="0"/>
      <w:divBdr>
        <w:top w:val="none" w:sz="0" w:space="0" w:color="auto"/>
        <w:left w:val="none" w:sz="0" w:space="0" w:color="auto"/>
        <w:bottom w:val="none" w:sz="0" w:space="0" w:color="auto"/>
        <w:right w:val="none" w:sz="0" w:space="0" w:color="auto"/>
      </w:divBdr>
    </w:div>
    <w:div w:id="1516924944">
      <w:bodyDiv w:val="1"/>
      <w:marLeft w:val="0"/>
      <w:marRight w:val="0"/>
      <w:marTop w:val="0"/>
      <w:marBottom w:val="0"/>
      <w:divBdr>
        <w:top w:val="none" w:sz="0" w:space="0" w:color="auto"/>
        <w:left w:val="none" w:sz="0" w:space="0" w:color="auto"/>
        <w:bottom w:val="none" w:sz="0" w:space="0" w:color="auto"/>
        <w:right w:val="none" w:sz="0" w:space="0" w:color="auto"/>
      </w:divBdr>
    </w:div>
    <w:div w:id="1533346995">
      <w:bodyDiv w:val="1"/>
      <w:marLeft w:val="0"/>
      <w:marRight w:val="0"/>
      <w:marTop w:val="0"/>
      <w:marBottom w:val="0"/>
      <w:divBdr>
        <w:top w:val="none" w:sz="0" w:space="0" w:color="auto"/>
        <w:left w:val="none" w:sz="0" w:space="0" w:color="auto"/>
        <w:bottom w:val="none" w:sz="0" w:space="0" w:color="auto"/>
        <w:right w:val="none" w:sz="0" w:space="0" w:color="auto"/>
      </w:divBdr>
    </w:div>
    <w:div w:id="1542133825">
      <w:bodyDiv w:val="1"/>
      <w:marLeft w:val="0"/>
      <w:marRight w:val="0"/>
      <w:marTop w:val="0"/>
      <w:marBottom w:val="0"/>
      <w:divBdr>
        <w:top w:val="none" w:sz="0" w:space="0" w:color="auto"/>
        <w:left w:val="none" w:sz="0" w:space="0" w:color="auto"/>
        <w:bottom w:val="none" w:sz="0" w:space="0" w:color="auto"/>
        <w:right w:val="none" w:sz="0" w:space="0" w:color="auto"/>
      </w:divBdr>
    </w:div>
    <w:div w:id="1551309176">
      <w:bodyDiv w:val="1"/>
      <w:marLeft w:val="0"/>
      <w:marRight w:val="0"/>
      <w:marTop w:val="0"/>
      <w:marBottom w:val="0"/>
      <w:divBdr>
        <w:top w:val="none" w:sz="0" w:space="0" w:color="auto"/>
        <w:left w:val="none" w:sz="0" w:space="0" w:color="auto"/>
        <w:bottom w:val="none" w:sz="0" w:space="0" w:color="auto"/>
        <w:right w:val="none" w:sz="0" w:space="0" w:color="auto"/>
      </w:divBdr>
    </w:div>
    <w:div w:id="1552616016">
      <w:bodyDiv w:val="1"/>
      <w:marLeft w:val="0"/>
      <w:marRight w:val="0"/>
      <w:marTop w:val="0"/>
      <w:marBottom w:val="0"/>
      <w:divBdr>
        <w:top w:val="none" w:sz="0" w:space="0" w:color="auto"/>
        <w:left w:val="none" w:sz="0" w:space="0" w:color="auto"/>
        <w:bottom w:val="none" w:sz="0" w:space="0" w:color="auto"/>
        <w:right w:val="none" w:sz="0" w:space="0" w:color="auto"/>
      </w:divBdr>
    </w:div>
    <w:div w:id="1559247716">
      <w:bodyDiv w:val="1"/>
      <w:marLeft w:val="0"/>
      <w:marRight w:val="0"/>
      <w:marTop w:val="0"/>
      <w:marBottom w:val="0"/>
      <w:divBdr>
        <w:top w:val="none" w:sz="0" w:space="0" w:color="auto"/>
        <w:left w:val="none" w:sz="0" w:space="0" w:color="auto"/>
        <w:bottom w:val="none" w:sz="0" w:space="0" w:color="auto"/>
        <w:right w:val="none" w:sz="0" w:space="0" w:color="auto"/>
      </w:divBdr>
    </w:div>
    <w:div w:id="1577126947">
      <w:bodyDiv w:val="1"/>
      <w:marLeft w:val="0"/>
      <w:marRight w:val="0"/>
      <w:marTop w:val="0"/>
      <w:marBottom w:val="0"/>
      <w:divBdr>
        <w:top w:val="none" w:sz="0" w:space="0" w:color="auto"/>
        <w:left w:val="none" w:sz="0" w:space="0" w:color="auto"/>
        <w:bottom w:val="none" w:sz="0" w:space="0" w:color="auto"/>
        <w:right w:val="none" w:sz="0" w:space="0" w:color="auto"/>
      </w:divBdr>
    </w:div>
    <w:div w:id="1598059281">
      <w:bodyDiv w:val="1"/>
      <w:marLeft w:val="0"/>
      <w:marRight w:val="0"/>
      <w:marTop w:val="0"/>
      <w:marBottom w:val="0"/>
      <w:divBdr>
        <w:top w:val="none" w:sz="0" w:space="0" w:color="auto"/>
        <w:left w:val="none" w:sz="0" w:space="0" w:color="auto"/>
        <w:bottom w:val="none" w:sz="0" w:space="0" w:color="auto"/>
        <w:right w:val="none" w:sz="0" w:space="0" w:color="auto"/>
      </w:divBdr>
      <w:divsChild>
        <w:div w:id="1620993464">
          <w:marLeft w:val="0"/>
          <w:marRight w:val="0"/>
          <w:marTop w:val="0"/>
          <w:marBottom w:val="0"/>
          <w:divBdr>
            <w:top w:val="none" w:sz="0" w:space="0" w:color="auto"/>
            <w:left w:val="none" w:sz="0" w:space="0" w:color="auto"/>
            <w:bottom w:val="none" w:sz="0" w:space="0" w:color="auto"/>
            <w:right w:val="none" w:sz="0" w:space="0" w:color="auto"/>
          </w:divBdr>
          <w:divsChild>
            <w:div w:id="1388726666">
              <w:marLeft w:val="0"/>
              <w:marRight w:val="0"/>
              <w:marTop w:val="0"/>
              <w:marBottom w:val="0"/>
              <w:divBdr>
                <w:top w:val="none" w:sz="0" w:space="0" w:color="auto"/>
                <w:left w:val="none" w:sz="0" w:space="0" w:color="auto"/>
                <w:bottom w:val="none" w:sz="0" w:space="0" w:color="auto"/>
                <w:right w:val="none" w:sz="0" w:space="0" w:color="auto"/>
              </w:divBdr>
              <w:divsChild>
                <w:div w:id="187291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8978096">
      <w:bodyDiv w:val="1"/>
      <w:marLeft w:val="0"/>
      <w:marRight w:val="0"/>
      <w:marTop w:val="0"/>
      <w:marBottom w:val="0"/>
      <w:divBdr>
        <w:top w:val="none" w:sz="0" w:space="0" w:color="auto"/>
        <w:left w:val="none" w:sz="0" w:space="0" w:color="auto"/>
        <w:bottom w:val="none" w:sz="0" w:space="0" w:color="auto"/>
        <w:right w:val="none" w:sz="0" w:space="0" w:color="auto"/>
      </w:divBdr>
    </w:div>
    <w:div w:id="1628317278">
      <w:bodyDiv w:val="1"/>
      <w:marLeft w:val="0"/>
      <w:marRight w:val="0"/>
      <w:marTop w:val="0"/>
      <w:marBottom w:val="0"/>
      <w:divBdr>
        <w:top w:val="none" w:sz="0" w:space="0" w:color="auto"/>
        <w:left w:val="none" w:sz="0" w:space="0" w:color="auto"/>
        <w:bottom w:val="none" w:sz="0" w:space="0" w:color="auto"/>
        <w:right w:val="none" w:sz="0" w:space="0" w:color="auto"/>
      </w:divBdr>
    </w:div>
    <w:div w:id="1633293829">
      <w:bodyDiv w:val="1"/>
      <w:marLeft w:val="0"/>
      <w:marRight w:val="0"/>
      <w:marTop w:val="0"/>
      <w:marBottom w:val="0"/>
      <w:divBdr>
        <w:top w:val="none" w:sz="0" w:space="0" w:color="auto"/>
        <w:left w:val="none" w:sz="0" w:space="0" w:color="auto"/>
        <w:bottom w:val="none" w:sz="0" w:space="0" w:color="auto"/>
        <w:right w:val="none" w:sz="0" w:space="0" w:color="auto"/>
      </w:divBdr>
    </w:div>
    <w:div w:id="1634484192">
      <w:bodyDiv w:val="1"/>
      <w:marLeft w:val="0"/>
      <w:marRight w:val="0"/>
      <w:marTop w:val="0"/>
      <w:marBottom w:val="0"/>
      <w:divBdr>
        <w:top w:val="none" w:sz="0" w:space="0" w:color="auto"/>
        <w:left w:val="none" w:sz="0" w:space="0" w:color="auto"/>
        <w:bottom w:val="none" w:sz="0" w:space="0" w:color="auto"/>
        <w:right w:val="none" w:sz="0" w:space="0" w:color="auto"/>
      </w:divBdr>
    </w:div>
    <w:div w:id="1642732725">
      <w:bodyDiv w:val="1"/>
      <w:marLeft w:val="0"/>
      <w:marRight w:val="0"/>
      <w:marTop w:val="0"/>
      <w:marBottom w:val="0"/>
      <w:divBdr>
        <w:top w:val="none" w:sz="0" w:space="0" w:color="auto"/>
        <w:left w:val="none" w:sz="0" w:space="0" w:color="auto"/>
        <w:bottom w:val="none" w:sz="0" w:space="0" w:color="auto"/>
        <w:right w:val="none" w:sz="0" w:space="0" w:color="auto"/>
      </w:divBdr>
    </w:div>
    <w:div w:id="1650020021">
      <w:bodyDiv w:val="1"/>
      <w:marLeft w:val="0"/>
      <w:marRight w:val="0"/>
      <w:marTop w:val="0"/>
      <w:marBottom w:val="0"/>
      <w:divBdr>
        <w:top w:val="none" w:sz="0" w:space="0" w:color="auto"/>
        <w:left w:val="none" w:sz="0" w:space="0" w:color="auto"/>
        <w:bottom w:val="none" w:sz="0" w:space="0" w:color="auto"/>
        <w:right w:val="none" w:sz="0" w:space="0" w:color="auto"/>
      </w:divBdr>
    </w:div>
    <w:div w:id="1650942510">
      <w:bodyDiv w:val="1"/>
      <w:marLeft w:val="0"/>
      <w:marRight w:val="0"/>
      <w:marTop w:val="0"/>
      <w:marBottom w:val="0"/>
      <w:divBdr>
        <w:top w:val="none" w:sz="0" w:space="0" w:color="auto"/>
        <w:left w:val="none" w:sz="0" w:space="0" w:color="auto"/>
        <w:bottom w:val="none" w:sz="0" w:space="0" w:color="auto"/>
        <w:right w:val="none" w:sz="0" w:space="0" w:color="auto"/>
      </w:divBdr>
    </w:div>
    <w:div w:id="1673297768">
      <w:bodyDiv w:val="1"/>
      <w:marLeft w:val="0"/>
      <w:marRight w:val="0"/>
      <w:marTop w:val="0"/>
      <w:marBottom w:val="0"/>
      <w:divBdr>
        <w:top w:val="none" w:sz="0" w:space="0" w:color="auto"/>
        <w:left w:val="none" w:sz="0" w:space="0" w:color="auto"/>
        <w:bottom w:val="none" w:sz="0" w:space="0" w:color="auto"/>
        <w:right w:val="none" w:sz="0" w:space="0" w:color="auto"/>
      </w:divBdr>
    </w:div>
    <w:div w:id="1743328712">
      <w:bodyDiv w:val="1"/>
      <w:marLeft w:val="0"/>
      <w:marRight w:val="0"/>
      <w:marTop w:val="0"/>
      <w:marBottom w:val="0"/>
      <w:divBdr>
        <w:top w:val="none" w:sz="0" w:space="0" w:color="auto"/>
        <w:left w:val="none" w:sz="0" w:space="0" w:color="auto"/>
        <w:bottom w:val="none" w:sz="0" w:space="0" w:color="auto"/>
        <w:right w:val="none" w:sz="0" w:space="0" w:color="auto"/>
      </w:divBdr>
    </w:div>
    <w:div w:id="1746343769">
      <w:bodyDiv w:val="1"/>
      <w:marLeft w:val="0"/>
      <w:marRight w:val="0"/>
      <w:marTop w:val="0"/>
      <w:marBottom w:val="0"/>
      <w:divBdr>
        <w:top w:val="none" w:sz="0" w:space="0" w:color="auto"/>
        <w:left w:val="none" w:sz="0" w:space="0" w:color="auto"/>
        <w:bottom w:val="none" w:sz="0" w:space="0" w:color="auto"/>
        <w:right w:val="none" w:sz="0" w:space="0" w:color="auto"/>
      </w:divBdr>
    </w:div>
    <w:div w:id="1775518658">
      <w:bodyDiv w:val="1"/>
      <w:marLeft w:val="0"/>
      <w:marRight w:val="0"/>
      <w:marTop w:val="0"/>
      <w:marBottom w:val="0"/>
      <w:divBdr>
        <w:top w:val="none" w:sz="0" w:space="0" w:color="auto"/>
        <w:left w:val="none" w:sz="0" w:space="0" w:color="auto"/>
        <w:bottom w:val="none" w:sz="0" w:space="0" w:color="auto"/>
        <w:right w:val="none" w:sz="0" w:space="0" w:color="auto"/>
      </w:divBdr>
    </w:div>
    <w:div w:id="1797288707">
      <w:bodyDiv w:val="1"/>
      <w:marLeft w:val="0"/>
      <w:marRight w:val="0"/>
      <w:marTop w:val="0"/>
      <w:marBottom w:val="0"/>
      <w:divBdr>
        <w:top w:val="none" w:sz="0" w:space="0" w:color="auto"/>
        <w:left w:val="none" w:sz="0" w:space="0" w:color="auto"/>
        <w:bottom w:val="none" w:sz="0" w:space="0" w:color="auto"/>
        <w:right w:val="none" w:sz="0" w:space="0" w:color="auto"/>
      </w:divBdr>
    </w:div>
    <w:div w:id="1808088637">
      <w:bodyDiv w:val="1"/>
      <w:marLeft w:val="0"/>
      <w:marRight w:val="0"/>
      <w:marTop w:val="0"/>
      <w:marBottom w:val="0"/>
      <w:divBdr>
        <w:top w:val="none" w:sz="0" w:space="0" w:color="auto"/>
        <w:left w:val="none" w:sz="0" w:space="0" w:color="auto"/>
        <w:bottom w:val="none" w:sz="0" w:space="0" w:color="auto"/>
        <w:right w:val="none" w:sz="0" w:space="0" w:color="auto"/>
      </w:divBdr>
    </w:div>
    <w:div w:id="1808156245">
      <w:bodyDiv w:val="1"/>
      <w:marLeft w:val="0"/>
      <w:marRight w:val="0"/>
      <w:marTop w:val="0"/>
      <w:marBottom w:val="0"/>
      <w:divBdr>
        <w:top w:val="none" w:sz="0" w:space="0" w:color="auto"/>
        <w:left w:val="none" w:sz="0" w:space="0" w:color="auto"/>
        <w:bottom w:val="none" w:sz="0" w:space="0" w:color="auto"/>
        <w:right w:val="none" w:sz="0" w:space="0" w:color="auto"/>
      </w:divBdr>
    </w:div>
    <w:div w:id="1813214137">
      <w:bodyDiv w:val="1"/>
      <w:marLeft w:val="0"/>
      <w:marRight w:val="0"/>
      <w:marTop w:val="0"/>
      <w:marBottom w:val="0"/>
      <w:divBdr>
        <w:top w:val="none" w:sz="0" w:space="0" w:color="auto"/>
        <w:left w:val="none" w:sz="0" w:space="0" w:color="auto"/>
        <w:bottom w:val="none" w:sz="0" w:space="0" w:color="auto"/>
        <w:right w:val="none" w:sz="0" w:space="0" w:color="auto"/>
      </w:divBdr>
    </w:div>
    <w:div w:id="1814105021">
      <w:bodyDiv w:val="1"/>
      <w:marLeft w:val="0"/>
      <w:marRight w:val="0"/>
      <w:marTop w:val="0"/>
      <w:marBottom w:val="0"/>
      <w:divBdr>
        <w:top w:val="none" w:sz="0" w:space="0" w:color="auto"/>
        <w:left w:val="none" w:sz="0" w:space="0" w:color="auto"/>
        <w:bottom w:val="none" w:sz="0" w:space="0" w:color="auto"/>
        <w:right w:val="none" w:sz="0" w:space="0" w:color="auto"/>
      </w:divBdr>
    </w:div>
    <w:div w:id="1823043370">
      <w:bodyDiv w:val="1"/>
      <w:marLeft w:val="0"/>
      <w:marRight w:val="0"/>
      <w:marTop w:val="0"/>
      <w:marBottom w:val="0"/>
      <w:divBdr>
        <w:top w:val="none" w:sz="0" w:space="0" w:color="auto"/>
        <w:left w:val="none" w:sz="0" w:space="0" w:color="auto"/>
        <w:bottom w:val="none" w:sz="0" w:space="0" w:color="auto"/>
        <w:right w:val="none" w:sz="0" w:space="0" w:color="auto"/>
      </w:divBdr>
    </w:div>
    <w:div w:id="1826969942">
      <w:bodyDiv w:val="1"/>
      <w:marLeft w:val="0"/>
      <w:marRight w:val="0"/>
      <w:marTop w:val="0"/>
      <w:marBottom w:val="0"/>
      <w:divBdr>
        <w:top w:val="none" w:sz="0" w:space="0" w:color="auto"/>
        <w:left w:val="none" w:sz="0" w:space="0" w:color="auto"/>
        <w:bottom w:val="none" w:sz="0" w:space="0" w:color="auto"/>
        <w:right w:val="none" w:sz="0" w:space="0" w:color="auto"/>
      </w:divBdr>
    </w:div>
    <w:div w:id="1835682560">
      <w:bodyDiv w:val="1"/>
      <w:marLeft w:val="0"/>
      <w:marRight w:val="0"/>
      <w:marTop w:val="0"/>
      <w:marBottom w:val="0"/>
      <w:divBdr>
        <w:top w:val="none" w:sz="0" w:space="0" w:color="auto"/>
        <w:left w:val="none" w:sz="0" w:space="0" w:color="auto"/>
        <w:bottom w:val="none" w:sz="0" w:space="0" w:color="auto"/>
        <w:right w:val="none" w:sz="0" w:space="0" w:color="auto"/>
      </w:divBdr>
    </w:div>
    <w:div w:id="1836797623">
      <w:bodyDiv w:val="1"/>
      <w:marLeft w:val="0"/>
      <w:marRight w:val="0"/>
      <w:marTop w:val="0"/>
      <w:marBottom w:val="0"/>
      <w:divBdr>
        <w:top w:val="none" w:sz="0" w:space="0" w:color="auto"/>
        <w:left w:val="none" w:sz="0" w:space="0" w:color="auto"/>
        <w:bottom w:val="none" w:sz="0" w:space="0" w:color="auto"/>
        <w:right w:val="none" w:sz="0" w:space="0" w:color="auto"/>
      </w:divBdr>
    </w:div>
    <w:div w:id="1839350006">
      <w:bodyDiv w:val="1"/>
      <w:marLeft w:val="0"/>
      <w:marRight w:val="0"/>
      <w:marTop w:val="0"/>
      <w:marBottom w:val="0"/>
      <w:divBdr>
        <w:top w:val="none" w:sz="0" w:space="0" w:color="auto"/>
        <w:left w:val="none" w:sz="0" w:space="0" w:color="auto"/>
        <w:bottom w:val="none" w:sz="0" w:space="0" w:color="auto"/>
        <w:right w:val="none" w:sz="0" w:space="0" w:color="auto"/>
      </w:divBdr>
    </w:div>
    <w:div w:id="1843886037">
      <w:bodyDiv w:val="1"/>
      <w:marLeft w:val="0"/>
      <w:marRight w:val="0"/>
      <w:marTop w:val="0"/>
      <w:marBottom w:val="0"/>
      <w:divBdr>
        <w:top w:val="none" w:sz="0" w:space="0" w:color="auto"/>
        <w:left w:val="none" w:sz="0" w:space="0" w:color="auto"/>
        <w:bottom w:val="none" w:sz="0" w:space="0" w:color="auto"/>
        <w:right w:val="none" w:sz="0" w:space="0" w:color="auto"/>
      </w:divBdr>
    </w:div>
    <w:div w:id="1846092377">
      <w:bodyDiv w:val="1"/>
      <w:marLeft w:val="0"/>
      <w:marRight w:val="0"/>
      <w:marTop w:val="0"/>
      <w:marBottom w:val="0"/>
      <w:divBdr>
        <w:top w:val="none" w:sz="0" w:space="0" w:color="auto"/>
        <w:left w:val="none" w:sz="0" w:space="0" w:color="auto"/>
        <w:bottom w:val="none" w:sz="0" w:space="0" w:color="auto"/>
        <w:right w:val="none" w:sz="0" w:space="0" w:color="auto"/>
      </w:divBdr>
    </w:div>
    <w:div w:id="1849370438">
      <w:bodyDiv w:val="1"/>
      <w:marLeft w:val="0"/>
      <w:marRight w:val="0"/>
      <w:marTop w:val="0"/>
      <w:marBottom w:val="0"/>
      <w:divBdr>
        <w:top w:val="none" w:sz="0" w:space="0" w:color="auto"/>
        <w:left w:val="none" w:sz="0" w:space="0" w:color="auto"/>
        <w:bottom w:val="none" w:sz="0" w:space="0" w:color="auto"/>
        <w:right w:val="none" w:sz="0" w:space="0" w:color="auto"/>
      </w:divBdr>
    </w:div>
    <w:div w:id="1874996957">
      <w:bodyDiv w:val="1"/>
      <w:marLeft w:val="0"/>
      <w:marRight w:val="0"/>
      <w:marTop w:val="0"/>
      <w:marBottom w:val="0"/>
      <w:divBdr>
        <w:top w:val="none" w:sz="0" w:space="0" w:color="auto"/>
        <w:left w:val="none" w:sz="0" w:space="0" w:color="auto"/>
        <w:bottom w:val="none" w:sz="0" w:space="0" w:color="auto"/>
        <w:right w:val="none" w:sz="0" w:space="0" w:color="auto"/>
      </w:divBdr>
    </w:div>
    <w:div w:id="1875575413">
      <w:bodyDiv w:val="1"/>
      <w:marLeft w:val="0"/>
      <w:marRight w:val="0"/>
      <w:marTop w:val="0"/>
      <w:marBottom w:val="0"/>
      <w:divBdr>
        <w:top w:val="none" w:sz="0" w:space="0" w:color="auto"/>
        <w:left w:val="none" w:sz="0" w:space="0" w:color="auto"/>
        <w:bottom w:val="none" w:sz="0" w:space="0" w:color="auto"/>
        <w:right w:val="none" w:sz="0" w:space="0" w:color="auto"/>
      </w:divBdr>
    </w:div>
    <w:div w:id="1886939817">
      <w:bodyDiv w:val="1"/>
      <w:marLeft w:val="0"/>
      <w:marRight w:val="0"/>
      <w:marTop w:val="0"/>
      <w:marBottom w:val="0"/>
      <w:divBdr>
        <w:top w:val="none" w:sz="0" w:space="0" w:color="auto"/>
        <w:left w:val="none" w:sz="0" w:space="0" w:color="auto"/>
        <w:bottom w:val="none" w:sz="0" w:space="0" w:color="auto"/>
        <w:right w:val="none" w:sz="0" w:space="0" w:color="auto"/>
      </w:divBdr>
    </w:div>
    <w:div w:id="1896509393">
      <w:bodyDiv w:val="1"/>
      <w:marLeft w:val="0"/>
      <w:marRight w:val="0"/>
      <w:marTop w:val="0"/>
      <w:marBottom w:val="0"/>
      <w:divBdr>
        <w:top w:val="none" w:sz="0" w:space="0" w:color="auto"/>
        <w:left w:val="none" w:sz="0" w:space="0" w:color="auto"/>
        <w:bottom w:val="none" w:sz="0" w:space="0" w:color="auto"/>
        <w:right w:val="none" w:sz="0" w:space="0" w:color="auto"/>
      </w:divBdr>
    </w:div>
    <w:div w:id="1909069488">
      <w:bodyDiv w:val="1"/>
      <w:marLeft w:val="0"/>
      <w:marRight w:val="0"/>
      <w:marTop w:val="0"/>
      <w:marBottom w:val="0"/>
      <w:divBdr>
        <w:top w:val="none" w:sz="0" w:space="0" w:color="auto"/>
        <w:left w:val="none" w:sz="0" w:space="0" w:color="auto"/>
        <w:bottom w:val="none" w:sz="0" w:space="0" w:color="auto"/>
        <w:right w:val="none" w:sz="0" w:space="0" w:color="auto"/>
      </w:divBdr>
    </w:div>
    <w:div w:id="1911767226">
      <w:bodyDiv w:val="1"/>
      <w:marLeft w:val="0"/>
      <w:marRight w:val="0"/>
      <w:marTop w:val="0"/>
      <w:marBottom w:val="0"/>
      <w:divBdr>
        <w:top w:val="none" w:sz="0" w:space="0" w:color="auto"/>
        <w:left w:val="none" w:sz="0" w:space="0" w:color="auto"/>
        <w:bottom w:val="none" w:sz="0" w:space="0" w:color="auto"/>
        <w:right w:val="none" w:sz="0" w:space="0" w:color="auto"/>
      </w:divBdr>
    </w:div>
    <w:div w:id="1913663459">
      <w:bodyDiv w:val="1"/>
      <w:marLeft w:val="0"/>
      <w:marRight w:val="0"/>
      <w:marTop w:val="0"/>
      <w:marBottom w:val="0"/>
      <w:divBdr>
        <w:top w:val="none" w:sz="0" w:space="0" w:color="auto"/>
        <w:left w:val="none" w:sz="0" w:space="0" w:color="auto"/>
        <w:bottom w:val="none" w:sz="0" w:space="0" w:color="auto"/>
        <w:right w:val="none" w:sz="0" w:space="0" w:color="auto"/>
      </w:divBdr>
    </w:div>
    <w:div w:id="1961835867">
      <w:bodyDiv w:val="1"/>
      <w:marLeft w:val="0"/>
      <w:marRight w:val="0"/>
      <w:marTop w:val="0"/>
      <w:marBottom w:val="0"/>
      <w:divBdr>
        <w:top w:val="none" w:sz="0" w:space="0" w:color="auto"/>
        <w:left w:val="none" w:sz="0" w:space="0" w:color="auto"/>
        <w:bottom w:val="none" w:sz="0" w:space="0" w:color="auto"/>
        <w:right w:val="none" w:sz="0" w:space="0" w:color="auto"/>
      </w:divBdr>
    </w:div>
    <w:div w:id="1976180242">
      <w:bodyDiv w:val="1"/>
      <w:marLeft w:val="0"/>
      <w:marRight w:val="0"/>
      <w:marTop w:val="0"/>
      <w:marBottom w:val="0"/>
      <w:divBdr>
        <w:top w:val="none" w:sz="0" w:space="0" w:color="auto"/>
        <w:left w:val="none" w:sz="0" w:space="0" w:color="auto"/>
        <w:bottom w:val="none" w:sz="0" w:space="0" w:color="auto"/>
        <w:right w:val="none" w:sz="0" w:space="0" w:color="auto"/>
      </w:divBdr>
    </w:div>
    <w:div w:id="1981688905">
      <w:bodyDiv w:val="1"/>
      <w:marLeft w:val="0"/>
      <w:marRight w:val="0"/>
      <w:marTop w:val="0"/>
      <w:marBottom w:val="0"/>
      <w:divBdr>
        <w:top w:val="none" w:sz="0" w:space="0" w:color="auto"/>
        <w:left w:val="none" w:sz="0" w:space="0" w:color="auto"/>
        <w:bottom w:val="none" w:sz="0" w:space="0" w:color="auto"/>
        <w:right w:val="none" w:sz="0" w:space="0" w:color="auto"/>
      </w:divBdr>
    </w:div>
    <w:div w:id="1985155155">
      <w:bodyDiv w:val="1"/>
      <w:marLeft w:val="0"/>
      <w:marRight w:val="0"/>
      <w:marTop w:val="0"/>
      <w:marBottom w:val="0"/>
      <w:divBdr>
        <w:top w:val="none" w:sz="0" w:space="0" w:color="auto"/>
        <w:left w:val="none" w:sz="0" w:space="0" w:color="auto"/>
        <w:bottom w:val="none" w:sz="0" w:space="0" w:color="auto"/>
        <w:right w:val="none" w:sz="0" w:space="0" w:color="auto"/>
      </w:divBdr>
    </w:div>
    <w:div w:id="2021816209">
      <w:bodyDiv w:val="1"/>
      <w:marLeft w:val="0"/>
      <w:marRight w:val="0"/>
      <w:marTop w:val="0"/>
      <w:marBottom w:val="0"/>
      <w:divBdr>
        <w:top w:val="none" w:sz="0" w:space="0" w:color="auto"/>
        <w:left w:val="none" w:sz="0" w:space="0" w:color="auto"/>
        <w:bottom w:val="none" w:sz="0" w:space="0" w:color="auto"/>
        <w:right w:val="none" w:sz="0" w:space="0" w:color="auto"/>
      </w:divBdr>
    </w:div>
    <w:div w:id="2034459817">
      <w:bodyDiv w:val="1"/>
      <w:marLeft w:val="0"/>
      <w:marRight w:val="0"/>
      <w:marTop w:val="0"/>
      <w:marBottom w:val="0"/>
      <w:divBdr>
        <w:top w:val="none" w:sz="0" w:space="0" w:color="auto"/>
        <w:left w:val="none" w:sz="0" w:space="0" w:color="auto"/>
        <w:bottom w:val="none" w:sz="0" w:space="0" w:color="auto"/>
        <w:right w:val="none" w:sz="0" w:space="0" w:color="auto"/>
      </w:divBdr>
    </w:div>
    <w:div w:id="2045475248">
      <w:bodyDiv w:val="1"/>
      <w:marLeft w:val="0"/>
      <w:marRight w:val="0"/>
      <w:marTop w:val="0"/>
      <w:marBottom w:val="0"/>
      <w:divBdr>
        <w:top w:val="none" w:sz="0" w:space="0" w:color="auto"/>
        <w:left w:val="none" w:sz="0" w:space="0" w:color="auto"/>
        <w:bottom w:val="none" w:sz="0" w:space="0" w:color="auto"/>
        <w:right w:val="none" w:sz="0" w:space="0" w:color="auto"/>
      </w:divBdr>
    </w:div>
    <w:div w:id="2062944836">
      <w:bodyDiv w:val="1"/>
      <w:marLeft w:val="0"/>
      <w:marRight w:val="0"/>
      <w:marTop w:val="0"/>
      <w:marBottom w:val="0"/>
      <w:divBdr>
        <w:top w:val="none" w:sz="0" w:space="0" w:color="auto"/>
        <w:left w:val="none" w:sz="0" w:space="0" w:color="auto"/>
        <w:bottom w:val="none" w:sz="0" w:space="0" w:color="auto"/>
        <w:right w:val="none" w:sz="0" w:space="0" w:color="auto"/>
      </w:divBdr>
    </w:div>
    <w:div w:id="2069575172">
      <w:bodyDiv w:val="1"/>
      <w:marLeft w:val="0"/>
      <w:marRight w:val="0"/>
      <w:marTop w:val="0"/>
      <w:marBottom w:val="0"/>
      <w:divBdr>
        <w:top w:val="none" w:sz="0" w:space="0" w:color="auto"/>
        <w:left w:val="none" w:sz="0" w:space="0" w:color="auto"/>
        <w:bottom w:val="none" w:sz="0" w:space="0" w:color="auto"/>
        <w:right w:val="none" w:sz="0" w:space="0" w:color="auto"/>
      </w:divBdr>
    </w:div>
    <w:div w:id="2076007387">
      <w:bodyDiv w:val="1"/>
      <w:marLeft w:val="0"/>
      <w:marRight w:val="0"/>
      <w:marTop w:val="0"/>
      <w:marBottom w:val="0"/>
      <w:divBdr>
        <w:top w:val="none" w:sz="0" w:space="0" w:color="auto"/>
        <w:left w:val="none" w:sz="0" w:space="0" w:color="auto"/>
        <w:bottom w:val="none" w:sz="0" w:space="0" w:color="auto"/>
        <w:right w:val="none" w:sz="0" w:space="0" w:color="auto"/>
      </w:divBdr>
    </w:div>
    <w:div w:id="2084135385">
      <w:bodyDiv w:val="1"/>
      <w:marLeft w:val="0"/>
      <w:marRight w:val="0"/>
      <w:marTop w:val="0"/>
      <w:marBottom w:val="0"/>
      <w:divBdr>
        <w:top w:val="none" w:sz="0" w:space="0" w:color="auto"/>
        <w:left w:val="none" w:sz="0" w:space="0" w:color="auto"/>
        <w:bottom w:val="none" w:sz="0" w:space="0" w:color="auto"/>
        <w:right w:val="none" w:sz="0" w:space="0" w:color="auto"/>
      </w:divBdr>
    </w:div>
    <w:div w:id="2091925565">
      <w:bodyDiv w:val="1"/>
      <w:marLeft w:val="0"/>
      <w:marRight w:val="0"/>
      <w:marTop w:val="0"/>
      <w:marBottom w:val="0"/>
      <w:divBdr>
        <w:top w:val="none" w:sz="0" w:space="0" w:color="auto"/>
        <w:left w:val="none" w:sz="0" w:space="0" w:color="auto"/>
        <w:bottom w:val="none" w:sz="0" w:space="0" w:color="auto"/>
        <w:right w:val="none" w:sz="0" w:space="0" w:color="auto"/>
      </w:divBdr>
    </w:div>
    <w:div w:id="2097363889">
      <w:bodyDiv w:val="1"/>
      <w:marLeft w:val="0"/>
      <w:marRight w:val="0"/>
      <w:marTop w:val="0"/>
      <w:marBottom w:val="0"/>
      <w:divBdr>
        <w:top w:val="none" w:sz="0" w:space="0" w:color="auto"/>
        <w:left w:val="none" w:sz="0" w:space="0" w:color="auto"/>
        <w:bottom w:val="none" w:sz="0" w:space="0" w:color="auto"/>
        <w:right w:val="none" w:sz="0" w:space="0" w:color="auto"/>
      </w:divBdr>
    </w:div>
    <w:div w:id="2103529871">
      <w:bodyDiv w:val="1"/>
      <w:marLeft w:val="0"/>
      <w:marRight w:val="0"/>
      <w:marTop w:val="0"/>
      <w:marBottom w:val="0"/>
      <w:divBdr>
        <w:top w:val="none" w:sz="0" w:space="0" w:color="auto"/>
        <w:left w:val="none" w:sz="0" w:space="0" w:color="auto"/>
        <w:bottom w:val="none" w:sz="0" w:space="0" w:color="auto"/>
        <w:right w:val="none" w:sz="0" w:space="0" w:color="auto"/>
      </w:divBdr>
      <w:divsChild>
        <w:div w:id="1921518643">
          <w:marLeft w:val="0"/>
          <w:marRight w:val="0"/>
          <w:marTop w:val="0"/>
          <w:marBottom w:val="0"/>
          <w:divBdr>
            <w:top w:val="none" w:sz="0" w:space="0" w:color="auto"/>
            <w:left w:val="none" w:sz="0" w:space="0" w:color="auto"/>
            <w:bottom w:val="none" w:sz="0" w:space="0" w:color="auto"/>
            <w:right w:val="none" w:sz="0" w:space="0" w:color="auto"/>
          </w:divBdr>
          <w:divsChild>
            <w:div w:id="870458941">
              <w:marLeft w:val="0"/>
              <w:marRight w:val="0"/>
              <w:marTop w:val="0"/>
              <w:marBottom w:val="0"/>
              <w:divBdr>
                <w:top w:val="none" w:sz="0" w:space="0" w:color="auto"/>
                <w:left w:val="none" w:sz="0" w:space="0" w:color="auto"/>
                <w:bottom w:val="none" w:sz="0" w:space="0" w:color="auto"/>
                <w:right w:val="none" w:sz="0" w:space="0" w:color="auto"/>
              </w:divBdr>
              <w:divsChild>
                <w:div w:id="291523257">
                  <w:marLeft w:val="0"/>
                  <w:marRight w:val="0"/>
                  <w:marTop w:val="0"/>
                  <w:marBottom w:val="0"/>
                  <w:divBdr>
                    <w:top w:val="none" w:sz="0" w:space="0" w:color="auto"/>
                    <w:left w:val="none" w:sz="0" w:space="0" w:color="auto"/>
                    <w:bottom w:val="none" w:sz="0" w:space="0" w:color="auto"/>
                    <w:right w:val="none" w:sz="0" w:space="0" w:color="auto"/>
                  </w:divBdr>
                  <w:divsChild>
                    <w:div w:id="209532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301788">
      <w:bodyDiv w:val="1"/>
      <w:marLeft w:val="0"/>
      <w:marRight w:val="0"/>
      <w:marTop w:val="0"/>
      <w:marBottom w:val="0"/>
      <w:divBdr>
        <w:top w:val="none" w:sz="0" w:space="0" w:color="auto"/>
        <w:left w:val="none" w:sz="0" w:space="0" w:color="auto"/>
        <w:bottom w:val="none" w:sz="0" w:space="0" w:color="auto"/>
        <w:right w:val="none" w:sz="0" w:space="0" w:color="auto"/>
      </w:divBdr>
    </w:div>
    <w:div w:id="2112385815">
      <w:bodyDiv w:val="1"/>
      <w:marLeft w:val="0"/>
      <w:marRight w:val="0"/>
      <w:marTop w:val="0"/>
      <w:marBottom w:val="0"/>
      <w:divBdr>
        <w:top w:val="none" w:sz="0" w:space="0" w:color="auto"/>
        <w:left w:val="none" w:sz="0" w:space="0" w:color="auto"/>
        <w:bottom w:val="none" w:sz="0" w:space="0" w:color="auto"/>
        <w:right w:val="none" w:sz="0" w:space="0" w:color="auto"/>
      </w:divBdr>
    </w:div>
    <w:div w:id="2129007899">
      <w:bodyDiv w:val="1"/>
      <w:marLeft w:val="0"/>
      <w:marRight w:val="0"/>
      <w:marTop w:val="0"/>
      <w:marBottom w:val="0"/>
      <w:divBdr>
        <w:top w:val="none" w:sz="0" w:space="0" w:color="auto"/>
        <w:left w:val="none" w:sz="0" w:space="0" w:color="auto"/>
        <w:bottom w:val="none" w:sz="0" w:space="0" w:color="auto"/>
        <w:right w:val="none" w:sz="0" w:space="0" w:color="auto"/>
      </w:divBdr>
    </w:div>
    <w:div w:id="2135126162">
      <w:bodyDiv w:val="1"/>
      <w:marLeft w:val="0"/>
      <w:marRight w:val="0"/>
      <w:marTop w:val="0"/>
      <w:marBottom w:val="0"/>
      <w:divBdr>
        <w:top w:val="none" w:sz="0" w:space="0" w:color="auto"/>
        <w:left w:val="none" w:sz="0" w:space="0" w:color="auto"/>
        <w:bottom w:val="none" w:sz="0" w:space="0" w:color="auto"/>
        <w:right w:val="none" w:sz="0" w:space="0" w:color="auto"/>
      </w:divBdr>
    </w:div>
    <w:div w:id="21387204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styles" Target="styles.xml"/><Relationship Id="rId39" Type="http://schemas.openxmlformats.org/officeDocument/2006/relationships/header" Target="header4.xml"/><Relationship Id="rId21" Type="http://schemas.openxmlformats.org/officeDocument/2006/relationships/customXml" Target="../customXml/item21.xml"/><Relationship Id="rId34" Type="http://schemas.openxmlformats.org/officeDocument/2006/relationships/header" Target="header2.xml"/><Relationship Id="rId42" Type="http://schemas.openxmlformats.org/officeDocument/2006/relationships/footer" Target="footer5.xml"/><Relationship Id="rId47" Type="http://schemas.openxmlformats.org/officeDocument/2006/relationships/image" Target="media/image2.png"/><Relationship Id="rId50" Type="http://schemas.openxmlformats.org/officeDocument/2006/relationships/hyperlink" Target="https://ec.europa.eu/transparency/regdoc/rep/1/2015/EN/1-2015-550-EN-F1-1.PDF" TargetMode="External"/><Relationship Id="rId55" Type="http://schemas.openxmlformats.org/officeDocument/2006/relationships/header" Target="header9.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numbering" Target="numbering.xml"/><Relationship Id="rId33" Type="http://schemas.openxmlformats.org/officeDocument/2006/relationships/header" Target="header1.xml"/><Relationship Id="rId38" Type="http://schemas.openxmlformats.org/officeDocument/2006/relationships/footer" Target="footer3.xml"/><Relationship Id="rId46" Type="http://schemas.openxmlformats.org/officeDocument/2006/relationships/hyperlink" Target="http://ec.europa.eu/smart-regulation/impact/ia_carried_out/docs/ia_2007/sec_2007_1403_en.pdf" TargetMode="Externa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webSettings" Target="webSettings.xml"/><Relationship Id="rId41" Type="http://schemas.openxmlformats.org/officeDocument/2006/relationships/footer" Target="footer4.xml"/><Relationship Id="rId54"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image" Target="media/image1.emf"/><Relationship Id="rId37" Type="http://schemas.openxmlformats.org/officeDocument/2006/relationships/header" Target="header3.xml"/><Relationship Id="rId40" Type="http://schemas.openxmlformats.org/officeDocument/2006/relationships/header" Target="header5.xml"/><Relationship Id="rId45" Type="http://schemas.openxmlformats.org/officeDocument/2006/relationships/hyperlink" Target="http://www.eesc.europa.eu/?i=portal.en.events-and-activities-revised-blue-card" TargetMode="External"/><Relationship Id="rId53" Type="http://schemas.openxmlformats.org/officeDocument/2006/relationships/footer" Target="footer7.xml"/><Relationship Id="rId58"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settings" Target="settings.xml"/><Relationship Id="rId36" Type="http://schemas.openxmlformats.org/officeDocument/2006/relationships/footer" Target="footer2.xml"/><Relationship Id="rId49" Type="http://schemas.openxmlformats.org/officeDocument/2006/relationships/image" Target="media/image3.emf"/><Relationship Id="rId57" Type="http://schemas.openxmlformats.org/officeDocument/2006/relationships/fontTable" Target="fontTable.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endnotes" Target="endnotes.xml"/><Relationship Id="rId44" Type="http://schemas.openxmlformats.org/officeDocument/2006/relationships/footer" Target="footer6.xml"/><Relationship Id="rId52" Type="http://schemas.openxmlformats.org/officeDocument/2006/relationships/header" Target="header8.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microsoft.com/office/2007/relationships/stylesWithEffects" Target="stylesWithEffects.xml"/><Relationship Id="rId30" Type="http://schemas.openxmlformats.org/officeDocument/2006/relationships/footnotes" Target="footnotes.xml"/><Relationship Id="rId35" Type="http://schemas.openxmlformats.org/officeDocument/2006/relationships/footer" Target="footer1.xml"/><Relationship Id="rId43" Type="http://schemas.openxmlformats.org/officeDocument/2006/relationships/header" Target="header6.xml"/><Relationship Id="rId48" Type="http://schemas.openxmlformats.org/officeDocument/2006/relationships/image" Target="cid:image001.png@01D1A238.12D544D0" TargetMode="External"/><Relationship Id="rId56" Type="http://schemas.openxmlformats.org/officeDocument/2006/relationships/footer" Target="footer9.xml"/><Relationship Id="rId8" Type="http://schemas.openxmlformats.org/officeDocument/2006/relationships/customXml" Target="../customXml/item8.xml"/><Relationship Id="rId51" Type="http://schemas.openxmlformats.org/officeDocument/2006/relationships/header" Target="header7.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8" Type="http://schemas.openxmlformats.org/officeDocument/2006/relationships/hyperlink" Target="https://www.imf.org/external/pubs/ft/sdn/2016/sdn1602.pdf" TargetMode="External"/><Relationship Id="rId13" Type="http://schemas.openxmlformats.org/officeDocument/2006/relationships/hyperlink" Target="http://eur-lex.europa.eu/legal-content/EN/TXT/PDF/?uri=CELEX:52013DC0499&amp;from=EN" TargetMode="External"/><Relationship Id="rId18" Type="http://schemas.openxmlformats.org/officeDocument/2006/relationships/hyperlink" Target="http://dx.doi.org/10.1787/eag_highlights-2011-14-en" TargetMode="External"/><Relationship Id="rId26" Type="http://schemas.openxmlformats.org/officeDocument/2006/relationships/hyperlink" Target="http://trade.ec.europa.eu/doclib/docs/2014/october/tradoc_152824.pdf" TargetMode="External"/><Relationship Id="rId3" Type="http://schemas.openxmlformats.org/officeDocument/2006/relationships/hyperlink" Target="http://ec.europa.eu/priorities/sites/beta-political/files/juncker-political-guidelines_en.pdf" TargetMode="External"/><Relationship Id="rId21" Type="http://schemas.openxmlformats.org/officeDocument/2006/relationships/hyperlink" Target="http://eur-lex.europa.eu/LexUriServ/LexUriServ.do?uri=COM:2012:0795:FIN:en:PDF" TargetMode="External"/><Relationship Id="rId34" Type="http://schemas.openxmlformats.org/officeDocument/2006/relationships/hyperlink" Target="http://ec.europa.eu/dgs/home-affairs/what-we-do/policies/european-agenda-migration/proposal-implementation-package/docs/20160406/towards_a_reform_of_the_common_european_asylum_system_and_enhancing_legal_avenues_to_europe_-_20160406_en.pdf" TargetMode="External"/><Relationship Id="rId7" Type="http://schemas.openxmlformats.org/officeDocument/2006/relationships/hyperlink" Target="http://ec.europa.eu/economy_finance/eu/forecasts/2015_autumn/box1_en.pdf" TargetMode="External"/><Relationship Id="rId12" Type="http://schemas.openxmlformats.org/officeDocument/2006/relationships/hyperlink" Target="http://www.oecd.org/edu/50495363.pdf" TargetMode="External"/><Relationship Id="rId17" Type="http://schemas.openxmlformats.org/officeDocument/2006/relationships/hyperlink" Target="http://ec.europa.eu/dgs/home-affairs/doc_centre/immigration/docs/studies/emn-synthesis_report_intra_eu_mobility_final_july_2013.pdf" TargetMode="External"/><Relationship Id="rId25" Type="http://schemas.openxmlformats.org/officeDocument/2006/relationships/hyperlink" Target="http://trade.ec.europa.eu/doclib/docs/2014/october/tradoc_152825.pdf" TargetMode="External"/><Relationship Id="rId33" Type="http://schemas.openxmlformats.org/officeDocument/2006/relationships/hyperlink" Target="http://www.migrationpolicy.org/research/canadian-expression-interest-system-model-manage-skilled-migration-european-union" TargetMode="External"/><Relationship Id="rId2" Type="http://schemas.openxmlformats.org/officeDocument/2006/relationships/hyperlink" Target="http://eur-lex.europa.eu/legal-content/EN/TXT/?uri=COM:2014:0287:FIN" TargetMode="External"/><Relationship Id="rId16" Type="http://schemas.openxmlformats.org/officeDocument/2006/relationships/hyperlink" Target="http://ec.europa.eu/transparency/regexpert/index.cfm?do=groupDetail.groupDetail&amp;groupID=3253" TargetMode="External"/><Relationship Id="rId20" Type="http://schemas.openxmlformats.org/officeDocument/2006/relationships/hyperlink" Target="https://ec.europa.eu/research/innovation-union/pdf/innovation-union-communication_en.pdf" TargetMode="External"/><Relationship Id="rId29" Type="http://schemas.openxmlformats.org/officeDocument/2006/relationships/hyperlink" Target="http://ec.europa.eu/atwork/key-documents/index_en.htm" TargetMode="External"/><Relationship Id="rId1" Type="http://schemas.openxmlformats.org/officeDocument/2006/relationships/hyperlink" Target="http://ec.europa.eu/dgs/home-affairs/what-we-do/policies/legal-migration/index_en.htm" TargetMode="External"/><Relationship Id="rId6" Type="http://schemas.openxmlformats.org/officeDocument/2006/relationships/hyperlink" Target="http://www.oecd.org/migration/How-will-the-refugee-surge-affect-the-European-economy.pdf" TargetMode="External"/><Relationship Id="rId11" Type="http://schemas.openxmlformats.org/officeDocument/2006/relationships/hyperlink" Target="http://www.oecd.org/sti/sci-tech/theglobalcompetitionfortalentmobilityofthehighlyskilled.htm" TargetMode="External"/><Relationship Id="rId24" Type="http://schemas.openxmlformats.org/officeDocument/2006/relationships/hyperlink" Target="http://ec.europa.eu/dgs/home-affairs/what-we-do/networks/european_migration_network/reports/docs/emn-studies/emn_study_admitting_third_country_nationals_for_business_purposes_synthesis_report_04may2015.pdf" TargetMode="External"/><Relationship Id="rId32" Type="http://schemas.openxmlformats.org/officeDocument/2006/relationships/hyperlink" Target="https://www.gpo.gov/fdsys/pkg/CHRG-110hhrg35114/html/CHRG-110hhrg35114.htm" TargetMode="External"/><Relationship Id="rId5" Type="http://schemas.openxmlformats.org/officeDocument/2006/relationships/hyperlink" Target="https://www.oecd.org/migration/Is-this-refugee-crisis-different.pdf" TargetMode="External"/><Relationship Id="rId15" Type="http://schemas.openxmlformats.org/officeDocument/2006/relationships/hyperlink" Target="http://ec.europa.eu/dgs/home-affairs/what-we-do/networks/european_migration_network/index_en.htm" TargetMode="External"/><Relationship Id="rId23" Type="http://schemas.openxmlformats.org/officeDocument/2006/relationships/hyperlink" Target="http://ec.europa.eu/trade/policy/in-focus/new-trade-strategy/" TargetMode="External"/><Relationship Id="rId28" Type="http://schemas.openxmlformats.org/officeDocument/2006/relationships/hyperlink" Target="https://ec.europa.eu/eures/public/en/homepage" TargetMode="External"/><Relationship Id="rId10" Type="http://schemas.openxmlformats.org/officeDocument/2006/relationships/hyperlink" Target="http://www.oecd-ilibrary.org/social-issues-migration-health/matching-economic-migration-with-labour-market-needs_9789264216501-en" TargetMode="External"/><Relationship Id="rId19" Type="http://schemas.openxmlformats.org/officeDocument/2006/relationships/hyperlink" Target="http://dx.doi.org/10.1787/eag-2013-en" TargetMode="External"/><Relationship Id="rId31" Type="http://schemas.openxmlformats.org/officeDocument/2006/relationships/hyperlink" Target="http://ec.europa.eu/europe2020/europe-2020-in-a-nutshell/index_en.htm" TargetMode="External"/><Relationship Id="rId4" Type="http://schemas.openxmlformats.org/officeDocument/2006/relationships/hyperlink" Target="http://ec.europa.eu/dgs/home-affairs/what-we-do/policies/european-agenda-migration/background-information/docs/communication_on_the_european_agenda_on_migration_en.pdf" TargetMode="External"/><Relationship Id="rId9" Type="http://schemas.openxmlformats.org/officeDocument/2006/relationships/hyperlink" Target="http://www.europarl.europa.eu/RegData/etudes/STUD/2015/542202/IPOL_STU%282015%29542202_EN.pdf" TargetMode="External"/><Relationship Id="rId14" Type="http://schemas.openxmlformats.org/officeDocument/2006/relationships/hyperlink" Target="http://ec.europa.eu/transparency/regexpert/index.cfm?do=groupDetail.groupDetail&amp;groupID=3253&amp;NewSearch=1&amp;NewSearch=1" TargetMode="External"/><Relationship Id="rId22" Type="http://schemas.openxmlformats.org/officeDocument/2006/relationships/hyperlink" Target="http://data.consilium.europa.eu/doc/document/ST-22-2015-INIT/en/pdf" TargetMode="External"/><Relationship Id="rId27" Type="http://schemas.openxmlformats.org/officeDocument/2006/relationships/hyperlink" Target="http://eskills-lead.eu/fileadmin/LEAD/Working_Paper_-_Supply_demand_forecast_2015_a.pdf" TargetMode="External"/><Relationship Id="rId30" Type="http://schemas.openxmlformats.org/officeDocument/2006/relationships/hyperlink" Target="http://ec.europa.eu/growth/tools-databases/newsroom/cf/itemdetail.cfm?item_id=8723" TargetMode="External"/><Relationship Id="rId35" Type="http://schemas.openxmlformats.org/officeDocument/2006/relationships/hyperlink" Target="http://eur-lex.europa.eu/legal-content/EN/TXT/?uri=COM:2014:0287:FI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FE90D3-F658-41E5-AC75-6F0A5D2C4481}">
  <ds:schemaRefs>
    <ds:schemaRef ds:uri="http://schemas.openxmlformats.org/officeDocument/2006/bibliography"/>
  </ds:schemaRefs>
</ds:datastoreItem>
</file>

<file path=customXml/itemProps10.xml><?xml version="1.0" encoding="utf-8"?>
<ds:datastoreItem xmlns:ds="http://schemas.openxmlformats.org/officeDocument/2006/customXml" ds:itemID="{FA48739A-7656-444E-B899-2DE5AD6142FD}">
  <ds:schemaRefs>
    <ds:schemaRef ds:uri="http://schemas.openxmlformats.org/officeDocument/2006/bibliography"/>
  </ds:schemaRefs>
</ds:datastoreItem>
</file>

<file path=customXml/itemProps11.xml><?xml version="1.0" encoding="utf-8"?>
<ds:datastoreItem xmlns:ds="http://schemas.openxmlformats.org/officeDocument/2006/customXml" ds:itemID="{4901AD00-FD6B-4EA6-8C98-D4E819138E1B}">
  <ds:schemaRefs>
    <ds:schemaRef ds:uri="http://schemas.openxmlformats.org/officeDocument/2006/bibliography"/>
  </ds:schemaRefs>
</ds:datastoreItem>
</file>

<file path=customXml/itemProps12.xml><?xml version="1.0" encoding="utf-8"?>
<ds:datastoreItem xmlns:ds="http://schemas.openxmlformats.org/officeDocument/2006/customXml" ds:itemID="{EBB38126-9964-46D1-8C13-3C8764529F33}">
  <ds:schemaRefs>
    <ds:schemaRef ds:uri="http://schemas.openxmlformats.org/officeDocument/2006/bibliography"/>
  </ds:schemaRefs>
</ds:datastoreItem>
</file>

<file path=customXml/itemProps13.xml><?xml version="1.0" encoding="utf-8"?>
<ds:datastoreItem xmlns:ds="http://schemas.openxmlformats.org/officeDocument/2006/customXml" ds:itemID="{4BCA008C-0E6A-41D0-BE8D-BB2DC2724399}">
  <ds:schemaRefs>
    <ds:schemaRef ds:uri="http://schemas.openxmlformats.org/officeDocument/2006/bibliography"/>
  </ds:schemaRefs>
</ds:datastoreItem>
</file>

<file path=customXml/itemProps14.xml><?xml version="1.0" encoding="utf-8"?>
<ds:datastoreItem xmlns:ds="http://schemas.openxmlformats.org/officeDocument/2006/customXml" ds:itemID="{8D57853A-E702-4183-8996-CC4C795169AA}">
  <ds:schemaRefs>
    <ds:schemaRef ds:uri="http://schemas.openxmlformats.org/officeDocument/2006/bibliography"/>
  </ds:schemaRefs>
</ds:datastoreItem>
</file>

<file path=customXml/itemProps15.xml><?xml version="1.0" encoding="utf-8"?>
<ds:datastoreItem xmlns:ds="http://schemas.openxmlformats.org/officeDocument/2006/customXml" ds:itemID="{3A29578E-C583-426B-B71B-74D7ED71BE1F}">
  <ds:schemaRefs>
    <ds:schemaRef ds:uri="http://schemas.openxmlformats.org/officeDocument/2006/bibliography"/>
  </ds:schemaRefs>
</ds:datastoreItem>
</file>

<file path=customXml/itemProps16.xml><?xml version="1.0" encoding="utf-8"?>
<ds:datastoreItem xmlns:ds="http://schemas.openxmlformats.org/officeDocument/2006/customXml" ds:itemID="{B6A0A0B1-2A46-4C15-A337-AFF849D2771C}">
  <ds:schemaRefs>
    <ds:schemaRef ds:uri="http://schemas.openxmlformats.org/officeDocument/2006/bibliography"/>
  </ds:schemaRefs>
</ds:datastoreItem>
</file>

<file path=customXml/itemProps17.xml><?xml version="1.0" encoding="utf-8"?>
<ds:datastoreItem xmlns:ds="http://schemas.openxmlformats.org/officeDocument/2006/customXml" ds:itemID="{87F727ED-2560-4AFC-B02D-5F0D21C9425D}">
  <ds:schemaRefs>
    <ds:schemaRef ds:uri="http://schemas.openxmlformats.org/officeDocument/2006/bibliography"/>
  </ds:schemaRefs>
</ds:datastoreItem>
</file>

<file path=customXml/itemProps18.xml><?xml version="1.0" encoding="utf-8"?>
<ds:datastoreItem xmlns:ds="http://schemas.openxmlformats.org/officeDocument/2006/customXml" ds:itemID="{3BB4D0DF-5AEF-463B-9F38-29709638FCA4}">
  <ds:schemaRefs>
    <ds:schemaRef ds:uri="http://schemas.openxmlformats.org/officeDocument/2006/bibliography"/>
  </ds:schemaRefs>
</ds:datastoreItem>
</file>

<file path=customXml/itemProps19.xml><?xml version="1.0" encoding="utf-8"?>
<ds:datastoreItem xmlns:ds="http://schemas.openxmlformats.org/officeDocument/2006/customXml" ds:itemID="{5F7CDB2D-3244-4D56-8325-D72B3374407D}">
  <ds:schemaRefs>
    <ds:schemaRef ds:uri="http://schemas.openxmlformats.org/officeDocument/2006/bibliography"/>
  </ds:schemaRefs>
</ds:datastoreItem>
</file>

<file path=customXml/itemProps2.xml><?xml version="1.0" encoding="utf-8"?>
<ds:datastoreItem xmlns:ds="http://schemas.openxmlformats.org/officeDocument/2006/customXml" ds:itemID="{E0845646-9778-4F56-AB98-BB58EA78D022}">
  <ds:schemaRefs>
    <ds:schemaRef ds:uri="http://schemas.openxmlformats.org/officeDocument/2006/bibliography"/>
  </ds:schemaRefs>
</ds:datastoreItem>
</file>

<file path=customXml/itemProps20.xml><?xml version="1.0" encoding="utf-8"?>
<ds:datastoreItem xmlns:ds="http://schemas.openxmlformats.org/officeDocument/2006/customXml" ds:itemID="{499063FB-3F13-44C7-BAD2-D67328C615A8}">
  <ds:schemaRefs>
    <ds:schemaRef ds:uri="http://schemas.openxmlformats.org/officeDocument/2006/bibliography"/>
  </ds:schemaRefs>
</ds:datastoreItem>
</file>

<file path=customXml/itemProps21.xml><?xml version="1.0" encoding="utf-8"?>
<ds:datastoreItem xmlns:ds="http://schemas.openxmlformats.org/officeDocument/2006/customXml" ds:itemID="{912A3A66-635D-4A36-B5A9-8CEA6A68494D}">
  <ds:schemaRefs>
    <ds:schemaRef ds:uri="http://schemas.openxmlformats.org/officeDocument/2006/bibliography"/>
  </ds:schemaRefs>
</ds:datastoreItem>
</file>

<file path=customXml/itemProps22.xml><?xml version="1.0" encoding="utf-8"?>
<ds:datastoreItem xmlns:ds="http://schemas.openxmlformats.org/officeDocument/2006/customXml" ds:itemID="{7BCD98CE-755C-4E47-B434-F0220DE8FD00}">
  <ds:schemaRefs>
    <ds:schemaRef ds:uri="http://schemas.openxmlformats.org/officeDocument/2006/bibliography"/>
  </ds:schemaRefs>
</ds:datastoreItem>
</file>

<file path=customXml/itemProps23.xml><?xml version="1.0" encoding="utf-8"?>
<ds:datastoreItem xmlns:ds="http://schemas.openxmlformats.org/officeDocument/2006/customXml" ds:itemID="{70920B8E-B003-4372-B5D0-DDDF5F34241E}">
  <ds:schemaRefs>
    <ds:schemaRef ds:uri="http://schemas.openxmlformats.org/officeDocument/2006/bibliography"/>
  </ds:schemaRefs>
</ds:datastoreItem>
</file>

<file path=customXml/itemProps24.xml><?xml version="1.0" encoding="utf-8"?>
<ds:datastoreItem xmlns:ds="http://schemas.openxmlformats.org/officeDocument/2006/customXml" ds:itemID="{E1B70435-B5DB-4695-8A7F-EE4DAE112D94}">
  <ds:schemaRefs>
    <ds:schemaRef ds:uri="http://schemas.openxmlformats.org/officeDocument/2006/bibliography"/>
  </ds:schemaRefs>
</ds:datastoreItem>
</file>

<file path=customXml/itemProps3.xml><?xml version="1.0" encoding="utf-8"?>
<ds:datastoreItem xmlns:ds="http://schemas.openxmlformats.org/officeDocument/2006/customXml" ds:itemID="{778CEEC8-18DA-4B97-92AC-17E52F6897D3}">
  <ds:schemaRefs>
    <ds:schemaRef ds:uri="http://schemas.openxmlformats.org/officeDocument/2006/bibliography"/>
  </ds:schemaRefs>
</ds:datastoreItem>
</file>

<file path=customXml/itemProps4.xml><?xml version="1.0" encoding="utf-8"?>
<ds:datastoreItem xmlns:ds="http://schemas.openxmlformats.org/officeDocument/2006/customXml" ds:itemID="{172353F4-00FE-4ACD-B7EB-F0BD90ED36B3}">
  <ds:schemaRefs>
    <ds:schemaRef ds:uri="http://schemas.openxmlformats.org/officeDocument/2006/bibliography"/>
  </ds:schemaRefs>
</ds:datastoreItem>
</file>

<file path=customXml/itemProps5.xml><?xml version="1.0" encoding="utf-8"?>
<ds:datastoreItem xmlns:ds="http://schemas.openxmlformats.org/officeDocument/2006/customXml" ds:itemID="{1A271273-291D-47F5-90E9-680FEDE1EC09}">
  <ds:schemaRefs>
    <ds:schemaRef ds:uri="http://schemas.openxmlformats.org/officeDocument/2006/bibliography"/>
  </ds:schemaRefs>
</ds:datastoreItem>
</file>

<file path=customXml/itemProps6.xml><?xml version="1.0" encoding="utf-8"?>
<ds:datastoreItem xmlns:ds="http://schemas.openxmlformats.org/officeDocument/2006/customXml" ds:itemID="{14B0F841-2096-4D68-BCFC-2527E49BC221}">
  <ds:schemaRefs>
    <ds:schemaRef ds:uri="http://schemas.openxmlformats.org/officeDocument/2006/bibliography"/>
  </ds:schemaRefs>
</ds:datastoreItem>
</file>

<file path=customXml/itemProps7.xml><?xml version="1.0" encoding="utf-8"?>
<ds:datastoreItem xmlns:ds="http://schemas.openxmlformats.org/officeDocument/2006/customXml" ds:itemID="{0BD633AB-585D-4577-8421-5DE25E1909FD}">
  <ds:schemaRefs>
    <ds:schemaRef ds:uri="http://schemas.openxmlformats.org/officeDocument/2006/bibliography"/>
  </ds:schemaRefs>
</ds:datastoreItem>
</file>

<file path=customXml/itemProps8.xml><?xml version="1.0" encoding="utf-8"?>
<ds:datastoreItem xmlns:ds="http://schemas.openxmlformats.org/officeDocument/2006/customXml" ds:itemID="{8E9129F1-1580-4978-A5ED-8491776DFFE0}">
  <ds:schemaRefs>
    <ds:schemaRef ds:uri="http://schemas.openxmlformats.org/officeDocument/2006/bibliography"/>
  </ds:schemaRefs>
</ds:datastoreItem>
</file>

<file path=customXml/itemProps9.xml><?xml version="1.0" encoding="utf-8"?>
<ds:datastoreItem xmlns:ds="http://schemas.openxmlformats.org/officeDocument/2006/customXml" ds:itemID="{C8171B44-4EFE-4D4A-83F6-0097127D3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3</TotalTime>
  <Pages>59</Pages>
  <Words>28736</Words>
  <Characters>161213</Characters>
  <Application>Microsoft Office Word</Application>
  <DocSecurity>0</DocSecurity>
  <PresentationFormat>Microsoft Word 14.0</PresentationFormat>
  <Lines>2066</Lines>
  <Paragraphs>900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Manager/>
  <Company/>
  <LinksUpToDate>false</LinksUpToDate>
  <CharactersWithSpaces>189049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PAREDES ECHAURI Cristina (CAB-ALMUNIA)</cp:lastModifiedBy>
  <cp:revision>18</cp:revision>
  <cp:lastPrinted>2016-06-01T11:45:00Z</cp:lastPrinted>
  <dcterms:created xsi:type="dcterms:W3CDTF">2016-06-03T07:14:00Z</dcterms:created>
  <dcterms:modified xsi:type="dcterms:W3CDTF">2016-06-06T18:09:00Z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4.6.4.0000</vt:lpwstr>
  </property>
  <property fmtid="{D5CDD505-2E9C-101B-9397-08002B2CF9AE}" pid="3" name="EurolookVersion">
    <vt:lpwstr>4.6</vt:lpwstr>
  </property>
  <property fmtid="{D5CDD505-2E9C-101B-9397-08002B2CF9AE}" pid="4" name="DocID_EU">
    <vt:lpwstr> </vt:lpwstr>
  </property>
  <property fmtid="{D5CDD505-2E9C-101B-9397-08002B2CF9AE}" pid="5" name="ELDocType">
    <vt:lpwstr>rep.dot</vt:lpwstr>
  </property>
  <property fmtid="{D5CDD505-2E9C-101B-9397-08002B2CF9AE}" pid="6" name="Created using">
    <vt:lpwstr>EL 4.6 Build 40001</vt:lpwstr>
  </property>
  <property fmtid="{D5CDD505-2E9C-101B-9397-08002B2CF9AE}" pid="7" name="Formatting">
    <vt:lpwstr>4.1</vt:lpwstr>
  </property>
  <property fmtid="{D5CDD505-2E9C-101B-9397-08002B2CF9AE}" pid="8" name="Last edited using">
    <vt:lpwstr>EL 4.6 Build 50000</vt:lpwstr>
  </property>
  <property fmtid="{D5CDD505-2E9C-101B-9397-08002B2CF9AE}" pid="9" name="EL_Author">
    <vt:lpwstr>Van Triel Philippe</vt:lpwstr>
  </property>
  <property fmtid="{D5CDD505-2E9C-101B-9397-08002B2CF9AE}" pid="10" name="Type">
    <vt:lpwstr>Eurolook Report</vt:lpwstr>
  </property>
  <property fmtid="{D5CDD505-2E9C-101B-9397-08002B2CF9AE}" pid="11" name="Language">
    <vt:lpwstr>EN</vt:lpwstr>
  </property>
  <property fmtid="{D5CDD505-2E9C-101B-9397-08002B2CF9AE}" pid="12" name="EL_Language">
    <vt:lpwstr>EN</vt:lpwstr>
  </property>
  <property fmtid="{D5CDD505-2E9C-101B-9397-08002B2CF9AE}" pid="13" name="Classification">
    <vt:lpwstr> </vt:lpwstr>
  </property>
  <property fmtid="{D5CDD505-2E9C-101B-9397-08002B2CF9AE}" pid="14" name="Part">
    <vt:lpwstr>1</vt:lpwstr>
  </property>
  <property fmtid="{D5CDD505-2E9C-101B-9397-08002B2CF9AE}" pid="15" name="Total parts">
    <vt:lpwstr>6</vt:lpwstr>
  </property>
  <property fmtid="{D5CDD505-2E9C-101B-9397-08002B2CF9AE}" pid="16" name="DocStatus">
    <vt:lpwstr>Green</vt:lpwstr>
  </property>
</Properties>
</file>