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474DC6F5D38462388AC5BE969221BC1" style="width:451.25pt;height:366.7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 xml:space="preserve">За да се осигури задоволително и непрекъснато снабдяване с някои стоки, които са недостатъчни или липсват в Съюза, и за да се избегнат смущенията на пазара на определени селскостопански и промишлени продукти, с Регламент (ЕС) № 1387/2013 на Съвета бяха частично или изцяло суспендирани някои автономни мита по Общата митническа тарифа. </w:t>
      </w:r>
    </w:p>
    <w:p>
      <w:pPr>
        <w:rPr>
          <w:noProof/>
        </w:rPr>
      </w:pPr>
      <w:r>
        <w:rPr>
          <w:noProof/>
        </w:rPr>
        <w:t>Регламентът се актуализира на всеки шест месеца, за да отговаря на нуждите на промишлеността на ЕС. Подпомагана от Групата по икономически тарифни въпроси (ГИТВ), Комисията разгледа всички искания за временно суспендиране на автономни мита по Общата митническа тарифа, които ѝ бяха представени от държавите членки.</w:t>
      </w:r>
    </w:p>
    <w:p>
      <w:pPr>
        <w:rPr>
          <w:noProof/>
        </w:rPr>
      </w:pPr>
      <w:r>
        <w:rPr>
          <w:noProof/>
        </w:rPr>
        <w:t xml:space="preserve">След разглеждането Комисията смята, че суспендирането на митата е обосновано за някои нови продукти, които понастоящем не са посочени в приложението към Регламент (ЕС) № 1387/2013 на Съвета. Относно някои други продукти трябва да се промени формулировката при описанието им или следва да им се определят нови кодове по КН или ТАРИК. Предлага се да се заличат от приложението продуктите, за които суспендирането на митата повече не отговаря на икономическите интереси на Съюза.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областта на политиката:</w:t>
      </w:r>
    </w:p>
    <w:p>
      <w:pPr>
        <w:rPr>
          <w:noProof/>
        </w:rPr>
      </w:pPr>
      <w:r>
        <w:rPr>
          <w:noProof/>
        </w:rPr>
        <w:t>Настоящото предложение не е за сметка на държавите, ползващи се с преференциални търговски споразумения с ЕС (напр. Общата система за преференции — ОСП, режима на Споразумението за партньорство с държавите от Африка, Карибите и Тихоокеанския басейн — АКТБ, споразуменията с държавите кандидатки и потенциалните държави кандидатки).</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rFonts w:eastAsia="Arial Unicode MS"/>
          <w:noProof/>
        </w:rPr>
      </w:pPr>
      <w:r>
        <w:rPr>
          <w:noProof/>
        </w:rPr>
        <w:t>Предложението е в съответствие с политиката в областта на селското стопанство, търговията, предприятията, развитието и външните отношения.</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Правното основание на настоящото предложение е член 31 от Договора за функционирането на Европейския съюз (ДФЕС).</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Предложението е от изключителната компетентност на Съюза. Следователно принципът на субсидиарност не се прилага.</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 xml:space="preserve">С това предложение се спазва принципът на пропорционалност, тъй като този набор от мерки съответства на установените принципи за опростяване на процедурите за икономическите оператори с предмет на дейност във външната търговия и е в съответствие със Съобщението на Комисията относно суспендирането на автономните мита и относно тарифните квоти (ОВ C 363, 13.12.2011 г., стр. 6). С настоящия </w:t>
      </w:r>
      <w:r>
        <w:rPr>
          <w:noProof/>
        </w:rPr>
        <w:lastRenderedPageBreak/>
        <w:t>регламент не се надхвърля необходимото за постигането на поставените цели в съответствие с член 5, параграф 4 от Договора за Европейския съюз.</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По силата на член 31 от ДФЕС решенията за суспендирането на автономни мита и за автономните тарифни квоти се вземат от Съвета с квалифицирано мнозинство въз основа на предложение на Комисията. По тази причина подходящият инструмент е регламент.</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Цялата схема на суспендиране на автономните мита беше предмет на оценка, проведена през 2013 г. При нея се заключи, че основната причина за съществуването на схемата е все още валидна. Предприятията от ЕС, внасящи стоки по схемата, могат да спестят значителни средства, които на свой ред е възможно да доведат до ползи в по-широк контекст (като по-голяма конкурентоспособност, по-ефективни производствени методи, създаване или запазване на работните места в ЕС и др.) в зависимост от съответния продукт, дружество и сектор.</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noProof/>
        </w:rPr>
      </w:pPr>
      <w:r>
        <w:rPr>
          <w:noProof/>
        </w:rPr>
        <w:t>Настоящото предложение беше оценено с помощта на ГИТВ, която се състои от делегации от всичките държави членки и от Турция. Тя проведе три заседания преди да се постигне договореност относно промените, посочени в настоящото предложение.</w:t>
      </w:r>
    </w:p>
    <w:p>
      <w:pPr>
        <w:rPr>
          <w:noProof/>
        </w:rPr>
      </w:pPr>
      <w:r>
        <w:rPr>
          <w:noProof/>
        </w:rPr>
        <w:t>ГИТВ оцени задълбочено всяко искане (ново или изменено). По-специално, при разглеждането на отделните случаи бе взето под внимание предотвратяването на всякаква вреда за производителите от ЕС и подобряването и консолидирането на конкурентоспособността на производството на ЕС. В рамките на тази оценка се проведоха обсъждания в ГИТВ, а държавите членки проведоха консултации със засегнатите сектори, сдружения, търговски камари и други заинтересовани страни.</w:t>
      </w:r>
    </w:p>
    <w:p>
      <w:pPr>
        <w:pBdr>
          <w:top w:val="nil"/>
          <w:left w:val="nil"/>
          <w:bottom w:val="nil"/>
          <w:right w:val="nil"/>
          <w:between w:val="nil"/>
          <w:bar w:val="nil"/>
        </w:pBdr>
        <w:spacing w:before="0" w:after="240"/>
        <w:rPr>
          <w:rFonts w:eastAsia="Arial Unicode MS"/>
          <w:noProof/>
        </w:rPr>
      </w:pPr>
      <w:r>
        <w:rPr>
          <w:noProof/>
        </w:rPr>
        <w:t>Всички посочени суспендирания са съобразени със споразуменията или компромисите, постигнати по време на обсъждането в ГИТВ. Не бяха откроени потенциално сериозни рискове с необратими последици.</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Предложеното изменение е от техническо естество и касае само обхвата на суспендиранията, посочени в приложението. Ако се изключи това, Регламентът е идентичен на съществуващия регламент на Съвета.  Поради това не беше извършена оценка на въздействието за настоящото предложение.</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Предложението няма отражение върху основните права.</w:t>
      </w:r>
    </w:p>
    <w:p>
      <w:pPr>
        <w:pStyle w:val="ManualHeading1"/>
        <w:rPr>
          <w:noProof/>
        </w:rPr>
      </w:pPr>
      <w:r>
        <w:rPr>
          <w:noProof/>
        </w:rPr>
        <w:t>4.</w:t>
      </w:r>
      <w:r>
        <w:rPr>
          <w:noProof/>
        </w:rPr>
        <w:tab/>
        <w:t>ОТРАЖЕНИЕ ВЪРХУ БЮДЖЕТА</w:t>
      </w:r>
    </w:p>
    <w:p>
      <w:pPr>
        <w:rPr>
          <w:noProof/>
        </w:rPr>
      </w:pPr>
      <w:r>
        <w:rPr>
          <w:noProof/>
        </w:rPr>
        <w:t xml:space="preserve">Предложението няма финансово отражение върху разходите, но има финансово отражение върху приходите. Общата приблизителна стойност на несъбраните мита е 88 милиона евро годишно. Отражението върху традиционните собствени ресурси в бюджета възлиза на 66 милиона евро годишно (75 % от 88 милиона евро годишно). В законодателната финансова обосновка се съдържа повече информация за отражението върху бюджета, което ще окаже предложението. </w:t>
      </w:r>
    </w:p>
    <w:p>
      <w:pPr>
        <w:rPr>
          <w:noProof/>
        </w:rPr>
      </w:pPr>
      <w:r>
        <w:rPr>
          <w:noProof/>
        </w:rPr>
        <w:t>Загубата на приходи от традиционните собствени ресурси се компенсира от вноските на държавите членки въз основа на БНД.</w:t>
      </w:r>
    </w:p>
    <w:p>
      <w:pPr>
        <w:rPr>
          <w:noProof/>
        </w:rPr>
      </w:pP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spacing w:before="0" w:after="240"/>
        <w:rPr>
          <w:noProof/>
        </w:rPr>
      </w:pPr>
      <w:r>
        <w:rPr>
          <w:noProof/>
        </w:rPr>
        <w:t>Предложените мерки се разглеждат в рамките на ТАРИК (Интегрираната тарифа на Европейския съюз) и се прилагат от митническите администрации на държавите членки.</w:t>
      </w:r>
    </w:p>
    <w:p>
      <w:pPr>
        <w:pBdr>
          <w:top w:val="nil"/>
          <w:left w:val="nil"/>
          <w:bottom w:val="nil"/>
          <w:right w:val="nil"/>
          <w:between w:val="nil"/>
          <w:bar w:val="nil"/>
        </w:pBdr>
        <w:spacing w:before="0" w:after="240"/>
        <w:rPr>
          <w:rFonts w:eastAsia="Arial Unicode MS"/>
          <w:noProof/>
        </w:rPr>
      </w:pPr>
      <w:r>
        <w:rPr>
          <w:noProof/>
        </w:rPr>
        <w:t>В съответствие с член 254 от Регламент (ЕИО) № 952/2013 на Европейския парламент и на Съвета от 9 октомври 2013 г. за създаване на Митнически кодекс на Съюза ще се извършват проверки на специфичната употреба на някои от продуктите, обхванати от настоящия регламент на Съвета.</w:t>
      </w:r>
    </w:p>
    <w:p>
      <w:pPr>
        <w:pStyle w:val="ManualHeading2"/>
        <w:rPr>
          <w:rFonts w:eastAsia="Arial Unicode MS"/>
          <w:noProof/>
          <w:u w:color="000000"/>
          <w:bdr w:val="nil"/>
        </w:rPr>
      </w:pPr>
      <w:r>
        <w:rPr>
          <w:noProof/>
        </w:rPr>
        <w:t>•</w:t>
      </w:r>
      <w:r>
        <w:rPr>
          <w:noProof/>
        </w:rPr>
        <w:tab/>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Подробно разяснение на конкретни разпоредби на предложението</w:t>
      </w:r>
    </w:p>
    <w:p>
      <w:pPr>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Не се прилага</w:t>
      </w:r>
    </w:p>
    <w:p>
      <w:pPr>
        <w:pStyle w:val="Rfrenceinterinstitutionnelle"/>
        <w:rPr>
          <w:noProof/>
        </w:rPr>
      </w:pPr>
      <w:r>
        <w:rPr>
          <w:noProof/>
        </w:rPr>
        <w:t>2016/0154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изменение на Регламент (ЕС) № 1387/2013 за суспендиране на автономните мита по Общата митническа тарифа за определени селскостопански и промишлени продукти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31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В интерес на Съюза е да се суспендират напълно автономните мита по Общата митническа тарифа за 140 продукта, които към момента не са посочени в приложението към Регламент (ЕС) № 1387/2013 на Съвета</w:t>
      </w:r>
      <w:r>
        <w:rPr>
          <w:rStyle w:val="FootnoteReference"/>
          <w:noProof/>
        </w:rPr>
        <w:footnoteReference w:id="1"/>
      </w:r>
      <w:r>
        <w:rPr>
          <w:noProof/>
        </w:rPr>
        <w:t>.</w:t>
      </w:r>
    </w:p>
    <w:p>
      <w:pPr>
        <w:pStyle w:val="ManualConsidrant"/>
        <w:rPr>
          <w:noProof/>
        </w:rPr>
      </w:pPr>
      <w:r>
        <w:t>(2)</w:t>
      </w:r>
      <w:r>
        <w:tab/>
      </w:r>
      <w:r>
        <w:rPr>
          <w:noProof/>
        </w:rPr>
        <w:t>Съюзът вече няма интерес да поддържа суспендирането на автономните мита по Общата митническа тарифа за 6 от продуктите, които понастоящем са изброени в приложението към Регламент (ЕС) № 1387/2013.</w:t>
      </w:r>
    </w:p>
    <w:p>
      <w:pPr>
        <w:pStyle w:val="ManualConsidrant"/>
        <w:rPr>
          <w:noProof/>
        </w:rPr>
      </w:pPr>
      <w:r>
        <w:t>(3)</w:t>
      </w:r>
      <w:r>
        <w:tab/>
      </w:r>
      <w:r>
        <w:rPr>
          <w:noProof/>
        </w:rPr>
        <w:t xml:space="preserve">Необходимо е да се направят промени в условията за 46 суспендирания, включени към момента в приложението към Регламент (ЕС) № 1387/2013, за да се отчетат техническите промени в продуктите, икономическите тенденции на пазара, както и за да се извърши допълнителен анализ на класирането на продуктите или езикова адаптация. Изменените условия се отнасят до промени в описанието на продукта, неговото класиране, митническите ставки или изискванията за специфична употреба. Суспендиранията, за които са необходими изменения, следва да се заличат от списъка на суспендиранията в приложението към Регламент (ЕС) № 1387/2013, а изменените суспендирания следва да бъдат включени в същия списък. </w:t>
      </w:r>
    </w:p>
    <w:p>
      <w:pPr>
        <w:pStyle w:val="ManualConsidrant"/>
        <w:rPr>
          <w:noProof/>
        </w:rPr>
      </w:pPr>
      <w:r>
        <w:t>(4)</w:t>
      </w:r>
      <w:r>
        <w:tab/>
      </w:r>
      <w:r>
        <w:rPr>
          <w:noProof/>
        </w:rPr>
        <w:t>За по-голяма яснота бележката под линия, указваща нововъведена мярка или мярка с изменени условия, посочена в приложението към Регламент (ЕС) № 1387/2013, следва да бъде заличена, а вписванията, изменени с настоящия регламент, следва да бъдат отбелязани със звездичка.</w:t>
      </w:r>
    </w:p>
    <w:p>
      <w:pPr>
        <w:pStyle w:val="ManualConsidrant"/>
        <w:rPr>
          <w:noProof/>
        </w:rPr>
      </w:pPr>
      <w:r>
        <w:t>(5)</w:t>
      </w:r>
      <w:r>
        <w:tab/>
      </w:r>
      <w:r>
        <w:rPr>
          <w:noProof/>
        </w:rPr>
        <w:t>Поради това Регламент (ЕС) № 1387/2013 следва съответно да се измени.</w:t>
      </w:r>
    </w:p>
    <w:p>
      <w:pPr>
        <w:pStyle w:val="ManualConsidrant"/>
        <w:rPr>
          <w:noProof/>
        </w:rPr>
      </w:pPr>
      <w:r>
        <w:t>(6)</w:t>
      </w:r>
      <w:r>
        <w:tab/>
      </w:r>
      <w:r>
        <w:rPr>
          <w:noProof/>
        </w:rPr>
        <w:t>Тъй като промените относно суспендиранията за засегнатите продукти, предвидени в настоящия регламент, трябва да се прилагат от 1 юли 2016 г., той следва да влезе в сила незабавно,</w:t>
      </w:r>
    </w:p>
    <w:p>
      <w:pPr>
        <w:pStyle w:val="Formuledadoption"/>
        <w:rPr>
          <w:noProof/>
        </w:rPr>
      </w:pPr>
      <w:r>
        <w:rPr>
          <w:noProof/>
        </w:rPr>
        <w:t>ПРИЕ НАСТОЯЩИЯ РЕГЛАМЕНТ:</w:t>
      </w:r>
    </w:p>
    <w:p>
      <w:pPr>
        <w:pStyle w:val="Titrearticle"/>
        <w:rPr>
          <w:noProof/>
        </w:rPr>
      </w:pPr>
      <w:r>
        <w:rPr>
          <w:noProof/>
        </w:rPr>
        <w:t>Член 1</w:t>
      </w:r>
    </w:p>
    <w:p>
      <w:pPr>
        <w:rPr>
          <w:noProof/>
        </w:rPr>
      </w:pPr>
      <w:r>
        <w:rPr>
          <w:noProof/>
        </w:rPr>
        <w:t>Приложението към Регламент (ЕС) № 1387/2013 се изменя, както следва:</w:t>
      </w:r>
    </w:p>
    <w:p>
      <w:pPr>
        <w:rPr>
          <w:noProof/>
        </w:rPr>
      </w:pPr>
      <w:r>
        <w:rPr>
          <w:noProof/>
        </w:rPr>
        <w:t>(1) редовете за продуктите, изброени в приложение I към настоящия регламент, се вмъкват в последователността на кодовете по КН, посочени в първата колона на таблицата, съдържаща се в приложението към Регламент (ЕС) № 1387/2013;</w:t>
      </w:r>
    </w:p>
    <w:p>
      <w:pPr>
        <w:rPr>
          <w:noProof/>
        </w:rPr>
      </w:pPr>
      <w:r>
        <w:rPr>
          <w:noProof/>
        </w:rPr>
        <w:t xml:space="preserve">(2) заличават се редовете за продуктите, чиито кодове по КН и по ТАРИК са посочени в приложение II към настоящия регламент. </w:t>
      </w:r>
    </w:p>
    <w:p>
      <w:pPr>
        <w:rPr>
          <w:noProof/>
        </w:rPr>
      </w:pPr>
      <w:r>
        <w:rPr>
          <w:noProof/>
        </w:rPr>
        <w:t xml:space="preserve">(3) бележка под линия номер 7 „Нововъведена мярка или мярка с изменени условия“, която понастоящем е включена в приложението към Регламент (ЕС) № 1387/2013, се заличава. </w:t>
      </w:r>
    </w:p>
    <w:p>
      <w:pPr>
        <w:pStyle w:val="Titrearticle"/>
        <w:rPr>
          <w:noProof/>
        </w:rPr>
      </w:pPr>
      <w:r>
        <w:rPr>
          <w:noProof/>
        </w:rPr>
        <w:t>Член 2</w:t>
      </w:r>
    </w:p>
    <w:p>
      <w:pPr>
        <w:rPr>
          <w:noProof/>
        </w:rPr>
      </w:pPr>
      <w:r>
        <w:rPr>
          <w:noProof/>
        </w:rPr>
        <w:t xml:space="preserve">Настоящият регламент влиза в сила в деня на публикуването му в </w:t>
      </w:r>
      <w:r>
        <w:rPr>
          <w:i/>
          <w:noProof/>
        </w:rPr>
        <w:t>Официален вестник на Европейския съюз</w:t>
      </w:r>
      <w:r>
        <w:rPr>
          <w:noProof/>
        </w:rPr>
        <w:t>.</w:t>
      </w:r>
    </w:p>
    <w:p>
      <w:pPr>
        <w:rPr>
          <w:noProof/>
        </w:rPr>
      </w:pPr>
      <w:r>
        <w:rPr>
          <w:noProof/>
        </w:rPr>
        <w:t>Прилага се от 1 юли 2016 г.</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bCs/>
          <w:noProof/>
          <w:szCs w:val="24"/>
        </w:rPr>
      </w:pPr>
      <w:r>
        <w:rPr>
          <w:noProof/>
        </w:rPr>
        <w:t>ЗАКОНОДАТЕЛНА ФИНАНСОВА ОБОСНОВКА</w:t>
      </w:r>
    </w:p>
    <w:p>
      <w:pPr>
        <w:pStyle w:val="ManualHeading1"/>
        <w:rPr>
          <w:bCs/>
          <w:noProof/>
          <w:szCs w:val="24"/>
        </w:rPr>
      </w:pPr>
      <w:r>
        <w:t>1.</w:t>
      </w:r>
      <w:r>
        <w:tab/>
      </w:r>
      <w:r>
        <w:rPr>
          <w:noProof/>
        </w:rPr>
        <w:t>НАИМЕНОВАНИЕ НА ПРЕДЛОЖЕНИЕТО</w:t>
      </w:r>
    </w:p>
    <w:p>
      <w:pPr>
        <w:pStyle w:val="Text1"/>
        <w:rPr>
          <w:noProof/>
        </w:rPr>
      </w:pPr>
      <w:r>
        <w:rPr>
          <w:noProof/>
          <w:color w:val="000000"/>
        </w:rPr>
        <w:t>Регламент на Съвета за изменение на Регламент (ЕС) № 1387/2013 за суспендиране на автономните мита по Общата митническа тарифа за определени селскостопански и промишлени продукти</w:t>
      </w:r>
    </w:p>
    <w:p>
      <w:pPr>
        <w:pStyle w:val="ManualHeading1"/>
        <w:rPr>
          <w:bCs/>
          <w:noProof/>
          <w:szCs w:val="24"/>
        </w:rPr>
      </w:pPr>
      <w:r>
        <w:t>2.</w:t>
      </w:r>
      <w:r>
        <w:tab/>
      </w:r>
      <w:r>
        <w:rPr>
          <w:noProof/>
        </w:rPr>
        <w:t>БЮДЖЕТНИ РЕДОВЕ</w:t>
      </w:r>
    </w:p>
    <w:p>
      <w:pPr>
        <w:pStyle w:val="text10"/>
        <w:rPr>
          <w:noProof/>
          <w:color w:val="000000"/>
        </w:rPr>
      </w:pPr>
      <w:r>
        <w:rPr>
          <w:noProof/>
          <w:color w:val="000000"/>
        </w:rPr>
        <w:t xml:space="preserve">Глава и статия: глава 12, статия 120 </w:t>
      </w:r>
    </w:p>
    <w:p>
      <w:pPr>
        <w:pStyle w:val="text10"/>
        <w:rPr>
          <w:noProof/>
          <w:color w:val="000000"/>
        </w:rPr>
      </w:pPr>
      <w:r>
        <w:rPr>
          <w:noProof/>
          <w:color w:val="000000"/>
        </w:rPr>
        <w:t xml:space="preserve">Сума, предвидена в бюджета за 2016 г.: 18 465 300 000 EUR (бюджет 2016 г.) </w:t>
      </w:r>
    </w:p>
    <w:p>
      <w:pPr>
        <w:pStyle w:val="ManualHeading1"/>
        <w:rPr>
          <w:bCs/>
          <w:noProof/>
          <w:szCs w:val="24"/>
        </w:rPr>
      </w:pPr>
      <w:r>
        <w:t>3.</w:t>
      </w:r>
      <w:r>
        <w:tab/>
      </w:r>
      <w:r>
        <w:rPr>
          <w:noProof/>
        </w:rPr>
        <w:t>ФИНАНСОВО ОТРАЖЕНИЕ</w:t>
      </w:r>
    </w:p>
    <w:p>
      <w:pPr>
        <w:pStyle w:val="Text1"/>
        <w:rPr>
          <w:noProof/>
        </w:rPr>
      </w:pPr>
      <w:r>
        <w:rPr>
          <w:noProof/>
        </w:rPr>
        <w:sym w:font="Wingdings" w:char="F0A8"/>
      </w:r>
      <w:r>
        <w:rPr>
          <w:noProof/>
        </w:rPr>
        <w:tab/>
      </w:r>
      <w:r>
        <w:rPr>
          <w:noProof/>
        </w:rPr>
        <w:sym w:font="Wingdings" w:char="F0A8"/>
      </w:r>
      <w:r>
        <w:rPr>
          <w:noProof/>
        </w:rPr>
        <w:t>Предложението няма финансово отражение</w:t>
      </w:r>
    </w:p>
    <w:p>
      <w:pPr>
        <w:pStyle w:val="Text1"/>
        <w:rPr>
          <w:noProof/>
        </w:rPr>
      </w:pPr>
      <w:r>
        <w:rPr>
          <w:noProof/>
        </w:rPr>
        <w:t xml:space="preserve">X </w:t>
      </w:r>
      <w:r>
        <w:rPr>
          <w:noProof/>
        </w:rPr>
        <w:tab/>
        <w:t>(Предложението няма финансово отражение върху разходите, но върху приходите то е следното:</w:t>
      </w:r>
    </w:p>
    <w:p>
      <w:pPr>
        <w:jc w:val="right"/>
        <w:rPr>
          <w:noProof/>
        </w:rPr>
      </w:pPr>
      <w:r>
        <w:rPr>
          <w:noProof/>
        </w:rPr>
        <w:t>(в милиони евро до един знак след десетичната запетая</w:t>
      </w:r>
      <w:r>
        <w:rPr>
          <w:rStyle w:val="FootnoteReference"/>
          <w:noProof/>
        </w:rPr>
        <w:footnoteReference w:id="2"/>
      </w:r>
      <w:r>
        <w:rPr>
          <w:noProof/>
        </w:rPr>
        <w:t>)</w:t>
      </w:r>
    </w:p>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22"/>
        <w:gridCol w:w="2880"/>
        <w:gridCol w:w="2070"/>
        <w:gridCol w:w="2070"/>
      </w:tblGrid>
      <w:tr>
        <w:trPr>
          <w:gridAfter w:val="2"/>
          <w:wAfter w:w="4140" w:type="dxa"/>
          <w:cantSplit/>
        </w:trPr>
        <w:tc>
          <w:tcPr>
            <w:tcW w:w="1322" w:type="dxa"/>
          </w:tcPr>
          <w:p>
            <w:pPr>
              <w:spacing w:before="0" w:after="0"/>
              <w:jc w:val="left"/>
              <w:rPr>
                <w:noProof/>
                <w:snapToGrid w:val="0"/>
                <w:sz w:val="18"/>
              </w:rPr>
            </w:pPr>
          </w:p>
        </w:tc>
        <w:tc>
          <w:tcPr>
            <w:tcW w:w="2880" w:type="dxa"/>
          </w:tcPr>
          <w:p>
            <w:pPr>
              <w:spacing w:before="0" w:after="0"/>
              <w:jc w:val="left"/>
              <w:rPr>
                <w:noProof/>
                <w:snapToGrid w:val="0"/>
                <w:sz w:val="18"/>
              </w:rPr>
            </w:pPr>
          </w:p>
        </w:tc>
      </w:tr>
      <w:tr>
        <w:trPr>
          <w:cantSplit/>
        </w:trPr>
        <w:tc>
          <w:tcPr>
            <w:tcW w:w="1322" w:type="dxa"/>
          </w:tcPr>
          <w:p>
            <w:pPr>
              <w:spacing w:before="0" w:after="0"/>
              <w:jc w:val="left"/>
              <w:rPr>
                <w:noProof/>
                <w:snapToGrid w:val="0"/>
              </w:rPr>
            </w:pPr>
            <w:r>
              <w:rPr>
                <w:noProof/>
                <w:sz w:val="22"/>
              </w:rPr>
              <w:t>Бюджетен ред</w:t>
            </w:r>
          </w:p>
        </w:tc>
        <w:tc>
          <w:tcPr>
            <w:tcW w:w="2880" w:type="dxa"/>
          </w:tcPr>
          <w:p>
            <w:pPr>
              <w:spacing w:before="0" w:after="0"/>
              <w:jc w:val="center"/>
              <w:rPr>
                <w:noProof/>
                <w:snapToGrid w:val="0"/>
              </w:rPr>
            </w:pPr>
            <w:r>
              <w:rPr>
                <w:noProof/>
                <w:sz w:val="22"/>
              </w:rPr>
              <w:t>Приходи</w:t>
            </w:r>
            <w:r>
              <w:rPr>
                <w:rStyle w:val="FootnoteReference"/>
                <w:noProof/>
                <w:snapToGrid w:val="0"/>
                <w:sz w:val="22"/>
              </w:rPr>
              <w:footnoteReference w:id="3"/>
            </w:r>
          </w:p>
          <w:p>
            <w:pPr>
              <w:spacing w:before="0" w:after="0"/>
              <w:jc w:val="center"/>
              <w:rPr>
                <w:noProof/>
                <w:snapToGrid w:val="0"/>
              </w:rPr>
            </w:pPr>
          </w:p>
        </w:tc>
        <w:tc>
          <w:tcPr>
            <w:tcW w:w="2070" w:type="dxa"/>
            <w:shd w:val="clear" w:color="auto" w:fill="auto"/>
          </w:tcPr>
          <w:p>
            <w:pPr>
              <w:spacing w:before="0" w:after="0"/>
              <w:jc w:val="center"/>
              <w:rPr>
                <w:noProof/>
                <w:snapToGrid w:val="0"/>
              </w:rPr>
            </w:pPr>
            <w:r>
              <w:rPr>
                <w:noProof/>
                <w:sz w:val="22"/>
              </w:rPr>
              <w:t>6-месечен период, считано от дд/мм/гггг</w:t>
            </w:r>
          </w:p>
        </w:tc>
        <w:tc>
          <w:tcPr>
            <w:tcW w:w="2070" w:type="dxa"/>
            <w:shd w:val="clear" w:color="auto" w:fill="auto"/>
          </w:tcPr>
          <w:p>
            <w:pPr>
              <w:spacing w:before="0" w:after="0"/>
              <w:jc w:val="center"/>
              <w:rPr>
                <w:noProof/>
                <w:snapToGrid w:val="0"/>
              </w:rPr>
            </w:pPr>
            <w:r>
              <w:rPr>
                <w:noProof/>
                <w:sz w:val="22"/>
              </w:rPr>
              <w:t>[Година: февруари 2016 г.]</w:t>
            </w:r>
          </w:p>
        </w:tc>
      </w:tr>
      <w:tr>
        <w:trPr>
          <w:cantSplit/>
        </w:trPr>
        <w:tc>
          <w:tcPr>
            <w:tcW w:w="1322" w:type="dxa"/>
            <w:shd w:val="clear" w:color="auto" w:fill="auto"/>
          </w:tcPr>
          <w:p>
            <w:pPr>
              <w:spacing w:before="0" w:after="0"/>
              <w:jc w:val="left"/>
              <w:rPr>
                <w:noProof/>
              </w:rPr>
            </w:pPr>
            <w:r>
              <w:rPr>
                <w:noProof/>
                <w:sz w:val="22"/>
              </w:rPr>
              <w:t xml:space="preserve">Статия 120 </w:t>
            </w:r>
          </w:p>
          <w:p>
            <w:pPr>
              <w:spacing w:before="0" w:after="0"/>
              <w:jc w:val="left"/>
              <w:rPr>
                <w:noProof/>
                <w:snapToGrid w:val="0"/>
              </w:rPr>
            </w:pPr>
          </w:p>
        </w:tc>
        <w:tc>
          <w:tcPr>
            <w:tcW w:w="2880" w:type="dxa"/>
          </w:tcPr>
          <w:p>
            <w:pPr>
              <w:spacing w:before="0" w:after="0"/>
              <w:jc w:val="left"/>
              <w:rPr>
                <w:noProof/>
                <w:snapToGrid w:val="0"/>
              </w:rPr>
            </w:pPr>
            <w:r>
              <w:rPr>
                <w:noProof/>
                <w:sz w:val="22"/>
              </w:rPr>
              <w:t>Отражение върху собствените ресурси</w:t>
            </w:r>
          </w:p>
        </w:tc>
        <w:tc>
          <w:tcPr>
            <w:tcW w:w="2070" w:type="dxa"/>
            <w:shd w:val="clear" w:color="auto" w:fill="auto"/>
          </w:tcPr>
          <w:p>
            <w:pPr>
              <w:spacing w:before="0" w:after="0"/>
              <w:jc w:val="left"/>
              <w:rPr>
                <w:noProof/>
                <w:snapToGrid w:val="0"/>
              </w:rPr>
            </w:pPr>
            <w:r>
              <w:rPr>
                <w:noProof/>
                <w:snapToGrid w:val="0"/>
                <w:sz w:val="22"/>
              </w:rPr>
              <w:t xml:space="preserve">      1.7.2016 г.</w:t>
            </w:r>
          </w:p>
        </w:tc>
        <w:tc>
          <w:tcPr>
            <w:tcW w:w="2070" w:type="dxa"/>
            <w:shd w:val="clear" w:color="auto" w:fill="auto"/>
          </w:tcPr>
          <w:p>
            <w:pPr>
              <w:spacing w:before="0" w:after="0"/>
              <w:jc w:val="left"/>
              <w:rPr>
                <w:noProof/>
                <w:snapToGrid w:val="0"/>
              </w:rPr>
            </w:pPr>
            <w:r>
              <w:rPr>
                <w:noProof/>
                <w:snapToGrid w:val="0"/>
                <w:sz w:val="22"/>
              </w:rPr>
              <w:t xml:space="preserve">           -33</w:t>
            </w:r>
          </w:p>
        </w:tc>
      </w:tr>
    </w:tbl>
    <w:p>
      <w:pPr>
        <w:rPr>
          <w:b/>
          <w:i/>
          <w:noProof/>
          <w:snapToGrid w:val="0"/>
        </w:rPr>
      </w:pPr>
    </w:p>
    <w:tbl>
      <w:tblPr>
        <w:tblW w:w="84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1322"/>
        <w:gridCol w:w="7078"/>
      </w:tblGrid>
      <w:tr>
        <w:trPr>
          <w:cantSplit/>
        </w:trPr>
        <w:tc>
          <w:tcPr>
            <w:tcW w:w="8402" w:type="dxa"/>
            <w:gridSpan w:val="2"/>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rPr>
              <w:t>Положение след действието</w:t>
            </w:r>
          </w:p>
        </w:tc>
      </w:tr>
      <w:tr>
        <w:trPr>
          <w:cantSplit/>
        </w:trPr>
        <w:tc>
          <w:tcPr>
            <w:tcW w:w="1322" w:type="dxa"/>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p>
        </w:tc>
        <w:tc>
          <w:tcPr>
            <w:tcW w:w="7080" w:type="dxa"/>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rPr>
              <w:t>[2017 г. — 2020 г.]</w:t>
            </w:r>
          </w:p>
        </w:tc>
      </w:tr>
      <w:tr>
        <w:trPr>
          <w:cantSplit/>
        </w:trPr>
        <w:tc>
          <w:tcPr>
            <w:tcW w:w="1322" w:type="dxa"/>
            <w:tcBorders>
              <w:top w:val="single" w:sz="4" w:space="0" w:color="auto"/>
              <w:left w:val="single" w:sz="4" w:space="0" w:color="auto"/>
              <w:bottom w:val="single" w:sz="4" w:space="0" w:color="auto"/>
              <w:right w:val="single" w:sz="4" w:space="0" w:color="auto"/>
            </w:tcBorders>
          </w:tcPr>
          <w:p>
            <w:pPr>
              <w:spacing w:line="276" w:lineRule="auto"/>
              <w:rPr>
                <w:noProof/>
                <w:szCs w:val="24"/>
              </w:rPr>
            </w:pPr>
            <w:r>
              <w:rPr>
                <w:noProof/>
                <w:sz w:val="22"/>
              </w:rPr>
              <w:t>Статия 120</w:t>
            </w:r>
          </w:p>
        </w:tc>
        <w:tc>
          <w:tcPr>
            <w:tcW w:w="7080" w:type="dxa"/>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rPr>
              <w:t>- 66 годишно</w:t>
            </w:r>
          </w:p>
        </w:tc>
      </w:tr>
    </w:tbl>
    <w:p>
      <w:pPr>
        <w:pStyle w:val="Text1"/>
        <w:ind w:left="0"/>
        <w:rPr>
          <w:noProof/>
        </w:rPr>
      </w:pPr>
    </w:p>
    <w:p>
      <w:pPr>
        <w:pStyle w:val="ManualHeading1"/>
        <w:rPr>
          <w:bCs/>
          <w:noProof/>
          <w:szCs w:val="24"/>
        </w:rPr>
      </w:pPr>
      <w:r>
        <w:t>4.</w:t>
      </w:r>
      <w:r>
        <w:tab/>
      </w:r>
      <w:r>
        <w:rPr>
          <w:noProof/>
        </w:rPr>
        <w:t>МЕРКИ ЗА БОРБА С ИЗМАМИТЕ</w:t>
      </w:r>
    </w:p>
    <w:p>
      <w:pPr>
        <w:pStyle w:val="Text1"/>
        <w:rPr>
          <w:noProof/>
        </w:rPr>
      </w:pPr>
      <w:r>
        <w:rPr>
          <w:noProof/>
        </w:rPr>
        <w:t>В съответствие с член 254 от Регламент (ЕИО) № 952/2013 на Европейския парламент и на Съвета от 9 октомври 2013 г. за създаване на Митнически кодекс на Съюза ще се извършват проверки на специфичната употреба на някои от продуктите, обхванати от настоящия регламент на Съвета.</w:t>
      </w:r>
    </w:p>
    <w:p>
      <w:pPr>
        <w:pStyle w:val="ManualHeading1"/>
        <w:rPr>
          <w:bCs/>
          <w:noProof/>
          <w:kern w:val="32"/>
          <w:szCs w:val="24"/>
        </w:rPr>
      </w:pPr>
      <w:r>
        <w:t>5.</w:t>
      </w:r>
      <w:r>
        <w:tab/>
      </w:r>
      <w:r>
        <w:rPr>
          <w:noProof/>
        </w:rPr>
        <w:t>ДРУГИ ЗАБЕЛЕЖКИ</w:t>
      </w:r>
    </w:p>
    <w:p>
      <w:pPr>
        <w:pStyle w:val="Text1"/>
        <w:rPr>
          <w:noProof/>
        </w:rPr>
      </w:pPr>
      <w:r>
        <w:rPr>
          <w:noProof/>
        </w:rPr>
        <w:t xml:space="preserve">Настоящото предложение съдържа измененията, които трябва да се внесат в приложението към съществуващия регламент, за да се отчетат: </w:t>
      </w:r>
    </w:p>
    <w:p>
      <w:pPr>
        <w:pStyle w:val="Text1"/>
        <w:rPr>
          <w:noProof/>
        </w:rPr>
      </w:pPr>
      <w:r>
        <w:rPr>
          <w:noProof/>
        </w:rPr>
        <w:t xml:space="preserve">1. новите искания за суспендиране, които са били представени и приети; </w:t>
      </w:r>
    </w:p>
    <w:p>
      <w:pPr>
        <w:pStyle w:val="Text1"/>
        <w:rPr>
          <w:noProof/>
        </w:rPr>
      </w:pPr>
      <w:r>
        <w:rPr>
          <w:noProof/>
        </w:rPr>
        <w:t xml:space="preserve">2. техническото развитие на продуктите и икономическите тенденции на пазара, довели до преустановяването на определени съществуващи суспендирания. </w:t>
      </w:r>
    </w:p>
    <w:p>
      <w:pPr>
        <w:pStyle w:val="Text1"/>
        <w:rPr>
          <w:noProof/>
        </w:rPr>
      </w:pPr>
      <w:r>
        <w:rPr>
          <w:noProof/>
        </w:rPr>
        <w:t xml:space="preserve">Добавяне </w:t>
      </w:r>
    </w:p>
    <w:p>
      <w:pPr>
        <w:pStyle w:val="Text1"/>
        <w:rPr>
          <w:noProof/>
        </w:rPr>
      </w:pPr>
      <w:r>
        <w:rPr>
          <w:noProof/>
        </w:rPr>
        <w:t xml:space="preserve">Освен измененията вследствие на промените в описанието или кода настоящото приложение съдържа и 140 нови продукта. Несъбраните мита, съответстващи на тези суспендирания, изчислени на база на прогнозите на подалите искания държави членки за периода 2015—2019 г., възлизат на 55,8 милиона евро годишно. </w:t>
      </w:r>
    </w:p>
    <w:p>
      <w:pPr>
        <w:pStyle w:val="Text1"/>
        <w:rPr>
          <w:noProof/>
        </w:rPr>
      </w:pPr>
      <w:r>
        <w:rPr>
          <w:noProof/>
        </w:rPr>
        <w:t xml:space="preserve">Въпреки това, въз основа на съществуващите статистически данни за предходните години изглежда, че тази сума трябва да се увеличи, като се умножи със среден коефициент, изчислен на 1,8, за да се отчете вносът в други държави членки, които прилагат същите суспендирания. Това означава загуба на приходи от несъбрани мита за около 100,4 милиона евро годишно. </w:t>
      </w:r>
    </w:p>
    <w:p>
      <w:pPr>
        <w:pStyle w:val="Text1"/>
        <w:rPr>
          <w:noProof/>
        </w:rPr>
      </w:pPr>
      <w:r>
        <w:rPr>
          <w:noProof/>
        </w:rPr>
        <w:t xml:space="preserve">Заличаване: </w:t>
      </w:r>
    </w:p>
    <w:p>
      <w:pPr>
        <w:pStyle w:val="Text1"/>
        <w:rPr>
          <w:noProof/>
        </w:rPr>
      </w:pPr>
      <w:r>
        <w:rPr>
          <w:noProof/>
        </w:rPr>
        <w:t xml:space="preserve">От настоящото приложение са заличени  6 продукта, тъй като върху тях отново са наложени мита. Това представлява увеличение на ресурсите с 12,4 милиона евро, изчислено въз основа на статистическите данни за 2015 г. </w:t>
      </w:r>
    </w:p>
    <w:p>
      <w:pPr>
        <w:pStyle w:val="Text1"/>
        <w:rPr>
          <w:noProof/>
        </w:rPr>
      </w:pPr>
      <w:r>
        <w:rPr>
          <w:noProof/>
        </w:rPr>
        <w:t xml:space="preserve">Очаквани разходи за тази операция </w:t>
      </w:r>
    </w:p>
    <w:p>
      <w:pPr>
        <w:pStyle w:val="Text1"/>
        <w:rPr>
          <w:noProof/>
        </w:rPr>
      </w:pPr>
      <w:r>
        <w:rPr>
          <w:noProof/>
        </w:rPr>
        <w:t xml:space="preserve">Въз основа на гореизложеното очакваното отражение на настоящия регламент върху загубата на приходи може да се изчисли, както следва: 100,4 – 12,4 = 88 милиона евро (брутна сума, включително разходите по събирането) x 0,75 = 66 милиона евро годишно за периода 1.7.2016 г. — 31.12.2020 г. </w:t>
      </w:r>
    </w:p>
    <w:p>
      <w:pPr>
        <w:pStyle w:val="Text1"/>
        <w:rPr>
          <w:noProof/>
        </w:rPr>
      </w:pPr>
      <w:r>
        <w:rPr>
          <w:noProof/>
        </w:rPr>
        <w:t xml:space="preserve">Загубата на приходи от традиционните собствени ресурси се компенсира от вноските на държавите членки въз основа на БНД. </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(ЕС) № 1387/2013 на Съвета от 17 декември 2013 г. за суспендиране на автономните мита по Общата митническа тарифа за определени селскостопански и промишлени продукти и за отмяна на Регламент (ЕС) № 1344/2011 (ОВ L 354, 28.12.2013 г., стр. 201).</w:t>
      </w:r>
    </w:p>
  </w:footnote>
  <w:footnote w:id="2">
    <w:p>
      <w:pPr>
        <w:pStyle w:val="FootnoteText"/>
        <w:rPr>
          <w:lang w:val="cs-CZ"/>
        </w:rPr>
      </w:pPr>
      <w:r>
        <w:rPr>
          <w:rStyle w:val="FootnoteReference"/>
        </w:rPr>
        <w:footnoteRef/>
      </w:r>
      <w:r>
        <w:tab/>
        <w:t>Годишните суми се прогнозират въз основа на формулата в раздел 5, като това се указва в бележка под линия, в която това се посочва, напр. „ориентировъчна сума въз основа на договорената формула“. За началната година годишната сума обикновено се изплаща без да се прилага намаление или пропорционално плащане.</w:t>
      </w:r>
    </w:p>
  </w:footnote>
  <w:footnote w:id="3">
    <w:p>
      <w:pPr>
        <w:pStyle w:val="FootnoteText"/>
      </w:pPr>
      <w:r>
        <w:rPr>
          <w:rStyle w:val="FootnoteReference"/>
        </w:rPr>
        <w:footnoteRef/>
      </w:r>
      <w:r>
        <w:tab/>
        <w:t>По отношение на традиционните собствени ресурси (селскостопански мита, налози върху захарта, мита) посочените суми трябва да бъдат нетни, т.е. след приспадането от брутните суми на 25 % разходи по събирането.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24BF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B52908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1443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B764F7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6037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24"/>
    <w:lvlOverride w:ilvl="0">
      <w:startOverride w:val="1"/>
    </w:lvlOverride>
  </w:num>
  <w:num w:numId="11">
    <w:abstractNumId w:val="2"/>
  </w:num>
  <w:num w:numId="12">
    <w:abstractNumId w:val="1"/>
  </w:num>
  <w:num w:numId="13">
    <w:abstractNumId w:val="0"/>
  </w:num>
  <w:num w:numId="14">
    <w:abstractNumId w:val="18"/>
  </w:num>
  <w:num w:numId="15">
    <w:abstractNumId w:val="10"/>
  </w:num>
  <w:num w:numId="16">
    <w:abstractNumId w:val="21"/>
  </w:num>
  <w:num w:numId="17">
    <w:abstractNumId w:val="9"/>
  </w:num>
  <w:num w:numId="18">
    <w:abstractNumId w:val="11"/>
  </w:num>
  <w:num w:numId="19">
    <w:abstractNumId w:val="7"/>
  </w:num>
  <w:num w:numId="20">
    <w:abstractNumId w:val="20"/>
  </w:num>
  <w:num w:numId="21">
    <w:abstractNumId w:val="6"/>
  </w:num>
  <w:num w:numId="22">
    <w:abstractNumId w:val="12"/>
  </w:num>
  <w:num w:numId="23">
    <w:abstractNumId w:val="16"/>
  </w:num>
  <w:num w:numId="24">
    <w:abstractNumId w:val="17"/>
  </w:num>
  <w:num w:numId="25">
    <w:abstractNumId w:val="8"/>
  </w:num>
  <w:num w:numId="26">
    <w:abstractNumId w:val="15"/>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23 09:20:2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2"/>
    <w:docVar w:name="DQCStatus" w:val="Green"/>
    <w:docVar w:name="DQCVersion" w:val="3"/>
    <w:docVar w:name="DQCWithWarnings" w:val="0"/>
    <w:docVar w:name="LW_CONFIDENCE" w:val=" "/>
    <w:docVar w:name="LW_CONST_RESTREINT_UE" w:val="RESTREINT UE"/>
    <w:docVar w:name="LW_CORRIGENDUM" w:val="&lt;UNUSED&gt;"/>
    <w:docVar w:name="LW_COVERPAGE_GUID" w:val="1474DC6F5D38462388AC5BE969221BC1"/>
    <w:docVar w:name="LW_CROSSREFERENCE" w:val="&lt;UNUSED&gt;"/>
    <w:docVar w:name="LW_DocType" w:val="COM"/>
    <w:docVar w:name="LW_EMISSION" w:val="26.5.2016"/>
    <w:docVar w:name="LW_EMISSION_ISODATE" w:val="2016-05-26"/>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STATUT" w:val="SJ-016"/>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54"/>
    <w:docVar w:name="LW_REF.II.NEW.CP_YEAR" w:val="2016"/>
    <w:docVar w:name="LW_REF.INST.NEW" w:val="COM"/>
    <w:docVar w:name="LW_REF.INST.NEW_ADOPTED" w:val="final"/>
    <w:docVar w:name="LW_REF.INST.NEW_TEXT" w:val="(2016) 301"/>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1387/2013 \u1079?\u1072? \u1089?\u1091?\u1089?\u1087?\u1077?\u1085?\u1076?\u1080?\u1088?\u1072?\u1085?\u1077? \u1085?\u1072? \u1072?\u1074?\u1090?\u1086?\u1085?\u1086?\u1084?\u1085?\u1080?\u1090?\u1077? \u1084?\u1080?\u1090?\u1072? \u1087?\u1086? \u1054?\u1073?\u1097?\u1072?\u1090?\u1072? \u1084?\u1080?\u1090?\u1085?\u1080?\u1095?\u1077?\u1089?\u1082?\u1072? \u1090?\u1072?\u1088?\u1080?\u1092?\u1072? \u1079?\u1072? \u1086?\u1087?\u1088?\u1077?\u1076?\u1077?\u1083?\u1077?\u1085?\u1080? \u1089?\u1077?\u1083?\u1089?\u1082?\u1086?\u1089?\u1090?\u1086?\u1087?\u1072?\u1085?\u1089?\u1082?\u1080? \u1080? \u1087?\u1088?\u1086?\u1084?\u1080?\u1096?\u1083?\u1077?\u1085?\u1080? \u1087?\u1088?\u1086?\u1076?\u1091?\u1082?\u1090?\u1080?"/>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character" w:styleId="CommentReference">
    <w:name w:val="annotation reference"/>
    <w:rPr>
      <w:rFonts w:cs="Times New Roman"/>
      <w:sz w:val="16"/>
      <w:szCs w:val="16"/>
    </w:rPr>
  </w:style>
  <w:style w:type="paragraph" w:customStyle="1" w:styleId="text10">
    <w:name w:val="text1"/>
    <w:basedOn w:val="Normal"/>
    <w:pPr>
      <w:spacing w:before="0" w:after="0"/>
      <w:ind w:left="850"/>
    </w:pPr>
    <w:rPr>
      <w:rFonts w:eastAsia="Times New Roman"/>
      <w:szCs w:val="24"/>
    </w:rPr>
  </w:style>
  <w:style w:type="character" w:customStyle="1" w:styleId="tab">
    <w:name w:val="tab"/>
    <w:basedOn w:val="DefaultParagraphFont"/>
  </w:style>
  <w:style w:type="paragraph" w:customStyle="1" w:styleId="Normal1">
    <w:name w:val="Normal1"/>
    <w:basedOn w:val="Normal"/>
    <w:pPr>
      <w:spacing w:before="0" w:after="0"/>
    </w:pPr>
    <w:rPr>
      <w:rFonts w:eastAsia="Times New Roman"/>
      <w:szCs w:val="24"/>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character" w:styleId="CommentReference">
    <w:name w:val="annotation reference"/>
    <w:rPr>
      <w:rFonts w:cs="Times New Roman"/>
      <w:sz w:val="16"/>
      <w:szCs w:val="16"/>
    </w:rPr>
  </w:style>
  <w:style w:type="paragraph" w:customStyle="1" w:styleId="text10">
    <w:name w:val="text1"/>
    <w:basedOn w:val="Normal"/>
    <w:pPr>
      <w:spacing w:before="0" w:after="0"/>
      <w:ind w:left="850"/>
    </w:pPr>
    <w:rPr>
      <w:rFonts w:eastAsia="Times New Roman"/>
      <w:szCs w:val="24"/>
    </w:rPr>
  </w:style>
  <w:style w:type="character" w:customStyle="1" w:styleId="tab">
    <w:name w:val="tab"/>
    <w:basedOn w:val="DefaultParagraphFont"/>
  </w:style>
  <w:style w:type="paragraph" w:customStyle="1" w:styleId="Normal1">
    <w:name w:val="Normal1"/>
    <w:basedOn w:val="Normal"/>
    <w:pPr>
      <w:spacing w:before="0" w:after="0"/>
    </w:pPr>
    <w:rPr>
      <w:rFonts w:eastAsia="Times New Roman"/>
      <w:szCs w:val="24"/>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259327">
      <w:bodyDiv w:val="1"/>
      <w:marLeft w:val="390"/>
      <w:marRight w:val="390"/>
      <w:marTop w:val="0"/>
      <w:marBottom w:val="0"/>
      <w:divBdr>
        <w:top w:val="none" w:sz="0" w:space="0" w:color="auto"/>
        <w:left w:val="none" w:sz="0" w:space="0" w:color="auto"/>
        <w:bottom w:val="none" w:sz="0" w:space="0" w:color="auto"/>
        <w:right w:val="none" w:sz="0" w:space="0" w:color="auto"/>
      </w:divBdr>
      <w:divsChild>
        <w:div w:id="308558977">
          <w:marLeft w:val="0"/>
          <w:marRight w:val="0"/>
          <w:marTop w:val="0"/>
          <w:marBottom w:val="0"/>
          <w:divBdr>
            <w:top w:val="none" w:sz="0" w:space="0" w:color="auto"/>
            <w:left w:val="none" w:sz="0" w:space="0" w:color="auto"/>
            <w:bottom w:val="none" w:sz="0" w:space="0" w:color="auto"/>
            <w:right w:val="none" w:sz="0" w:space="0" w:color="auto"/>
          </w:divBdr>
          <w:divsChild>
            <w:div w:id="113930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18409">
      <w:bodyDiv w:val="1"/>
      <w:marLeft w:val="390"/>
      <w:marRight w:val="390"/>
      <w:marTop w:val="0"/>
      <w:marBottom w:val="0"/>
      <w:divBdr>
        <w:top w:val="none" w:sz="0" w:space="0" w:color="auto"/>
        <w:left w:val="none" w:sz="0" w:space="0" w:color="auto"/>
        <w:bottom w:val="none" w:sz="0" w:space="0" w:color="auto"/>
        <w:right w:val="none" w:sz="0" w:space="0" w:color="auto"/>
      </w:divBdr>
      <w:divsChild>
        <w:div w:id="1385107690">
          <w:marLeft w:val="0"/>
          <w:marRight w:val="0"/>
          <w:marTop w:val="0"/>
          <w:marBottom w:val="0"/>
          <w:divBdr>
            <w:top w:val="none" w:sz="0" w:space="0" w:color="auto"/>
            <w:left w:val="none" w:sz="0" w:space="0" w:color="auto"/>
            <w:bottom w:val="none" w:sz="0" w:space="0" w:color="auto"/>
            <w:right w:val="none" w:sz="0" w:space="0" w:color="auto"/>
          </w:divBdr>
          <w:divsChild>
            <w:div w:id="130589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24537">
      <w:bodyDiv w:val="1"/>
      <w:marLeft w:val="0"/>
      <w:marRight w:val="0"/>
      <w:marTop w:val="0"/>
      <w:marBottom w:val="0"/>
      <w:divBdr>
        <w:top w:val="none" w:sz="0" w:space="0" w:color="auto"/>
        <w:left w:val="none" w:sz="0" w:space="0" w:color="auto"/>
        <w:bottom w:val="none" w:sz="0" w:space="0" w:color="auto"/>
        <w:right w:val="none" w:sz="0" w:space="0" w:color="auto"/>
      </w:divBdr>
      <w:divsChild>
        <w:div w:id="625241416">
          <w:marLeft w:val="0"/>
          <w:marRight w:val="0"/>
          <w:marTop w:val="0"/>
          <w:marBottom w:val="0"/>
          <w:divBdr>
            <w:top w:val="none" w:sz="0" w:space="0" w:color="auto"/>
            <w:left w:val="none" w:sz="0" w:space="0" w:color="auto"/>
            <w:bottom w:val="none" w:sz="0" w:space="0" w:color="auto"/>
            <w:right w:val="none" w:sz="0" w:space="0" w:color="auto"/>
          </w:divBdr>
          <w:divsChild>
            <w:div w:id="1409116472">
              <w:marLeft w:val="0"/>
              <w:marRight w:val="0"/>
              <w:marTop w:val="0"/>
              <w:marBottom w:val="0"/>
              <w:divBdr>
                <w:top w:val="none" w:sz="0" w:space="0" w:color="auto"/>
                <w:left w:val="none" w:sz="0" w:space="0" w:color="auto"/>
                <w:bottom w:val="none" w:sz="0" w:space="0" w:color="auto"/>
                <w:right w:val="none" w:sz="0" w:space="0" w:color="auto"/>
              </w:divBdr>
              <w:divsChild>
                <w:div w:id="1318263478">
                  <w:marLeft w:val="0"/>
                  <w:marRight w:val="0"/>
                  <w:marTop w:val="0"/>
                  <w:marBottom w:val="0"/>
                  <w:divBdr>
                    <w:top w:val="none" w:sz="0" w:space="0" w:color="auto"/>
                    <w:left w:val="none" w:sz="0" w:space="0" w:color="auto"/>
                    <w:bottom w:val="none" w:sz="0" w:space="0" w:color="auto"/>
                    <w:right w:val="none" w:sz="0" w:space="0" w:color="auto"/>
                  </w:divBdr>
                  <w:divsChild>
                    <w:div w:id="1510291425">
                      <w:marLeft w:val="1"/>
                      <w:marRight w:val="1"/>
                      <w:marTop w:val="0"/>
                      <w:marBottom w:val="0"/>
                      <w:divBdr>
                        <w:top w:val="none" w:sz="0" w:space="0" w:color="auto"/>
                        <w:left w:val="none" w:sz="0" w:space="0" w:color="auto"/>
                        <w:bottom w:val="none" w:sz="0" w:space="0" w:color="auto"/>
                        <w:right w:val="none" w:sz="0" w:space="0" w:color="auto"/>
                      </w:divBdr>
                      <w:divsChild>
                        <w:div w:id="804591710">
                          <w:marLeft w:val="0"/>
                          <w:marRight w:val="0"/>
                          <w:marTop w:val="0"/>
                          <w:marBottom w:val="0"/>
                          <w:divBdr>
                            <w:top w:val="none" w:sz="0" w:space="0" w:color="auto"/>
                            <w:left w:val="none" w:sz="0" w:space="0" w:color="auto"/>
                            <w:bottom w:val="none" w:sz="0" w:space="0" w:color="auto"/>
                            <w:right w:val="none" w:sz="0" w:space="0" w:color="auto"/>
                          </w:divBdr>
                          <w:divsChild>
                            <w:div w:id="836267520">
                              <w:marLeft w:val="0"/>
                              <w:marRight w:val="0"/>
                              <w:marTop w:val="0"/>
                              <w:marBottom w:val="360"/>
                              <w:divBdr>
                                <w:top w:val="none" w:sz="0" w:space="0" w:color="auto"/>
                                <w:left w:val="none" w:sz="0" w:space="0" w:color="auto"/>
                                <w:bottom w:val="none" w:sz="0" w:space="0" w:color="auto"/>
                                <w:right w:val="none" w:sz="0" w:space="0" w:color="auto"/>
                              </w:divBdr>
                              <w:divsChild>
                                <w:div w:id="686831958">
                                  <w:marLeft w:val="0"/>
                                  <w:marRight w:val="0"/>
                                  <w:marTop w:val="0"/>
                                  <w:marBottom w:val="0"/>
                                  <w:divBdr>
                                    <w:top w:val="none" w:sz="0" w:space="0" w:color="auto"/>
                                    <w:left w:val="none" w:sz="0" w:space="0" w:color="auto"/>
                                    <w:bottom w:val="none" w:sz="0" w:space="0" w:color="auto"/>
                                    <w:right w:val="none" w:sz="0" w:space="0" w:color="auto"/>
                                  </w:divBdr>
                                  <w:divsChild>
                                    <w:div w:id="149953679">
                                      <w:marLeft w:val="0"/>
                                      <w:marRight w:val="0"/>
                                      <w:marTop w:val="0"/>
                                      <w:marBottom w:val="0"/>
                                      <w:divBdr>
                                        <w:top w:val="none" w:sz="0" w:space="0" w:color="auto"/>
                                        <w:left w:val="none" w:sz="0" w:space="0" w:color="auto"/>
                                        <w:bottom w:val="none" w:sz="0" w:space="0" w:color="auto"/>
                                        <w:right w:val="none" w:sz="0" w:space="0" w:color="auto"/>
                                      </w:divBdr>
                                      <w:divsChild>
                                        <w:div w:id="120645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57551-FDC8-49AA-A41B-FCA4C9774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1767</Words>
  <Characters>10410</Characters>
  <Application>Microsoft Office Word</Application>
  <DocSecurity>0</DocSecurity>
  <Lines>242</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2016-04-22T11:33:00Z</cp:lastPrinted>
  <dcterms:created xsi:type="dcterms:W3CDTF">2016-05-20T13:20:00Z</dcterms:created>
  <dcterms:modified xsi:type="dcterms:W3CDTF">2016-05-23T07:20:00Z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