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3" type="#_x0000_t75" alt="65F9BD1F76984144B629643FDDD7B371" style="width:450.75pt;height:396.75pt">
            <v:imagedata r:id="rId8" o:title=""/>
          </v:shape>
        </w:pict>
      </w:r>
    </w:p>
    <w:p>
      <w:pPr>
        <w:rPr>
          <w:noProof/>
        </w:rPr>
        <w:sectPr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>
      <w:pPr>
        <w:pStyle w:val="Typedudocument"/>
        <w:rPr>
          <w:noProof/>
        </w:rPr>
      </w:pPr>
      <w:bookmarkStart w:id="0" w:name="_GoBack"/>
      <w:bookmarkEnd w:id="0"/>
      <w:r>
        <w:rPr>
          <w:noProof/>
        </w:rPr>
        <w:lastRenderedPageBreak/>
        <w:t>ANNEXES</w:t>
      </w:r>
    </w:p>
    <w:p>
      <w:pPr>
        <w:pStyle w:val="Accompagnant"/>
        <w:rPr>
          <w:noProof/>
        </w:rPr>
      </w:pPr>
      <w:r>
        <w:rPr>
          <w:noProof/>
        </w:rPr>
        <w:t>à la</w:t>
      </w:r>
    </w:p>
    <w:p>
      <w:pPr>
        <w:pStyle w:val="Typeacteprincipal"/>
        <w:rPr>
          <w:noProof/>
        </w:rPr>
      </w:pPr>
      <w:r>
        <w:rPr>
          <w:noProof/>
        </w:rPr>
        <w:t>Proposition de RÈGLEMENT DU CONSEIL</w:t>
      </w:r>
    </w:p>
    <w:p>
      <w:pPr>
        <w:pStyle w:val="Objetacteprincipal"/>
        <w:rPr>
          <w:noProof/>
        </w:rPr>
      </w:pPr>
      <w:r>
        <w:rPr>
          <w:noProof/>
        </w:rPr>
        <w:t xml:space="preserve">modifiant le règlement (UE) n° 1388/2013 portant ouverture et mode de gestion de contingents tarifaires autonomes de l’Union pour </w:t>
      </w:r>
      <w:r>
        <w:rPr>
          <w:noProof/>
        </w:rPr>
        <w:br/>
        <w:t>certains produits agricoles et industriels</w:t>
      </w:r>
    </w:p>
    <w:p>
      <w:pPr>
        <w:pStyle w:val="Title"/>
        <w:rPr>
          <w:noProof/>
          <w:lang w:val="fr-FR"/>
        </w:rPr>
      </w:pPr>
      <w:r>
        <w:rPr>
          <w:i/>
          <w:iCs/>
          <w:noProof/>
          <w:lang w:val="fr-FR"/>
        </w:rPr>
        <w:t>ANNEXE I</w:t>
      </w:r>
    </w:p>
    <w:p>
      <w:pPr>
        <w:pStyle w:val="Subtitle"/>
        <w:rPr>
          <w:noProof/>
          <w:lang w:val="fr-FR"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00"/>
        <w:gridCol w:w="1037"/>
        <w:gridCol w:w="605"/>
        <w:gridCol w:w="3527"/>
        <w:gridCol w:w="1102"/>
        <w:gridCol w:w="1105"/>
        <w:gridCol w:w="1117"/>
      </w:tblGrid>
      <w:tr>
        <w:trPr>
          <w:cantSplit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Numéro d'ordre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Code NC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TARIC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Désignation des marchandises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Période contingentaire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Volume contingentaire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Droit contingentaire (%)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09.2691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2914 70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45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1-(1-Chlorocyclopropyl)éthanone (CAS RN 63141-09-3)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400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2914 70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55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2-Chloro-1-(1-chlorocyclopropyl)éthanone (CAS RN 120983-72-4)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1 200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2930 90 99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28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Flubendiamide (ISO) (CAS RN 272451-65-7)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100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09.2696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2932 20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25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Décane-5-olide (CAS RN 705-86-2)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2 430 kg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09.2697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2932 20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Dodécane-5-olide (CAS RN 713-95-1)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2 080 kg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09.2698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3204 17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Colorant C.I. Pigment Red 4 (CAS RN 2814-77-9) et préparations à base de ce colorant dont la teneur en colorant C.I. Pigment Red 4 est supérieure ou égale à 60 % en poids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75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09.2699</w:t>
            </w:r>
          </w:p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8526 91 20</w:t>
            </w:r>
          </w:p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8527 29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80</w:t>
            </w:r>
          </w:p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Module audio intégré avec sortie vidéo numérique pour raccordement à un écran tactile à cristaux liquides, couplé au réseau MOST (Media Oriented Systems Transport) et utilisant le protocole haute performance MOST, comprenant ou non: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3182"/>
            </w:tblGrid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une carte de circuits imprimés contenant un récepteur GPS (Global Positioning System - système de géolocalisation par satellite), un gyroscope et un syntoniseur TMC (Traffic Message Channel),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une unité de disque dur supportant des cartes multiples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 récepteur radio HD,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 système de reconnaissance vocale,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 lecteur CD et DVD,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et présentant</w: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20"/>
              <w:gridCol w:w="3182"/>
            </w:tblGrid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une connectivité Bluetooth, MP3 et USB (Universal Serial Bus),</w:t>
                  </w:r>
                </w:p>
              </w:tc>
            </w:tr>
            <w:tr>
              <w:trPr>
                <w:tblCellSpacing w:w="0" w:type="dxa"/>
              </w:trPr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—</w:t>
                  </w:r>
                </w:p>
              </w:tc>
              <w:tc>
                <w:tcPr>
                  <w:tcW w:w="0" w:type="auto"/>
                  <w:hideMark/>
                </w:tcPr>
                <w:p>
                  <w:pPr>
                    <w:pStyle w:val="Paragraph"/>
                    <w:rPr>
                      <w:noProof/>
                      <w:lang w:val="fr-FR" w:eastAsia="de-DE"/>
                    </w:rPr>
                  </w:pPr>
                  <w:r>
                    <w:rPr>
                      <w:noProof/>
                      <w:lang w:val="fr-FR"/>
                    </w:rPr>
                    <w:t>une tension de 10 V au minimum et de16 V au maximum,</w:t>
                  </w:r>
                </w:p>
              </w:tc>
            </w:tr>
          </w:tbl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utilisé dans la construction de véhicules relevant du chapitre 87</w:t>
            </w:r>
          </w:p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 </w:t>
            </w:r>
            <w:r>
              <w:rPr>
                <w:rStyle w:val="FootnoteReference"/>
                <w:noProof/>
                <w:lang w:val="fr-FR"/>
              </w:rPr>
              <w:t>(1)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01.07-31.12.2016</w:t>
            </w:r>
          </w:p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500 000 pièces</w:t>
            </w:r>
          </w:p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09.2694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8714 10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Brides de fixation d'essieu, carters de protection, ponts de fourche et brides de serrage, en alliage d'aluminium, d'un type utilisé pour les motocycles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500 000 pièces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lastRenderedPageBreak/>
              <w:t>09.2695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right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ex 8714 10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jc w:val="center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40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Pistons pour amortisseurs de direction en acier fritté selon la norme ISO P2054, d'un type utilisé pour les motocycles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01.07-31.12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1 000 000 pièces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pStyle w:val="Paragraph"/>
              <w:rPr>
                <w:noProof/>
                <w:szCs w:val="16"/>
                <w:lang w:val="fr-FR" w:eastAsia="de-DE"/>
              </w:rPr>
            </w:pPr>
            <w:r>
              <w:rPr>
                <w:noProof/>
                <w:szCs w:val="16"/>
                <w:lang w:val="fr-FR"/>
              </w:rPr>
              <w:t>0 %</w:t>
            </w:r>
          </w:p>
        </w:tc>
      </w:tr>
    </w:tbl>
    <w:p>
      <w:pPr>
        <w:pStyle w:val="Paragraph"/>
        <w:rPr>
          <w:noProof/>
          <w:lang w:val="fr-FR" w:eastAsia="de-DE"/>
        </w:rPr>
      </w:pPr>
    </w:p>
    <w:p>
      <w:pPr>
        <w:pStyle w:val="Title"/>
        <w:rPr>
          <w:noProof/>
          <w:lang w:val="fr-FR"/>
        </w:rPr>
      </w:pPr>
      <w:r>
        <w:rPr>
          <w:noProof/>
          <w:lang w:val="fr-FR"/>
        </w:rPr>
        <w:br w:type="page"/>
      </w:r>
      <w:r>
        <w:rPr>
          <w:i/>
          <w:iCs/>
          <w:noProof/>
          <w:lang w:val="fr-FR"/>
        </w:rPr>
        <w:lastRenderedPageBreak/>
        <w:t>ANNEXE II</w:t>
      </w:r>
    </w:p>
    <w:p>
      <w:pPr>
        <w:keepNext/>
        <w:jc w:val="center"/>
        <w:rPr>
          <w:noProof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CellMar>
          <w:top w:w="120" w:type="dxa"/>
          <w:left w:w="60" w:type="dxa"/>
          <w:bottom w:w="120" w:type="dxa"/>
          <w:right w:w="60" w:type="dxa"/>
        </w:tblCellMar>
        <w:tblLook w:val="04A0" w:firstRow="1" w:lastRow="0" w:firstColumn="1" w:lastColumn="0" w:noHBand="0" w:noVBand="1"/>
      </w:tblPr>
      <w:tblGrid>
        <w:gridCol w:w="714"/>
        <w:gridCol w:w="1037"/>
        <w:gridCol w:w="605"/>
        <w:gridCol w:w="3466"/>
        <w:gridCol w:w="1116"/>
        <w:gridCol w:w="1120"/>
        <w:gridCol w:w="1135"/>
      </w:tblGrid>
      <w:tr>
        <w:trPr>
          <w:cantSplit/>
          <w:tblHeader/>
          <w:tblCellSpacing w:w="0" w:type="dxa"/>
        </w:trPr>
        <w:tc>
          <w:tcPr>
            <w:tcW w:w="0" w:type="auto"/>
            <w:tcBorders>
              <w:top w:val="nil"/>
              <w:left w:val="nil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Numéro d'ordre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Code NC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TARIC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Désignation des marchandises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Période contingentaire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Volume contingentaire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single" w:sz="2" w:space="0" w:color="auto"/>
              <w:right w:val="nil"/>
            </w:tcBorders>
            <w:vAlign w:val="center"/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Droit contingentaire (%)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09.2637</w:t>
            </w:r>
          </w:p>
          <w:p>
            <w:pPr>
              <w:keepNext/>
              <w:rPr>
                <w:noProof/>
                <w:sz w:val="16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right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ex 0710 40 00</w:t>
            </w:r>
          </w:p>
          <w:p>
            <w:pPr>
              <w:keepNext/>
              <w:jc w:val="right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ex 2005 80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20</w:t>
            </w:r>
          </w:p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30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Épis de maïs (</w:t>
            </w:r>
            <w:r>
              <w:rPr>
                <w:i/>
                <w:noProof/>
                <w:sz w:val="16"/>
              </w:rPr>
              <w:t>Zea mays saccharata</w:t>
            </w:r>
            <w:r>
              <w:rPr>
                <w:noProof/>
                <w:sz w:val="16"/>
              </w:rPr>
              <w:t>), coupés ou non, d'un diamètre égal ou supérieur à 10 mm, mais n'excédant pas 20 mm, destinés à la fabrication de produits de l'industrie alimentaire en vue de subir un traitement autre que le simple reconditionnement</w:t>
            </w:r>
          </w:p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 </w:t>
            </w:r>
            <w:r>
              <w:rPr>
                <w:noProof/>
                <w:sz w:val="16"/>
                <w:szCs w:val="16"/>
              </w:rPr>
              <w:t>(1)(2)(3)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01.01-31.12</w:t>
            </w:r>
          </w:p>
          <w:p>
            <w:pPr>
              <w:keepNext/>
              <w:rPr>
                <w:noProof/>
                <w:sz w:val="16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550 tonnes</w:t>
            </w:r>
          </w:p>
          <w:p>
            <w:pPr>
              <w:keepNext/>
              <w:rPr>
                <w:noProof/>
                <w:sz w:val="16"/>
                <w:lang w:eastAsia="de-DE"/>
              </w:rPr>
            </w:pP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09.2703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right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ex 2825 30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10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Oxydes et hydroxydes de vanadium, destinés exclusivement à la fabrication d’alliages</w:t>
            </w:r>
          </w:p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 </w:t>
            </w:r>
            <w:r>
              <w:rPr>
                <w:noProof/>
                <w:sz w:val="16"/>
                <w:szCs w:val="16"/>
              </w:rPr>
              <w:t>(</w:t>
            </w:r>
            <w:r>
              <w:rPr>
                <w:noProof/>
                <w:sz w:val="16"/>
              </w:rPr>
              <w:t>1</w:t>
            </w:r>
            <w:r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01.01-31.12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20 000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09.2683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right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ex 2914 19 90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50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Acétylactonate de calcium (CAS RN 19372-44-2) destiné à la fabrication de stabilisants sous forme de comprimés</w:t>
            </w:r>
          </w:p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 </w:t>
            </w:r>
            <w:r>
              <w:rPr>
                <w:noProof/>
                <w:sz w:val="16"/>
                <w:szCs w:val="16"/>
              </w:rPr>
              <w:t>(</w:t>
            </w:r>
            <w:r>
              <w:rPr>
                <w:noProof/>
                <w:sz w:val="16"/>
              </w:rPr>
              <w:t>1</w:t>
            </w:r>
            <w:r>
              <w:rPr>
                <w:noProof/>
                <w:sz w:val="16"/>
                <w:szCs w:val="16"/>
              </w:rPr>
              <w:t>)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01.01-31.12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150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0 %</w:t>
            </w:r>
          </w:p>
        </w:tc>
      </w:tr>
      <w:tr>
        <w:trPr>
          <w:tblCellSpacing w:w="0" w:type="dxa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09.2659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right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ex 3802 90 00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jc w:val="center"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19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Terre à diatomées, calcinée sous flux de soude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01.01-31.12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35 000 tonnes</w:t>
            </w:r>
          </w:p>
        </w:tc>
        <w:tc>
          <w:tcPr>
            <w:tcW w:w="0" w:type="auto"/>
            <w:tcBorders>
              <w:top w:val="nil"/>
              <w:left w:val="single" w:sz="2" w:space="0" w:color="auto"/>
              <w:bottom w:val="nil"/>
              <w:right w:val="nil"/>
            </w:tcBorders>
            <w:hideMark/>
          </w:tcPr>
          <w:p>
            <w:pPr>
              <w:keepNext/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0 %</w:t>
            </w:r>
          </w:p>
        </w:tc>
      </w:tr>
    </w:tbl>
    <w:p>
      <w:pPr>
        <w:rPr>
          <w:noProof/>
          <w:sz w:val="16"/>
          <w:szCs w:val="20"/>
          <w:lang w:eastAsia="de-DE"/>
        </w:rPr>
      </w:pPr>
    </w:p>
    <w:tbl>
      <w:tblPr>
        <w:tblW w:w="0" w:type="auto"/>
        <w:tblCellSpacing w:w="0" w:type="dxa"/>
        <w:tblBorders>
          <w:top w:val="single" w:sz="2" w:space="0" w:color="auto"/>
          <w:bottom w:val="single" w:sz="2" w:space="0" w:color="auto"/>
        </w:tblBorders>
        <w:tblLayout w:type="fixed"/>
        <w:tblCellMar>
          <w:top w:w="60" w:type="dxa"/>
          <w:left w:w="60" w:type="dxa"/>
          <w:bottom w:w="60" w:type="dxa"/>
          <w:right w:w="60" w:type="dxa"/>
        </w:tblCellMar>
        <w:tblLook w:val="04A0" w:firstRow="1" w:lastRow="0" w:firstColumn="1" w:lastColumn="0" w:noHBand="0" w:noVBand="1"/>
      </w:tblPr>
      <w:tblGrid>
        <w:gridCol w:w="425"/>
        <w:gridCol w:w="8821"/>
      </w:tblGrid>
      <w:tr>
        <w:trPr>
          <w:tblCellSpacing w:w="0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  <w:szCs w:val="16"/>
              </w:rPr>
              <w:t>(1)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La suspension des droits est subordonnée à la surveillance douanière de la destination particulière conformément à l'article 254 du règlement (UE) n° 952/2013 du Parlement Européen et du Conseil du 9 octobre 2013 établissant le code des douanes de l'Union (JO L 269 du 10.10.2013, p. 1).</w:t>
            </w:r>
          </w:p>
        </w:tc>
      </w:tr>
      <w:tr>
        <w:trPr>
          <w:tblCellSpacing w:w="0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  <w:szCs w:val="16"/>
              </w:rPr>
              <w:t>(2)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Toutefois, la suspension des droits de douane ne s’applique pas lorsque la transformation est effectuée par des entreprises de vente au détail ou de restauration.</w:t>
            </w:r>
          </w:p>
        </w:tc>
      </w:tr>
      <w:tr>
        <w:trPr>
          <w:tblCellSpacing w:w="0" w:type="dxa"/>
        </w:trPr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  <w:szCs w:val="16"/>
              </w:rPr>
              <w:t>(3)</w:t>
            </w:r>
          </w:p>
        </w:tc>
        <w:tc>
          <w:tcPr>
            <w:tcW w:w="8821" w:type="dxa"/>
            <w:tcBorders>
              <w:top w:val="nil"/>
              <w:left w:val="nil"/>
              <w:bottom w:val="nil"/>
              <w:right w:val="nil"/>
            </w:tcBorders>
            <w:hideMark/>
          </w:tcPr>
          <w:p>
            <w:pPr>
              <w:rPr>
                <w:noProof/>
                <w:sz w:val="16"/>
                <w:lang w:eastAsia="de-DE"/>
              </w:rPr>
            </w:pPr>
            <w:r>
              <w:rPr>
                <w:noProof/>
                <w:sz w:val="16"/>
              </w:rPr>
              <w:t>Seul le droit ad valorem est suspendu. Le droit spécifique continue de s’appliquer.</w:t>
            </w:r>
          </w:p>
        </w:tc>
      </w:tr>
    </w:tbl>
    <w:p>
      <w:pPr>
        <w:rPr>
          <w:noProof/>
          <w:sz w:val="16"/>
          <w:szCs w:val="20"/>
          <w:lang w:eastAsia="de-DE"/>
        </w:rPr>
      </w:pPr>
    </w:p>
    <w:p>
      <w:pPr>
        <w:pStyle w:val="Title"/>
        <w:rPr>
          <w:noProof/>
          <w:lang w:val="fr-FR"/>
        </w:rPr>
      </w:pPr>
    </w:p>
    <w:p>
      <w:pPr>
        <w:pStyle w:val="Title"/>
        <w:rPr>
          <w:noProof/>
          <w:lang w:val="fr-FR"/>
        </w:rPr>
      </w:pPr>
    </w:p>
    <w:sectPr>
      <w:footerReference w:type="default" r:id="rId15"/>
      <w:footerReference w:type="first" r:id="rId16"/>
      <w:pgSz w:w="11907" w:h="16839"/>
      <w:pgMar w:top="1134" w:right="1417" w:bottom="1134" w:left="1417" w:header="709" w:footer="70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before="0" w:after="0"/>
      </w:pPr>
      <w:r>
        <w:separator/>
      </w:r>
    </w:p>
  </w:endnote>
  <w:endnote w:type="continuationSeparator" w:id="0">
    <w:p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FR</w:t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  <w: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FR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before="0" w:after="0"/>
      </w:pPr>
      <w:r>
        <w:separator/>
      </w:r>
    </w:p>
  </w:footnote>
  <w:footnote w:type="continuationSeparator" w:id="0">
    <w:p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6AACD2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05C4A19C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2E0E2224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9A3A2924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E046D5A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9EAE19F2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159678FC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C92658E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7"/>
  </w:num>
  <w:num w:numId="2">
    <w:abstractNumId w:val="5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1"/>
  </w:num>
  <w:num w:numId="8">
    <w:abstractNumId w:val="0"/>
  </w:num>
  <w:num w:numId="9">
    <w:abstractNumId w:val="18"/>
  </w:num>
  <w:num w:numId="10">
    <w:abstractNumId w:val="12"/>
  </w:num>
  <w:num w:numId="11">
    <w:abstractNumId w:val="20"/>
  </w:num>
  <w:num w:numId="12">
    <w:abstractNumId w:val="11"/>
  </w:num>
  <w:num w:numId="13">
    <w:abstractNumId w:val="13"/>
  </w:num>
  <w:num w:numId="14">
    <w:abstractNumId w:val="9"/>
  </w:num>
  <w:num w:numId="15">
    <w:abstractNumId w:val="19"/>
  </w:num>
  <w:num w:numId="16">
    <w:abstractNumId w:val="8"/>
  </w:num>
  <w:num w:numId="17">
    <w:abstractNumId w:val="14"/>
  </w:num>
  <w:num w:numId="18">
    <w:abstractNumId w:val="16"/>
  </w:num>
  <w:num w:numId="19">
    <w:abstractNumId w:val="17"/>
  </w:num>
  <w:num w:numId="20">
    <w:abstractNumId w:val="10"/>
  </w:num>
  <w:num w:numId="21">
    <w:abstractNumId w:val="15"/>
  </w:num>
  <w:num w:numId="22">
    <w:abstractNumId w:val="21"/>
  </w:num>
  <w:num w:numId="23">
    <w:abstractNumId w:val="18"/>
  </w:num>
  <w:num w:numId="24">
    <w:abstractNumId w:val="12"/>
  </w:num>
  <w:num w:numId="25">
    <w:abstractNumId w:val="20"/>
  </w:num>
  <w:num w:numId="26">
    <w:abstractNumId w:val="11"/>
  </w:num>
  <w:num w:numId="27">
    <w:abstractNumId w:val="13"/>
  </w:num>
  <w:num w:numId="28">
    <w:abstractNumId w:val="9"/>
  </w:num>
  <w:num w:numId="29">
    <w:abstractNumId w:val="19"/>
  </w:num>
  <w:num w:numId="30">
    <w:abstractNumId w:val="8"/>
  </w:num>
  <w:num w:numId="31">
    <w:abstractNumId w:val="14"/>
  </w:num>
  <w:num w:numId="32">
    <w:abstractNumId w:val="16"/>
  </w:num>
  <w:num w:numId="33">
    <w:abstractNumId w:val="17"/>
  </w:num>
  <w:num w:numId="34">
    <w:abstractNumId w:val="10"/>
  </w:num>
  <w:num w:numId="35">
    <w:abstractNumId w:val="15"/>
  </w:num>
  <w:num w:numId="36">
    <w:abstractNumId w:val="21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hideGrammaticalErrors/>
  <w:attachedTemplate r:id="rId1"/>
  <w:revisionView w:markup="0"/>
  <w:doNotTrackMoves/>
  <w:defaultTabStop w:val="720"/>
  <w:hyphenationZone w:val="425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</w:compat>
  <w:docVars>
    <w:docVar w:name="COVERPAGE_EXISTS" w:val="True"/>
    <w:docVar w:name="DQCDateTime" w:val="2016-05-23 09:38:30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8"/>
    <w:docVar w:name="DQCResult_UnknownFonts" w:val="0;0"/>
    <w:docVar w:name="DQCResult_UnknownStyles" w:val="0;6"/>
    <w:docVar w:name="DQCStatus" w:val="Green"/>
    <w:docVar w:name="DQCVersion" w:val="3"/>
    <w:docVar w:name="DQCWithWarnings" w:val="0"/>
    <w:docVar w:name="LW_ACCOMPAGNANT.CP" w:val="à la"/>
    <w:docVar w:name="LW_ANNEX_NBR_FIRST" w:val="1"/>
    <w:docVar w:name="LW_ANNEX_NBR_LAST" w:val="2"/>
    <w:docVar w:name="LW_CONFIDENCE" w:val=" "/>
    <w:docVar w:name="LW_CONST_RESTREINT_UE" w:val="RESTREINT UE"/>
    <w:docVar w:name="LW_CORRIGENDUM" w:val="&lt;UNUSED&gt;"/>
    <w:docVar w:name="LW_COVERPAGE_GUID" w:val="65F9BD1F76984144B629643FDDD7B371"/>
    <w:docVar w:name="LW_CROSSREFERENCE" w:val="&lt;UNUSED&gt;"/>
    <w:docVar w:name="LW_DocType" w:val="ANNEX"/>
    <w:docVar w:name="LW_EMISSION" w:val="26.5.2016"/>
    <w:docVar w:name="LW_EMISSION_ISODATE" w:val="2016-05-26"/>
    <w:docVar w:name="LW_EMISSION_LOCATION" w:val="BRX"/>
    <w:docVar w:name="LW_EMISSION_PREFIX" w:val="Bruxelles, le "/>
    <w:docVar w:name="LW_EMISSION_SUFFIX" w:val=" "/>
    <w:docVar w:name="LW_ID_DOCSTRUCTURE" w:val="COM/ANNEX"/>
    <w:docVar w:name="LW_ID_DOCTYPE" w:val="SG-017"/>
    <w:docVar w:name="LW_LANGUE" w:val="FR"/>
    <w:docVar w:name="LW_MARKING" w:val="&lt;UNUSED&gt;"/>
    <w:docVar w:name="LW_NOM.INST" w:val="COMMISSION EUROPÉENNE"/>
    <w:docVar w:name="LW_NOM.INST_JOINTDOC" w:val="&lt;EMPTY&gt;"/>
    <w:docVar w:name="LW_OBJETACTEPRINCIPAL.CP" w:val="modifiant le règlement (UE) n° 1388/2013 portant ouverture et mode de gestion de contingents tarifaires autonomes de l\u8217?Union pour _x000b_certains produits agricoles et industriels"/>
    <w:docVar w:name="LW_PART_NBR" w:val="&lt;UNUSED&gt;"/>
    <w:docVar w:name="LW_PART_NBR_TOTAL" w:val="&lt;UNUSED&gt;"/>
    <w:docVar w:name="LW_REF.INST.NEW" w:val="COM"/>
    <w:docVar w:name="LW_REF.INST.NEW_ADOPTED" w:val="final"/>
    <w:docVar w:name="LW_REF.INST.NEW_TEXT" w:val="(2016) 299"/>
    <w:docVar w:name="LW_REF.INTERNE" w:val="&lt;UNUSED&gt;"/>
    <w:docVar w:name="LW_SUPERTITRE" w:val="&lt;UNUSED&gt;"/>
    <w:docVar w:name="LW_TITRE.OBJ.CP" w:val="&lt;UNUSED&gt;"/>
    <w:docVar w:name="LW_TYPE.DOC.CP" w:val="ANNEXES"/>
    <w:docVar w:name="LW_TYPEACTEPRINCIPAL.CP" w:val="Proposition de RÈGLEMENT DU CONSEIL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/>
      <w:sz w:val="24"/>
      <w:lang w:val="fr-FR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29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29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29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29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aragraph">
    <w:name w:val="Paragraph"/>
    <w:basedOn w:val="Normal"/>
    <w:pPr>
      <w:spacing w:before="0" w:after="0"/>
    </w:pPr>
    <w:rPr>
      <w:rFonts w:eastAsia="Times New Roman"/>
      <w:sz w:val="16"/>
      <w:szCs w:val="20"/>
      <w:lang w:val="de-DE"/>
    </w:rPr>
  </w:style>
  <w:style w:type="table" w:customStyle="1" w:styleId="Listtable">
    <w:name w:val="List table"/>
    <w:rPr>
      <w:rFonts w:ascii="Times New Roman" w:eastAsia="Times New Roman" w:hAnsi="Times New Roman"/>
      <w:sz w:val="16"/>
      <w:szCs w:val="16"/>
      <w:lang w:val="de-DE" w:eastAsia="de-DE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120" w:type="dxa"/>
        <w:left w:w="60" w:type="dxa"/>
        <w:bottom w:w="120" w:type="dxa"/>
        <w:right w:w="60" w:type="dxa"/>
      </w:tblCellMar>
    </w:tblPr>
    <w:trPr>
      <w:tblCellSpacing w:w="0" w:type="dxa"/>
    </w:trPr>
  </w:style>
  <w:style w:type="table" w:customStyle="1" w:styleId="Notestable">
    <w:name w:val="Notes table"/>
    <w:rPr>
      <w:rFonts w:ascii="Times New Roman" w:eastAsia="Times New Roman" w:hAnsi="Times New Roman"/>
      <w:sz w:val="16"/>
      <w:szCs w:val="16"/>
      <w:lang w:val="de-DE" w:eastAsia="de-DE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60" w:type="dxa"/>
        <w:left w:w="60" w:type="dxa"/>
        <w:bottom w:w="60" w:type="dxa"/>
        <w:right w:w="60" w:type="dxa"/>
      </w:tblCellMar>
    </w:tblPr>
    <w:trPr>
      <w:tblCellSpacing w:w="0" w:type="dxa"/>
    </w:trPr>
  </w:style>
  <w:style w:type="paragraph" w:styleId="Title">
    <w:name w:val="Title"/>
    <w:aliases w:val="TITLE.TI"/>
    <w:basedOn w:val="Normal"/>
    <w:qFormat/>
    <w:pPr>
      <w:keepNext/>
      <w:jc w:val="center"/>
    </w:pPr>
    <w:rPr>
      <w:rFonts w:eastAsia="Times New Roman"/>
      <w:szCs w:val="20"/>
      <w:lang w:val="de-DE"/>
    </w:rPr>
  </w:style>
  <w:style w:type="character" w:customStyle="1" w:styleId="TitleChar">
    <w:name w:val="Title Char"/>
    <w:aliases w:val="TITLE.TI Char1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paragraph" w:styleId="Subtitle">
    <w:name w:val="Subtitle"/>
    <w:aliases w:val="CONTENT.TITLE.TI"/>
    <w:basedOn w:val="Normal"/>
    <w:qFormat/>
    <w:pPr>
      <w:keepNext/>
      <w:jc w:val="center"/>
    </w:pPr>
    <w:rPr>
      <w:rFonts w:eastAsia="Times New Roman"/>
      <w:szCs w:val="20"/>
      <w:lang w:val="de-DE"/>
    </w:rPr>
  </w:style>
  <w:style w:type="character" w:customStyle="1" w:styleId="SubtitleChar">
    <w:name w:val="Subtitle Char"/>
    <w:aliases w:val="CONTENT.TITLE.TI Char1"/>
    <w:rPr>
      <w:rFonts w:ascii="Times New Roman" w:eastAsia="Times New Roman" w:hAnsi="Times New Roman" w:cs="Times New Roman"/>
      <w:sz w:val="24"/>
      <w:szCs w:val="20"/>
      <w:lang w:val="de-DE" w:eastAsia="de-DE"/>
    </w:rPr>
  </w:style>
  <w:style w:type="table" w:customStyle="1" w:styleId="Listdash">
    <w:name w:val="List dash"/>
    <w:basedOn w:val="Listtable"/>
    <w:rPr>
      <w:sz w:val="20"/>
      <w:szCs w:val="20"/>
    </w:rPr>
    <w:tblPr>
      <w:tblCellSpacing w:w="0" w:type="dxa"/>
      <w:tblInd w:w="0" w:type="dxa"/>
      <w:tblBorders>
        <w:top w:val="single" w:sz="2" w:space="0" w:color="auto"/>
        <w:bottom w:val="single" w:sz="2" w:space="0" w:color="auto"/>
      </w:tblBorders>
      <w:tblCellMar>
        <w:top w:w="0" w:type="dxa"/>
        <w:left w:w="0" w:type="dxa"/>
        <w:bottom w:w="0" w:type="dxa"/>
        <w:right w:w="60" w:type="dxa"/>
      </w:tblCellMar>
    </w:tblPr>
    <w:trPr>
      <w:tblCellSpacing w:w="0" w:type="dxa"/>
    </w:trPr>
    <w:tcPr>
      <w:tcW w:w="0" w:type="auto"/>
    </w:tcPr>
  </w:style>
  <w:style w:type="paragraph" w:styleId="ListBullet">
    <w:name w:val="List Bullet"/>
    <w:basedOn w:val="Normal"/>
    <w:uiPriority w:val="99"/>
    <w:semiHidden/>
    <w:unhideWhenUsed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Caption">
    <w:name w:val="caption"/>
    <w:basedOn w:val="Normal"/>
    <w:next w:val="Normal"/>
    <w:uiPriority w:val="35"/>
    <w:semiHidden/>
    <w:unhideWhenUsed/>
    <w:qFormat/>
    <w:rPr>
      <w:b/>
      <w:bCs/>
      <w:sz w:val="20"/>
      <w:szCs w:val="20"/>
    </w:rPr>
  </w:style>
  <w:style w:type="paragraph" w:styleId="TableofFigures">
    <w:name w:val="table of figures"/>
    <w:basedOn w:val="Normal"/>
    <w:next w:val="Normal"/>
    <w:uiPriority w:val="99"/>
    <w:semiHidden/>
    <w:unhideWhenUsed/>
  </w:style>
  <w:style w:type="paragraph" w:styleId="ListNumber">
    <w:name w:val="List Number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8"/>
      </w:numPr>
      <w:contextualSpacing/>
    </w:pPr>
  </w:style>
  <w:style w:type="character" w:styleId="CommentReference">
    <w:name w:val="annotation reference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Pr>
      <w:rFonts w:ascii="Times New Roman" w:hAnsi="Times New Roman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Pr>
      <w:rFonts w:ascii="Times New Roman" w:hAnsi="Times New Roman"/>
      <w:b/>
      <w:bCs/>
    </w:rPr>
  </w:style>
  <w:style w:type="character" w:styleId="Hyperlink">
    <w:name w:val="Hyperlink"/>
    <w:uiPriority w:val="99"/>
    <w:unhideWhenUsed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5"/>
        <w:tab w:val="right" w:pos="9071"/>
      </w:tabs>
      <w:spacing w:before="0"/>
    </w:pPr>
  </w:style>
  <w:style w:type="character" w:customStyle="1" w:styleId="HeaderChar">
    <w:name w:val="Header Char"/>
    <w:link w:val="Header"/>
    <w:uiPriority w:val="99"/>
    <w:rPr>
      <w:rFonts w:ascii="Times New Roman" w:hAnsi="Times New Roman"/>
      <w:sz w:val="24"/>
      <w:lang w:val="fr-FR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pPr>
      <w:tabs>
        <w:tab w:val="center" w:pos="7285"/>
        <w:tab w:val="right" w:pos="14003"/>
      </w:tabs>
      <w:spacing w:before="0"/>
    </w:p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3"/>
      </w:numPr>
    </w:pPr>
  </w:style>
  <w:style w:type="paragraph" w:customStyle="1" w:styleId="Tiret1">
    <w:name w:val="Tiret 1"/>
    <w:basedOn w:val="Point1"/>
    <w:pPr>
      <w:numPr>
        <w:numId w:val="24"/>
      </w:numPr>
    </w:pPr>
  </w:style>
  <w:style w:type="paragraph" w:customStyle="1" w:styleId="Tiret2">
    <w:name w:val="Tiret 2"/>
    <w:basedOn w:val="Point2"/>
    <w:pPr>
      <w:numPr>
        <w:numId w:val="25"/>
      </w:numPr>
    </w:pPr>
  </w:style>
  <w:style w:type="paragraph" w:customStyle="1" w:styleId="Tiret3">
    <w:name w:val="Tiret 3"/>
    <w:basedOn w:val="Point3"/>
    <w:pPr>
      <w:numPr>
        <w:numId w:val="26"/>
      </w:numPr>
    </w:pPr>
  </w:style>
  <w:style w:type="paragraph" w:customStyle="1" w:styleId="Tiret4">
    <w:name w:val="Tiret 4"/>
    <w:basedOn w:val="Point4"/>
    <w:pPr>
      <w:numPr>
        <w:numId w:val="27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28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28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28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28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0"/>
      </w:numPr>
    </w:pPr>
  </w:style>
  <w:style w:type="paragraph" w:customStyle="1" w:styleId="Point1number">
    <w:name w:val="Point 1 (number)"/>
    <w:basedOn w:val="Normal"/>
    <w:pPr>
      <w:numPr>
        <w:ilvl w:val="2"/>
        <w:numId w:val="30"/>
      </w:numPr>
    </w:pPr>
  </w:style>
  <w:style w:type="paragraph" w:customStyle="1" w:styleId="Point2number">
    <w:name w:val="Point 2 (number)"/>
    <w:basedOn w:val="Normal"/>
    <w:pPr>
      <w:numPr>
        <w:ilvl w:val="4"/>
        <w:numId w:val="30"/>
      </w:numPr>
    </w:pPr>
  </w:style>
  <w:style w:type="paragraph" w:customStyle="1" w:styleId="Point3number">
    <w:name w:val="Point 3 (number)"/>
    <w:basedOn w:val="Normal"/>
    <w:pPr>
      <w:numPr>
        <w:ilvl w:val="6"/>
        <w:numId w:val="30"/>
      </w:numPr>
    </w:pPr>
  </w:style>
  <w:style w:type="paragraph" w:customStyle="1" w:styleId="Point0letter">
    <w:name w:val="Point 0 (letter)"/>
    <w:basedOn w:val="Normal"/>
    <w:pPr>
      <w:numPr>
        <w:ilvl w:val="1"/>
        <w:numId w:val="30"/>
      </w:numPr>
    </w:pPr>
  </w:style>
  <w:style w:type="paragraph" w:customStyle="1" w:styleId="Point1letter">
    <w:name w:val="Point 1 (letter)"/>
    <w:basedOn w:val="Normal"/>
    <w:pPr>
      <w:numPr>
        <w:ilvl w:val="3"/>
        <w:numId w:val="30"/>
      </w:numPr>
    </w:pPr>
  </w:style>
  <w:style w:type="paragraph" w:customStyle="1" w:styleId="Point2letter">
    <w:name w:val="Point 2 (letter)"/>
    <w:basedOn w:val="Normal"/>
    <w:pPr>
      <w:numPr>
        <w:ilvl w:val="5"/>
        <w:numId w:val="30"/>
      </w:numPr>
    </w:pPr>
  </w:style>
  <w:style w:type="paragraph" w:customStyle="1" w:styleId="Point3letter">
    <w:name w:val="Point 3 (letter)"/>
    <w:basedOn w:val="Normal"/>
    <w:pPr>
      <w:numPr>
        <w:ilvl w:val="7"/>
        <w:numId w:val="30"/>
      </w:numPr>
    </w:pPr>
  </w:style>
  <w:style w:type="paragraph" w:customStyle="1" w:styleId="Point4letter">
    <w:name w:val="Point 4 (letter)"/>
    <w:basedOn w:val="Normal"/>
    <w:pPr>
      <w:numPr>
        <w:ilvl w:val="8"/>
        <w:numId w:val="30"/>
      </w:numPr>
    </w:pPr>
  </w:style>
  <w:style w:type="paragraph" w:customStyle="1" w:styleId="Bullet0">
    <w:name w:val="Bullet 0"/>
    <w:basedOn w:val="Normal"/>
    <w:pPr>
      <w:numPr>
        <w:numId w:val="31"/>
      </w:numPr>
    </w:pPr>
  </w:style>
  <w:style w:type="paragraph" w:customStyle="1" w:styleId="Bullet1">
    <w:name w:val="Bullet 1"/>
    <w:basedOn w:val="Normal"/>
    <w:pPr>
      <w:numPr>
        <w:numId w:val="32"/>
      </w:numPr>
    </w:pPr>
  </w:style>
  <w:style w:type="paragraph" w:customStyle="1" w:styleId="Bullet2">
    <w:name w:val="Bullet 2"/>
    <w:basedOn w:val="Normal"/>
    <w:pPr>
      <w:numPr>
        <w:numId w:val="33"/>
      </w:numPr>
    </w:pPr>
  </w:style>
  <w:style w:type="paragraph" w:customStyle="1" w:styleId="Bullet3">
    <w:name w:val="Bullet 3"/>
    <w:basedOn w:val="Normal"/>
    <w:pPr>
      <w:numPr>
        <w:numId w:val="34"/>
      </w:numPr>
    </w:pPr>
  </w:style>
  <w:style w:type="paragraph" w:customStyle="1" w:styleId="Bullet4">
    <w:name w:val="Bullet 4"/>
    <w:basedOn w:val="Normal"/>
    <w:pPr>
      <w:numPr>
        <w:numId w:val="35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6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180" w:after="18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18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180" w:after="240"/>
      <w:jc w:val="center"/>
    </w:pPr>
    <w:rPr>
      <w:b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873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header" Target="header3.xm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5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ANNEX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ANNEX.dotm</Template>
  <TotalTime>1</TotalTime>
  <Pages>4</Pages>
  <Words>619</Words>
  <Characters>3161</Characters>
  <Application>Microsoft Office Word</Application>
  <DocSecurity>0</DocSecurity>
  <Lines>210</Lines>
  <Paragraphs>157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HERBORN Marieluise (TAXUD)</dc:creator>
  <cp:keywords/>
  <cp:lastModifiedBy>DIGIT/A3</cp:lastModifiedBy>
  <cp:revision>7</cp:revision>
  <dcterms:created xsi:type="dcterms:W3CDTF">2016-05-03T07:41:00Z</dcterms:created>
  <dcterms:modified xsi:type="dcterms:W3CDTF">2016-05-23T07:38:00Z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ategory">
    <vt:lpwstr>COM/ANNEX</vt:lpwstr>
  </property>
  <property fmtid="{D5CDD505-2E9C-101B-9397-08002B2CF9AE}" pid="3" name="Classification">
    <vt:lpwstr> </vt:lpwstr>
  </property>
  <property fmtid="{D5CDD505-2E9C-101B-9397-08002B2CF9AE}" pid="4" name="Version">
    <vt:lpwstr>5.84.2.0</vt:lpwstr>
  </property>
  <property fmtid="{D5CDD505-2E9C-101B-9397-08002B2CF9AE}" pid="5" name="Last edited using">
    <vt:lpwstr>LW 5.8.4, Build 20150407</vt:lpwstr>
  </property>
  <property fmtid="{D5CDD505-2E9C-101B-9397-08002B2CF9AE}" pid="6" name="Created using">
    <vt:lpwstr>LW 5.8.4, Build 20150407</vt:lpwstr>
  </property>
  <property fmtid="{D5CDD505-2E9C-101B-9397-08002B2CF9AE}" pid="7" name="First annex">
    <vt:lpwstr>1</vt:lpwstr>
  </property>
  <property fmtid="{D5CDD505-2E9C-101B-9397-08002B2CF9AE}" pid="8" name="Last annex">
    <vt:lpwstr>2</vt:lpwstr>
  </property>
  <property fmtid="{D5CDD505-2E9C-101B-9397-08002B2CF9AE}" pid="9" name="Part">
    <vt:lpwstr>&lt;UNUSED&gt;</vt:lpwstr>
  </property>
  <property fmtid="{D5CDD505-2E9C-101B-9397-08002B2CF9AE}" pid="10" name="Total parts">
    <vt:lpwstr>&lt;UNUSED&gt;</vt:lpwstr>
  </property>
  <property fmtid="{D5CDD505-2E9C-101B-9397-08002B2CF9AE}" pid="11" name="LWTemplateID">
    <vt:lpwstr>SG-017</vt:lpwstr>
  </property>
  <property fmtid="{D5CDD505-2E9C-101B-9397-08002B2CF9AE}" pid="12" name="DQCStatus">
    <vt:lpwstr>Green (DQC version 03)</vt:lpwstr>
  </property>
</Properties>
</file>