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A4" w:rsidRPr="00B608E7" w:rsidRDefault="000720FD" w:rsidP="00CF2542">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AAA90E3D92E404B903A4FAE3668611B" style="width:450.75pt;height:351.75pt">
            <v:imagedata r:id="rId11" o:title=""/>
          </v:shape>
        </w:pict>
      </w:r>
    </w:p>
    <w:p w:rsidR="001760A4" w:rsidRPr="00B608E7" w:rsidRDefault="001760A4">
      <w:pPr>
        <w:rPr>
          <w:noProof/>
        </w:rPr>
        <w:sectPr w:rsidR="001760A4" w:rsidRPr="00B608E7" w:rsidSect="00CF2542">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rsidR="001760A4" w:rsidRPr="00B608E7" w:rsidRDefault="001760A4">
      <w:pPr>
        <w:pStyle w:val="Exposdesmotifstitre"/>
        <w:rPr>
          <w:noProof/>
        </w:rPr>
      </w:pPr>
    </w:p>
    <w:p w:rsidR="001760A4" w:rsidRPr="00B608E7" w:rsidRDefault="001760A4">
      <w:pPr>
        <w:rPr>
          <w:noProof/>
        </w:rPr>
      </w:pPr>
    </w:p>
    <w:p w:rsidR="001760A4" w:rsidRPr="00B608E7" w:rsidRDefault="00CF2542" w:rsidP="00CF2542">
      <w:pPr>
        <w:pStyle w:val="Statut"/>
        <w:rPr>
          <w:noProof/>
        </w:rPr>
      </w:pPr>
      <w:r w:rsidRPr="00CF2542">
        <w:t>Recommendation for a</w:t>
      </w:r>
    </w:p>
    <w:p w:rsidR="001760A4" w:rsidRPr="00B608E7" w:rsidRDefault="00CF2542" w:rsidP="00CF2542">
      <w:pPr>
        <w:pStyle w:val="Typedudocument"/>
        <w:rPr>
          <w:noProof/>
        </w:rPr>
      </w:pPr>
      <w:r w:rsidRPr="00CF2542">
        <w:t>COUNCIL RECOMMENDATION</w:t>
      </w:r>
    </w:p>
    <w:p w:rsidR="001760A4" w:rsidRPr="00B608E7" w:rsidRDefault="00CF2542" w:rsidP="00CF2542">
      <w:pPr>
        <w:pStyle w:val="Titreobjet"/>
        <w:rPr>
          <w:noProof/>
        </w:rPr>
      </w:pPr>
      <w:proofErr w:type="gramStart"/>
      <w:r w:rsidRPr="00CF2542">
        <w:t>on</w:t>
      </w:r>
      <w:proofErr w:type="gramEnd"/>
      <w:r w:rsidRPr="00CF2542">
        <w:t xml:space="preserve"> the 2016 national reform programme of Hungary</w:t>
      </w:r>
      <w:r w:rsidRPr="00CF2542">
        <w:br/>
      </w:r>
      <w:r w:rsidRPr="00CF2542">
        <w:br/>
        <w:t>and delivering a Council opinion on the 2016 convergence programme of Hungary</w:t>
      </w:r>
    </w:p>
    <w:p w:rsidR="001760A4" w:rsidRPr="00B608E7" w:rsidRDefault="001760A4">
      <w:pPr>
        <w:pStyle w:val="Institutionquiagit"/>
        <w:rPr>
          <w:noProof/>
        </w:rPr>
      </w:pPr>
      <w:r w:rsidRPr="00B608E7">
        <w:rPr>
          <w:noProof/>
        </w:rPr>
        <w:t>THE COUNCIL OF THE EUROPEAN UNION,</w:t>
      </w:r>
    </w:p>
    <w:p w:rsidR="001760A4" w:rsidRPr="00B608E7" w:rsidRDefault="001760A4">
      <w:pPr>
        <w:rPr>
          <w:noProof/>
        </w:rPr>
      </w:pPr>
      <w:r w:rsidRPr="00B608E7">
        <w:rPr>
          <w:noProof/>
        </w:rPr>
        <w:t>Having regard to the Treaty on the Functioning of the European Union, and in particular Articles 121(2) and 148(4) thereof,</w:t>
      </w:r>
    </w:p>
    <w:p w:rsidR="001760A4" w:rsidRPr="00B608E7" w:rsidRDefault="001760A4">
      <w:pPr>
        <w:rPr>
          <w:noProof/>
        </w:rPr>
      </w:pPr>
      <w:r w:rsidRPr="00B608E7">
        <w:rPr>
          <w:noProof/>
        </w:rPr>
        <w:t>Having regard to Council Regulation (EC) No 1466/97 of 7 July 1997 on the strengthening of the surveillance of budgetary positions and the surveillance and coordination of economic policies</w:t>
      </w:r>
      <w:r w:rsidRPr="00B608E7">
        <w:rPr>
          <w:rStyle w:val="FootnoteReference"/>
          <w:noProof/>
        </w:rPr>
        <w:footnoteReference w:id="2"/>
      </w:r>
      <w:r w:rsidRPr="00B608E7">
        <w:rPr>
          <w:noProof/>
        </w:rPr>
        <w:t xml:space="preserve">, and in particular Article </w:t>
      </w:r>
      <w:r w:rsidR="00496B10">
        <w:rPr>
          <w:noProof/>
        </w:rPr>
        <w:t>9</w:t>
      </w:r>
      <w:r w:rsidRPr="00B608E7">
        <w:rPr>
          <w:noProof/>
        </w:rPr>
        <w:t>(2) thereof,</w:t>
      </w:r>
    </w:p>
    <w:p w:rsidR="001760A4" w:rsidRPr="00B608E7" w:rsidRDefault="001760A4">
      <w:pPr>
        <w:rPr>
          <w:noProof/>
        </w:rPr>
      </w:pPr>
      <w:r w:rsidRPr="00B608E7">
        <w:rPr>
          <w:noProof/>
        </w:rPr>
        <w:t>Having regard to the recommendation of the European Commission</w:t>
      </w:r>
      <w:r w:rsidRPr="00B608E7">
        <w:rPr>
          <w:rStyle w:val="FootnoteReference"/>
          <w:noProof/>
        </w:rPr>
        <w:footnoteReference w:id="3"/>
      </w:r>
      <w:r w:rsidRPr="00B608E7">
        <w:rPr>
          <w:noProof/>
        </w:rPr>
        <w:t>,</w:t>
      </w:r>
    </w:p>
    <w:p w:rsidR="001760A4" w:rsidRPr="00B608E7" w:rsidRDefault="001760A4">
      <w:pPr>
        <w:rPr>
          <w:noProof/>
        </w:rPr>
      </w:pPr>
      <w:r w:rsidRPr="00B608E7">
        <w:rPr>
          <w:noProof/>
        </w:rPr>
        <w:t>Having regard to the resolutions of the European Parliament</w:t>
      </w:r>
      <w:r w:rsidRPr="00B608E7">
        <w:rPr>
          <w:rStyle w:val="FootnoteReference"/>
          <w:noProof/>
        </w:rPr>
        <w:footnoteReference w:id="4"/>
      </w:r>
      <w:r w:rsidRPr="00B608E7">
        <w:rPr>
          <w:noProof/>
        </w:rPr>
        <w:t>,</w:t>
      </w:r>
    </w:p>
    <w:p w:rsidR="001760A4" w:rsidRPr="00B608E7" w:rsidRDefault="001760A4">
      <w:pPr>
        <w:outlineLvl w:val="0"/>
        <w:rPr>
          <w:noProof/>
        </w:rPr>
      </w:pPr>
      <w:r w:rsidRPr="00B608E7">
        <w:rPr>
          <w:noProof/>
        </w:rPr>
        <w:t>Having regard to the conclusions of the European Council,</w:t>
      </w:r>
    </w:p>
    <w:p w:rsidR="001760A4" w:rsidRPr="00B608E7" w:rsidRDefault="001760A4">
      <w:pPr>
        <w:rPr>
          <w:noProof/>
        </w:rPr>
      </w:pPr>
      <w:r w:rsidRPr="00B608E7">
        <w:rPr>
          <w:noProof/>
        </w:rPr>
        <w:t>Having regard to the opinion of the Employment Committee,</w:t>
      </w:r>
    </w:p>
    <w:p w:rsidR="001760A4" w:rsidRPr="00B608E7" w:rsidRDefault="001760A4">
      <w:pPr>
        <w:rPr>
          <w:noProof/>
        </w:rPr>
      </w:pPr>
      <w:r w:rsidRPr="00B608E7">
        <w:rPr>
          <w:noProof/>
        </w:rPr>
        <w:t>Having regard to the opinion of the Economic and Financial Committee,</w:t>
      </w:r>
    </w:p>
    <w:p w:rsidR="001760A4" w:rsidRPr="00B608E7" w:rsidRDefault="001760A4">
      <w:pPr>
        <w:rPr>
          <w:noProof/>
        </w:rPr>
      </w:pPr>
      <w:r w:rsidRPr="00B608E7">
        <w:rPr>
          <w:noProof/>
        </w:rPr>
        <w:t>Having regard to the opinion of the Social Protection Committee,</w:t>
      </w:r>
    </w:p>
    <w:p w:rsidR="001760A4" w:rsidRPr="00B608E7" w:rsidRDefault="001760A4">
      <w:pPr>
        <w:rPr>
          <w:noProof/>
        </w:rPr>
      </w:pPr>
      <w:r w:rsidRPr="00B608E7">
        <w:rPr>
          <w:noProof/>
        </w:rPr>
        <w:t>Having regard to the opinion of the Economic Policy Committee,</w:t>
      </w:r>
    </w:p>
    <w:p w:rsidR="001760A4" w:rsidRPr="00B608E7" w:rsidRDefault="001760A4">
      <w:pPr>
        <w:rPr>
          <w:noProof/>
        </w:rPr>
      </w:pPr>
      <w:r w:rsidRPr="00B608E7">
        <w:rPr>
          <w:noProof/>
        </w:rPr>
        <w:t>Whereas:</w:t>
      </w:r>
    </w:p>
    <w:p w:rsidR="00714DE6" w:rsidRDefault="00714DE6" w:rsidP="004109B9">
      <w:pPr>
        <w:pStyle w:val="Point0number"/>
        <w:numPr>
          <w:ilvl w:val="0"/>
          <w:numId w:val="9"/>
        </w:numPr>
        <w:rPr>
          <w:noProof/>
        </w:rPr>
      </w:pPr>
      <w:r>
        <w:rPr>
          <w:noProof/>
        </w:rPr>
        <w:t>On 26 November 2015, the Commission adopted the Annual Growth Survey</w:t>
      </w:r>
      <w:r>
        <w:rPr>
          <w:rStyle w:val="FootnoteReference"/>
          <w:noProof/>
        </w:rPr>
        <w:footnoteReference w:id="5"/>
      </w:r>
      <w:r>
        <w:rPr>
          <w:noProof/>
        </w:rPr>
        <w:t>, marking the start of the 2016 European Semester of economic policy coordination. The priorities of the Annual Growth Survey were endorsed by the European Council on 17-18 March 2016. On 26 November 2015, on the basis of Regulation (EU) No 1176/2011, the Commission adopted the Alert Mechanism Report</w:t>
      </w:r>
      <w:r>
        <w:rPr>
          <w:rStyle w:val="FootnoteReference"/>
          <w:noProof/>
        </w:rPr>
        <w:footnoteReference w:id="6"/>
      </w:r>
      <w:r>
        <w:rPr>
          <w:noProof/>
        </w:rPr>
        <w:t xml:space="preserve">, </w:t>
      </w:r>
      <w:r w:rsidRPr="00E120E2">
        <w:rPr>
          <w:noProof/>
        </w:rPr>
        <w:t>in which it</w:t>
      </w:r>
      <w:r>
        <w:rPr>
          <w:noProof/>
        </w:rPr>
        <w:t xml:space="preserve"> </w:t>
      </w:r>
      <w:r w:rsidRPr="00E120E2">
        <w:rPr>
          <w:noProof/>
        </w:rPr>
        <w:t>identif</w:t>
      </w:r>
      <w:r>
        <w:rPr>
          <w:noProof/>
        </w:rPr>
        <w:t>ied</w:t>
      </w:r>
      <w:r w:rsidRPr="00E120E2">
        <w:rPr>
          <w:noProof/>
        </w:rPr>
        <w:t xml:space="preserve"> </w:t>
      </w:r>
      <w:r>
        <w:rPr>
          <w:noProof/>
        </w:rPr>
        <w:t xml:space="preserve">Hungary </w:t>
      </w:r>
      <w:r w:rsidRPr="00E120E2">
        <w:rPr>
          <w:noProof/>
        </w:rPr>
        <w:t xml:space="preserve">as one of the Member States for which an in-depth review would be carried out. </w:t>
      </w:r>
    </w:p>
    <w:p w:rsidR="001760A4" w:rsidRPr="00436838" w:rsidRDefault="00436838" w:rsidP="00436838">
      <w:pPr>
        <w:pStyle w:val="Point0number"/>
        <w:rPr>
          <w:noProof/>
        </w:rPr>
      </w:pPr>
      <w:r w:rsidRPr="00436838">
        <w:rPr>
          <w:noProof/>
        </w:rPr>
        <w:t xml:space="preserve">The 2016 country report for </w:t>
      </w:r>
      <w:r w:rsidR="00EF7EDA" w:rsidRPr="00436838">
        <w:rPr>
          <w:noProof/>
        </w:rPr>
        <w:t>Hungary</w:t>
      </w:r>
      <w:r w:rsidR="001760A4" w:rsidRPr="00436838">
        <w:rPr>
          <w:rStyle w:val="FootnoteReference"/>
          <w:noProof/>
        </w:rPr>
        <w:footnoteReference w:id="7"/>
      </w:r>
      <w:r w:rsidR="001760A4" w:rsidRPr="00436838">
        <w:rPr>
          <w:noProof/>
        </w:rPr>
        <w:t xml:space="preserve"> </w:t>
      </w:r>
      <w:r w:rsidRPr="00436838">
        <w:rPr>
          <w:noProof/>
        </w:rPr>
        <w:t xml:space="preserve">was published on 26 February 2016. It assessed </w:t>
      </w:r>
      <w:r>
        <w:rPr>
          <w:noProof/>
        </w:rPr>
        <w:t>Hungary</w:t>
      </w:r>
      <w:r w:rsidRPr="00436838">
        <w:rPr>
          <w:noProof/>
        </w:rPr>
        <w:t xml:space="preserve">’s progress in addressing the country-specific recommendations adopted </w:t>
      </w:r>
      <w:r w:rsidR="002519EA">
        <w:rPr>
          <w:noProof/>
        </w:rPr>
        <w:t xml:space="preserve">by the Council </w:t>
      </w:r>
      <w:r w:rsidRPr="00436838">
        <w:rPr>
          <w:noProof/>
        </w:rPr>
        <w:t>on 14 July 2015</w:t>
      </w:r>
      <w:r w:rsidR="008646CA">
        <w:rPr>
          <w:noProof/>
        </w:rPr>
        <w:t xml:space="preserve"> and</w:t>
      </w:r>
      <w:r w:rsidRPr="00436838">
        <w:rPr>
          <w:noProof/>
        </w:rPr>
        <w:t xml:space="preserve"> </w:t>
      </w:r>
      <w:r>
        <w:rPr>
          <w:noProof/>
        </w:rPr>
        <w:t>Hungary</w:t>
      </w:r>
      <w:r w:rsidRPr="00436838">
        <w:rPr>
          <w:noProof/>
        </w:rPr>
        <w:t>'s progress towards its national Europe 2020 targets</w:t>
      </w:r>
      <w:r w:rsidR="008646CA">
        <w:rPr>
          <w:noProof/>
        </w:rPr>
        <w:t>. I</w:t>
      </w:r>
      <w:r w:rsidRPr="00436838">
        <w:rPr>
          <w:noProof/>
        </w:rPr>
        <w:t xml:space="preserve">t </w:t>
      </w:r>
      <w:r w:rsidR="008646CA">
        <w:rPr>
          <w:noProof/>
        </w:rPr>
        <w:t xml:space="preserve">also </w:t>
      </w:r>
      <w:r w:rsidRPr="00436838">
        <w:rPr>
          <w:noProof/>
        </w:rPr>
        <w:t xml:space="preserve">included the in-depth review under Article 5 of </w:t>
      </w:r>
      <w:r w:rsidRPr="00436838">
        <w:rPr>
          <w:noProof/>
        </w:rPr>
        <w:lastRenderedPageBreak/>
        <w:t>Regulation (EU) No 1176/2011. On 8 March 2016, the Commission</w:t>
      </w:r>
      <w:r>
        <w:rPr>
          <w:noProof/>
        </w:rPr>
        <w:t xml:space="preserve"> </w:t>
      </w:r>
      <w:r w:rsidRPr="00436838">
        <w:rPr>
          <w:noProof/>
        </w:rPr>
        <w:t>present</w:t>
      </w:r>
      <w:r w:rsidR="002519EA">
        <w:rPr>
          <w:noProof/>
        </w:rPr>
        <w:t>ed</w:t>
      </w:r>
      <w:r w:rsidRPr="00436838">
        <w:rPr>
          <w:noProof/>
        </w:rPr>
        <w:t xml:space="preserve"> the results of the in-depth review</w:t>
      </w:r>
      <w:r w:rsidR="002519EA">
        <w:rPr>
          <w:rStyle w:val="FootnoteReference"/>
          <w:noProof/>
        </w:rPr>
        <w:footnoteReference w:id="8"/>
      </w:r>
      <w:r w:rsidR="00E26414">
        <w:rPr>
          <w:noProof/>
        </w:rPr>
        <w:t xml:space="preserve">. </w:t>
      </w:r>
      <w:r w:rsidR="001760A4" w:rsidRPr="00BF6700">
        <w:rPr>
          <w:noProof/>
        </w:rPr>
        <w:t xml:space="preserve">The Commission’s analysis leads it to conclude that </w:t>
      </w:r>
      <w:r w:rsidR="00EF7EDA" w:rsidRPr="00BF6700">
        <w:rPr>
          <w:noProof/>
        </w:rPr>
        <w:t xml:space="preserve">Hungary </w:t>
      </w:r>
      <w:r w:rsidR="003D4DFB" w:rsidRPr="00BF6700">
        <w:rPr>
          <w:noProof/>
        </w:rPr>
        <w:t xml:space="preserve">is </w:t>
      </w:r>
      <w:r w:rsidR="001760A4" w:rsidRPr="00BF6700">
        <w:rPr>
          <w:noProof/>
        </w:rPr>
        <w:t xml:space="preserve">experiencing </w:t>
      </w:r>
      <w:r w:rsidR="00C1080E" w:rsidRPr="00BF6700">
        <w:rPr>
          <w:noProof/>
        </w:rPr>
        <w:t xml:space="preserve">no </w:t>
      </w:r>
      <w:r w:rsidR="001760A4" w:rsidRPr="00BF6700">
        <w:rPr>
          <w:noProof/>
        </w:rPr>
        <w:t>macroeconomic imbalances</w:t>
      </w:r>
      <w:r w:rsidR="001760A4" w:rsidRPr="00B608E7">
        <w:rPr>
          <w:noProof/>
        </w:rPr>
        <w:t xml:space="preserve">. </w:t>
      </w:r>
      <w:r w:rsidR="00466286" w:rsidRPr="00B608E7">
        <w:rPr>
          <w:noProof/>
        </w:rPr>
        <w:t>In particular, a</w:t>
      </w:r>
      <w:r w:rsidR="00466286" w:rsidRPr="00B171FA">
        <w:rPr>
          <w:noProof/>
        </w:rPr>
        <w:t>lthough high external debt rollover needs and the share of non-performing loans remain a concern, risks linked to external and internal liabilities have been reduced.</w:t>
      </w:r>
    </w:p>
    <w:p w:rsidR="001760A4" w:rsidRDefault="001760A4">
      <w:pPr>
        <w:pStyle w:val="Point0number"/>
        <w:rPr>
          <w:noProof/>
        </w:rPr>
      </w:pPr>
      <w:r w:rsidRPr="00436838">
        <w:rPr>
          <w:noProof/>
        </w:rPr>
        <w:t xml:space="preserve">On </w:t>
      </w:r>
      <w:r w:rsidR="00486B71">
        <w:rPr>
          <w:noProof/>
        </w:rPr>
        <w:t>29</w:t>
      </w:r>
      <w:r w:rsidRPr="00B608E7">
        <w:rPr>
          <w:noProof/>
        </w:rPr>
        <w:t xml:space="preserve"> April 201</w:t>
      </w:r>
      <w:r w:rsidR="00F45AB4" w:rsidRPr="00B608E7">
        <w:rPr>
          <w:noProof/>
        </w:rPr>
        <w:t xml:space="preserve">6, </w:t>
      </w:r>
      <w:r w:rsidR="00EF7EDA" w:rsidRPr="00B171FA">
        <w:rPr>
          <w:noProof/>
        </w:rPr>
        <w:t xml:space="preserve">Hungary </w:t>
      </w:r>
      <w:r w:rsidRPr="00B171FA">
        <w:rPr>
          <w:noProof/>
        </w:rPr>
        <w:t>submitted its 201</w:t>
      </w:r>
      <w:r w:rsidR="00F45AB4" w:rsidRPr="00B171FA">
        <w:rPr>
          <w:noProof/>
        </w:rPr>
        <w:t>6</w:t>
      </w:r>
      <w:r w:rsidRPr="00B171FA">
        <w:rPr>
          <w:noProof/>
        </w:rPr>
        <w:t xml:space="preserve"> </w:t>
      </w:r>
      <w:r w:rsidR="00B34BE4" w:rsidRPr="00B171FA">
        <w:rPr>
          <w:noProof/>
        </w:rPr>
        <w:t>n</w:t>
      </w:r>
      <w:r w:rsidRPr="00436838">
        <w:rPr>
          <w:noProof/>
        </w:rPr>
        <w:t xml:space="preserve">ational </w:t>
      </w:r>
      <w:r w:rsidR="00B34BE4" w:rsidRPr="00436838">
        <w:rPr>
          <w:noProof/>
        </w:rPr>
        <w:t>r</w:t>
      </w:r>
      <w:r w:rsidRPr="00436838">
        <w:rPr>
          <w:noProof/>
        </w:rPr>
        <w:t xml:space="preserve">eform </w:t>
      </w:r>
      <w:r w:rsidR="00B34BE4" w:rsidRPr="00436838">
        <w:rPr>
          <w:noProof/>
        </w:rPr>
        <w:t>p</w:t>
      </w:r>
      <w:r w:rsidRPr="00436838">
        <w:rPr>
          <w:noProof/>
        </w:rPr>
        <w:t>rogramme and its 201</w:t>
      </w:r>
      <w:r w:rsidR="00F45AB4" w:rsidRPr="00436838">
        <w:rPr>
          <w:noProof/>
        </w:rPr>
        <w:t>6</w:t>
      </w:r>
      <w:r w:rsidRPr="00436838">
        <w:rPr>
          <w:noProof/>
        </w:rPr>
        <w:t xml:space="preserve"> </w:t>
      </w:r>
      <w:r w:rsidR="00B34BE4" w:rsidRPr="00BF6700">
        <w:rPr>
          <w:noProof/>
        </w:rPr>
        <w:t>c</w:t>
      </w:r>
      <w:r w:rsidR="00F45AB4" w:rsidRPr="00BF6700">
        <w:rPr>
          <w:noProof/>
        </w:rPr>
        <w:t>onvergence</w:t>
      </w:r>
      <w:r w:rsidRPr="00B608E7">
        <w:rPr>
          <w:noProof/>
        </w:rPr>
        <w:t xml:space="preserve"> </w:t>
      </w:r>
      <w:r w:rsidR="00B34BE4" w:rsidRPr="00B608E7">
        <w:rPr>
          <w:noProof/>
        </w:rPr>
        <w:t>p</w:t>
      </w:r>
      <w:r w:rsidRPr="00B171FA">
        <w:rPr>
          <w:noProof/>
        </w:rPr>
        <w:t>rogramme. To take account of their interlinkages, the two programmes have been assessed at the same time.</w:t>
      </w:r>
    </w:p>
    <w:p w:rsidR="001621D1" w:rsidRPr="00B171FA" w:rsidRDefault="001A62FF" w:rsidP="001621D1">
      <w:pPr>
        <w:pStyle w:val="Point0number"/>
        <w:rPr>
          <w:noProof/>
        </w:rPr>
      </w:pPr>
      <w:r w:rsidRPr="009C07DC">
        <w:t xml:space="preserve">Relevant country-specific recommendations have been addressed in the programming of the European Structural and Investment Funds for the 2014-2020 </w:t>
      </w:r>
      <w:proofErr w:type="gramStart"/>
      <w:r w:rsidRPr="009C07DC">
        <w:t>period</w:t>
      </w:r>
      <w:proofErr w:type="gramEnd"/>
      <w:r w:rsidRPr="009C07DC">
        <w:t xml:space="preserve">. As foreseen in Article 23 of Regulation (EU) No 1303/2013, where it is necessary to support the implementation of relevant Council recommendations, the Commission may request a Member State to review and propose amendments to its Partnership Agreement and relevant programmes. The Commission has provided further details on how it would make use of this provision in guidelines </w:t>
      </w:r>
      <w:r w:rsidR="009D0792">
        <w:t xml:space="preserve">on the application of the measures </w:t>
      </w:r>
      <w:r w:rsidRPr="009C07DC">
        <w:t>linking the effectiveness of the European Structural and Investment Funds to sound economic governance</w:t>
      </w:r>
      <w:r>
        <w:rPr>
          <w:rStyle w:val="FootnoteReference"/>
        </w:rPr>
        <w:footnoteReference w:id="9"/>
      </w:r>
      <w:r w:rsidRPr="009C07DC">
        <w:t>.</w:t>
      </w:r>
    </w:p>
    <w:p w:rsidR="00506F95" w:rsidRDefault="00506F95" w:rsidP="00506F95">
      <w:pPr>
        <w:pStyle w:val="Point0number"/>
        <w:rPr>
          <w:noProof/>
        </w:rPr>
      </w:pPr>
      <w:r>
        <w:rPr>
          <w:noProof/>
        </w:rPr>
        <w:t>The convergence programme indicates that the budgetary impact of the exceptional inflow of refugees is significant and an addendum of 6 May provides adequate evidence of the scope and nature of these additional budgetary costs. According to the Commission's assessment, the eligible additional expenditure amounted to 0.04% of GDP in 2015 and currently no further incremental costs are expected in 2016. The provisions defined in Article 5(1) and Article 6(3) of Regulation (EC) No 1466/97 allow catering for this additional expenditure, in that the inflow of refugees is an exceptional event, its impact on Hungary`s public finances is significant and sustainability would not be compromised by allowing for a temporary deviation from the adjustment path towards the medium-term budgetary objective. Therefore, the required adjustment towards the medium-term budgetary objective for 2015 has been reduced to take into account these costs. Regarding 2016, a final assessment, including on the eligible amounts, will be made in spring 2017 on the basis of observed data as provided by Hungary's authorities.</w:t>
      </w:r>
    </w:p>
    <w:p w:rsidR="00506F95" w:rsidRPr="003F3EC9" w:rsidRDefault="00506F95" w:rsidP="00506F95">
      <w:pPr>
        <w:pStyle w:val="Point0number"/>
        <w:rPr>
          <w:noProof/>
        </w:rPr>
      </w:pPr>
      <w:r>
        <w:rPr>
          <w:noProof/>
        </w:rPr>
        <w:t>Hungary is currently in the preventive arm of the Stability and Growth Pact and subject to the debt rule. In its 2016 convergence programme, the government plans the headline deficit to increase to 2.4% of GDP by 2017 and then to decrease gradually to 1.2% by 2020. The government plans a gradual improvement of the structural balance in order to reach its revised medium-term budgetary objective – a deficit of 1.5% of GDP in structural terms – by 2019. However, the recalculated</w:t>
      </w:r>
      <w:r w:rsidR="001A1FE8">
        <w:rPr>
          <w:rStyle w:val="FootnoteReference"/>
          <w:noProof/>
        </w:rPr>
        <w:footnoteReference w:id="10"/>
      </w:r>
      <w:r>
        <w:rPr>
          <w:noProof/>
        </w:rPr>
        <w:t xml:space="preserve"> structural deficit would remain higher than the medium-term budgetary objective. According to the convergence programme, the government debt-to-GDP ratio is expected to decline gradually from 75.3% in 2015 and to below 67% in 2020. The macroeconomic scenario underpinning these budgetary projections is broadly plausible until 2017 and becomes increasingly favourable thereafter. The measures needed to support the planned deficit targets from 2017 onwards have not been </w:t>
      </w:r>
      <w:r>
        <w:rPr>
          <w:noProof/>
        </w:rPr>
        <w:lastRenderedPageBreak/>
        <w:t xml:space="preserve">sufficiently specified, in particular after 2017. </w:t>
      </w:r>
      <w:r w:rsidR="00BA3C58" w:rsidRPr="003E44B7">
        <w:rPr>
          <w:noProof/>
        </w:rPr>
        <w:t>Based on the Commission 2016 spring forecast, there is a high risk of a significant deviation from the required adjustment in 2016 as well as, under unchanged policies, in 2016 and 2017 taken together.</w:t>
      </w:r>
      <w:r w:rsidR="00BA3C58" w:rsidRPr="003F3EC9">
        <w:rPr>
          <w:noProof/>
        </w:rPr>
        <w:t xml:space="preserve"> </w:t>
      </w:r>
      <w:r w:rsidRPr="003F3EC9">
        <w:rPr>
          <w:noProof/>
        </w:rPr>
        <w:t xml:space="preserve">At the same time, Hungary is forecast to comply with the debt reduction benchmark in 2016 and in 2017. Based on its assessment of the convergence programme and taking into account the Commission 2016 spring forecast, the Council is of the opinion that there is a risk that Hungary will not comply with the provisions of the Stability and Growth Pact. </w:t>
      </w:r>
      <w:r w:rsidRPr="003E44B7">
        <w:rPr>
          <w:noProof/>
        </w:rPr>
        <w:t>Therefore further measures will be needed in both years to ensure compliance.</w:t>
      </w:r>
      <w:r w:rsidRPr="003F3EC9">
        <w:rPr>
          <w:noProof/>
        </w:rPr>
        <w:t xml:space="preserve"> </w:t>
      </w:r>
    </w:p>
    <w:p w:rsidR="001760A4" w:rsidRPr="00D2430E" w:rsidRDefault="00E81D2F" w:rsidP="009A6864">
      <w:pPr>
        <w:pStyle w:val="Point0number"/>
        <w:rPr>
          <w:noProof/>
        </w:rPr>
      </w:pPr>
      <w:r w:rsidRPr="00E81D2F">
        <w:rPr>
          <w:noProof/>
        </w:rPr>
        <w:t xml:space="preserve">Internal financial imbalances have been reduced and the banking system </w:t>
      </w:r>
      <w:r w:rsidR="008646CA">
        <w:rPr>
          <w:noProof/>
        </w:rPr>
        <w:t xml:space="preserve">has become less </w:t>
      </w:r>
      <w:r w:rsidRPr="00E81D2F">
        <w:rPr>
          <w:noProof/>
        </w:rPr>
        <w:t>vulnerab</w:t>
      </w:r>
      <w:r w:rsidR="008646CA">
        <w:rPr>
          <w:noProof/>
        </w:rPr>
        <w:t>le</w:t>
      </w:r>
      <w:r w:rsidRPr="00E81D2F">
        <w:rPr>
          <w:noProof/>
        </w:rPr>
        <w:t xml:space="preserve">, but challenges remain. Considerable progress has been made in reducing private sector debt, previously mostly denominated in foreign currencies. Lending to households showed signs of recovery but a turnaround in corporate lending has yet to take place. The profitability of the banking sector </w:t>
      </w:r>
      <w:r w:rsidR="00F673D8">
        <w:rPr>
          <w:noProof/>
        </w:rPr>
        <w:t>ha</w:t>
      </w:r>
      <w:r w:rsidRPr="00E81D2F">
        <w:rPr>
          <w:noProof/>
        </w:rPr>
        <w:t xml:space="preserve">s </w:t>
      </w:r>
      <w:r w:rsidR="00F673D8">
        <w:rPr>
          <w:noProof/>
        </w:rPr>
        <w:t xml:space="preserve">started to </w:t>
      </w:r>
      <w:r w:rsidRPr="00E81D2F">
        <w:rPr>
          <w:noProof/>
        </w:rPr>
        <w:t>recover</w:t>
      </w:r>
      <w:r w:rsidR="00FE3F1F">
        <w:rPr>
          <w:noProof/>
        </w:rPr>
        <w:t>,</w:t>
      </w:r>
      <w:r w:rsidRPr="00E81D2F">
        <w:rPr>
          <w:noProof/>
        </w:rPr>
        <w:t xml:space="preserve"> helped by the improving economic environment and by a moderation in the previous policies towards taxes on banks. Nevertheless, banks remain cautious in their lending</w:t>
      </w:r>
      <w:r w:rsidR="00162EDD">
        <w:rPr>
          <w:noProof/>
        </w:rPr>
        <w:t>,</w:t>
      </w:r>
      <w:r w:rsidRPr="00E81D2F">
        <w:rPr>
          <w:noProof/>
        </w:rPr>
        <w:t xml:space="preserve"> even though they are well capitalised and highly liquid. The main remaining challenge for banks is to reduce the still high share of non-performing loans that hinder new lending and put pressure on profits.</w:t>
      </w:r>
      <w:r w:rsidR="00FE3F1F">
        <w:rPr>
          <w:noProof/>
        </w:rPr>
        <w:t xml:space="preserve"> The contingent liability risks linked to the increased ownership of the state in the banking sector are still high.</w:t>
      </w:r>
      <w:r w:rsidRPr="00E81D2F">
        <w:rPr>
          <w:noProof/>
        </w:rPr>
        <w:t xml:space="preserve"> </w:t>
      </w:r>
    </w:p>
    <w:p w:rsidR="00152169" w:rsidRDefault="0053186A" w:rsidP="00270F98">
      <w:pPr>
        <w:pStyle w:val="Point0number"/>
        <w:rPr>
          <w:noProof/>
        </w:rPr>
      </w:pPr>
      <w:r w:rsidRPr="00D2430E">
        <w:rPr>
          <w:noProof/>
        </w:rPr>
        <w:t xml:space="preserve">Despite considerable recent improvements in tax policies and </w:t>
      </w:r>
      <w:r w:rsidR="004F0E69">
        <w:rPr>
          <w:noProof/>
        </w:rPr>
        <w:t xml:space="preserve">the </w:t>
      </w:r>
      <w:r w:rsidRPr="00D2430E">
        <w:rPr>
          <w:noProof/>
        </w:rPr>
        <w:t>tax administration, Hungary</w:t>
      </w:r>
      <w:r w:rsidR="004A171E" w:rsidRPr="001A0CF6">
        <w:rPr>
          <w:noProof/>
        </w:rPr>
        <w:t>’</w:t>
      </w:r>
      <w:r w:rsidRPr="00D2430E">
        <w:rPr>
          <w:noProof/>
        </w:rPr>
        <w:t>s reliance on sector-specific taxes remains a potential barrier to investment</w:t>
      </w:r>
      <w:r w:rsidR="004A171E">
        <w:rPr>
          <w:noProof/>
        </w:rPr>
        <w:t>. The selective design of these taxes</w:t>
      </w:r>
      <w:r w:rsidRPr="00D2430E">
        <w:rPr>
          <w:noProof/>
        </w:rPr>
        <w:t xml:space="preserve"> causes distortions across sectors</w:t>
      </w:r>
      <w:r w:rsidRPr="00A30A6B">
        <w:rPr>
          <w:noProof/>
        </w:rPr>
        <w:t xml:space="preserve">. While </w:t>
      </w:r>
      <w:r w:rsidR="00AA3E72">
        <w:rPr>
          <w:noProof/>
        </w:rPr>
        <w:t>several other sector-specfic taxes remain in place</w:t>
      </w:r>
      <w:r w:rsidRPr="00A30A6B">
        <w:rPr>
          <w:noProof/>
        </w:rPr>
        <w:t xml:space="preserve">, the levy on credit institutions has been reduced </w:t>
      </w:r>
      <w:r w:rsidR="004A171E" w:rsidRPr="00A30A6B">
        <w:rPr>
          <w:noProof/>
        </w:rPr>
        <w:t xml:space="preserve">significantly </w:t>
      </w:r>
      <w:r w:rsidRPr="00A30A6B">
        <w:rPr>
          <w:noProof/>
        </w:rPr>
        <w:t>and the progressive rates in the food inspection fee have been repe</w:t>
      </w:r>
      <w:r w:rsidR="004A171E">
        <w:rPr>
          <w:noProof/>
        </w:rPr>
        <w:t>a</w:t>
      </w:r>
      <w:r w:rsidRPr="00A30A6B">
        <w:rPr>
          <w:noProof/>
        </w:rPr>
        <w:t>led. The labour tax wedge for low-income earners is still high, especially for those without children</w:t>
      </w:r>
      <w:r w:rsidR="00270F98">
        <w:rPr>
          <w:noProof/>
        </w:rPr>
        <w:t>. This can have a</w:t>
      </w:r>
      <w:r w:rsidR="00270F98" w:rsidRPr="00270F98">
        <w:rPr>
          <w:noProof/>
        </w:rPr>
        <w:t xml:space="preserve"> negative impact on </w:t>
      </w:r>
      <w:r w:rsidR="00E9728A">
        <w:rPr>
          <w:noProof/>
        </w:rPr>
        <w:t xml:space="preserve">their </w:t>
      </w:r>
      <w:r w:rsidR="00270F98" w:rsidRPr="00270F98">
        <w:rPr>
          <w:noProof/>
        </w:rPr>
        <w:t>employ</w:t>
      </w:r>
      <w:r w:rsidR="00E9728A">
        <w:rPr>
          <w:noProof/>
        </w:rPr>
        <w:t>ability</w:t>
      </w:r>
      <w:r w:rsidR="00270F98" w:rsidRPr="00270F98">
        <w:rPr>
          <w:noProof/>
        </w:rPr>
        <w:t xml:space="preserve"> and can </w:t>
      </w:r>
      <w:r w:rsidR="00270F98">
        <w:rPr>
          <w:noProof/>
        </w:rPr>
        <w:t xml:space="preserve">also </w:t>
      </w:r>
      <w:r w:rsidR="00270F98" w:rsidRPr="00270F98">
        <w:rPr>
          <w:noProof/>
        </w:rPr>
        <w:t>hamper investment</w:t>
      </w:r>
      <w:r w:rsidRPr="00270F98">
        <w:rPr>
          <w:noProof/>
        </w:rPr>
        <w:t xml:space="preserve">. Steps have been taken to reduce the tax wedge (including a </w:t>
      </w:r>
      <w:r w:rsidR="004A171E">
        <w:rPr>
          <w:noProof/>
        </w:rPr>
        <w:t>one percentage point</w:t>
      </w:r>
      <w:r w:rsidRPr="00270F98">
        <w:rPr>
          <w:noProof/>
        </w:rPr>
        <w:t xml:space="preserve"> cut in the uniform tax rate of the personal income tax and an increase of the family tax allowance for earners with two children)</w:t>
      </w:r>
      <w:r w:rsidR="004A171E">
        <w:rPr>
          <w:noProof/>
        </w:rPr>
        <w:t>. However,</w:t>
      </w:r>
      <w:r w:rsidRPr="00270F98">
        <w:rPr>
          <w:noProof/>
        </w:rPr>
        <w:t xml:space="preserve"> measures are not sufficiently well targeted to </w:t>
      </w:r>
      <w:r w:rsidR="004A171E">
        <w:rPr>
          <w:noProof/>
        </w:rPr>
        <w:t>have</w:t>
      </w:r>
      <w:r w:rsidR="004A171E" w:rsidRPr="00270F98">
        <w:rPr>
          <w:noProof/>
        </w:rPr>
        <w:t xml:space="preserve"> </w:t>
      </w:r>
      <w:r w:rsidRPr="00270F98">
        <w:rPr>
          <w:noProof/>
        </w:rPr>
        <w:t xml:space="preserve">a significant effect for low-income earners. </w:t>
      </w:r>
      <w:r w:rsidR="00822A94" w:rsidRPr="00270F98">
        <w:rPr>
          <w:noProof/>
        </w:rPr>
        <w:t xml:space="preserve">There is a potential </w:t>
      </w:r>
      <w:r w:rsidR="004A171E">
        <w:rPr>
          <w:noProof/>
        </w:rPr>
        <w:t>for</w:t>
      </w:r>
      <w:r w:rsidR="004A171E" w:rsidRPr="00270F98">
        <w:rPr>
          <w:noProof/>
        </w:rPr>
        <w:t xml:space="preserve"> </w:t>
      </w:r>
      <w:r w:rsidR="00822A94" w:rsidRPr="00270F98">
        <w:rPr>
          <w:noProof/>
        </w:rPr>
        <w:t>shift</w:t>
      </w:r>
      <w:r w:rsidR="004A171E">
        <w:rPr>
          <w:noProof/>
        </w:rPr>
        <w:t>ing</w:t>
      </w:r>
      <w:r w:rsidR="00822A94" w:rsidRPr="00270F98">
        <w:rPr>
          <w:noProof/>
        </w:rPr>
        <w:t xml:space="preserve"> tax away from labour to areas less distortive to growth. </w:t>
      </w:r>
      <w:r w:rsidR="004C11FB" w:rsidRPr="00270F98">
        <w:rPr>
          <w:noProof/>
        </w:rPr>
        <w:t>Several measures have been taken to improve compliance and reduce compliance costs</w:t>
      </w:r>
      <w:r w:rsidR="004A171E">
        <w:rPr>
          <w:noProof/>
        </w:rPr>
        <w:t>, although</w:t>
      </w:r>
      <w:r w:rsidR="004C11FB" w:rsidRPr="00270F98">
        <w:rPr>
          <w:noProof/>
        </w:rPr>
        <w:t xml:space="preserve"> t</w:t>
      </w:r>
      <w:r w:rsidRPr="00270F98">
        <w:rPr>
          <w:noProof/>
        </w:rPr>
        <w:t xml:space="preserve">ax compliance costs remain high. Despite improvements in recent years, Hungary still faces challenges regarding the efficiency of tax collection. </w:t>
      </w:r>
      <w:r w:rsidR="004C11FB" w:rsidRPr="00270F98">
        <w:rPr>
          <w:noProof/>
        </w:rPr>
        <w:t xml:space="preserve">The Hungarian government announced a major institutional reform, to be launched in 2016, targeting </w:t>
      </w:r>
      <w:r w:rsidR="004A171E">
        <w:rPr>
          <w:noProof/>
        </w:rPr>
        <w:t xml:space="preserve">efficiency in </w:t>
      </w:r>
      <w:r w:rsidR="006357E2">
        <w:rPr>
          <w:noProof/>
        </w:rPr>
        <w:t xml:space="preserve">the </w:t>
      </w:r>
      <w:r w:rsidR="004C11FB" w:rsidRPr="00270F98">
        <w:rPr>
          <w:noProof/>
        </w:rPr>
        <w:t xml:space="preserve">tax administration. </w:t>
      </w:r>
    </w:p>
    <w:p w:rsidR="00B34BE4" w:rsidRPr="00BF6700" w:rsidRDefault="00594805" w:rsidP="00821688">
      <w:pPr>
        <w:pStyle w:val="Point0number"/>
        <w:rPr>
          <w:noProof/>
        </w:rPr>
      </w:pPr>
      <w:r w:rsidRPr="00594805">
        <w:rPr>
          <w:noProof/>
        </w:rPr>
        <w:t xml:space="preserve">Limited progress has been made as regards promoting competition and transparency </w:t>
      </w:r>
      <w:r w:rsidR="004F0E69" w:rsidRPr="00594805">
        <w:rPr>
          <w:noProof/>
        </w:rPr>
        <w:t xml:space="preserve">in public procurement </w:t>
      </w:r>
      <w:r w:rsidRPr="00594805">
        <w:rPr>
          <w:noProof/>
        </w:rPr>
        <w:t>(</w:t>
      </w:r>
      <w:r w:rsidR="004F0E69">
        <w:rPr>
          <w:noProof/>
        </w:rPr>
        <w:t xml:space="preserve">for example by </w:t>
      </w:r>
      <w:r w:rsidRPr="00594805">
        <w:rPr>
          <w:noProof/>
        </w:rPr>
        <w:t>adopti</w:t>
      </w:r>
      <w:r w:rsidR="004F0E69">
        <w:rPr>
          <w:noProof/>
        </w:rPr>
        <w:t>ng</w:t>
      </w:r>
      <w:r w:rsidRPr="00594805">
        <w:rPr>
          <w:noProof/>
        </w:rPr>
        <w:t xml:space="preserve"> the new Public Procurement Act, the compliance of which with EU law </w:t>
      </w:r>
      <w:r w:rsidR="004F0E69">
        <w:rPr>
          <w:noProof/>
        </w:rPr>
        <w:t>has</w:t>
      </w:r>
      <w:r w:rsidR="004F0E69" w:rsidRPr="00594805">
        <w:rPr>
          <w:noProof/>
        </w:rPr>
        <w:t xml:space="preserve"> </w:t>
      </w:r>
      <w:r w:rsidRPr="00594805">
        <w:rPr>
          <w:noProof/>
        </w:rPr>
        <w:t>still to be assessed)</w:t>
      </w:r>
      <w:r>
        <w:rPr>
          <w:noProof/>
        </w:rPr>
        <w:t xml:space="preserve">, </w:t>
      </w:r>
      <w:r w:rsidR="0053186A" w:rsidRPr="00152169">
        <w:rPr>
          <w:noProof/>
        </w:rPr>
        <w:t xml:space="preserve">while unpredictable regulatory changes and administrative burden hamper private business and investment. </w:t>
      </w:r>
      <w:r w:rsidR="006A6012" w:rsidRPr="006A6012">
        <w:rPr>
          <w:noProof/>
        </w:rPr>
        <w:t xml:space="preserve">The high number of negotiated procedures without publication and contract awards </w:t>
      </w:r>
      <w:r w:rsidR="004F0E69">
        <w:rPr>
          <w:noProof/>
        </w:rPr>
        <w:t xml:space="preserve">with </w:t>
      </w:r>
      <w:r w:rsidR="006A6012" w:rsidRPr="006A6012">
        <w:rPr>
          <w:noProof/>
        </w:rPr>
        <w:t xml:space="preserve">a single bid show that a low level of competition </w:t>
      </w:r>
      <w:r w:rsidR="006A6012">
        <w:rPr>
          <w:noProof/>
        </w:rPr>
        <w:t xml:space="preserve">in procurement </w:t>
      </w:r>
      <w:r w:rsidR="006A6012" w:rsidRPr="006A6012">
        <w:rPr>
          <w:noProof/>
        </w:rPr>
        <w:t>persists.</w:t>
      </w:r>
      <w:r w:rsidR="006A6012">
        <w:rPr>
          <w:noProof/>
        </w:rPr>
        <w:t xml:space="preserve"> </w:t>
      </w:r>
      <w:r w:rsidR="0053186A" w:rsidRPr="00152169">
        <w:rPr>
          <w:noProof/>
        </w:rPr>
        <w:t>A com</w:t>
      </w:r>
      <w:r w:rsidR="0053186A" w:rsidRPr="000611BD">
        <w:rPr>
          <w:noProof/>
        </w:rPr>
        <w:t>prehensive e-procurement strategy</w:t>
      </w:r>
      <w:r w:rsidR="001C377B" w:rsidRPr="001C377B">
        <w:t xml:space="preserve"> </w:t>
      </w:r>
      <w:r w:rsidR="001C377B" w:rsidRPr="001C377B">
        <w:rPr>
          <w:noProof/>
        </w:rPr>
        <w:t>aiming at improving efficiency and transparency</w:t>
      </w:r>
      <w:r w:rsidR="0053186A" w:rsidRPr="000611BD">
        <w:rPr>
          <w:noProof/>
        </w:rPr>
        <w:t xml:space="preserve"> has not yet been developed and </w:t>
      </w:r>
      <w:r w:rsidR="004F0E69">
        <w:rPr>
          <w:noProof/>
        </w:rPr>
        <w:t xml:space="preserve">the risk of </w:t>
      </w:r>
      <w:r w:rsidR="0053186A" w:rsidRPr="000611BD">
        <w:rPr>
          <w:noProof/>
        </w:rPr>
        <w:t>corruption remain</w:t>
      </w:r>
      <w:r w:rsidR="004F0E69">
        <w:rPr>
          <w:noProof/>
        </w:rPr>
        <w:t>s</w:t>
      </w:r>
      <w:r w:rsidR="0053186A" w:rsidRPr="000611BD">
        <w:rPr>
          <w:noProof/>
        </w:rPr>
        <w:t xml:space="preserve"> high. </w:t>
      </w:r>
      <w:r w:rsidR="00EA392E" w:rsidRPr="00CB2A60">
        <w:rPr>
          <w:noProof/>
        </w:rPr>
        <w:t>Ch</w:t>
      </w:r>
      <w:r w:rsidR="0053186A" w:rsidRPr="000611BD">
        <w:rPr>
          <w:noProof/>
        </w:rPr>
        <w:t xml:space="preserve">anges </w:t>
      </w:r>
      <w:r w:rsidR="00EA392E" w:rsidRPr="00CB2A60">
        <w:rPr>
          <w:noProof/>
        </w:rPr>
        <w:t>would be needed</w:t>
      </w:r>
      <w:r w:rsidR="0053186A" w:rsidRPr="000611BD">
        <w:rPr>
          <w:noProof/>
        </w:rPr>
        <w:t xml:space="preserve"> to make the new National Anti-</w:t>
      </w:r>
      <w:r w:rsidR="004F0E69">
        <w:rPr>
          <w:noProof/>
        </w:rPr>
        <w:t>C</w:t>
      </w:r>
      <w:r w:rsidR="0053186A" w:rsidRPr="000611BD">
        <w:rPr>
          <w:noProof/>
        </w:rPr>
        <w:t xml:space="preserve">orruption </w:t>
      </w:r>
      <w:r w:rsidR="002110D0" w:rsidRPr="00CB2A60">
        <w:rPr>
          <w:noProof/>
        </w:rPr>
        <w:t xml:space="preserve">Action </w:t>
      </w:r>
      <w:r w:rsidR="0053186A" w:rsidRPr="00CB2A60">
        <w:rPr>
          <w:noProof/>
        </w:rPr>
        <w:t xml:space="preserve">Programme </w:t>
      </w:r>
      <w:r w:rsidR="00EA392E" w:rsidRPr="00CB2A60">
        <w:rPr>
          <w:noProof/>
        </w:rPr>
        <w:t xml:space="preserve">(NAP) </w:t>
      </w:r>
      <w:r w:rsidR="002110D0" w:rsidRPr="00CB2A60">
        <w:rPr>
          <w:noProof/>
        </w:rPr>
        <w:t xml:space="preserve">2015-2018 </w:t>
      </w:r>
      <w:r w:rsidR="0053186A" w:rsidRPr="00CB2A60">
        <w:rPr>
          <w:noProof/>
        </w:rPr>
        <w:t xml:space="preserve">more effective in preventing corruption </w:t>
      </w:r>
      <w:r w:rsidR="002110D0" w:rsidRPr="00CB2A60">
        <w:rPr>
          <w:noProof/>
        </w:rPr>
        <w:t xml:space="preserve">in public institutions </w:t>
      </w:r>
      <w:r w:rsidR="0053186A" w:rsidRPr="00CB2A60">
        <w:rPr>
          <w:noProof/>
        </w:rPr>
        <w:t xml:space="preserve">and applying dissuasive sanctions. </w:t>
      </w:r>
      <w:r w:rsidR="002110D0" w:rsidRPr="00CB2A60">
        <w:rPr>
          <w:noProof/>
        </w:rPr>
        <w:t xml:space="preserve">The government has not </w:t>
      </w:r>
      <w:r w:rsidR="002110D0" w:rsidRPr="00CB2A60">
        <w:rPr>
          <w:noProof/>
        </w:rPr>
        <w:lastRenderedPageBreak/>
        <w:t xml:space="preserve">renewed its earlier commitment to revise the 2013 whistle-blower law, which lacks provisions that adequately protect whistle-blowers from retaliation. The </w:t>
      </w:r>
      <w:r w:rsidR="00EA392E" w:rsidRPr="00CB2A60">
        <w:rPr>
          <w:noProof/>
        </w:rPr>
        <w:t>NAP</w:t>
      </w:r>
      <w:r w:rsidR="00162EDD">
        <w:rPr>
          <w:noProof/>
        </w:rPr>
        <w:t>'s</w:t>
      </w:r>
      <w:r w:rsidR="002110D0" w:rsidRPr="00CB2A60">
        <w:rPr>
          <w:noProof/>
        </w:rPr>
        <w:t xml:space="preserve"> plans to revise the asset declaration system lack ambition and new legislative amendments passed in 2015 introduced some further restrictions to public access to information.</w:t>
      </w:r>
      <w:r w:rsidR="000611BD">
        <w:rPr>
          <w:noProof/>
        </w:rPr>
        <w:t xml:space="preserve"> </w:t>
      </w:r>
      <w:r w:rsidR="004F0E69">
        <w:rPr>
          <w:noProof/>
        </w:rPr>
        <w:t>T</w:t>
      </w:r>
      <w:r w:rsidR="0053186A" w:rsidRPr="009F432F">
        <w:rPr>
          <w:noProof/>
        </w:rPr>
        <w:t xml:space="preserve">he government </w:t>
      </w:r>
      <w:r w:rsidR="004F0E69">
        <w:rPr>
          <w:noProof/>
        </w:rPr>
        <w:t xml:space="preserve">has </w:t>
      </w:r>
      <w:r w:rsidR="0053186A" w:rsidRPr="009F432F">
        <w:rPr>
          <w:noProof/>
        </w:rPr>
        <w:t>t</w:t>
      </w:r>
      <w:r w:rsidR="004F0E69">
        <w:rPr>
          <w:noProof/>
        </w:rPr>
        <w:t>aken</w:t>
      </w:r>
      <w:r w:rsidR="0053186A" w:rsidRPr="009F432F">
        <w:rPr>
          <w:noProof/>
        </w:rPr>
        <w:t xml:space="preserve"> steps to reduce </w:t>
      </w:r>
      <w:r w:rsidR="00152169">
        <w:rPr>
          <w:noProof/>
        </w:rPr>
        <w:t xml:space="preserve">the </w:t>
      </w:r>
      <w:r w:rsidR="0053186A" w:rsidRPr="00152169">
        <w:rPr>
          <w:noProof/>
        </w:rPr>
        <w:t xml:space="preserve">administrative burden, </w:t>
      </w:r>
      <w:r w:rsidR="004F0E69">
        <w:rPr>
          <w:noProof/>
        </w:rPr>
        <w:t xml:space="preserve">but </w:t>
      </w:r>
      <w:r w:rsidR="0053186A" w:rsidRPr="00152169">
        <w:rPr>
          <w:noProof/>
        </w:rPr>
        <w:t>Hungary</w:t>
      </w:r>
      <w:r w:rsidR="004F0E69" w:rsidRPr="001A0CF6">
        <w:rPr>
          <w:noProof/>
        </w:rPr>
        <w:t>’</w:t>
      </w:r>
      <w:r w:rsidR="0053186A" w:rsidRPr="00152169">
        <w:rPr>
          <w:noProof/>
        </w:rPr>
        <w:t>s restrictive regulations in service sectors</w:t>
      </w:r>
      <w:r w:rsidR="00382440" w:rsidRPr="00152169">
        <w:rPr>
          <w:noProof/>
        </w:rPr>
        <w:t xml:space="preserve"> </w:t>
      </w:r>
      <w:r w:rsidR="0053186A" w:rsidRPr="00152169">
        <w:rPr>
          <w:noProof/>
        </w:rPr>
        <w:t>and a volatile regulatory environment remain concerns for businesses</w:t>
      </w:r>
      <w:r w:rsidR="00270F98">
        <w:rPr>
          <w:noProof/>
        </w:rPr>
        <w:t xml:space="preserve"> and thus </w:t>
      </w:r>
      <w:r w:rsidR="00DD3AD6">
        <w:rPr>
          <w:noProof/>
        </w:rPr>
        <w:t xml:space="preserve">create uncertainty </w:t>
      </w:r>
      <w:r w:rsidR="00270F98">
        <w:rPr>
          <w:noProof/>
        </w:rPr>
        <w:t>for invest</w:t>
      </w:r>
      <w:r w:rsidR="00673025">
        <w:rPr>
          <w:noProof/>
        </w:rPr>
        <w:t>ors</w:t>
      </w:r>
      <w:r w:rsidR="0053186A" w:rsidRPr="00152169">
        <w:rPr>
          <w:noProof/>
        </w:rPr>
        <w:t>.</w:t>
      </w:r>
      <w:r w:rsidR="003B2AD6" w:rsidRPr="003B2AD6">
        <w:t xml:space="preserve"> </w:t>
      </w:r>
      <w:r w:rsidR="00821688" w:rsidRPr="00821688">
        <w:rPr>
          <w:noProof/>
        </w:rPr>
        <w:t>Establishment and operational restrictions on the retail sector constitute significant barriers to entry and expansion.</w:t>
      </w:r>
      <w:r w:rsidR="003B2AD6" w:rsidRPr="003B2AD6">
        <w:rPr>
          <w:noProof/>
        </w:rPr>
        <w:t xml:space="preserve"> </w:t>
      </w:r>
      <w:r w:rsidR="00673025">
        <w:rPr>
          <w:noProof/>
        </w:rPr>
        <w:t>M</w:t>
      </w:r>
      <w:r w:rsidR="003B2AD6" w:rsidRPr="003B2AD6">
        <w:rPr>
          <w:noProof/>
        </w:rPr>
        <w:t xml:space="preserve">ark-ups in the Hungarian retail sector are the third highest in the EU and have been </w:t>
      </w:r>
      <w:r w:rsidR="00673025">
        <w:rPr>
          <w:noProof/>
        </w:rPr>
        <w:t>increasing</w:t>
      </w:r>
      <w:r w:rsidR="00673025" w:rsidRPr="003B2AD6">
        <w:rPr>
          <w:noProof/>
        </w:rPr>
        <w:t xml:space="preserve"> </w:t>
      </w:r>
      <w:r w:rsidR="003B2AD6" w:rsidRPr="003B2AD6">
        <w:rPr>
          <w:noProof/>
        </w:rPr>
        <w:t xml:space="preserve">continuously for the last decade while the allocative efficiency indicator is among the lowest in </w:t>
      </w:r>
      <w:r w:rsidR="00673025">
        <w:rPr>
          <w:noProof/>
        </w:rPr>
        <w:t xml:space="preserve">the </w:t>
      </w:r>
      <w:r w:rsidR="003B2AD6" w:rsidRPr="003B2AD6">
        <w:rPr>
          <w:noProof/>
        </w:rPr>
        <w:t>EU.</w:t>
      </w:r>
    </w:p>
    <w:p w:rsidR="00A767FD" w:rsidRDefault="001B0AB8" w:rsidP="00E40B26">
      <w:pPr>
        <w:pStyle w:val="Point0number"/>
        <w:rPr>
          <w:noProof/>
        </w:rPr>
      </w:pPr>
      <w:r w:rsidRPr="001B0AB8">
        <w:rPr>
          <w:noProof/>
        </w:rPr>
        <w:t xml:space="preserve">Recent labour market developments are favourable in Hungary, with unemployment having </w:t>
      </w:r>
      <w:r w:rsidR="000E0515">
        <w:rPr>
          <w:noProof/>
        </w:rPr>
        <w:t>fallen to</w:t>
      </w:r>
      <w:r w:rsidR="000E0515" w:rsidRPr="001B0AB8">
        <w:rPr>
          <w:noProof/>
        </w:rPr>
        <w:t xml:space="preserve"> </w:t>
      </w:r>
      <w:r w:rsidRPr="001B0AB8">
        <w:rPr>
          <w:noProof/>
        </w:rPr>
        <w:t>pre-crisis level</w:t>
      </w:r>
      <w:r w:rsidR="000E0515">
        <w:rPr>
          <w:noProof/>
        </w:rPr>
        <w:t>s</w:t>
      </w:r>
      <w:r w:rsidRPr="001B0AB8">
        <w:rPr>
          <w:noProof/>
        </w:rPr>
        <w:t>. Employment creation in the private sector is picking up</w:t>
      </w:r>
      <w:r>
        <w:rPr>
          <w:noProof/>
        </w:rPr>
        <w:t>,</w:t>
      </w:r>
      <w:r w:rsidRPr="001B0AB8">
        <w:rPr>
          <w:noProof/>
        </w:rPr>
        <w:t xml:space="preserve"> but the public works scheme has also contributed to reduc</w:t>
      </w:r>
      <w:r w:rsidR="000E0515">
        <w:rPr>
          <w:noProof/>
        </w:rPr>
        <w:t>ing</w:t>
      </w:r>
      <w:r w:rsidRPr="001B0AB8">
        <w:rPr>
          <w:noProof/>
        </w:rPr>
        <w:t xml:space="preserve"> unemployment</w:t>
      </w:r>
      <w:r>
        <w:rPr>
          <w:noProof/>
        </w:rPr>
        <w:t xml:space="preserve">. </w:t>
      </w:r>
      <w:r w:rsidRPr="001B0AB8">
        <w:rPr>
          <w:noProof/>
        </w:rPr>
        <w:t>The scheme is the main active labour market policy in Hungary</w:t>
      </w:r>
      <w:r w:rsidR="00A30A6B">
        <w:rPr>
          <w:noProof/>
        </w:rPr>
        <w:t xml:space="preserve">. </w:t>
      </w:r>
      <w:r w:rsidR="00A30A6B" w:rsidRPr="00B171FA">
        <w:rPr>
          <w:noProof/>
        </w:rPr>
        <w:t xml:space="preserve">Its budgetary cost </w:t>
      </w:r>
      <w:r w:rsidR="00360F97">
        <w:rPr>
          <w:noProof/>
        </w:rPr>
        <w:t xml:space="preserve">more than </w:t>
      </w:r>
      <w:r w:rsidR="00A30A6B" w:rsidRPr="00B171FA">
        <w:rPr>
          <w:noProof/>
        </w:rPr>
        <w:t xml:space="preserve">quadrupled over the last </w:t>
      </w:r>
      <w:r w:rsidR="00360F97">
        <w:rPr>
          <w:noProof/>
        </w:rPr>
        <w:t>five</w:t>
      </w:r>
      <w:r w:rsidR="00A30A6B" w:rsidRPr="00B171FA">
        <w:rPr>
          <w:noProof/>
        </w:rPr>
        <w:t xml:space="preserve"> years. </w:t>
      </w:r>
      <w:r w:rsidR="00A30A6B">
        <w:rPr>
          <w:noProof/>
        </w:rPr>
        <w:t xml:space="preserve">However, the scheme </w:t>
      </w:r>
      <w:r w:rsidR="0053186A" w:rsidRPr="00B608E7">
        <w:rPr>
          <w:noProof/>
        </w:rPr>
        <w:t xml:space="preserve">does not seem sufficiently </w:t>
      </w:r>
      <w:r w:rsidR="00162EDD" w:rsidRPr="00B608E7">
        <w:rPr>
          <w:noProof/>
        </w:rPr>
        <w:t xml:space="preserve">to </w:t>
      </w:r>
      <w:r w:rsidR="0053186A" w:rsidRPr="00B608E7">
        <w:rPr>
          <w:noProof/>
        </w:rPr>
        <w:t xml:space="preserve">improve the reintegration of participants into the open labour market. </w:t>
      </w:r>
      <w:r w:rsidR="0000637E" w:rsidRPr="0000637E">
        <w:rPr>
          <w:noProof/>
        </w:rPr>
        <w:t>In the first half of 2015</w:t>
      </w:r>
      <w:r w:rsidR="0000637E">
        <w:rPr>
          <w:noProof/>
        </w:rPr>
        <w:t>,</w:t>
      </w:r>
      <w:r w:rsidR="0000637E" w:rsidRPr="0000637E">
        <w:rPr>
          <w:noProof/>
        </w:rPr>
        <w:t xml:space="preserve"> the rate of successful exit from the scheme to regular employment was 13.1 %, </w:t>
      </w:r>
      <w:r w:rsidR="00012407">
        <w:rPr>
          <w:noProof/>
        </w:rPr>
        <w:t>but</w:t>
      </w:r>
      <w:r w:rsidR="00012407" w:rsidRPr="0000637E">
        <w:rPr>
          <w:noProof/>
        </w:rPr>
        <w:t xml:space="preserve"> </w:t>
      </w:r>
      <w:r w:rsidR="0000637E" w:rsidRPr="0000637E">
        <w:rPr>
          <w:noProof/>
        </w:rPr>
        <w:t>around 60</w:t>
      </w:r>
      <w:r w:rsidR="000611BD">
        <w:rPr>
          <w:noProof/>
        </w:rPr>
        <w:t xml:space="preserve"> </w:t>
      </w:r>
      <w:r w:rsidR="0000637E" w:rsidRPr="0000637E">
        <w:rPr>
          <w:noProof/>
        </w:rPr>
        <w:t xml:space="preserve">% of the participants who left </w:t>
      </w:r>
      <w:r w:rsidR="00012407">
        <w:rPr>
          <w:noProof/>
        </w:rPr>
        <w:t>it</w:t>
      </w:r>
      <w:r w:rsidR="0000637E" w:rsidRPr="0000637E">
        <w:rPr>
          <w:noProof/>
        </w:rPr>
        <w:t xml:space="preserve"> in that period returned </w:t>
      </w:r>
      <w:r w:rsidR="00D2430E">
        <w:rPr>
          <w:noProof/>
        </w:rPr>
        <w:t xml:space="preserve">to the scheme </w:t>
      </w:r>
      <w:r w:rsidR="0000637E" w:rsidRPr="0000637E">
        <w:rPr>
          <w:noProof/>
        </w:rPr>
        <w:t xml:space="preserve">within 180 days. </w:t>
      </w:r>
      <w:r w:rsidR="0053186A" w:rsidRPr="00436838">
        <w:rPr>
          <w:noProof/>
        </w:rPr>
        <w:t xml:space="preserve">This significantly risks locking participants into the scheme, particularly low-skilled workers and people in disadvantaged regions. </w:t>
      </w:r>
      <w:r w:rsidR="00E40B26" w:rsidRPr="00E40B26">
        <w:rPr>
          <w:noProof/>
        </w:rPr>
        <w:t xml:space="preserve">Although the scheme </w:t>
      </w:r>
      <w:r w:rsidR="00012407">
        <w:rPr>
          <w:noProof/>
        </w:rPr>
        <w:t>targets</w:t>
      </w:r>
      <w:r w:rsidR="00E40B26" w:rsidRPr="00E40B26">
        <w:rPr>
          <w:noProof/>
        </w:rPr>
        <w:t xml:space="preserve"> the long-term unemployed, the low-skilled and unemployed</w:t>
      </w:r>
      <w:r w:rsidR="00012407">
        <w:rPr>
          <w:noProof/>
        </w:rPr>
        <w:t xml:space="preserve"> people</w:t>
      </w:r>
      <w:r w:rsidR="00E40B26" w:rsidRPr="00E40B26">
        <w:rPr>
          <w:noProof/>
        </w:rPr>
        <w:t xml:space="preserve"> living in disadvantaged areas, 47 % of participants </w:t>
      </w:r>
      <w:r w:rsidR="00012407" w:rsidRPr="00E40B26">
        <w:rPr>
          <w:noProof/>
        </w:rPr>
        <w:t xml:space="preserve">in 2015 </w:t>
      </w:r>
      <w:r w:rsidR="00E40B26" w:rsidRPr="00E40B26">
        <w:rPr>
          <w:noProof/>
        </w:rPr>
        <w:t>had secondary or tertiary education</w:t>
      </w:r>
      <w:r w:rsidR="00012407">
        <w:rPr>
          <w:noProof/>
        </w:rPr>
        <w:t>.</w:t>
      </w:r>
      <w:r w:rsidR="00E40B26" w:rsidRPr="00E40B26">
        <w:rPr>
          <w:noProof/>
        </w:rPr>
        <w:t xml:space="preserve"> </w:t>
      </w:r>
      <w:r w:rsidR="00012407">
        <w:rPr>
          <w:noProof/>
        </w:rPr>
        <w:t>T</w:t>
      </w:r>
      <w:r w:rsidR="00E40B26" w:rsidRPr="00E40B26">
        <w:rPr>
          <w:noProof/>
        </w:rPr>
        <w:t xml:space="preserve">he </w:t>
      </w:r>
      <w:r w:rsidR="00012407">
        <w:rPr>
          <w:noProof/>
        </w:rPr>
        <w:t>proportion</w:t>
      </w:r>
      <w:r w:rsidR="00012407" w:rsidRPr="00E40B26">
        <w:rPr>
          <w:noProof/>
        </w:rPr>
        <w:t xml:space="preserve"> </w:t>
      </w:r>
      <w:r w:rsidR="00E40B26" w:rsidRPr="00E40B26">
        <w:rPr>
          <w:noProof/>
        </w:rPr>
        <w:t xml:space="preserve">of unemployed </w:t>
      </w:r>
      <w:r w:rsidR="00012407">
        <w:rPr>
          <w:noProof/>
        </w:rPr>
        <w:t xml:space="preserve">people </w:t>
      </w:r>
      <w:r w:rsidR="00E40B26" w:rsidRPr="00E40B26">
        <w:rPr>
          <w:noProof/>
        </w:rPr>
        <w:t xml:space="preserve">involved in public works is also significant in counties with well-performing labour markets. </w:t>
      </w:r>
      <w:r w:rsidR="00E9728A" w:rsidRPr="00FE3DE8">
        <w:rPr>
          <w:noProof/>
        </w:rPr>
        <w:t xml:space="preserve">The recent reform of the </w:t>
      </w:r>
      <w:r w:rsidR="00BB4B5C">
        <w:rPr>
          <w:noProof/>
        </w:rPr>
        <w:t>p</w:t>
      </w:r>
      <w:r w:rsidR="00E9728A" w:rsidRPr="00FE3DE8">
        <w:rPr>
          <w:noProof/>
        </w:rPr>
        <w:t xml:space="preserve">ublic </w:t>
      </w:r>
      <w:r w:rsidR="00BB4B5C">
        <w:rPr>
          <w:noProof/>
        </w:rPr>
        <w:t>e</w:t>
      </w:r>
      <w:r w:rsidR="00E9728A" w:rsidRPr="00FE3DE8">
        <w:rPr>
          <w:noProof/>
        </w:rPr>
        <w:t xml:space="preserve">mployment </w:t>
      </w:r>
      <w:r w:rsidR="00BB4B5C">
        <w:rPr>
          <w:noProof/>
        </w:rPr>
        <w:t>s</w:t>
      </w:r>
      <w:r w:rsidR="00E9728A" w:rsidRPr="00FE3DE8">
        <w:rPr>
          <w:noProof/>
        </w:rPr>
        <w:t xml:space="preserve">ervice is likely to </w:t>
      </w:r>
      <w:r w:rsidR="00012407">
        <w:rPr>
          <w:noProof/>
        </w:rPr>
        <w:t>make it less</w:t>
      </w:r>
      <w:r w:rsidR="00E9728A" w:rsidRPr="00FE3DE8">
        <w:rPr>
          <w:noProof/>
        </w:rPr>
        <w:t xml:space="preserve"> effective. The administrative complexity of the management arrangements – currently the responsibility over </w:t>
      </w:r>
      <w:r w:rsidR="00BB4B5C">
        <w:rPr>
          <w:noProof/>
        </w:rPr>
        <w:t>the public employment service</w:t>
      </w:r>
      <w:r w:rsidR="00E9728A" w:rsidRPr="00FE3DE8">
        <w:rPr>
          <w:noProof/>
        </w:rPr>
        <w:t xml:space="preserve"> is spread </w:t>
      </w:r>
      <w:r w:rsidR="00012407">
        <w:rPr>
          <w:noProof/>
        </w:rPr>
        <w:t>between</w:t>
      </w:r>
      <w:r w:rsidR="00012407" w:rsidRPr="00FE3DE8">
        <w:rPr>
          <w:noProof/>
        </w:rPr>
        <w:t xml:space="preserve"> </w:t>
      </w:r>
      <w:r w:rsidR="00D1243C">
        <w:rPr>
          <w:noProof/>
        </w:rPr>
        <w:t>four</w:t>
      </w:r>
      <w:r w:rsidR="00E9728A" w:rsidRPr="00FE3DE8">
        <w:rPr>
          <w:noProof/>
        </w:rPr>
        <w:t xml:space="preserve"> ministries – </w:t>
      </w:r>
      <w:r w:rsidR="00BB4B5C">
        <w:rPr>
          <w:noProof/>
        </w:rPr>
        <w:t xml:space="preserve">may </w:t>
      </w:r>
      <w:r w:rsidR="00E9728A" w:rsidRPr="00FE3DE8">
        <w:rPr>
          <w:noProof/>
        </w:rPr>
        <w:t xml:space="preserve">significantly compromise effective steering and an increased result orientation. </w:t>
      </w:r>
      <w:r w:rsidR="0053186A" w:rsidRPr="00436838">
        <w:rPr>
          <w:noProof/>
        </w:rPr>
        <w:t xml:space="preserve">The </w:t>
      </w:r>
      <w:r w:rsidR="0000637E">
        <w:rPr>
          <w:noProof/>
        </w:rPr>
        <w:t xml:space="preserve">maximum </w:t>
      </w:r>
      <w:r w:rsidR="0053186A" w:rsidRPr="00436838">
        <w:rPr>
          <w:noProof/>
        </w:rPr>
        <w:t xml:space="preserve">duration of unemployment benefits (three months) is the lowest in the EU and </w:t>
      </w:r>
      <w:r w:rsidR="00012407">
        <w:rPr>
          <w:noProof/>
        </w:rPr>
        <w:t xml:space="preserve">is </w:t>
      </w:r>
      <w:r w:rsidR="0053186A" w:rsidRPr="00436838">
        <w:rPr>
          <w:noProof/>
        </w:rPr>
        <w:t xml:space="preserve">significantly shorter than the average time necessary to find a job. </w:t>
      </w:r>
      <w:r w:rsidR="0000637E" w:rsidRPr="0000637E">
        <w:rPr>
          <w:noProof/>
        </w:rPr>
        <w:t>Poverty indicators are improving</w:t>
      </w:r>
      <w:r w:rsidR="000611BD">
        <w:rPr>
          <w:noProof/>
        </w:rPr>
        <w:t>,</w:t>
      </w:r>
      <w:r w:rsidR="0000637E" w:rsidRPr="0000637E">
        <w:rPr>
          <w:noProof/>
        </w:rPr>
        <w:t xml:space="preserve"> but they remain high, especially among the most disadvantaged, in particular Roma and children</w:t>
      </w:r>
      <w:r w:rsidR="0053186A" w:rsidRPr="00436838">
        <w:rPr>
          <w:noProof/>
        </w:rPr>
        <w:t xml:space="preserve">. The adequacy and coverage of social assistance remains a challenge and recent reforms could further restrict </w:t>
      </w:r>
      <w:r w:rsidR="00012407">
        <w:rPr>
          <w:noProof/>
        </w:rPr>
        <w:t xml:space="preserve">the </w:t>
      </w:r>
      <w:r w:rsidR="0053186A" w:rsidRPr="00436838">
        <w:rPr>
          <w:noProof/>
        </w:rPr>
        <w:t>condition</w:t>
      </w:r>
      <w:r w:rsidR="0053186A" w:rsidRPr="00152169">
        <w:rPr>
          <w:noProof/>
        </w:rPr>
        <w:t xml:space="preserve">s for </w:t>
      </w:r>
      <w:r w:rsidR="00012407">
        <w:rPr>
          <w:noProof/>
        </w:rPr>
        <w:t>access</w:t>
      </w:r>
      <w:r w:rsidR="00162EDD">
        <w:rPr>
          <w:noProof/>
        </w:rPr>
        <w:t xml:space="preserve"> to</w:t>
      </w:r>
      <w:r w:rsidR="00012407">
        <w:rPr>
          <w:noProof/>
        </w:rPr>
        <w:t xml:space="preserve"> </w:t>
      </w:r>
      <w:r w:rsidR="0053186A" w:rsidRPr="00152169">
        <w:rPr>
          <w:noProof/>
        </w:rPr>
        <w:t xml:space="preserve">a number of benefits. </w:t>
      </w:r>
    </w:p>
    <w:p w:rsidR="00B34BE4" w:rsidRPr="00BF6700" w:rsidRDefault="00567A45" w:rsidP="00567A45">
      <w:pPr>
        <w:pStyle w:val="Point0number"/>
        <w:rPr>
          <w:noProof/>
        </w:rPr>
      </w:pPr>
      <w:r>
        <w:rPr>
          <w:noProof/>
        </w:rPr>
        <w:t xml:space="preserve">The average performance of Hungarian students in basic skills was below the EU average in the 2012 OECD Programme for International Student Assessment (PISA) and the proportion of low-achievers increased between 2009 and 2012. The influence of the socioeconomic background and school location on educational </w:t>
      </w:r>
      <w:r w:rsidR="00DA2DC2">
        <w:rPr>
          <w:noProof/>
        </w:rPr>
        <w:t xml:space="preserve">performance </w:t>
      </w:r>
      <w:r w:rsidR="00162EDD">
        <w:rPr>
          <w:noProof/>
        </w:rPr>
        <w:t xml:space="preserve">is </w:t>
      </w:r>
      <w:r w:rsidR="00CF7F8E">
        <w:rPr>
          <w:noProof/>
        </w:rPr>
        <w:t>among the strongest</w:t>
      </w:r>
      <w:r>
        <w:rPr>
          <w:noProof/>
        </w:rPr>
        <w:t xml:space="preserve"> in the EU. The selectivity of the education system deepens performance gaps among students in different school types and the</w:t>
      </w:r>
      <w:r w:rsidR="00CF7F8E">
        <w:rPr>
          <w:noProof/>
        </w:rPr>
        <w:t>se</w:t>
      </w:r>
      <w:r>
        <w:rPr>
          <w:noProof/>
        </w:rPr>
        <w:t xml:space="preserve"> gaps widen over time. The lack of equal access to quality mainstream education is particularly acute for Roma. With the exception of early childhood education, where there has been significant improvement in </w:t>
      </w:r>
      <w:r w:rsidR="00CF7F8E">
        <w:rPr>
          <w:noProof/>
        </w:rPr>
        <w:t>recent</w:t>
      </w:r>
      <w:r>
        <w:rPr>
          <w:noProof/>
        </w:rPr>
        <w:t xml:space="preserve"> years, gaps </w:t>
      </w:r>
      <w:r w:rsidR="00E9728A">
        <w:rPr>
          <w:noProof/>
        </w:rPr>
        <w:t>remain wide</w:t>
      </w:r>
      <w:r>
        <w:rPr>
          <w:noProof/>
        </w:rPr>
        <w:t xml:space="preserve"> between completion rates of Roma and non-Roma on all other educational levels, i.e. primary, secondary</w:t>
      </w:r>
      <w:r w:rsidR="00CF7F8E">
        <w:rPr>
          <w:noProof/>
        </w:rPr>
        <w:t xml:space="preserve"> and</w:t>
      </w:r>
      <w:r>
        <w:rPr>
          <w:noProof/>
        </w:rPr>
        <w:t xml:space="preserve"> tertiary education. Early school leaving remains high among Roma. Hungary has introduced a number of measures that aim to address low-achievement</w:t>
      </w:r>
      <w:r w:rsidR="00CF7F8E">
        <w:rPr>
          <w:noProof/>
        </w:rPr>
        <w:t xml:space="preserve"> more effectively</w:t>
      </w:r>
      <w:r>
        <w:rPr>
          <w:noProof/>
        </w:rPr>
        <w:t xml:space="preserve">. However, important details on the implementation </w:t>
      </w:r>
      <w:r w:rsidR="00CF7F8E">
        <w:rPr>
          <w:noProof/>
        </w:rPr>
        <w:t xml:space="preserve">of these measures </w:t>
      </w:r>
      <w:r>
        <w:rPr>
          <w:noProof/>
        </w:rPr>
        <w:t>are not available</w:t>
      </w:r>
      <w:r w:rsidR="00CF7F8E">
        <w:rPr>
          <w:noProof/>
        </w:rPr>
        <w:t>, making it difficult</w:t>
      </w:r>
      <w:r>
        <w:rPr>
          <w:noProof/>
        </w:rPr>
        <w:t xml:space="preserve"> to assess their potential impact</w:t>
      </w:r>
      <w:r w:rsidR="00CF7F8E">
        <w:rPr>
          <w:noProof/>
        </w:rPr>
        <w:t>.</w:t>
      </w:r>
      <w:r w:rsidR="00412E67">
        <w:rPr>
          <w:noProof/>
        </w:rPr>
        <w:t xml:space="preserve"> </w:t>
      </w:r>
      <w:r w:rsidR="00CF7F8E">
        <w:rPr>
          <w:noProof/>
        </w:rPr>
        <w:t>A</w:t>
      </w:r>
      <w:r w:rsidR="00412E67" w:rsidRPr="0000637E">
        <w:rPr>
          <w:noProof/>
        </w:rPr>
        <w:t xml:space="preserve"> systemic approach to promoting inclusive mainstream education </w:t>
      </w:r>
      <w:r w:rsidR="00CF7F8E">
        <w:rPr>
          <w:noProof/>
        </w:rPr>
        <w:t>has</w:t>
      </w:r>
      <w:r w:rsidR="00CF7F8E" w:rsidRPr="0000637E">
        <w:rPr>
          <w:noProof/>
        </w:rPr>
        <w:t xml:space="preserve"> </w:t>
      </w:r>
      <w:r w:rsidR="00412E67" w:rsidRPr="0000637E">
        <w:rPr>
          <w:noProof/>
        </w:rPr>
        <w:t>yet to be developed</w:t>
      </w:r>
      <w:r>
        <w:rPr>
          <w:noProof/>
        </w:rPr>
        <w:t xml:space="preserve">. The </w:t>
      </w:r>
      <w:r>
        <w:rPr>
          <w:noProof/>
        </w:rPr>
        <w:lastRenderedPageBreak/>
        <w:t xml:space="preserve">announced implementation plan for the early school leaving strategy </w:t>
      </w:r>
      <w:r w:rsidR="00CF7F8E">
        <w:rPr>
          <w:noProof/>
        </w:rPr>
        <w:t xml:space="preserve">has </w:t>
      </w:r>
      <w:r>
        <w:rPr>
          <w:noProof/>
        </w:rPr>
        <w:t>yet to be published.</w:t>
      </w:r>
      <w:r w:rsidR="00412E67">
        <w:rPr>
          <w:noProof/>
        </w:rPr>
        <w:t xml:space="preserve"> </w:t>
      </w:r>
      <w:r w:rsidR="00412E67" w:rsidRPr="00FE3DE8">
        <w:rPr>
          <w:noProof/>
        </w:rPr>
        <w:t>The transition between different forms and stages of education remains difficult and recent reforms in vocational education might further hinder transitions.</w:t>
      </w:r>
    </w:p>
    <w:p w:rsidR="001760A4" w:rsidRPr="00B171FA" w:rsidRDefault="001760A4" w:rsidP="00A767FD">
      <w:pPr>
        <w:pStyle w:val="Point0number"/>
        <w:rPr>
          <w:noProof/>
        </w:rPr>
      </w:pPr>
      <w:r w:rsidRPr="00B608E7">
        <w:rPr>
          <w:noProof/>
        </w:rPr>
        <w:t xml:space="preserve">In the context of the European Semester, the Commission has carried out a comprehensive analysis of </w:t>
      </w:r>
      <w:r w:rsidR="009D0C38" w:rsidRPr="00B171FA">
        <w:rPr>
          <w:noProof/>
        </w:rPr>
        <w:t>Hungary</w:t>
      </w:r>
      <w:r w:rsidRPr="00436838">
        <w:rPr>
          <w:noProof/>
        </w:rPr>
        <w:t>’s economic policy and published it in the 201</w:t>
      </w:r>
      <w:r w:rsidR="00F64AE6" w:rsidRPr="00436838">
        <w:rPr>
          <w:noProof/>
        </w:rPr>
        <w:t>6</w:t>
      </w:r>
      <w:r w:rsidRPr="00436838">
        <w:rPr>
          <w:noProof/>
        </w:rPr>
        <w:t xml:space="preserve"> country report. It has also assessed the </w:t>
      </w:r>
      <w:r w:rsidR="00B34BE4" w:rsidRPr="00BF6700">
        <w:rPr>
          <w:noProof/>
        </w:rPr>
        <w:t>convergence</w:t>
      </w:r>
      <w:r w:rsidRPr="00BF6700">
        <w:rPr>
          <w:noProof/>
        </w:rPr>
        <w:t xml:space="preserve"> </w:t>
      </w:r>
      <w:r w:rsidR="00B34BE4" w:rsidRPr="00BF6700">
        <w:rPr>
          <w:noProof/>
        </w:rPr>
        <w:t>p</w:t>
      </w:r>
      <w:r w:rsidRPr="00BF6700">
        <w:rPr>
          <w:noProof/>
        </w:rPr>
        <w:t>rogramme</w:t>
      </w:r>
      <w:r w:rsidRPr="00B608E7">
        <w:rPr>
          <w:noProof/>
        </w:rPr>
        <w:t xml:space="preserve"> and the </w:t>
      </w:r>
      <w:r w:rsidR="00B34BE4" w:rsidRPr="00B171FA">
        <w:rPr>
          <w:noProof/>
        </w:rPr>
        <w:t>n</w:t>
      </w:r>
      <w:r w:rsidRPr="00436838">
        <w:rPr>
          <w:noProof/>
        </w:rPr>
        <w:t xml:space="preserve">ational </w:t>
      </w:r>
      <w:r w:rsidR="00B34BE4" w:rsidRPr="00436838">
        <w:rPr>
          <w:noProof/>
        </w:rPr>
        <w:t>r</w:t>
      </w:r>
      <w:r w:rsidRPr="00152169">
        <w:rPr>
          <w:noProof/>
        </w:rPr>
        <w:t xml:space="preserve">eform </w:t>
      </w:r>
      <w:r w:rsidR="00B34BE4" w:rsidRPr="00152169">
        <w:rPr>
          <w:noProof/>
        </w:rPr>
        <w:t>p</w:t>
      </w:r>
      <w:r w:rsidRPr="00152169">
        <w:rPr>
          <w:noProof/>
        </w:rPr>
        <w:t xml:space="preserve">rogramme and the follow-up given to the recommendations addressed to </w:t>
      </w:r>
      <w:r w:rsidR="009D0C38" w:rsidRPr="00152169">
        <w:rPr>
          <w:noProof/>
        </w:rPr>
        <w:t>Hungary</w:t>
      </w:r>
      <w:r w:rsidRPr="004A7C39">
        <w:rPr>
          <w:noProof/>
        </w:rPr>
        <w:t xml:space="preserve"> in previous years. It has taken into account not only their relevance for sustainable fiscal and socio-economic policy in </w:t>
      </w:r>
      <w:r w:rsidR="009D0C38" w:rsidRPr="004A7C39">
        <w:rPr>
          <w:noProof/>
        </w:rPr>
        <w:t>Hungary</w:t>
      </w:r>
      <w:r w:rsidRPr="004A7C39">
        <w:rPr>
          <w:noProof/>
        </w:rPr>
        <w:t xml:space="preserve"> but also their compliance with EU rules and guidance, given the need to strengthen the overall economic governance of the European Union by providing EU-level input into future national decisions. The recommendatio</w:t>
      </w:r>
      <w:r w:rsidRPr="009F432F">
        <w:rPr>
          <w:noProof/>
        </w:rPr>
        <w:t xml:space="preserve">ns </w:t>
      </w:r>
      <w:bookmarkStart w:id="1" w:name="temp"/>
      <w:bookmarkEnd w:id="1"/>
      <w:r w:rsidRPr="009F432F">
        <w:rPr>
          <w:noProof/>
        </w:rPr>
        <w:t xml:space="preserve">under the European Semester are reflected in recommendations </w:t>
      </w:r>
      <w:r w:rsidR="009D0C38" w:rsidRPr="00BF6700">
        <w:rPr>
          <w:noProof/>
        </w:rPr>
        <w:t xml:space="preserve">1 </w:t>
      </w:r>
      <w:r w:rsidRPr="00BF6700">
        <w:rPr>
          <w:noProof/>
        </w:rPr>
        <w:t xml:space="preserve">to </w:t>
      </w:r>
      <w:r w:rsidR="009D0C38" w:rsidRPr="00B608E7">
        <w:rPr>
          <w:noProof/>
        </w:rPr>
        <w:t xml:space="preserve">3 </w:t>
      </w:r>
      <w:r w:rsidRPr="00B171FA">
        <w:rPr>
          <w:noProof/>
        </w:rPr>
        <w:t>below.</w:t>
      </w:r>
    </w:p>
    <w:p w:rsidR="00420A9A" w:rsidRPr="00BF6700" w:rsidRDefault="001760A4">
      <w:pPr>
        <w:pStyle w:val="Point0number"/>
        <w:rPr>
          <w:noProof/>
        </w:rPr>
      </w:pPr>
      <w:r w:rsidRPr="00BF6700">
        <w:rPr>
          <w:noProof/>
        </w:rPr>
        <w:t>In the light of this assess</w:t>
      </w:r>
      <w:r w:rsidR="00F64AE6" w:rsidRPr="00BF6700">
        <w:rPr>
          <w:noProof/>
        </w:rPr>
        <w:t xml:space="preserve">ment, the Council has examined </w:t>
      </w:r>
      <w:r w:rsidR="004674D0">
        <w:rPr>
          <w:noProof/>
        </w:rPr>
        <w:t>the</w:t>
      </w:r>
      <w:r w:rsidR="009D0C38" w:rsidRPr="00BF6700">
        <w:rPr>
          <w:noProof/>
        </w:rPr>
        <w:t xml:space="preserve"> </w:t>
      </w:r>
      <w:r w:rsidR="00F64AE6" w:rsidRPr="00BF6700">
        <w:rPr>
          <w:noProof/>
        </w:rPr>
        <w:t>convergence</w:t>
      </w:r>
      <w:r w:rsidRPr="00BF6700">
        <w:rPr>
          <w:noProof/>
        </w:rPr>
        <w:t xml:space="preserve"> </w:t>
      </w:r>
      <w:r w:rsidR="00F64AE6" w:rsidRPr="00BF6700">
        <w:rPr>
          <w:noProof/>
        </w:rPr>
        <w:t>p</w:t>
      </w:r>
      <w:r w:rsidRPr="00BF6700">
        <w:rPr>
          <w:noProof/>
        </w:rPr>
        <w:t>rogramme, and its opinion</w:t>
      </w:r>
      <w:r w:rsidRPr="00BF6700">
        <w:rPr>
          <w:rStyle w:val="FootnoteReference"/>
          <w:noProof/>
        </w:rPr>
        <w:footnoteReference w:id="11"/>
      </w:r>
      <w:r w:rsidRPr="00BF6700">
        <w:rPr>
          <w:noProof/>
        </w:rPr>
        <w:t xml:space="preserve"> is reflected in particular in recommendation 1 below.</w:t>
      </w:r>
    </w:p>
    <w:p w:rsidR="001760A4" w:rsidRPr="00152169" w:rsidRDefault="001760A4">
      <w:pPr>
        <w:pStyle w:val="Formuledadoption"/>
        <w:rPr>
          <w:noProof/>
        </w:rPr>
      </w:pPr>
      <w:r w:rsidRPr="00B171FA">
        <w:rPr>
          <w:noProof/>
        </w:rPr>
        <w:t xml:space="preserve">HEREBY RECOMMENDS that </w:t>
      </w:r>
      <w:r w:rsidR="009D0C38" w:rsidRPr="00436838">
        <w:rPr>
          <w:noProof/>
        </w:rPr>
        <w:t xml:space="preserve">Hungary </w:t>
      </w:r>
      <w:r w:rsidRPr="00436838">
        <w:rPr>
          <w:noProof/>
        </w:rPr>
        <w:t>take action in 201</w:t>
      </w:r>
      <w:r w:rsidR="00F64AE6" w:rsidRPr="00436838">
        <w:rPr>
          <w:noProof/>
        </w:rPr>
        <w:t>6</w:t>
      </w:r>
      <w:r w:rsidRPr="00152169">
        <w:rPr>
          <w:noProof/>
        </w:rPr>
        <w:t xml:space="preserve"> and 201</w:t>
      </w:r>
      <w:r w:rsidR="00F64AE6" w:rsidRPr="00152169">
        <w:rPr>
          <w:noProof/>
        </w:rPr>
        <w:t>7</w:t>
      </w:r>
      <w:r w:rsidRPr="00152169">
        <w:rPr>
          <w:noProof/>
        </w:rPr>
        <w:t xml:space="preserve"> to:</w:t>
      </w:r>
    </w:p>
    <w:p w:rsidR="001760A4" w:rsidRPr="00E0521A" w:rsidRDefault="001760A4">
      <w:pPr>
        <w:pStyle w:val="ManualNumPar1"/>
        <w:rPr>
          <w:noProof/>
        </w:rPr>
      </w:pPr>
      <w:bookmarkStart w:id="2" w:name="_CopyToNewDocument_"/>
      <w:bookmarkEnd w:id="2"/>
      <w:r w:rsidRPr="004A7C39">
        <w:t>1.</w:t>
      </w:r>
      <w:r w:rsidRPr="004A7C39">
        <w:tab/>
      </w:r>
      <w:r w:rsidR="00247039" w:rsidRPr="003E44B7">
        <w:rPr>
          <w:noProof/>
        </w:rPr>
        <w:t>In view of the high risk of a significant deviation, a</w:t>
      </w:r>
      <w:r w:rsidR="001E04E2" w:rsidRPr="003E44B7">
        <w:rPr>
          <w:noProof/>
        </w:rPr>
        <w:t>chieve a</w:t>
      </w:r>
      <w:r w:rsidR="00247039" w:rsidRPr="003E44B7">
        <w:rPr>
          <w:noProof/>
        </w:rPr>
        <w:t>n annual</w:t>
      </w:r>
      <w:r w:rsidR="001E04E2" w:rsidRPr="003E44B7">
        <w:rPr>
          <w:noProof/>
        </w:rPr>
        <w:t xml:space="preserve"> fiscal adjustment of 0.3 % of GDP towards the medium-term budgetary objective in 2016 and of 0.6 % of GDP in 2017, </w:t>
      </w:r>
      <w:r w:rsidR="003C794C" w:rsidRPr="003E44B7">
        <w:rPr>
          <w:noProof/>
        </w:rPr>
        <w:t xml:space="preserve">unless the medium-term budgetary objective is respected with a lower effort, </w:t>
      </w:r>
      <w:r w:rsidR="001E04E2" w:rsidRPr="003E44B7">
        <w:rPr>
          <w:noProof/>
        </w:rPr>
        <w:t>by taking the necessary structural measures.</w:t>
      </w:r>
      <w:r w:rsidR="00BD30D1" w:rsidRPr="003F3EC9">
        <w:rPr>
          <w:noProof/>
        </w:rPr>
        <w:t xml:space="preserve"> </w:t>
      </w:r>
    </w:p>
    <w:p w:rsidR="001760A4" w:rsidRPr="00E0521A" w:rsidRDefault="001760A4">
      <w:pPr>
        <w:pStyle w:val="ManualNumPar1"/>
        <w:rPr>
          <w:noProof/>
        </w:rPr>
      </w:pPr>
      <w:r w:rsidRPr="00E0521A">
        <w:t>2.</w:t>
      </w:r>
      <w:r w:rsidRPr="00E0521A">
        <w:tab/>
      </w:r>
      <w:r w:rsidR="00650B62" w:rsidRPr="003A17C2">
        <w:t>Further reduce</w:t>
      </w:r>
      <w:r w:rsidR="0053186A" w:rsidRPr="003A17C2">
        <w:rPr>
          <w:noProof/>
        </w:rPr>
        <w:t xml:space="preserve"> sector-specific taxes</w:t>
      </w:r>
      <w:r w:rsidR="004C11FB" w:rsidRPr="003A17C2">
        <w:rPr>
          <w:noProof/>
        </w:rPr>
        <w:t xml:space="preserve"> and</w:t>
      </w:r>
      <w:r w:rsidR="0053186A" w:rsidRPr="003A17C2">
        <w:rPr>
          <w:noProof/>
        </w:rPr>
        <w:t xml:space="preserve"> </w:t>
      </w:r>
      <w:r w:rsidR="00714DE6" w:rsidRPr="003A17C2">
        <w:rPr>
          <w:noProof/>
        </w:rPr>
        <w:t xml:space="preserve">reduce </w:t>
      </w:r>
      <w:r w:rsidR="0053186A" w:rsidRPr="003A17C2">
        <w:rPr>
          <w:noProof/>
        </w:rPr>
        <w:t>the tax wedge for low-income earners</w:t>
      </w:r>
      <w:r w:rsidR="004C11FB" w:rsidRPr="003A17C2">
        <w:rPr>
          <w:noProof/>
        </w:rPr>
        <w:t>.</w:t>
      </w:r>
      <w:r w:rsidR="0053186A" w:rsidRPr="003A17C2">
        <w:rPr>
          <w:noProof/>
        </w:rPr>
        <w:t xml:space="preserve"> Strengthen </w:t>
      </w:r>
      <w:r w:rsidR="002B131D" w:rsidRPr="003A17C2">
        <w:rPr>
          <w:noProof/>
        </w:rPr>
        <w:t xml:space="preserve">transparency </w:t>
      </w:r>
      <w:r w:rsidR="003B2AD6" w:rsidRPr="003A17C2">
        <w:rPr>
          <w:noProof/>
        </w:rPr>
        <w:t xml:space="preserve">and </w:t>
      </w:r>
      <w:r w:rsidR="002B131D" w:rsidRPr="003A17C2">
        <w:rPr>
          <w:noProof/>
        </w:rPr>
        <w:t>competition</w:t>
      </w:r>
      <w:r w:rsidR="003B2AD6" w:rsidRPr="003A17C2">
        <w:rPr>
          <w:noProof/>
        </w:rPr>
        <w:t xml:space="preserve"> </w:t>
      </w:r>
      <w:r w:rsidR="0053186A" w:rsidRPr="003A17C2">
        <w:rPr>
          <w:noProof/>
        </w:rPr>
        <w:t xml:space="preserve">in public procurement </w:t>
      </w:r>
      <w:r w:rsidR="003A17C2" w:rsidRPr="003A17C2">
        <w:rPr>
          <w:noProof/>
        </w:rPr>
        <w:t xml:space="preserve">through e-procurement, increased publication </w:t>
      </w:r>
      <w:r w:rsidR="00AE685A">
        <w:rPr>
          <w:noProof/>
        </w:rPr>
        <w:t>of tenders</w:t>
      </w:r>
      <w:r w:rsidR="003A17C2" w:rsidRPr="003A17C2">
        <w:rPr>
          <w:noProof/>
        </w:rPr>
        <w:t xml:space="preserve"> </w:t>
      </w:r>
      <w:r w:rsidR="0053186A" w:rsidRPr="003A17C2">
        <w:rPr>
          <w:noProof/>
        </w:rPr>
        <w:t>and</w:t>
      </w:r>
      <w:r w:rsidR="003A17C2" w:rsidRPr="003A17C2">
        <w:rPr>
          <w:noProof/>
        </w:rPr>
        <w:t xml:space="preserve"> further</w:t>
      </w:r>
      <w:r w:rsidR="0053186A" w:rsidRPr="003A17C2">
        <w:rPr>
          <w:noProof/>
        </w:rPr>
        <w:t xml:space="preserve"> improve</w:t>
      </w:r>
      <w:r w:rsidR="003A17C2" w:rsidRPr="003A17C2">
        <w:rPr>
          <w:noProof/>
        </w:rPr>
        <w:t>ment of</w:t>
      </w:r>
      <w:r w:rsidR="0053186A" w:rsidRPr="003A17C2">
        <w:rPr>
          <w:noProof/>
        </w:rPr>
        <w:t xml:space="preserve"> the anti-corruption framework. </w:t>
      </w:r>
      <w:r w:rsidR="00824F2A" w:rsidRPr="003A17C2">
        <w:rPr>
          <w:noProof/>
        </w:rPr>
        <w:t>Improve the regulatory environment</w:t>
      </w:r>
      <w:r w:rsidR="00AE685A">
        <w:rPr>
          <w:noProof/>
        </w:rPr>
        <w:t xml:space="preserve"> in the services sector</w:t>
      </w:r>
      <w:r w:rsidR="00B803AE">
        <w:rPr>
          <w:noProof/>
        </w:rPr>
        <w:t xml:space="preserve"> and in the retail sector</w:t>
      </w:r>
      <w:r w:rsidR="00824F2A" w:rsidRPr="00E0521A">
        <w:rPr>
          <w:noProof/>
        </w:rPr>
        <w:t xml:space="preserve"> by addressing restrictive regulations and ensuring predictability.</w:t>
      </w:r>
    </w:p>
    <w:p w:rsidR="001760A4" w:rsidRPr="004A7C39" w:rsidRDefault="001760A4" w:rsidP="00F64AE6">
      <w:pPr>
        <w:pStyle w:val="ManualNumPar1"/>
        <w:rPr>
          <w:noProof/>
        </w:rPr>
      </w:pPr>
      <w:r w:rsidRPr="00D2430E">
        <w:t>3.</w:t>
      </w:r>
      <w:r w:rsidRPr="00D2430E">
        <w:tab/>
      </w:r>
      <w:r w:rsidR="001B0AB8">
        <w:rPr>
          <w:noProof/>
        </w:rPr>
        <w:t>F</w:t>
      </w:r>
      <w:r w:rsidR="00714DE6">
        <w:rPr>
          <w:noProof/>
        </w:rPr>
        <w:t>acilitate</w:t>
      </w:r>
      <w:r w:rsidR="0053186A" w:rsidRPr="001B0AB8">
        <w:rPr>
          <w:noProof/>
        </w:rPr>
        <w:t xml:space="preserve"> the transition from the public work</w:t>
      </w:r>
      <w:r w:rsidR="00412E67">
        <w:rPr>
          <w:noProof/>
        </w:rPr>
        <w:t>s</w:t>
      </w:r>
      <w:r w:rsidR="0053186A" w:rsidRPr="001B0AB8">
        <w:rPr>
          <w:noProof/>
        </w:rPr>
        <w:t xml:space="preserve"> scheme to the primary labour market and </w:t>
      </w:r>
      <w:r w:rsidR="00412E67">
        <w:rPr>
          <w:noProof/>
        </w:rPr>
        <w:t>reinforce other active labour market policies.</w:t>
      </w:r>
      <w:r w:rsidR="00412E67" w:rsidRPr="001B0AB8">
        <w:rPr>
          <w:noProof/>
        </w:rPr>
        <w:t xml:space="preserve"> </w:t>
      </w:r>
      <w:r w:rsidR="00412E67">
        <w:rPr>
          <w:noProof/>
        </w:rPr>
        <w:t>I</w:t>
      </w:r>
      <w:r w:rsidR="0053186A" w:rsidRPr="001B0AB8">
        <w:rPr>
          <w:noProof/>
        </w:rPr>
        <w:t xml:space="preserve">mprove the adequacy and coverage of social assistance and unemployment benefits. </w:t>
      </w:r>
      <w:r w:rsidR="00714DE6">
        <w:rPr>
          <w:noProof/>
        </w:rPr>
        <w:t xml:space="preserve">Take </w:t>
      </w:r>
      <w:r w:rsidR="00E0521A" w:rsidRPr="00E0521A">
        <w:rPr>
          <w:noProof/>
        </w:rPr>
        <w:t xml:space="preserve">measures to </w:t>
      </w:r>
      <w:r w:rsidR="00E0521A">
        <w:rPr>
          <w:noProof/>
        </w:rPr>
        <w:t>i</w:t>
      </w:r>
      <w:r w:rsidR="00E0521A" w:rsidRPr="00E0521A">
        <w:rPr>
          <w:noProof/>
        </w:rPr>
        <w:t xml:space="preserve">mprove educational outcomes and </w:t>
      </w:r>
      <w:r w:rsidR="00E81D2F">
        <w:rPr>
          <w:noProof/>
        </w:rPr>
        <w:t xml:space="preserve">to increase </w:t>
      </w:r>
      <w:r w:rsidR="00E0521A" w:rsidRPr="00E0521A">
        <w:rPr>
          <w:noProof/>
        </w:rPr>
        <w:t>the participation of disadvantaged groups</w:t>
      </w:r>
      <w:r w:rsidR="00E0521A">
        <w:rPr>
          <w:noProof/>
        </w:rPr>
        <w:t>,</w:t>
      </w:r>
      <w:r w:rsidR="00E0521A" w:rsidRPr="00E0521A">
        <w:rPr>
          <w:noProof/>
        </w:rPr>
        <w:t xml:space="preserve"> in particular Roma</w:t>
      </w:r>
      <w:r w:rsidR="00E0521A">
        <w:rPr>
          <w:noProof/>
        </w:rPr>
        <w:t>,</w:t>
      </w:r>
      <w:r w:rsidR="00E0521A" w:rsidRPr="00E0521A">
        <w:rPr>
          <w:noProof/>
        </w:rPr>
        <w:t xml:space="preserve"> in </w:t>
      </w:r>
      <w:r w:rsidR="00383833">
        <w:rPr>
          <w:noProof/>
        </w:rPr>
        <w:t xml:space="preserve">inclusive mainstream </w:t>
      </w:r>
      <w:r w:rsidR="00E0521A" w:rsidRPr="00E0521A">
        <w:rPr>
          <w:noProof/>
        </w:rPr>
        <w:t>education</w:t>
      </w:r>
      <w:r w:rsidR="00E0521A">
        <w:rPr>
          <w:noProof/>
        </w:rPr>
        <w:t>.</w:t>
      </w:r>
    </w:p>
    <w:p w:rsidR="00964B1D" w:rsidRPr="009F432F" w:rsidRDefault="00964B1D" w:rsidP="00CA6C30"/>
    <w:p w:rsidR="001760A4" w:rsidRPr="00E0521A" w:rsidRDefault="00CF2542" w:rsidP="00CF2542">
      <w:pPr>
        <w:pStyle w:val="Fait"/>
        <w:rPr>
          <w:noProof/>
        </w:rPr>
      </w:pPr>
      <w:r w:rsidRPr="00CF2542">
        <w:t>Done at Brussels,</w:t>
      </w:r>
    </w:p>
    <w:p w:rsidR="001760A4" w:rsidRPr="00E0521A" w:rsidRDefault="001760A4">
      <w:pPr>
        <w:pStyle w:val="Institutionquisigne"/>
        <w:rPr>
          <w:noProof/>
        </w:rPr>
      </w:pPr>
      <w:r w:rsidRPr="00E0521A">
        <w:rPr>
          <w:noProof/>
        </w:rPr>
        <w:tab/>
        <w:t>For the Council</w:t>
      </w:r>
    </w:p>
    <w:p w:rsidR="001760A4" w:rsidRDefault="001760A4">
      <w:pPr>
        <w:pStyle w:val="Personnequisigne"/>
        <w:rPr>
          <w:noProof/>
        </w:rPr>
      </w:pPr>
      <w:r w:rsidRPr="00D2430E">
        <w:rPr>
          <w:noProof/>
        </w:rPr>
        <w:tab/>
        <w:t>The President</w:t>
      </w:r>
    </w:p>
    <w:sectPr w:rsidR="001760A4" w:rsidSect="00CF2542">
      <w:footerReference w:type="default" r:id="rId18"/>
      <w:footerReference w:type="first" r:id="rId1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99" w:rsidRDefault="00721C99">
      <w:pPr>
        <w:spacing w:before="0" w:after="0"/>
      </w:pPr>
      <w:r>
        <w:separator/>
      </w:r>
    </w:p>
  </w:endnote>
  <w:endnote w:type="continuationSeparator" w:id="0">
    <w:p w:rsidR="00721C99" w:rsidRDefault="00721C99">
      <w:pPr>
        <w:spacing w:before="0" w:after="0"/>
      </w:pPr>
      <w:r>
        <w:continuationSeparator/>
      </w:r>
    </w:p>
  </w:endnote>
  <w:endnote w:type="continuationNotice" w:id="1">
    <w:p w:rsidR="00721C99" w:rsidRDefault="00721C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FD" w:rsidRDefault="00072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C0" w:rsidRPr="00CF2542" w:rsidRDefault="00CF2542" w:rsidP="00CF2542">
    <w:pPr>
      <w:pStyle w:val="Footer"/>
      <w:rPr>
        <w:rFonts w:ascii="Arial" w:hAnsi="Arial" w:cs="Arial"/>
        <w:b/>
        <w:sz w:val="48"/>
      </w:rPr>
    </w:pPr>
    <w:r w:rsidRPr="00CF2542">
      <w:rPr>
        <w:rFonts w:ascii="Arial" w:hAnsi="Arial" w:cs="Arial"/>
        <w:b/>
        <w:sz w:val="48"/>
      </w:rPr>
      <w:t>EN</w:t>
    </w:r>
    <w:r w:rsidRPr="00CF2542">
      <w:rPr>
        <w:rFonts w:ascii="Arial" w:hAnsi="Arial" w:cs="Arial"/>
        <w:b/>
        <w:sz w:val="48"/>
      </w:rPr>
      <w:tab/>
    </w:r>
    <w:r w:rsidRPr="00CF2542">
      <w:rPr>
        <w:rFonts w:ascii="Arial" w:hAnsi="Arial" w:cs="Arial"/>
        <w:b/>
        <w:sz w:val="48"/>
      </w:rPr>
      <w:tab/>
    </w:r>
    <w:r w:rsidR="000720FD">
      <w:fldChar w:fldCharType="begin"/>
    </w:r>
    <w:r w:rsidR="000720FD">
      <w:instrText xml:space="preserve"> DOCVARIABLE "LW_Confidence" \* MERGEFORMAT </w:instrText>
    </w:r>
    <w:r w:rsidR="000720FD">
      <w:fldChar w:fldCharType="separate"/>
    </w:r>
    <w:r>
      <w:t xml:space="preserve"> </w:t>
    </w:r>
    <w:r w:rsidR="000720FD">
      <w:fldChar w:fldCharType="end"/>
    </w:r>
    <w:r w:rsidRPr="00CF2542">
      <w:tab/>
    </w:r>
    <w:proofErr w:type="spellStart"/>
    <w:r w:rsidRPr="00CF2542">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FD" w:rsidRDefault="000720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42" w:rsidRPr="00CF2542" w:rsidRDefault="00CF2542" w:rsidP="00CF2542">
    <w:pPr>
      <w:pStyle w:val="Footer"/>
      <w:rPr>
        <w:rFonts w:ascii="Arial" w:hAnsi="Arial" w:cs="Arial"/>
        <w:b/>
        <w:sz w:val="48"/>
      </w:rPr>
    </w:pPr>
    <w:r w:rsidRPr="00CF2542">
      <w:rPr>
        <w:rFonts w:ascii="Arial" w:hAnsi="Arial" w:cs="Arial"/>
        <w:b/>
        <w:sz w:val="48"/>
      </w:rPr>
      <w:t>EN</w:t>
    </w:r>
    <w:r w:rsidRPr="00CF2542">
      <w:rPr>
        <w:rFonts w:ascii="Arial" w:hAnsi="Arial" w:cs="Arial"/>
        <w:b/>
        <w:sz w:val="48"/>
      </w:rPr>
      <w:tab/>
    </w:r>
    <w:r>
      <w:fldChar w:fldCharType="begin"/>
    </w:r>
    <w:r>
      <w:instrText xml:space="preserve"> PAGE  \* MERGEFORMAT </w:instrText>
    </w:r>
    <w:r>
      <w:fldChar w:fldCharType="separate"/>
    </w:r>
    <w:r w:rsidR="000720FD">
      <w:rPr>
        <w:noProof/>
      </w:rPr>
      <w:t>6</w:t>
    </w:r>
    <w:r>
      <w:fldChar w:fldCharType="end"/>
    </w:r>
    <w:r>
      <w:tab/>
    </w:r>
    <w:r w:rsidR="000720FD">
      <w:fldChar w:fldCharType="begin"/>
    </w:r>
    <w:r w:rsidR="000720FD">
      <w:instrText xml:space="preserve"> DOCVARIABLE "LW_C</w:instrText>
    </w:r>
    <w:r w:rsidR="000720FD">
      <w:instrText xml:space="preserve">onfidence" \* MERGEFORMAT </w:instrText>
    </w:r>
    <w:r w:rsidR="000720FD">
      <w:fldChar w:fldCharType="separate"/>
    </w:r>
    <w:r>
      <w:t xml:space="preserve"> </w:t>
    </w:r>
    <w:r w:rsidR="000720FD">
      <w:fldChar w:fldCharType="end"/>
    </w:r>
    <w:r w:rsidRPr="00CF2542">
      <w:tab/>
    </w:r>
    <w:r w:rsidRPr="00CF2542">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42" w:rsidRPr="00CF2542" w:rsidRDefault="00CF2542" w:rsidP="00CF2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99" w:rsidRDefault="00721C99">
      <w:pPr>
        <w:spacing w:before="0" w:after="0"/>
      </w:pPr>
      <w:r>
        <w:separator/>
      </w:r>
    </w:p>
  </w:footnote>
  <w:footnote w:type="continuationSeparator" w:id="0">
    <w:p w:rsidR="00721C99" w:rsidRDefault="00721C99">
      <w:pPr>
        <w:spacing w:before="0" w:after="0"/>
      </w:pPr>
      <w:r>
        <w:continuationSeparator/>
      </w:r>
    </w:p>
  </w:footnote>
  <w:footnote w:type="continuationNotice" w:id="1">
    <w:p w:rsidR="00721C99" w:rsidRDefault="00721C99">
      <w:pPr>
        <w:spacing w:before="0" w:after="0"/>
      </w:pPr>
    </w:p>
  </w:footnote>
  <w:footnote w:id="2">
    <w:p w:rsidR="001760A4" w:rsidRPr="003E44B7" w:rsidRDefault="001760A4">
      <w:pPr>
        <w:pStyle w:val="FootnoteText"/>
        <w:rPr>
          <w:lang w:val="pt-PT"/>
        </w:rPr>
      </w:pPr>
      <w:r>
        <w:rPr>
          <w:rStyle w:val="FootnoteReference"/>
        </w:rPr>
        <w:footnoteRef/>
      </w:r>
      <w:r>
        <w:rPr>
          <w:lang w:val="pt-PT"/>
        </w:rPr>
        <w:tab/>
      </w:r>
      <w:r w:rsidRPr="003E44B7">
        <w:rPr>
          <w:lang w:val="pt-PT"/>
        </w:rPr>
        <w:t>OJ L 209, 2.8.1997, p. 1.</w:t>
      </w:r>
    </w:p>
  </w:footnote>
  <w:footnote w:id="3">
    <w:p w:rsidR="001760A4" w:rsidRPr="003E44B7" w:rsidRDefault="001760A4">
      <w:pPr>
        <w:pStyle w:val="FootnoteText"/>
        <w:rPr>
          <w:lang w:val="pt-PT"/>
        </w:rPr>
      </w:pPr>
      <w:r w:rsidRPr="003E44B7">
        <w:rPr>
          <w:rStyle w:val="FootnoteReference"/>
        </w:rPr>
        <w:footnoteRef/>
      </w:r>
      <w:r w:rsidRPr="003E44B7">
        <w:rPr>
          <w:lang w:val="pt-PT"/>
        </w:rPr>
        <w:tab/>
      </w:r>
      <w:proofErr w:type="gramStart"/>
      <w:r w:rsidRPr="003E44B7">
        <w:rPr>
          <w:lang w:val="pt-PT"/>
        </w:rPr>
        <w:t>COM(201</w:t>
      </w:r>
      <w:r w:rsidR="004E3D70" w:rsidRPr="003E44B7">
        <w:rPr>
          <w:lang w:val="pt-PT"/>
        </w:rPr>
        <w:t>6</w:t>
      </w:r>
      <w:proofErr w:type="gramEnd"/>
      <w:r w:rsidRPr="003E44B7">
        <w:rPr>
          <w:lang w:val="pt-PT"/>
        </w:rPr>
        <w:t xml:space="preserve">) </w:t>
      </w:r>
      <w:r w:rsidR="00461DDF">
        <w:rPr>
          <w:lang w:val="pt-PT"/>
        </w:rPr>
        <w:t>337 final</w:t>
      </w:r>
      <w:r w:rsidR="00150ADB" w:rsidRPr="003E44B7">
        <w:rPr>
          <w:lang w:val="pt-PT"/>
        </w:rPr>
        <w:t>.</w:t>
      </w:r>
    </w:p>
  </w:footnote>
  <w:footnote w:id="4">
    <w:p w:rsidR="001760A4" w:rsidRPr="003E44B7" w:rsidRDefault="001760A4">
      <w:pPr>
        <w:pStyle w:val="FootnoteText"/>
        <w:rPr>
          <w:lang w:val="pt-PT"/>
        </w:rPr>
      </w:pPr>
      <w:r w:rsidRPr="003E44B7">
        <w:rPr>
          <w:rStyle w:val="FootnoteReference"/>
        </w:rPr>
        <w:footnoteRef/>
      </w:r>
      <w:r w:rsidRPr="003E44B7">
        <w:rPr>
          <w:lang w:val="pt-PT"/>
        </w:rPr>
        <w:tab/>
      </w:r>
      <w:proofErr w:type="gramStart"/>
      <w:r w:rsidR="00461DDF" w:rsidRPr="00461DDF">
        <w:rPr>
          <w:lang w:val="pt-PT"/>
        </w:rPr>
        <w:t>P8_TA(2016</w:t>
      </w:r>
      <w:proofErr w:type="gramEnd"/>
      <w:r w:rsidR="00461DDF" w:rsidRPr="00461DDF">
        <w:rPr>
          <w:lang w:val="pt-PT"/>
        </w:rPr>
        <w:t xml:space="preserve">)0058, P8_TA(2016)0059, </w:t>
      </w:r>
      <w:proofErr w:type="spellStart"/>
      <w:r w:rsidR="00461DDF" w:rsidRPr="00461DDF">
        <w:rPr>
          <w:lang w:val="pt-PT"/>
        </w:rPr>
        <w:t>and</w:t>
      </w:r>
      <w:proofErr w:type="spellEnd"/>
      <w:r w:rsidR="00461DDF" w:rsidRPr="00461DDF">
        <w:rPr>
          <w:lang w:val="pt-PT"/>
        </w:rPr>
        <w:t xml:space="preserve"> P8_TA(2016)0060.</w:t>
      </w:r>
    </w:p>
  </w:footnote>
  <w:footnote w:id="5">
    <w:p w:rsidR="00714DE6" w:rsidRPr="003E44B7" w:rsidRDefault="00714DE6" w:rsidP="00714DE6">
      <w:pPr>
        <w:pStyle w:val="FootnoteText"/>
        <w:rPr>
          <w:lang w:val="pt-PT"/>
        </w:rPr>
      </w:pPr>
      <w:r w:rsidRPr="003E44B7">
        <w:rPr>
          <w:rStyle w:val="FootnoteReference"/>
        </w:rPr>
        <w:footnoteRef/>
      </w:r>
      <w:r w:rsidRPr="003E44B7">
        <w:rPr>
          <w:lang w:val="pt-PT"/>
        </w:rPr>
        <w:tab/>
      </w:r>
      <w:proofErr w:type="gramStart"/>
      <w:r w:rsidRPr="003E44B7">
        <w:rPr>
          <w:lang w:val="pt-PT"/>
        </w:rPr>
        <w:t>COM(2015</w:t>
      </w:r>
      <w:proofErr w:type="gramEnd"/>
      <w:r w:rsidRPr="003E44B7">
        <w:rPr>
          <w:lang w:val="pt-PT"/>
        </w:rPr>
        <w:t>) 690 final.</w:t>
      </w:r>
    </w:p>
  </w:footnote>
  <w:footnote w:id="6">
    <w:p w:rsidR="00714DE6" w:rsidRPr="003E44B7" w:rsidRDefault="00714DE6" w:rsidP="00714DE6">
      <w:pPr>
        <w:pStyle w:val="FootnoteText"/>
        <w:rPr>
          <w:lang w:val="pt-PT"/>
        </w:rPr>
      </w:pPr>
      <w:r w:rsidRPr="003E44B7">
        <w:rPr>
          <w:rStyle w:val="FootnoteReference"/>
        </w:rPr>
        <w:footnoteRef/>
      </w:r>
      <w:r w:rsidRPr="003E44B7">
        <w:rPr>
          <w:lang w:val="pt-PT"/>
        </w:rPr>
        <w:tab/>
      </w:r>
      <w:proofErr w:type="gramStart"/>
      <w:r w:rsidRPr="003E44B7">
        <w:rPr>
          <w:lang w:val="pt-PT"/>
        </w:rPr>
        <w:t>COM(2015</w:t>
      </w:r>
      <w:proofErr w:type="gramEnd"/>
      <w:r w:rsidRPr="003E44B7">
        <w:rPr>
          <w:lang w:val="pt-PT"/>
        </w:rPr>
        <w:t>) 691 final.</w:t>
      </w:r>
    </w:p>
  </w:footnote>
  <w:footnote w:id="7">
    <w:p w:rsidR="001760A4" w:rsidRPr="002C35FB" w:rsidRDefault="001760A4">
      <w:pPr>
        <w:pStyle w:val="FootnoteText"/>
        <w:rPr>
          <w:lang w:val="pt-PT"/>
        </w:rPr>
      </w:pPr>
      <w:r w:rsidRPr="003E44B7">
        <w:rPr>
          <w:rStyle w:val="FootnoteReference"/>
        </w:rPr>
        <w:footnoteRef/>
      </w:r>
      <w:r w:rsidRPr="003E44B7">
        <w:rPr>
          <w:lang w:val="pt-PT"/>
        </w:rPr>
        <w:tab/>
      </w:r>
      <w:proofErr w:type="gramStart"/>
      <w:r w:rsidRPr="003E44B7">
        <w:rPr>
          <w:lang w:val="pt-PT"/>
        </w:rPr>
        <w:t>SWD(201</w:t>
      </w:r>
      <w:r w:rsidR="003D4DFB" w:rsidRPr="003E44B7">
        <w:rPr>
          <w:lang w:val="pt-PT"/>
        </w:rPr>
        <w:t>6</w:t>
      </w:r>
      <w:proofErr w:type="gramEnd"/>
      <w:r w:rsidRPr="003E44B7">
        <w:rPr>
          <w:lang w:val="pt-PT"/>
        </w:rPr>
        <w:t xml:space="preserve">) </w:t>
      </w:r>
      <w:r w:rsidR="00362721" w:rsidRPr="003E44B7">
        <w:rPr>
          <w:lang w:val="pt-PT"/>
        </w:rPr>
        <w:t xml:space="preserve">85 </w:t>
      </w:r>
      <w:r w:rsidR="003D4DFB" w:rsidRPr="003E44B7">
        <w:rPr>
          <w:lang w:val="pt-PT"/>
        </w:rPr>
        <w:t>final</w:t>
      </w:r>
      <w:r w:rsidRPr="003E44B7">
        <w:rPr>
          <w:lang w:val="pt-PT"/>
        </w:rPr>
        <w:t>.</w:t>
      </w:r>
    </w:p>
  </w:footnote>
  <w:footnote w:id="8">
    <w:p w:rsidR="002519EA" w:rsidRPr="00931BF2" w:rsidRDefault="002519EA" w:rsidP="002519EA">
      <w:pPr>
        <w:pStyle w:val="FootnoteText"/>
        <w:rPr>
          <w:lang w:val="pt-PT"/>
        </w:rPr>
      </w:pPr>
      <w:r w:rsidRPr="000D6160">
        <w:rPr>
          <w:rStyle w:val="FootnoteReference"/>
        </w:rPr>
        <w:footnoteRef/>
      </w:r>
      <w:r w:rsidRPr="00931BF2">
        <w:rPr>
          <w:lang w:val="pt-PT"/>
        </w:rPr>
        <w:tab/>
        <w:t>COM(2016) 95 final.</w:t>
      </w:r>
    </w:p>
  </w:footnote>
  <w:footnote w:id="9">
    <w:p w:rsidR="001A62FF" w:rsidRPr="000720FD" w:rsidRDefault="001A62FF" w:rsidP="001A62FF">
      <w:pPr>
        <w:pStyle w:val="FootnoteText"/>
      </w:pPr>
      <w:r w:rsidRPr="000D6160">
        <w:rPr>
          <w:rStyle w:val="FootnoteReference"/>
        </w:rPr>
        <w:footnoteRef/>
      </w:r>
      <w:r w:rsidR="000D6160" w:rsidRPr="000720FD">
        <w:tab/>
      </w:r>
      <w:proofErr w:type="gramStart"/>
      <w:r w:rsidRPr="000720FD">
        <w:t>COM(</w:t>
      </w:r>
      <w:proofErr w:type="gramEnd"/>
      <w:r w:rsidRPr="000720FD">
        <w:t>2014)</w:t>
      </w:r>
      <w:r w:rsidR="005671AE" w:rsidRPr="000720FD">
        <w:t xml:space="preserve"> </w:t>
      </w:r>
      <w:r w:rsidRPr="000720FD">
        <w:t>494</w:t>
      </w:r>
      <w:r w:rsidR="00BC319A" w:rsidRPr="000720FD">
        <w:t xml:space="preserve"> final.</w:t>
      </w:r>
    </w:p>
  </w:footnote>
  <w:footnote w:id="10">
    <w:p w:rsidR="001A1FE8" w:rsidRPr="001A1FE8" w:rsidRDefault="001A1FE8">
      <w:pPr>
        <w:pStyle w:val="FootnoteText"/>
      </w:pPr>
      <w:r>
        <w:rPr>
          <w:rStyle w:val="FootnoteReference"/>
        </w:rPr>
        <w:footnoteRef/>
      </w:r>
      <w:r w:rsidRPr="00A44E06">
        <w:tab/>
        <w:t>The struct</w:t>
      </w:r>
      <w:r>
        <w:t>u</w:t>
      </w:r>
      <w:r w:rsidRPr="00A44E06">
        <w:t xml:space="preserve">ral balance as recalculated by the Commission based on the information in the convergence programme, following the </w:t>
      </w:r>
      <w:r>
        <w:t>commonly agreed methodology.</w:t>
      </w:r>
    </w:p>
  </w:footnote>
  <w:footnote w:id="11">
    <w:p w:rsidR="001760A4" w:rsidRDefault="001760A4">
      <w:pPr>
        <w:pStyle w:val="FootnoteText"/>
      </w:pPr>
      <w:r>
        <w:rPr>
          <w:rStyle w:val="FootnoteReference"/>
        </w:rPr>
        <w:footnoteRef/>
      </w:r>
      <w:r>
        <w:tab/>
      </w:r>
      <w:proofErr w:type="gramStart"/>
      <w:r>
        <w:t xml:space="preserve">Under Article </w:t>
      </w:r>
      <w:r w:rsidR="00496B10">
        <w:t>9</w:t>
      </w:r>
      <w:r>
        <w:t>(2) of Council Regulation (EC) No 1466/97.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FD" w:rsidRDefault="00072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FD" w:rsidRDefault="000720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FD" w:rsidRDefault="00072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5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EA4E9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E602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9490F0D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CA0FB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9E4E5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3F463E8"/>
    <w:lvl w:ilvl="0">
      <w:start w:val="1"/>
      <w:numFmt w:val="decimal"/>
      <w:pStyle w:val="ListNumber"/>
      <w:lvlText w:val="%1."/>
      <w:lvlJc w:val="left"/>
      <w:pPr>
        <w:tabs>
          <w:tab w:val="num" w:pos="360"/>
        </w:tabs>
        <w:ind w:left="360" w:hanging="360"/>
      </w:pPr>
    </w:lvl>
  </w:abstractNum>
  <w:abstractNum w:abstractNumId="7">
    <w:nsid w:val="FFFFFF89"/>
    <w:multiLevelType w:val="singleLevel"/>
    <w:tmpl w:val="F74239C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18 12:23:4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EU RESTRICTED"/>
    <w:docVar w:name="LW_CORRIGENDUM" w:val="&lt;UNUSED&gt;"/>
    <w:docVar w:name="LW_COVERPAGE_GUID" w:val="DAAA90E3D92E404B903A4FAE3668611B"/>
    <w:docVar w:name="LW_CROSSREFERENCE" w:val="&lt;UNUSED&gt;"/>
    <w:docVar w:name="LW_DocType" w:val="COM"/>
    <w:docVar w:name="LW_EMISSION" w:val="18.5.2016"/>
    <w:docVar w:name="LW_EMISSION_ISODATE" w:val="2016-05-18"/>
    <w:docVar w:name="LW_EMISSION_LOCATION" w:val="BRX"/>
    <w:docVar w:name="LW_EMISSION_PREFIX" w:val="Brussels,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lt;EMPTY&gt;"/>
    <w:docVar w:name="LW_REF.INST.NEW_TEXT" w:val="(2016) 337 final"/>
    <w:docVar w:name="LW_REF.INTERNE" w:val="&lt;UNUSED&gt;"/>
    <w:docVar w:name="LW_SOUS.TITRE.OBJ.CP" w:val="&lt;UNUSED&gt;"/>
    <w:docVar w:name="LW_STATUT.CP" w:val="Recommendation for a"/>
    <w:docVar w:name="LW_SUPERTITRE" w:val="&lt;UNUSED&gt;"/>
    <w:docVar w:name="LW_TITRE.OBJ.CP" w:val="on the 2016 national reform programme of Hungary_x000b__x000b_and delivering a Council opinion on the 2016 convergence programme of Hungary"/>
    <w:docVar w:name="LW_TYPE.DOC.CP" w:val="COUNCIL RECOMMENDATION"/>
  </w:docVars>
  <w:rsids>
    <w:rsidRoot w:val="00295479"/>
    <w:rsid w:val="0000637E"/>
    <w:rsid w:val="00012407"/>
    <w:rsid w:val="00042023"/>
    <w:rsid w:val="000476EC"/>
    <w:rsid w:val="000611BD"/>
    <w:rsid w:val="0006440B"/>
    <w:rsid w:val="00066BFA"/>
    <w:rsid w:val="000720FD"/>
    <w:rsid w:val="000A76D4"/>
    <w:rsid w:val="000C3BFF"/>
    <w:rsid w:val="000D6160"/>
    <w:rsid w:val="000E0515"/>
    <w:rsid w:val="001209C1"/>
    <w:rsid w:val="0013497E"/>
    <w:rsid w:val="00150ADB"/>
    <w:rsid w:val="00152169"/>
    <w:rsid w:val="00152381"/>
    <w:rsid w:val="001621D1"/>
    <w:rsid w:val="00162EDD"/>
    <w:rsid w:val="001760A4"/>
    <w:rsid w:val="00177EBF"/>
    <w:rsid w:val="001A1FE8"/>
    <w:rsid w:val="001A62FF"/>
    <w:rsid w:val="001B0AB8"/>
    <w:rsid w:val="001B24C2"/>
    <w:rsid w:val="001B5849"/>
    <w:rsid w:val="001C377B"/>
    <w:rsid w:val="001D0BEC"/>
    <w:rsid w:val="001E04E2"/>
    <w:rsid w:val="001E74D8"/>
    <w:rsid w:val="001F51AD"/>
    <w:rsid w:val="002110D0"/>
    <w:rsid w:val="00223FAB"/>
    <w:rsid w:val="00247039"/>
    <w:rsid w:val="002519EA"/>
    <w:rsid w:val="00270F98"/>
    <w:rsid w:val="00275313"/>
    <w:rsid w:val="002757F1"/>
    <w:rsid w:val="00295479"/>
    <w:rsid w:val="002B131D"/>
    <w:rsid w:val="002C0546"/>
    <w:rsid w:val="002C0CDE"/>
    <w:rsid w:val="002C35FB"/>
    <w:rsid w:val="002F0C5B"/>
    <w:rsid w:val="0032251E"/>
    <w:rsid w:val="00342C9B"/>
    <w:rsid w:val="00356A34"/>
    <w:rsid w:val="00360F97"/>
    <w:rsid w:val="00362721"/>
    <w:rsid w:val="00367A79"/>
    <w:rsid w:val="003745C7"/>
    <w:rsid w:val="00376669"/>
    <w:rsid w:val="00382440"/>
    <w:rsid w:val="00383833"/>
    <w:rsid w:val="00390417"/>
    <w:rsid w:val="003A17C2"/>
    <w:rsid w:val="003B2AD6"/>
    <w:rsid w:val="003C794C"/>
    <w:rsid w:val="003D4DFB"/>
    <w:rsid w:val="003E44B7"/>
    <w:rsid w:val="003F3EC9"/>
    <w:rsid w:val="004109B9"/>
    <w:rsid w:val="00412E67"/>
    <w:rsid w:val="0042056E"/>
    <w:rsid w:val="00420A9A"/>
    <w:rsid w:val="00436838"/>
    <w:rsid w:val="00451EE4"/>
    <w:rsid w:val="00461DDF"/>
    <w:rsid w:val="00466286"/>
    <w:rsid w:val="004674D0"/>
    <w:rsid w:val="00486B71"/>
    <w:rsid w:val="00496B10"/>
    <w:rsid w:val="004A171E"/>
    <w:rsid w:val="004A7C39"/>
    <w:rsid w:val="004B113B"/>
    <w:rsid w:val="004C11FB"/>
    <w:rsid w:val="004C1949"/>
    <w:rsid w:val="004C4115"/>
    <w:rsid w:val="004E3D70"/>
    <w:rsid w:val="004F0E69"/>
    <w:rsid w:val="004F2CEE"/>
    <w:rsid w:val="004F5C99"/>
    <w:rsid w:val="00506F95"/>
    <w:rsid w:val="00507EFC"/>
    <w:rsid w:val="0051140B"/>
    <w:rsid w:val="00511EB4"/>
    <w:rsid w:val="005206C3"/>
    <w:rsid w:val="0053186A"/>
    <w:rsid w:val="005671AE"/>
    <w:rsid w:val="00567A45"/>
    <w:rsid w:val="00572458"/>
    <w:rsid w:val="00575A6D"/>
    <w:rsid w:val="005776F1"/>
    <w:rsid w:val="00594805"/>
    <w:rsid w:val="005A4824"/>
    <w:rsid w:val="005B0204"/>
    <w:rsid w:val="005D1A3C"/>
    <w:rsid w:val="005E7109"/>
    <w:rsid w:val="00620ACC"/>
    <w:rsid w:val="006357E2"/>
    <w:rsid w:val="006445CD"/>
    <w:rsid w:val="00650B62"/>
    <w:rsid w:val="00665911"/>
    <w:rsid w:val="00673025"/>
    <w:rsid w:val="006A6012"/>
    <w:rsid w:val="006C0485"/>
    <w:rsid w:val="006E6207"/>
    <w:rsid w:val="00701350"/>
    <w:rsid w:val="0071185F"/>
    <w:rsid w:val="00714DE6"/>
    <w:rsid w:val="00717E9E"/>
    <w:rsid w:val="00721C99"/>
    <w:rsid w:val="0072362F"/>
    <w:rsid w:val="0073413D"/>
    <w:rsid w:val="00741101"/>
    <w:rsid w:val="007736B9"/>
    <w:rsid w:val="00773830"/>
    <w:rsid w:val="0077691D"/>
    <w:rsid w:val="00784979"/>
    <w:rsid w:val="00793446"/>
    <w:rsid w:val="007E0053"/>
    <w:rsid w:val="007E6190"/>
    <w:rsid w:val="00815CC0"/>
    <w:rsid w:val="00821688"/>
    <w:rsid w:val="00822A94"/>
    <w:rsid w:val="00824F2A"/>
    <w:rsid w:val="00825A99"/>
    <w:rsid w:val="0082787A"/>
    <w:rsid w:val="00843943"/>
    <w:rsid w:val="0084499F"/>
    <w:rsid w:val="00856DE0"/>
    <w:rsid w:val="008646CA"/>
    <w:rsid w:val="00920B53"/>
    <w:rsid w:val="00920FE6"/>
    <w:rsid w:val="00931BF2"/>
    <w:rsid w:val="00964B1D"/>
    <w:rsid w:val="00965680"/>
    <w:rsid w:val="0099403B"/>
    <w:rsid w:val="009A6864"/>
    <w:rsid w:val="009D0792"/>
    <w:rsid w:val="009D0C38"/>
    <w:rsid w:val="009E2AF5"/>
    <w:rsid w:val="009F432F"/>
    <w:rsid w:val="00A2008A"/>
    <w:rsid w:val="00A30A6B"/>
    <w:rsid w:val="00A43F08"/>
    <w:rsid w:val="00A44E06"/>
    <w:rsid w:val="00A46871"/>
    <w:rsid w:val="00A52D33"/>
    <w:rsid w:val="00A57C1A"/>
    <w:rsid w:val="00A65E91"/>
    <w:rsid w:val="00A767FD"/>
    <w:rsid w:val="00A90C75"/>
    <w:rsid w:val="00A91A30"/>
    <w:rsid w:val="00A97F58"/>
    <w:rsid w:val="00AA3E72"/>
    <w:rsid w:val="00AA56EA"/>
    <w:rsid w:val="00AD11F0"/>
    <w:rsid w:val="00AD796C"/>
    <w:rsid w:val="00AE685A"/>
    <w:rsid w:val="00AF1935"/>
    <w:rsid w:val="00AF3379"/>
    <w:rsid w:val="00B06A3C"/>
    <w:rsid w:val="00B07062"/>
    <w:rsid w:val="00B171FA"/>
    <w:rsid w:val="00B206D7"/>
    <w:rsid w:val="00B34BE4"/>
    <w:rsid w:val="00B42349"/>
    <w:rsid w:val="00B608E7"/>
    <w:rsid w:val="00B77CBB"/>
    <w:rsid w:val="00B803AE"/>
    <w:rsid w:val="00B84FA7"/>
    <w:rsid w:val="00BA0D2D"/>
    <w:rsid w:val="00BA29B5"/>
    <w:rsid w:val="00BA3C58"/>
    <w:rsid w:val="00BB3E7F"/>
    <w:rsid w:val="00BB4B5C"/>
    <w:rsid w:val="00BC319A"/>
    <w:rsid w:val="00BD30D1"/>
    <w:rsid w:val="00BE2704"/>
    <w:rsid w:val="00BF14EE"/>
    <w:rsid w:val="00BF6700"/>
    <w:rsid w:val="00C1080E"/>
    <w:rsid w:val="00C1095A"/>
    <w:rsid w:val="00C21674"/>
    <w:rsid w:val="00C34895"/>
    <w:rsid w:val="00C35AFB"/>
    <w:rsid w:val="00C65B92"/>
    <w:rsid w:val="00C75BDA"/>
    <w:rsid w:val="00CA6C30"/>
    <w:rsid w:val="00CB2A60"/>
    <w:rsid w:val="00CB54FF"/>
    <w:rsid w:val="00CD7ED6"/>
    <w:rsid w:val="00CF2542"/>
    <w:rsid w:val="00CF6C6F"/>
    <w:rsid w:val="00CF7F8E"/>
    <w:rsid w:val="00D019F3"/>
    <w:rsid w:val="00D1243C"/>
    <w:rsid w:val="00D2430E"/>
    <w:rsid w:val="00D36317"/>
    <w:rsid w:val="00D515F4"/>
    <w:rsid w:val="00D66020"/>
    <w:rsid w:val="00DA2DC2"/>
    <w:rsid w:val="00DC0964"/>
    <w:rsid w:val="00DD3AD6"/>
    <w:rsid w:val="00E0521A"/>
    <w:rsid w:val="00E1412E"/>
    <w:rsid w:val="00E16D9C"/>
    <w:rsid w:val="00E170E5"/>
    <w:rsid w:val="00E26414"/>
    <w:rsid w:val="00E40B26"/>
    <w:rsid w:val="00E442FF"/>
    <w:rsid w:val="00E75AD2"/>
    <w:rsid w:val="00E81D2F"/>
    <w:rsid w:val="00E9728A"/>
    <w:rsid w:val="00EA1FB6"/>
    <w:rsid w:val="00EA392E"/>
    <w:rsid w:val="00EC7B40"/>
    <w:rsid w:val="00ED2EC0"/>
    <w:rsid w:val="00EF7EDA"/>
    <w:rsid w:val="00F2131E"/>
    <w:rsid w:val="00F24FC6"/>
    <w:rsid w:val="00F45AB4"/>
    <w:rsid w:val="00F6489F"/>
    <w:rsid w:val="00F64AE6"/>
    <w:rsid w:val="00F673D8"/>
    <w:rsid w:val="00FB5209"/>
    <w:rsid w:val="00FB5F9B"/>
    <w:rsid w:val="00FE1D92"/>
    <w:rsid w:val="00FE3F1F"/>
    <w:rsid w:val="00FF03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rsid w:val="007D53B6"/>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6"/>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ing5Char">
    <w:name w:val="Heading 5 Char"/>
    <w:link w:val="Heading5"/>
    <w:rPr>
      <w:rFonts w:ascii="Times New Roman" w:eastAsia="Calibri" w:hAnsi="Times New Roman" w:cs="Times New Roman"/>
      <w:sz w:val="24"/>
      <w:szCs w:val="20"/>
      <w:lang w:val="en-GB"/>
    </w:rPr>
  </w:style>
  <w:style w:type="character" w:customStyle="1" w:styleId="Heading6Char">
    <w:name w:val="Heading 6 Char"/>
    <w:link w:val="Heading6"/>
    <w:rPr>
      <w:rFonts w:ascii="Times New Roman" w:eastAsia="Calibri" w:hAnsi="Times New Roman" w:cs="Times New Roman"/>
      <w:sz w:val="24"/>
      <w:szCs w:val="20"/>
      <w:lang w:val="en-GB"/>
    </w:rPr>
  </w:style>
  <w:style w:type="character" w:customStyle="1" w:styleId="Heading7Char">
    <w:name w:val="Heading 7 Char"/>
    <w:link w:val="Heading7"/>
    <w:rPr>
      <w:rFonts w:ascii="Times New Roman" w:eastAsia="Calibri" w:hAnsi="Times New Roman" w:cs="Times New Roman"/>
      <w:sz w:val="24"/>
      <w:szCs w:val="20"/>
      <w:lang w:val="en-GB"/>
    </w:rPr>
  </w:style>
  <w:style w:type="character" w:customStyle="1" w:styleId="Heading8Char">
    <w:name w:val="Heading 8 Char"/>
    <w:link w:val="Heading8"/>
    <w:rPr>
      <w:rFonts w:ascii="Times New Roman" w:eastAsia="Calibri" w:hAnsi="Times New Roman" w:cs="Times New Roman"/>
      <w:sz w:val="24"/>
      <w:szCs w:val="20"/>
      <w:lang w:val="en-GB"/>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lang w:eastAsia="en-US"/>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bCs/>
      <w:iCs/>
      <w:sz w:val="24"/>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0"/>
      </w:numPr>
    </w:pPr>
  </w:style>
  <w:style w:type="paragraph" w:customStyle="1" w:styleId="Tiret1">
    <w:name w:val="Tiret 1"/>
    <w:basedOn w:val="Point1"/>
    <w:rsid w:val="007D53B6"/>
    <w:pPr>
      <w:numPr>
        <w:numId w:val="11"/>
      </w:numPr>
    </w:pPr>
  </w:style>
  <w:style w:type="paragraph" w:customStyle="1" w:styleId="Tiret2">
    <w:name w:val="Tiret 2"/>
    <w:basedOn w:val="Point2"/>
    <w:rsid w:val="007D53B6"/>
    <w:pPr>
      <w:numPr>
        <w:numId w:val="12"/>
      </w:numPr>
    </w:pPr>
  </w:style>
  <w:style w:type="paragraph" w:customStyle="1" w:styleId="Tiret3">
    <w:name w:val="Tiret 3"/>
    <w:basedOn w:val="Point3"/>
    <w:rsid w:val="007D53B6"/>
    <w:pPr>
      <w:numPr>
        <w:numId w:val="13"/>
      </w:numPr>
    </w:pPr>
  </w:style>
  <w:style w:type="paragraph" w:customStyle="1" w:styleId="Tiret4">
    <w:name w:val="Tiret 4"/>
    <w:basedOn w:val="Point4"/>
    <w:rsid w:val="007D53B6"/>
    <w:pPr>
      <w:numPr>
        <w:numId w:val="14"/>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5"/>
      </w:numPr>
    </w:pPr>
  </w:style>
  <w:style w:type="paragraph" w:customStyle="1" w:styleId="NumPar2">
    <w:name w:val="NumPar 2"/>
    <w:basedOn w:val="Normal"/>
    <w:next w:val="Text1"/>
    <w:rsid w:val="007D53B6"/>
    <w:pPr>
      <w:numPr>
        <w:ilvl w:val="1"/>
        <w:numId w:val="15"/>
      </w:numPr>
    </w:pPr>
  </w:style>
  <w:style w:type="paragraph" w:customStyle="1" w:styleId="NumPar3">
    <w:name w:val="NumPar 3"/>
    <w:basedOn w:val="Normal"/>
    <w:next w:val="Text1"/>
    <w:rsid w:val="007D53B6"/>
    <w:pPr>
      <w:numPr>
        <w:ilvl w:val="2"/>
        <w:numId w:val="15"/>
      </w:numPr>
    </w:pPr>
  </w:style>
  <w:style w:type="paragraph" w:customStyle="1" w:styleId="NumPar4">
    <w:name w:val="NumPar 4"/>
    <w:basedOn w:val="Normal"/>
    <w:next w:val="Text1"/>
    <w:rsid w:val="007D53B6"/>
    <w:pPr>
      <w:numPr>
        <w:ilvl w:val="3"/>
        <w:numId w:val="15"/>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7"/>
      </w:numPr>
    </w:pPr>
  </w:style>
  <w:style w:type="paragraph" w:customStyle="1" w:styleId="Point1number">
    <w:name w:val="Point 1 (number)"/>
    <w:basedOn w:val="Normal"/>
    <w:rsid w:val="007D53B6"/>
    <w:pPr>
      <w:numPr>
        <w:ilvl w:val="2"/>
        <w:numId w:val="17"/>
      </w:numPr>
    </w:pPr>
  </w:style>
  <w:style w:type="paragraph" w:customStyle="1" w:styleId="Point2number">
    <w:name w:val="Point 2 (number)"/>
    <w:basedOn w:val="Normal"/>
    <w:rsid w:val="007D53B6"/>
    <w:pPr>
      <w:numPr>
        <w:ilvl w:val="4"/>
        <w:numId w:val="17"/>
      </w:numPr>
    </w:pPr>
  </w:style>
  <w:style w:type="paragraph" w:customStyle="1" w:styleId="Point3number">
    <w:name w:val="Point 3 (number)"/>
    <w:basedOn w:val="Normal"/>
    <w:rsid w:val="007D53B6"/>
    <w:pPr>
      <w:numPr>
        <w:ilvl w:val="6"/>
        <w:numId w:val="17"/>
      </w:numPr>
    </w:pPr>
  </w:style>
  <w:style w:type="paragraph" w:customStyle="1" w:styleId="Point0letter">
    <w:name w:val="Point 0 (letter)"/>
    <w:basedOn w:val="Normal"/>
    <w:rsid w:val="007D53B6"/>
    <w:pPr>
      <w:numPr>
        <w:ilvl w:val="1"/>
        <w:numId w:val="17"/>
      </w:numPr>
    </w:pPr>
  </w:style>
  <w:style w:type="paragraph" w:customStyle="1" w:styleId="Point1letter">
    <w:name w:val="Point 1 (letter)"/>
    <w:basedOn w:val="Normal"/>
    <w:rsid w:val="007D53B6"/>
    <w:pPr>
      <w:numPr>
        <w:ilvl w:val="3"/>
        <w:numId w:val="17"/>
      </w:numPr>
    </w:pPr>
  </w:style>
  <w:style w:type="paragraph" w:customStyle="1" w:styleId="Point2letter">
    <w:name w:val="Point 2 (letter)"/>
    <w:basedOn w:val="Normal"/>
    <w:rsid w:val="007D53B6"/>
    <w:pPr>
      <w:numPr>
        <w:ilvl w:val="5"/>
        <w:numId w:val="17"/>
      </w:numPr>
    </w:pPr>
  </w:style>
  <w:style w:type="paragraph" w:customStyle="1" w:styleId="Point3letter">
    <w:name w:val="Point 3 (letter)"/>
    <w:basedOn w:val="Normal"/>
    <w:rsid w:val="007D53B6"/>
    <w:pPr>
      <w:numPr>
        <w:ilvl w:val="7"/>
        <w:numId w:val="17"/>
      </w:numPr>
    </w:pPr>
  </w:style>
  <w:style w:type="paragraph" w:customStyle="1" w:styleId="Point4letter">
    <w:name w:val="Point 4 (letter)"/>
    <w:basedOn w:val="Normal"/>
    <w:rsid w:val="007D53B6"/>
    <w:pPr>
      <w:numPr>
        <w:ilvl w:val="8"/>
        <w:numId w:val="17"/>
      </w:numPr>
    </w:pPr>
  </w:style>
  <w:style w:type="paragraph" w:customStyle="1" w:styleId="Bullet0">
    <w:name w:val="Bullet 0"/>
    <w:basedOn w:val="Normal"/>
    <w:rsid w:val="007D53B6"/>
    <w:pPr>
      <w:numPr>
        <w:numId w:val="18"/>
      </w:numPr>
    </w:pPr>
  </w:style>
  <w:style w:type="paragraph" w:customStyle="1" w:styleId="Bullet1">
    <w:name w:val="Bullet 1"/>
    <w:basedOn w:val="Normal"/>
    <w:rsid w:val="007D53B6"/>
    <w:pPr>
      <w:numPr>
        <w:numId w:val="19"/>
      </w:numPr>
    </w:pPr>
  </w:style>
  <w:style w:type="paragraph" w:customStyle="1" w:styleId="Bullet2">
    <w:name w:val="Bullet 2"/>
    <w:basedOn w:val="Normal"/>
    <w:rsid w:val="007D53B6"/>
    <w:pPr>
      <w:numPr>
        <w:numId w:val="20"/>
      </w:numPr>
    </w:pPr>
  </w:style>
  <w:style w:type="paragraph" w:customStyle="1" w:styleId="Bullet3">
    <w:name w:val="Bullet 3"/>
    <w:basedOn w:val="Normal"/>
    <w:rsid w:val="007D53B6"/>
    <w:pPr>
      <w:numPr>
        <w:numId w:val="21"/>
      </w:numPr>
    </w:pPr>
  </w:style>
  <w:style w:type="paragraph" w:customStyle="1" w:styleId="Bullet4">
    <w:name w:val="Bullet 4"/>
    <w:basedOn w:val="Normal"/>
    <w:rsid w:val="007D53B6"/>
    <w:pPr>
      <w:numPr>
        <w:numId w:val="22"/>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3"/>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rsid w:val="007D53B6"/>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6"/>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ing5Char">
    <w:name w:val="Heading 5 Char"/>
    <w:link w:val="Heading5"/>
    <w:rPr>
      <w:rFonts w:ascii="Times New Roman" w:eastAsia="Calibri" w:hAnsi="Times New Roman" w:cs="Times New Roman"/>
      <w:sz w:val="24"/>
      <w:szCs w:val="20"/>
      <w:lang w:val="en-GB"/>
    </w:rPr>
  </w:style>
  <w:style w:type="character" w:customStyle="1" w:styleId="Heading6Char">
    <w:name w:val="Heading 6 Char"/>
    <w:link w:val="Heading6"/>
    <w:rPr>
      <w:rFonts w:ascii="Times New Roman" w:eastAsia="Calibri" w:hAnsi="Times New Roman" w:cs="Times New Roman"/>
      <w:sz w:val="24"/>
      <w:szCs w:val="20"/>
      <w:lang w:val="en-GB"/>
    </w:rPr>
  </w:style>
  <w:style w:type="character" w:customStyle="1" w:styleId="Heading7Char">
    <w:name w:val="Heading 7 Char"/>
    <w:link w:val="Heading7"/>
    <w:rPr>
      <w:rFonts w:ascii="Times New Roman" w:eastAsia="Calibri" w:hAnsi="Times New Roman" w:cs="Times New Roman"/>
      <w:sz w:val="24"/>
      <w:szCs w:val="20"/>
      <w:lang w:val="en-GB"/>
    </w:rPr>
  </w:style>
  <w:style w:type="character" w:customStyle="1" w:styleId="Heading8Char">
    <w:name w:val="Heading 8 Char"/>
    <w:link w:val="Heading8"/>
    <w:rPr>
      <w:rFonts w:ascii="Times New Roman" w:eastAsia="Calibri" w:hAnsi="Times New Roman" w:cs="Times New Roman"/>
      <w:sz w:val="24"/>
      <w:szCs w:val="20"/>
      <w:lang w:val="en-GB"/>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lang w:eastAsia="en-US"/>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bCs/>
      <w:iCs/>
      <w:sz w:val="24"/>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0"/>
      </w:numPr>
    </w:pPr>
  </w:style>
  <w:style w:type="paragraph" w:customStyle="1" w:styleId="Tiret1">
    <w:name w:val="Tiret 1"/>
    <w:basedOn w:val="Point1"/>
    <w:rsid w:val="007D53B6"/>
    <w:pPr>
      <w:numPr>
        <w:numId w:val="11"/>
      </w:numPr>
    </w:pPr>
  </w:style>
  <w:style w:type="paragraph" w:customStyle="1" w:styleId="Tiret2">
    <w:name w:val="Tiret 2"/>
    <w:basedOn w:val="Point2"/>
    <w:rsid w:val="007D53B6"/>
    <w:pPr>
      <w:numPr>
        <w:numId w:val="12"/>
      </w:numPr>
    </w:pPr>
  </w:style>
  <w:style w:type="paragraph" w:customStyle="1" w:styleId="Tiret3">
    <w:name w:val="Tiret 3"/>
    <w:basedOn w:val="Point3"/>
    <w:rsid w:val="007D53B6"/>
    <w:pPr>
      <w:numPr>
        <w:numId w:val="13"/>
      </w:numPr>
    </w:pPr>
  </w:style>
  <w:style w:type="paragraph" w:customStyle="1" w:styleId="Tiret4">
    <w:name w:val="Tiret 4"/>
    <w:basedOn w:val="Point4"/>
    <w:rsid w:val="007D53B6"/>
    <w:pPr>
      <w:numPr>
        <w:numId w:val="14"/>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5"/>
      </w:numPr>
    </w:pPr>
  </w:style>
  <w:style w:type="paragraph" w:customStyle="1" w:styleId="NumPar2">
    <w:name w:val="NumPar 2"/>
    <w:basedOn w:val="Normal"/>
    <w:next w:val="Text1"/>
    <w:rsid w:val="007D53B6"/>
    <w:pPr>
      <w:numPr>
        <w:ilvl w:val="1"/>
        <w:numId w:val="15"/>
      </w:numPr>
    </w:pPr>
  </w:style>
  <w:style w:type="paragraph" w:customStyle="1" w:styleId="NumPar3">
    <w:name w:val="NumPar 3"/>
    <w:basedOn w:val="Normal"/>
    <w:next w:val="Text1"/>
    <w:rsid w:val="007D53B6"/>
    <w:pPr>
      <w:numPr>
        <w:ilvl w:val="2"/>
        <w:numId w:val="15"/>
      </w:numPr>
    </w:pPr>
  </w:style>
  <w:style w:type="paragraph" w:customStyle="1" w:styleId="NumPar4">
    <w:name w:val="NumPar 4"/>
    <w:basedOn w:val="Normal"/>
    <w:next w:val="Text1"/>
    <w:rsid w:val="007D53B6"/>
    <w:pPr>
      <w:numPr>
        <w:ilvl w:val="3"/>
        <w:numId w:val="15"/>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7"/>
      </w:numPr>
    </w:pPr>
  </w:style>
  <w:style w:type="paragraph" w:customStyle="1" w:styleId="Point1number">
    <w:name w:val="Point 1 (number)"/>
    <w:basedOn w:val="Normal"/>
    <w:rsid w:val="007D53B6"/>
    <w:pPr>
      <w:numPr>
        <w:ilvl w:val="2"/>
        <w:numId w:val="17"/>
      </w:numPr>
    </w:pPr>
  </w:style>
  <w:style w:type="paragraph" w:customStyle="1" w:styleId="Point2number">
    <w:name w:val="Point 2 (number)"/>
    <w:basedOn w:val="Normal"/>
    <w:rsid w:val="007D53B6"/>
    <w:pPr>
      <w:numPr>
        <w:ilvl w:val="4"/>
        <w:numId w:val="17"/>
      </w:numPr>
    </w:pPr>
  </w:style>
  <w:style w:type="paragraph" w:customStyle="1" w:styleId="Point3number">
    <w:name w:val="Point 3 (number)"/>
    <w:basedOn w:val="Normal"/>
    <w:rsid w:val="007D53B6"/>
    <w:pPr>
      <w:numPr>
        <w:ilvl w:val="6"/>
        <w:numId w:val="17"/>
      </w:numPr>
    </w:pPr>
  </w:style>
  <w:style w:type="paragraph" w:customStyle="1" w:styleId="Point0letter">
    <w:name w:val="Point 0 (letter)"/>
    <w:basedOn w:val="Normal"/>
    <w:rsid w:val="007D53B6"/>
    <w:pPr>
      <w:numPr>
        <w:ilvl w:val="1"/>
        <w:numId w:val="17"/>
      </w:numPr>
    </w:pPr>
  </w:style>
  <w:style w:type="paragraph" w:customStyle="1" w:styleId="Point1letter">
    <w:name w:val="Point 1 (letter)"/>
    <w:basedOn w:val="Normal"/>
    <w:rsid w:val="007D53B6"/>
    <w:pPr>
      <w:numPr>
        <w:ilvl w:val="3"/>
        <w:numId w:val="17"/>
      </w:numPr>
    </w:pPr>
  </w:style>
  <w:style w:type="paragraph" w:customStyle="1" w:styleId="Point2letter">
    <w:name w:val="Point 2 (letter)"/>
    <w:basedOn w:val="Normal"/>
    <w:rsid w:val="007D53B6"/>
    <w:pPr>
      <w:numPr>
        <w:ilvl w:val="5"/>
        <w:numId w:val="17"/>
      </w:numPr>
    </w:pPr>
  </w:style>
  <w:style w:type="paragraph" w:customStyle="1" w:styleId="Point3letter">
    <w:name w:val="Point 3 (letter)"/>
    <w:basedOn w:val="Normal"/>
    <w:rsid w:val="007D53B6"/>
    <w:pPr>
      <w:numPr>
        <w:ilvl w:val="7"/>
        <w:numId w:val="17"/>
      </w:numPr>
    </w:pPr>
  </w:style>
  <w:style w:type="paragraph" w:customStyle="1" w:styleId="Point4letter">
    <w:name w:val="Point 4 (letter)"/>
    <w:basedOn w:val="Normal"/>
    <w:rsid w:val="007D53B6"/>
    <w:pPr>
      <w:numPr>
        <w:ilvl w:val="8"/>
        <w:numId w:val="17"/>
      </w:numPr>
    </w:pPr>
  </w:style>
  <w:style w:type="paragraph" w:customStyle="1" w:styleId="Bullet0">
    <w:name w:val="Bullet 0"/>
    <w:basedOn w:val="Normal"/>
    <w:rsid w:val="007D53B6"/>
    <w:pPr>
      <w:numPr>
        <w:numId w:val="18"/>
      </w:numPr>
    </w:pPr>
  </w:style>
  <w:style w:type="paragraph" w:customStyle="1" w:styleId="Bullet1">
    <w:name w:val="Bullet 1"/>
    <w:basedOn w:val="Normal"/>
    <w:rsid w:val="007D53B6"/>
    <w:pPr>
      <w:numPr>
        <w:numId w:val="19"/>
      </w:numPr>
    </w:pPr>
  </w:style>
  <w:style w:type="paragraph" w:customStyle="1" w:styleId="Bullet2">
    <w:name w:val="Bullet 2"/>
    <w:basedOn w:val="Normal"/>
    <w:rsid w:val="007D53B6"/>
    <w:pPr>
      <w:numPr>
        <w:numId w:val="20"/>
      </w:numPr>
    </w:pPr>
  </w:style>
  <w:style w:type="paragraph" w:customStyle="1" w:styleId="Bullet3">
    <w:name w:val="Bullet 3"/>
    <w:basedOn w:val="Normal"/>
    <w:rsid w:val="007D53B6"/>
    <w:pPr>
      <w:numPr>
        <w:numId w:val="21"/>
      </w:numPr>
    </w:pPr>
  </w:style>
  <w:style w:type="paragraph" w:customStyle="1" w:styleId="Bullet4">
    <w:name w:val="Bullet 4"/>
    <w:basedOn w:val="Normal"/>
    <w:rsid w:val="007D53B6"/>
    <w:pPr>
      <w:numPr>
        <w:numId w:val="22"/>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3"/>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f1740c95-8c94-4e2b-bb68-099fa8775224">Not Started</EC_Collab_Status>
    <_Status xmlns="http://schemas.microsoft.com/sharepoint/v3/fields">Not Started</_Status>
    <EC_Collab_DocumentLanguage xmlns="f1740c95-8c94-4e2b-bb68-099fa8775224">EN</EC_Collab_DocumentLanguage>
    <EC_Collab_Reference xmlns="f1740c95-8c94-4e2b-bb68-099fa87752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9C034196E3757489169EA8E8E1B4C16" ma:contentTypeVersion="1" ma:contentTypeDescription="Create a new document in this library." ma:contentTypeScope="" ma:versionID="aeddc8888498fa536f50d3e231ff526e">
  <xsd:schema xmlns:xsd="http://www.w3.org/2001/XMLSchema" xmlns:xs="http://www.w3.org/2001/XMLSchema" xmlns:p="http://schemas.microsoft.com/office/2006/metadata/properties" xmlns:ns2="http://schemas.microsoft.com/sharepoint/v3/fields" xmlns:ns3="f1740c95-8c94-4e2b-bb68-099fa8775224" targetNamespace="http://schemas.microsoft.com/office/2006/metadata/properties" ma:root="true" ma:fieldsID="2658a571dec28f573b4d7987cc77c626" ns2:_="" ns3:_="">
    <xsd:import namespace="http://schemas.microsoft.com/sharepoint/v3/fields"/>
    <xsd:import namespace="f1740c95-8c94-4e2b-bb68-099fa877522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740c95-8c94-4e2b-bb68-099fa877522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A6A8F-751C-45D5-984A-69967EFA7F94}">
  <ds:schemaRefs>
    <ds:schemaRef ds:uri="http://schemas.microsoft.com/office/infopath/2007/PartnerControls"/>
    <ds:schemaRef ds:uri="http://www.w3.org/XML/1998/namespace"/>
    <ds:schemaRef ds:uri="http://schemas.microsoft.com/office/2006/documentManagement/types"/>
    <ds:schemaRef ds:uri="f1740c95-8c94-4e2b-bb68-099fa8775224"/>
    <ds:schemaRef ds:uri="http://schemas.microsoft.com/sharepoint/v3/fields"/>
    <ds:schemaRef ds:uri="http://purl.org/dc/dcmityp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FE94079-39DD-4D85-97AD-69EE0D274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1740c95-8c94-4e2b-bb68-099fa877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158ED-1020-458B-BAF8-E2982F1B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Pages>
  <Words>2337</Words>
  <Characters>13142</Characters>
  <Application>Microsoft Office Word</Application>
  <DocSecurity>0</DocSecurity>
  <Lines>210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2016-05-18T10:23:00Z</dcterms:created>
  <dcterms:modified xsi:type="dcterms:W3CDTF">2016-05-18T10:23:00Z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SG-002</vt:lpwstr>
  </property>
  <property fmtid="{D5CDD505-2E9C-101B-9397-08002B2CF9AE}" pid="8" name="_NewReviewCycle">
    <vt:lpwstr/>
  </property>
  <property fmtid="{D5CDD505-2E9C-101B-9397-08002B2CF9AE}" pid="9" name="DQCStatus">
    <vt:lpwstr>Green (DQC version 03)</vt:lpwstr>
  </property>
</Properties>
</file>