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8EEF2CAAA474687ACB5A3C5CD6F7573" style="width:450.15pt;height:320.5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pStyle w:val="Heading1"/>
        <w:numPr>
          <w:ilvl w:val="0"/>
          <w:numId w:val="2"/>
        </w:numPr>
        <w:spacing w:before="120"/>
        <w:rPr>
          <w:noProof/>
        </w:rPr>
      </w:pPr>
      <w:bookmarkStart w:id="1" w:name="_GoBack"/>
      <w:bookmarkEnd w:id="1"/>
      <w:r>
        <w:rPr>
          <w:rFonts w:ascii="Times New Roman" w:hAnsi="Times New Roman"/>
          <w:noProof/>
          <w:color w:val="000000" w:themeColor="text1"/>
        </w:rPr>
        <w:lastRenderedPageBreak/>
        <w:t>Introduction</w:t>
      </w:r>
    </w:p>
    <w:p>
      <w:pPr>
        <w:jc w:val="both"/>
        <w:rPr>
          <w:noProof/>
        </w:rPr>
      </w:pPr>
    </w:p>
    <w:p>
      <w:pPr>
        <w:jc w:val="both"/>
        <w:rPr>
          <w:i/>
          <w:noProof/>
        </w:rPr>
      </w:pPr>
      <w:r>
        <w:rPr>
          <w:i/>
          <w:noProof/>
        </w:rPr>
        <w:t>Le présent rapport sur la relocalisation et la réinstallation, cinquième du genre, fait le point sur l'évolution de la situation depuis le dernier rapport, datant du 15 juin</w:t>
      </w:r>
      <w:r>
        <w:rPr>
          <w:rStyle w:val="FootnoteReference"/>
          <w:i/>
          <w:noProof/>
        </w:rPr>
        <w:footnoteReference w:id="2"/>
      </w:r>
      <w:r>
        <w:rPr>
          <w:i/>
          <w:noProof/>
        </w:rPr>
        <w:t>, et évalue les actions que les parties concernées ont entreprises du 14 juin au 11 juillet 2016 (période de référence) afin de se conformer aux recommandations formulées en vue d'accélérer la mise en œuvre des programmes de relocalisation et de réinstallation.</w:t>
      </w:r>
    </w:p>
    <w:p>
      <w:pPr>
        <w:jc w:val="both"/>
        <w:rPr>
          <w:i/>
          <w:noProof/>
        </w:rPr>
      </w:pPr>
    </w:p>
    <w:p>
      <w:pPr>
        <w:jc w:val="both"/>
        <w:rPr>
          <w:i/>
          <w:noProof/>
        </w:rPr>
      </w:pPr>
      <w:r>
        <w:rPr>
          <w:i/>
          <w:noProof/>
        </w:rPr>
        <w:t>Compte tenu de la nécessité urgente d’apporter un soutien à la Grèce et à l’Italie, le Conseil européen</w:t>
      </w:r>
      <w:r>
        <w:rPr>
          <w:rStyle w:val="FootnoteReference"/>
          <w:i/>
          <w:noProof/>
        </w:rPr>
        <w:footnoteReference w:id="3"/>
      </w:r>
      <w:r>
        <w:rPr>
          <w:i/>
          <w:noProof/>
        </w:rPr>
        <w:t xml:space="preserve">, lors de sa dernière réunion du 28 juin 2016, a réitéré son appel en faveur de nouvelles mesures pour accélérer la mise en œuvre des programmes de relocalisation et de réinstallation. </w:t>
      </w:r>
    </w:p>
    <w:p>
      <w:pPr>
        <w:jc w:val="both"/>
        <w:rPr>
          <w:i/>
          <w:noProof/>
        </w:rPr>
      </w:pPr>
    </w:p>
    <w:p>
      <w:pPr>
        <w:jc w:val="both"/>
        <w:rPr>
          <w:i/>
          <w:noProof/>
        </w:rPr>
      </w:pPr>
      <w:r>
        <w:rPr>
          <w:i/>
          <w:noProof/>
        </w:rPr>
        <w:t>Depuis le 11 juin 2016, 1 694 personnes</w:t>
      </w:r>
      <w:r>
        <w:rPr>
          <w:rStyle w:val="FootnoteReference"/>
          <w:i/>
          <w:noProof/>
        </w:rPr>
        <w:footnoteReference w:id="4"/>
      </w:r>
      <w:r>
        <w:rPr>
          <w:i/>
          <w:noProof/>
        </w:rPr>
        <w:t xml:space="preserve"> sont arrivées en Grèce. Ce nombre semble confirmer une fois de plus la tendance persistante à la baisse des arrivées, à la suite de la mise en œuvre de la déclaration UE-Turquie. Le nombre de migrants présents en Grèce est demeuré stable, aux alentours de 57 000 personnes, soit quelque 8 500 personnes dans les îles et 48 500 en Grèce continentale</w:t>
      </w:r>
      <w:r>
        <w:rPr>
          <w:rStyle w:val="FootnoteReference"/>
          <w:i/>
          <w:noProof/>
        </w:rPr>
        <w:footnoteReference w:id="5"/>
      </w:r>
      <w:r>
        <w:rPr>
          <w:i/>
          <w:noProof/>
        </w:rPr>
        <w:t>. Selon des estimations récentes fournies par les autorités grecques, près de 34 000 migrants se trouvant en Grèce continentale possèdent une nationalité leur ouvrant droit à une relocalisation.</w:t>
      </w:r>
    </w:p>
    <w:p>
      <w:pPr>
        <w:jc w:val="both"/>
        <w:rPr>
          <w:i/>
          <w:noProof/>
        </w:rPr>
      </w:pPr>
    </w:p>
    <w:p>
      <w:pPr>
        <w:jc w:val="both"/>
        <w:rPr>
          <w:i/>
          <w:noProof/>
        </w:rPr>
      </w:pPr>
      <w:r>
        <w:rPr>
          <w:i/>
          <w:noProof/>
        </w:rPr>
        <w:t>Depuis le 11 juin, 24 977 personnes</w:t>
      </w:r>
      <w:r>
        <w:rPr>
          <w:rStyle w:val="FootnoteReference"/>
          <w:i/>
          <w:noProof/>
        </w:rPr>
        <w:footnoteReference w:id="6"/>
      </w:r>
      <w:r>
        <w:rPr>
          <w:i/>
          <w:noProof/>
        </w:rPr>
        <w:t xml:space="preserve"> sont arrivées en Italie, ce qui rappelle la tendance à la hausse observée à la même période en 2015. Les arrivées d’Érythréens – dont la nationalité figure parmi celles permettant de prétendre à une relocalisation – sont également restées importantes (l’Érythrée figure en deuxième position parmi les pays dont les ressortissants arrivent en Italie, plus de 2 000 Érythréens ayant gagné le territoire italien au cours de la période de référence). D'après les informations du ministère italien de l'intérieur, 4 650 Érythréens se trouvent actuellement en Italie dans l'attente d'une relocalisation. </w:t>
      </w:r>
    </w:p>
    <w:p>
      <w:pPr>
        <w:jc w:val="both"/>
        <w:rPr>
          <w:i/>
          <w:noProof/>
        </w:rPr>
      </w:pPr>
    </w:p>
    <w:p>
      <w:pPr>
        <w:jc w:val="both"/>
        <w:rPr>
          <w:i/>
          <w:noProof/>
        </w:rPr>
      </w:pPr>
      <w:r>
        <w:rPr>
          <w:i/>
          <w:noProof/>
        </w:rPr>
        <w:t>Au cours de la période de référence, le taux global de relocalisation s'est maintenu au même niveau que durant la période couverte par le précédent rapport. 776 personnes supplémentaires ont été relocalisées, ce qui porte à 3 056 le nombre total de personnes relocalisées à ce jour (2 213 depuis la Grèce et 843 depuis l’Italie). Les progrès globaux réalisés en matière de relocalisation représentent une tendance positive qui doit se poursuivre, mais il y a lieu de redoubler d'efforts.</w:t>
      </w:r>
    </w:p>
    <w:p>
      <w:pPr>
        <w:jc w:val="both"/>
        <w:rPr>
          <w:i/>
          <w:noProof/>
        </w:rPr>
      </w:pPr>
    </w:p>
    <w:p>
      <w:pPr>
        <w:jc w:val="both"/>
        <w:rPr>
          <w:i/>
          <w:noProof/>
        </w:rPr>
      </w:pPr>
      <w:r>
        <w:rPr>
          <w:i/>
          <w:noProof/>
        </w:rPr>
        <w:t xml:space="preserve">Pour ce qui est de la réinstallation, sur les 22 504 personnes convenues, 8 268 ont été réinstallées à ce jour – dont 996 depuis le dernier rapport – au titre du programme de </w:t>
      </w:r>
      <w:r>
        <w:rPr>
          <w:i/>
          <w:noProof/>
        </w:rPr>
        <w:lastRenderedPageBreak/>
        <w:t>juillet 2015, principalement en provenance de la Turquie, de la Jordanie et du Liban. La mise en œuvre des mesures énoncées dans la déclaration UE-Turquie n'ayant débuté que le 4 avril</w:t>
      </w:r>
      <w:r>
        <w:rPr>
          <w:rStyle w:val="FootnoteReference"/>
          <w:i/>
          <w:noProof/>
        </w:rPr>
        <w:footnoteReference w:id="7"/>
      </w:r>
      <w:r>
        <w:rPr>
          <w:i/>
          <w:noProof/>
        </w:rPr>
        <w:t>, seules 802 personnes – dont 291 depuis le dernier rapport – ont été réinstallées de la Turquie vers l’UE en vertu du mécanisme «un pour un».</w:t>
      </w:r>
    </w:p>
    <w:p>
      <w:pPr>
        <w:pStyle w:val="Heading1"/>
        <w:numPr>
          <w:ilvl w:val="0"/>
          <w:numId w:val="2"/>
        </w:numPr>
        <w:spacing w:after="120"/>
        <w:rPr>
          <w:rFonts w:ascii="Times New Roman" w:hAnsi="Times New Roman" w:cs="Times New Roman"/>
          <w:noProof/>
          <w:color w:val="000000" w:themeColor="text1"/>
        </w:rPr>
      </w:pPr>
      <w:r>
        <w:rPr>
          <w:rFonts w:ascii="Times New Roman" w:hAnsi="Times New Roman"/>
          <w:noProof/>
          <w:color w:val="000000" w:themeColor="text1"/>
        </w:rPr>
        <w:t>Relocalisation</w:t>
      </w:r>
    </w:p>
    <w:p>
      <w:pPr>
        <w:pStyle w:val="Heading1"/>
        <w:numPr>
          <w:ilvl w:val="1"/>
          <w:numId w:val="2"/>
        </w:numPr>
        <w:spacing w:before="200"/>
        <w:rPr>
          <w:rFonts w:ascii="Times New Roman" w:hAnsi="Times New Roman" w:cs="Times New Roman"/>
          <w:noProof/>
          <w:color w:val="auto"/>
          <w:sz w:val="26"/>
          <w:szCs w:val="26"/>
        </w:rPr>
      </w:pPr>
      <w:r>
        <w:rPr>
          <w:rFonts w:ascii="Times New Roman" w:hAnsi="Times New Roman"/>
          <w:noProof/>
          <w:color w:val="auto"/>
          <w:sz w:val="26"/>
        </w:rPr>
        <w:t>Principales réalisations au cours de la période de référence</w:t>
      </w:r>
    </w:p>
    <w:p>
      <w:pPr>
        <w:rPr>
          <w:rFonts w:eastAsiaTheme="majorEastAsia"/>
          <w:noProof/>
        </w:rPr>
      </w:pPr>
    </w:p>
    <w:p>
      <w:pPr>
        <w:jc w:val="both"/>
        <w:rPr>
          <w:noProof/>
        </w:rPr>
      </w:pPr>
      <w:r>
        <w:rPr>
          <w:noProof/>
        </w:rPr>
        <w:t>Tandis que les relocalisations depuis la Grèce ont augmenté au cours de la période couverte par le rapport (710 personnes relocalisées, contre 594 au cours de la période de référence précédente), les relocalisations au départ de l’Italie ont diminué et restent particulièrement insatisfaisantes (seules 66 personnes ont été relocalisées durant la période de référence, contre 186 au cours de la période précédente).</w:t>
      </w:r>
    </w:p>
    <w:p>
      <w:pPr>
        <w:rPr>
          <w:noProof/>
        </w:rPr>
      </w:pPr>
    </w:p>
    <w:p>
      <w:pPr>
        <w:jc w:val="both"/>
        <w:rPr>
          <w:noProof/>
        </w:rPr>
      </w:pPr>
      <w:r>
        <w:rPr>
          <w:noProof/>
        </w:rPr>
        <w:t>L’accélération du rythme des relocalisations depuis la Grèce est le résultat de nombreux facteurs, notamment l’engagement de plusieurs États membres de relocalisation, l’accroissement des capacités du service d’asile grec pour le traitement des demandes de relocalisation, la volonté croissante des demandeurs d’asile de participer au programme et les actions menées par la Commission en collaboration avec le service d’asile grec, le Bureau européen d’appui en matière d’asile (EASO), le Haut-Commissariat des Nations unies pour les réfugiés (HCR) et l’Organisation internationale pour les migrations (OIM) afin de rendre plus souple et plus efficace l'organisation des tâches liées aux relocalisations à partir de la Grèce. Pour maintenir cette tendance positive, il conviendra d'intensifier la mise à disposition d’experts des États membres.</w:t>
      </w:r>
    </w:p>
    <w:p>
      <w:pPr>
        <w:jc w:val="both"/>
        <w:rPr>
          <w:noProof/>
        </w:rPr>
      </w:pPr>
    </w:p>
    <w:p>
      <w:pPr>
        <w:jc w:val="both"/>
        <w:rPr>
          <w:noProof/>
        </w:rPr>
      </w:pPr>
      <w:r>
        <w:rPr>
          <w:noProof/>
        </w:rPr>
        <w:t>En ce qui concerne l’Italie, le très faible taux de relocalisation peut être attribué à un certain nombre de facteurs. Parmi ceux-ci figure le fait que la procédure de relocalisation est moins bien rodée en Italie, l'organisation des tâches liées aux relocalisations devant encore être fixée, et que la coopération n'est pas assez étroite entre les autorités italiennes et les États membres de relocalisation (notamment en ce qui concerne les questions de sécurité). L’Italie devrait également accélérer l’ouverture des centres d'enregistrement («hotspots») supplémentaires déjà annoncés, ainsi que la mise en place de centres d'enregistrement mobiles. Par ailleurs, il y a lieu de disposer d’informations claires sur le nombre d'arrivées, de personnes enregistrées et de candidats éligibles à une relocalisation présents en Italie. En outre, les demandeurs éligibles à une relocalisation à partir de l’Italie présentent généralement des profils plus complexes nécessitant des efforts administratifs supplémentaires, tant de la part des États membres de relocalisation que de la part des autorités italiennes, par exemple pour offrir des services d’interprétation suffisants. Accélérer les relocalisations au départ de l’Italie exige de renforcer la confiance entre les autorités, de finaliser et de mettre en œuvre rapidement l'organisation des tâches liées aux relocalisations, d'amplifier les capacités administratives des autorités italiennes et de garantir des engagements suffisants et une mise en œuvre souple des arrangements existants. Les États membres doivent également répondre aux appels en vue du déploiement d'experts en Italie.</w:t>
      </w:r>
    </w:p>
    <w:p>
      <w:pPr>
        <w:jc w:val="both"/>
        <w:rPr>
          <w:noProof/>
        </w:rPr>
      </w:pPr>
    </w:p>
    <w:p>
      <w:pPr>
        <w:jc w:val="both"/>
        <w:rPr>
          <w:noProof/>
        </w:rPr>
      </w:pPr>
      <w:r>
        <w:rPr>
          <w:noProof/>
        </w:rPr>
        <w:t xml:space="preserve">Le rythme extrêmement lent de la relocalisation des mineurs non accompagnés est un grand sujet de préoccupation. Seuls 6 mineurs non accompagnés ont été relocalisés au cours de la </w:t>
      </w:r>
      <w:r>
        <w:rPr>
          <w:noProof/>
        </w:rPr>
        <w:lastRenderedPageBreak/>
        <w:t>période de référence. La Finlande est le seul État membre qui participe activement à la relocalisation de cette catégorie de demandeurs vulnérables, alors que, selon les décisions du Conseil relatives à la relocalisation, ceux-ci devraient être prioritaires. Dans le même temps, le nombre de mineurs non accompagnés arrivant en Italie continue de croître (près de 9 800 arrivées depuis le début du mois de janvier, dont 1 430 Érythréens). En Grèce, au terme de l'exercice d'enregistrement préalable de grande envergure, le nombre de mineurs non accompagnés serait d'environ 2 000. Les États membres devraient, de toute urgence, s'efforcer de mettre à disposition des places pour les mineurs non accompagnés dans le cadre de leurs engagements formels.</w:t>
      </w:r>
    </w:p>
    <w:p>
      <w:pPr>
        <w:jc w:val="both"/>
        <w:rPr>
          <w:noProof/>
        </w:rPr>
      </w:pPr>
    </w:p>
    <w:p>
      <w:pPr>
        <w:autoSpaceDE w:val="0"/>
        <w:autoSpaceDN w:val="0"/>
        <w:adjustRightInd w:val="0"/>
        <w:jc w:val="both"/>
        <w:rPr>
          <w:noProof/>
        </w:rPr>
      </w:pPr>
      <w:r>
        <w:rPr>
          <w:noProof/>
        </w:rPr>
        <w:t>La relocalisation concerne les personnes possédant une nationalité pour laquelle le taux de reconnaissance moyen d’une protection internationale dans l’UE est égal ou supérieur à 75 %</w:t>
      </w:r>
      <w:r>
        <w:rPr>
          <w:rStyle w:val="FootnoteReference"/>
          <w:noProof/>
        </w:rPr>
        <w:footnoteReference w:id="8"/>
      </w:r>
      <w:r>
        <w:rPr>
          <w:noProof/>
        </w:rPr>
        <w:t>. Ce taux repose sur des données d’Eurostat et est actualisé chaque trimestre sur la base des rapports de l’office statistique. Le dernier rapport trimestriel a été publié au cours de la période de référence. Une évolution importante tient au fait que, depuis le dernier rapport trimestriel d’Eurostat, les Iraquiens ne peuvent plus prétendre à une relocalisation</w:t>
      </w:r>
      <w:r>
        <w:rPr>
          <w:rStyle w:val="FootnoteReference"/>
          <w:noProof/>
        </w:rPr>
        <w:footnoteReference w:id="9"/>
      </w:r>
      <w:r>
        <w:rPr>
          <w:noProof/>
        </w:rPr>
        <w:t>. Toutefois, conformément aux décisions du Conseil en matière de relocalisation, ce changement n’a pas d'incidence pour les migrants déjà considérés comme pouvant avoir besoin d'une protection internationale.</w:t>
      </w:r>
    </w:p>
    <w:p>
      <w:pPr>
        <w:autoSpaceDE w:val="0"/>
        <w:autoSpaceDN w:val="0"/>
        <w:adjustRightInd w:val="0"/>
        <w:jc w:val="both"/>
        <w:rPr>
          <w:noProof/>
        </w:rPr>
      </w:pPr>
    </w:p>
    <w:p>
      <w:pPr>
        <w:pStyle w:val="Heading1"/>
        <w:numPr>
          <w:ilvl w:val="1"/>
          <w:numId w:val="2"/>
        </w:numPr>
        <w:spacing w:before="200"/>
        <w:rPr>
          <w:rFonts w:ascii="Times New Roman" w:hAnsi="Times New Roman" w:cs="Times New Roman"/>
          <w:noProof/>
          <w:color w:val="auto"/>
          <w:sz w:val="26"/>
          <w:szCs w:val="26"/>
        </w:rPr>
      </w:pPr>
      <w:r>
        <w:rPr>
          <w:rFonts w:ascii="Times New Roman" w:hAnsi="Times New Roman"/>
          <w:noProof/>
          <w:color w:val="auto"/>
          <w:sz w:val="26"/>
        </w:rPr>
        <w:t xml:space="preserve">Mesures prises par les États membres de relocalisation </w:t>
      </w:r>
    </w:p>
    <w:p>
      <w:pPr>
        <w:rPr>
          <w:noProof/>
        </w:rPr>
      </w:pPr>
    </w:p>
    <w:p>
      <w:pPr>
        <w:jc w:val="both"/>
        <w:rPr>
          <w:noProof/>
        </w:rPr>
      </w:pPr>
      <w:r>
        <w:rPr>
          <w:noProof/>
          <w:lang w:val="en-US" w:eastAsia="en-US" w:bidi="ar-SA"/>
        </w:rPr>
        <w:drawing>
          <wp:anchor distT="0" distB="0" distL="114300" distR="114300" simplePos="0" relativeHeight="251659265" behindDoc="0" locked="0" layoutInCell="1" allowOverlap="1">
            <wp:simplePos x="0" y="0"/>
            <wp:positionH relativeFrom="column">
              <wp:posOffset>-1270</wp:posOffset>
            </wp:positionH>
            <wp:positionV relativeFrom="paragraph">
              <wp:posOffset>219710</wp:posOffset>
            </wp:positionV>
            <wp:extent cx="2616200" cy="15316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6200"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Entre le 14 juin et le 11 juillet, 776 personnes supplémentaires ont été relocalisées, 710 au départ de la Grèce (vers la Belgique, la Bulgarie, Chypre, l’Espagne, l’Estonie, la Finlande, la France, l’Irlande, la Lettonie, la Lituanie, les Pays-Bas, le Portugal et la Roumanie)</w:t>
      </w:r>
      <w:r>
        <w:rPr>
          <w:rStyle w:val="FootnoteReference"/>
          <w:noProof/>
        </w:rPr>
        <w:footnoteReference w:id="10"/>
      </w:r>
      <w:r>
        <w:rPr>
          <w:noProof/>
        </w:rPr>
        <w:t xml:space="preserve"> et 66 depuis l’Italie (vers Chypre, la Croatie – ce sont ses premières relocalisations –, les Pays-Bas et le Portugal)</w:t>
      </w:r>
      <w:r>
        <w:rPr>
          <w:rStyle w:val="FootnoteReference"/>
          <w:noProof/>
        </w:rPr>
        <w:footnoteReference w:id="11"/>
      </w:r>
      <w:r>
        <w:rPr>
          <w:noProof/>
        </w:rPr>
        <w:t>. Le 15 juin, la France a procédé à la relocalisation de 126 personnes depuis la Grèce et, le 7 juillet, 124 autres demandeurs ont été relocalisés, ce qui démontre à nouveau qu’il est possible de relocaliser un nombre important de personnes au cours d'un même transfert. En outre, la Finlande, la France, les Pays-Bas et le Portugal ont poursuivi leurs transferts mensuels réguliers. D'ici à la fin du mois de juillet, 133 transferts supplémentaires sont prévus depuis la Grèce</w:t>
      </w:r>
      <w:r>
        <w:rPr>
          <w:rStyle w:val="FootnoteReference"/>
          <w:noProof/>
        </w:rPr>
        <w:footnoteReference w:id="12"/>
      </w:r>
      <w:r>
        <w:rPr>
          <w:noProof/>
        </w:rPr>
        <w:t xml:space="preserve"> et 119 depuis l'Italie</w:t>
      </w:r>
      <w:r>
        <w:rPr>
          <w:rStyle w:val="FootnoteReference"/>
          <w:noProof/>
        </w:rPr>
        <w:footnoteReference w:id="13"/>
      </w:r>
      <w:r>
        <w:rPr>
          <w:noProof/>
        </w:rPr>
        <w:t xml:space="preserve">. </w:t>
      </w:r>
    </w:p>
    <w:p>
      <w:pPr>
        <w:jc w:val="both"/>
        <w:rPr>
          <w:noProof/>
        </w:rPr>
      </w:pPr>
    </w:p>
    <w:p>
      <w:pPr>
        <w:jc w:val="both"/>
        <w:rPr>
          <w:noProof/>
        </w:rPr>
      </w:pPr>
      <w:r>
        <w:rPr>
          <w:b/>
          <w:noProof/>
        </w:rPr>
        <w:lastRenderedPageBreak/>
        <w:t>Mesures à prendre à l’égard du nombre limité d’engagements</w:t>
      </w:r>
      <w:r>
        <w:rPr>
          <w:noProof/>
        </w:rPr>
        <w:t>: 10 États membres (l’Allemagne, l’Estonie, la Finlande, la France, l’Irlande, la Lettonie, la Lituanie, les Pays-Bas, la Roumanie et la Slovénie)</w:t>
      </w:r>
      <w:r>
        <w:rPr>
          <w:rStyle w:val="FootnoteReference"/>
          <w:noProof/>
        </w:rPr>
        <w:footnoteReference w:id="14"/>
      </w:r>
      <w:r>
        <w:rPr>
          <w:noProof/>
        </w:rPr>
        <w:t xml:space="preserve"> et la Suisse</w:t>
      </w:r>
      <w:r>
        <w:rPr>
          <w:rStyle w:val="FootnoteReference"/>
          <w:noProof/>
        </w:rPr>
        <w:footnoteReference w:id="15"/>
      </w:r>
      <w:r>
        <w:rPr>
          <w:noProof/>
        </w:rPr>
        <w:t xml:space="preserve"> se sont déclarés prêts à assurer («engagements formels») la relocalisation rapide de 858</w:t>
      </w:r>
      <w:r>
        <w:rPr>
          <w:rStyle w:val="FootnoteReference"/>
          <w:noProof/>
        </w:rPr>
        <w:footnoteReference w:id="16"/>
      </w:r>
      <w:r>
        <w:rPr>
          <w:noProof/>
        </w:rPr>
        <w:t> personnes demandant une protection internationale, ce qui est inférieur au chiffre de la période de référence précédente. Les nouveaux engagements formels sont répartis de façon plus homogène qu'au cours de la période de référence précédente: 380 engagements formels ont été présentés pour l’Italie et 478 pour la Grèce. Le nombre total d'engagements formels pris par des États membres de relocalisation s’élève à 9 119 (2 428</w:t>
      </w:r>
      <w:r>
        <w:rPr>
          <w:rStyle w:val="FootnoteReference"/>
          <w:noProof/>
        </w:rPr>
        <w:footnoteReference w:id="17"/>
      </w:r>
      <w:r>
        <w:rPr>
          <w:noProof/>
        </w:rPr>
        <w:t xml:space="preserve"> envers l’Italie et 6 691 envers la Grèce). </w:t>
      </w:r>
    </w:p>
    <w:p>
      <w:pPr>
        <w:jc w:val="both"/>
        <w:rPr>
          <w:noProof/>
        </w:rPr>
      </w:pPr>
    </w:p>
    <w:p>
      <w:pPr>
        <w:jc w:val="both"/>
        <w:rPr>
          <w:noProof/>
        </w:rPr>
      </w:pPr>
      <w:r>
        <w:rPr>
          <w:noProof/>
        </w:rPr>
        <w:t>L'Autriche</w:t>
      </w:r>
      <w:r>
        <w:rPr>
          <w:rStyle w:val="FootnoteReference"/>
          <w:noProof/>
        </w:rPr>
        <w:footnoteReference w:id="18"/>
      </w:r>
      <w:r>
        <w:rPr>
          <w:noProof/>
        </w:rPr>
        <w:t xml:space="preserve"> et la Hongrie n'ont toujours pas présenté d'engagements. En outre, la Pologne persiste à suspendre de facto la procédure de relocalisation</w:t>
      </w:r>
      <w:r>
        <w:rPr>
          <w:rStyle w:val="FootnoteReference"/>
          <w:noProof/>
        </w:rPr>
        <w:footnoteReference w:id="19"/>
      </w:r>
      <w:r>
        <w:rPr>
          <w:noProof/>
        </w:rPr>
        <w:t>. Enfin, la plupart des États membres n'ont pas encore présenté d'engagements en adéquation avec le contingent qui leur a été attribué pour l'ensemble de la période couverte par les décisions (l'Allemagne, la Croatie, la Pologne, la République tchèque et la Slovaquie, par exemple, ont pris des engagements ne représentant qu'1 à 2 % de leur contingent).</w:t>
      </w:r>
    </w:p>
    <w:p>
      <w:pPr>
        <w:jc w:val="both"/>
        <w:rPr>
          <w:noProof/>
        </w:rPr>
      </w:pPr>
    </w:p>
    <w:p>
      <w:pPr>
        <w:jc w:val="both"/>
        <w:rPr>
          <w:noProof/>
        </w:rPr>
      </w:pPr>
      <w:r>
        <w:rPr>
          <w:b/>
          <w:noProof/>
        </w:rPr>
        <w:t>Mesures visant à diminuer le temps de réponse aux demandes de relocalisation</w:t>
      </w:r>
      <w:r>
        <w:rPr>
          <w:noProof/>
        </w:rPr>
        <w:t xml:space="preserve">: Alors que davantage États s'attellent désormais activement aux relocalisations depuis la Grèce, quelques-uns (le Luxembourg, les Pays-Bas et la Suisse) s’efforcent de réduire le temps de réponse aux demandes de relocalisation. </w:t>
      </w:r>
    </w:p>
    <w:p>
      <w:pPr>
        <w:jc w:val="both"/>
        <w:rPr>
          <w:noProof/>
        </w:rPr>
      </w:pPr>
    </w:p>
    <w:p>
      <w:pPr>
        <w:jc w:val="both"/>
        <w:rPr>
          <w:noProof/>
        </w:rPr>
      </w:pPr>
      <w:r>
        <w:rPr>
          <w:noProof/>
        </w:rPr>
        <w:t>Au cours de la période de référence, un certain nombre d'États membres (Estonie, Lettonie et Lituanie) ont rejeté des demandes de relocalisation sans fournir de justifications ou pour des motifs autres que ceux énoncés dans les décisions du Conseil relatives à la relocalisation.</w:t>
      </w:r>
    </w:p>
    <w:p>
      <w:pPr>
        <w:jc w:val="both"/>
        <w:rPr>
          <w:noProof/>
        </w:rPr>
      </w:pPr>
    </w:p>
    <w:p>
      <w:pPr>
        <w:jc w:val="both"/>
        <w:rPr>
          <w:noProof/>
        </w:rPr>
      </w:pPr>
      <w:r>
        <w:rPr>
          <w:b/>
          <w:noProof/>
        </w:rPr>
        <w:t xml:space="preserve">Mesures visant à s’attaquer aux problèmes liés à la relocalisation des demandeurs vulnérables, y compris les mineurs non accompagnés: </w:t>
      </w:r>
      <w:r>
        <w:rPr>
          <w:noProof/>
        </w:rPr>
        <w:t>3 169 mineurs non accompagnés sont arrivés en Italie entre le 1</w:t>
      </w:r>
      <w:r>
        <w:rPr>
          <w:noProof/>
          <w:vertAlign w:val="superscript"/>
        </w:rPr>
        <w:t>er</w:t>
      </w:r>
      <w:r>
        <w:rPr>
          <w:noProof/>
        </w:rPr>
        <w:t xml:space="preserve"> et le 30 juin, parmi lesquels environ 500 Érythréens et très peu d'Iraquiens. En Grèce, il est impossible de connaître le nombre d'arrivées de mineurs non accompagnés au cours de cette période mais le Centre national de solidarité sociale (EKKA) indique que, depuis le début de 2016, 2 390 mineurs non accompagnés lui ont été adressés en vue d'être hébergés, parmi lesquels 531 sont logés dans des structures prévues à cet effet et </w:t>
      </w:r>
      <w:r>
        <w:rPr>
          <w:noProof/>
        </w:rPr>
        <w:lastRenderedPageBreak/>
        <w:t>911 sont en attente d'un logement. Selon les chiffres résultant de l'exercice d'enregistrement préalable, 906 mineurs non accompagnés étaient enregistrés au 7 juillet</w:t>
      </w:r>
      <w:r>
        <w:rPr>
          <w:rStyle w:val="FootnoteReference"/>
          <w:noProof/>
        </w:rPr>
        <w:footnoteReference w:id="20"/>
      </w:r>
      <w:r>
        <w:rPr>
          <w:noProof/>
        </w:rPr>
        <w:t>.</w:t>
      </w:r>
    </w:p>
    <w:p>
      <w:pPr>
        <w:jc w:val="both"/>
        <w:rPr>
          <w:noProof/>
        </w:rPr>
      </w:pPr>
    </w:p>
    <w:p>
      <w:pPr>
        <w:jc w:val="both"/>
        <w:rPr>
          <w:noProof/>
        </w:rPr>
      </w:pPr>
      <w:r>
        <w:rPr>
          <w:noProof/>
        </w:rPr>
        <w:t xml:space="preserve">Le rythme des relocalisations de mineurs non accompagnés reste extrêmement lent. Depuis le 14 juin, seuls six mineurs non accompagnés ont été relocalisés depuis la Grèce (cinq en Finlande et un en Irlande), ce qui porte à 29 le nombre total de mineurs non accompagnés relocalisés. Seuls quelques États membres sont prêts à accepter des transferts de mineurs non accompagnés et le nombre de places offertes reste insuffisant pour relocaliser tous les mineurs non accompagnés qui pourraient y prétendre. </w:t>
      </w:r>
    </w:p>
    <w:p>
      <w:pPr>
        <w:jc w:val="both"/>
        <w:rPr>
          <w:noProof/>
        </w:rPr>
      </w:pPr>
    </w:p>
    <w:p>
      <w:pPr>
        <w:jc w:val="both"/>
        <w:rPr>
          <w:noProof/>
        </w:rPr>
      </w:pPr>
      <w:r>
        <w:rPr>
          <w:b/>
          <w:noProof/>
        </w:rPr>
        <w:t>Mesures visant à renforcer la capacité de l’EASO à aider l’Italie et la Grèce:</w:t>
      </w:r>
      <w:r>
        <w:rPr>
          <w:noProof/>
        </w:rPr>
        <w:t xml:space="preserve"> Le dernier appel à experts de l'EASO pour l'Italie, publié le 28 mai 2016, demandait 35 experts supplémentaires. Au 11 juillet, 40 offres</w:t>
      </w:r>
      <w:r>
        <w:rPr>
          <w:rStyle w:val="FootnoteReference"/>
          <w:noProof/>
        </w:rPr>
        <w:footnoteReference w:id="21"/>
      </w:r>
      <w:r>
        <w:rPr>
          <w:noProof/>
        </w:rPr>
        <w:t xml:space="preserve"> ont été reçues. Parmi les experts déployés en Italie, on compte au total 35 spécialistes de l’asile et 32 médiateurs culturels</w:t>
      </w:r>
      <w:r>
        <w:rPr>
          <w:rStyle w:val="FootnoteReference"/>
          <w:noProof/>
        </w:rPr>
        <w:footnoteReference w:id="22"/>
      </w:r>
      <w:r>
        <w:rPr>
          <w:noProof/>
        </w:rPr>
        <w:t>, ce qui est encore insuffisant pour faire face à l’augmentation du nombre d’arrivées et reste en deçà du nombre d’experts nécessaires au titre des plans d’urgence approuvés par l’EASO avec les autorités italiennes (74 experts). Des désignations plus nombreuses et pour des durées plus longues sont donc nécessaires de toute urgence.</w:t>
      </w:r>
    </w:p>
    <w:p>
      <w:pPr>
        <w:jc w:val="both"/>
        <w:rPr>
          <w:noProof/>
        </w:rPr>
      </w:pPr>
    </w:p>
    <w:p>
      <w:pPr>
        <w:jc w:val="both"/>
        <w:rPr>
          <w:noProof/>
        </w:rPr>
      </w:pPr>
      <w:r>
        <w:rPr>
          <w:noProof/>
        </w:rPr>
        <w:t>Pour ce qui est de la Grèce, l'EASO a adressé un rappel aux États membres concernant le dernier appel à experts</w:t>
      </w:r>
      <w:r>
        <w:rPr>
          <w:rStyle w:val="FootnoteReference"/>
          <w:noProof/>
        </w:rPr>
        <w:footnoteReference w:id="23"/>
      </w:r>
      <w:r>
        <w:rPr>
          <w:noProof/>
        </w:rPr>
        <w:t xml:space="preserve"> destiné à soutenir le programme de relocalisation en Grèce, étant donné la nécessité permanente de mobiliser de nouveaux experts à mesure que les déploiements arrivent à leur terme. Jusqu’à présent, l'EASO n'a reçu aucune offre nouvelle depuis ce rappel. Le nombre total d'experts déployés en Grèce en date du 11 juillet est de 27, auxquels s'ajoutent 24 interprètes, ce qui est insuffisant pour répondre au nombre croissant de dossiers qui seront déposés une fois terminé l'exercice d'enregistrement préalable de grande envergure. C’est pourquoi, à la suite de la réévaluation des besoins par les autorités grecques après l’exercice d'enregistrement préalable, l'EASO envisagera de demander le déploiement d’experts et de médiateurs culturels supplémentaires.</w:t>
      </w:r>
    </w:p>
    <w:p>
      <w:pPr>
        <w:pStyle w:val="Heading1"/>
        <w:numPr>
          <w:ilvl w:val="1"/>
          <w:numId w:val="2"/>
        </w:numPr>
        <w:spacing w:before="200"/>
        <w:rPr>
          <w:rFonts w:ascii="Times New Roman" w:hAnsi="Times New Roman" w:cs="Times New Roman"/>
          <w:noProof/>
          <w:color w:val="auto"/>
          <w:sz w:val="26"/>
          <w:szCs w:val="26"/>
        </w:rPr>
      </w:pPr>
      <w:r>
        <w:rPr>
          <w:rFonts w:ascii="Times New Roman" w:hAnsi="Times New Roman"/>
          <w:noProof/>
          <w:color w:val="auto"/>
          <w:sz w:val="26"/>
        </w:rPr>
        <w:t>Mesures prises par la Grèce et l’Italie, notamment sur les points clés des feuilles de route</w:t>
      </w:r>
    </w:p>
    <w:p>
      <w:pPr>
        <w:rPr>
          <w:noProof/>
        </w:rPr>
      </w:pPr>
    </w:p>
    <w:p>
      <w:pPr>
        <w:pStyle w:val="ListParagraph"/>
        <w:numPr>
          <w:ilvl w:val="0"/>
          <w:numId w:val="8"/>
        </w:numPr>
        <w:ind w:left="720" w:hanging="360"/>
        <w:rPr>
          <w:b/>
          <w:i/>
          <w:noProof/>
        </w:rPr>
      </w:pPr>
      <w:r>
        <w:rPr>
          <w:b/>
          <w:i/>
          <w:noProof/>
        </w:rPr>
        <w:t xml:space="preserve">Grèce </w:t>
      </w:r>
    </w:p>
    <w:p>
      <w:pPr>
        <w:rPr>
          <w:noProof/>
        </w:rPr>
      </w:pPr>
    </w:p>
    <w:p>
      <w:pPr>
        <w:jc w:val="both"/>
        <w:rPr>
          <w:noProof/>
        </w:rPr>
      </w:pPr>
      <w:r>
        <w:rPr>
          <w:b/>
          <w:noProof/>
        </w:rPr>
        <w:t>Mesures visant à accélérer l'enregistrement des migrants et le traitement de leur dossier</w:t>
      </w:r>
      <w:r>
        <w:rPr>
          <w:noProof/>
        </w:rPr>
        <w:t xml:space="preserve">: Comme indiqué dans le quatrième rapport sur la relocalisation et la réinstallation, le service d'asile grec (en étroite coopération avec le HCR et l'EASO) a lancé une opération d'enregistrement préalable de grande envergure le 8 juin, ciblant environ 49 000 personnes qui </w:t>
      </w:r>
      <w:r>
        <w:rPr>
          <w:noProof/>
        </w:rPr>
        <w:lastRenderedPageBreak/>
        <w:t>résident actuellement dans des lieux d'hébergement temporaires sur le continent</w:t>
      </w:r>
      <w:r>
        <w:rPr>
          <w:rStyle w:val="FootnoteReference"/>
          <w:noProof/>
        </w:rPr>
        <w:footnoteReference w:id="24"/>
      </w:r>
      <w:r>
        <w:rPr>
          <w:noProof/>
        </w:rPr>
        <w:t>. Au 11 juillet, 21 223 personnes ont fait l'objet d'un enregistrement préalable.</w:t>
      </w:r>
    </w:p>
    <w:p>
      <w:pPr>
        <w:jc w:val="both"/>
        <w:rPr>
          <w:noProof/>
        </w:rPr>
      </w:pPr>
    </w:p>
    <w:p>
      <w:pPr>
        <w:jc w:val="both"/>
        <w:rPr>
          <w:noProof/>
        </w:rPr>
      </w:pPr>
      <w:r>
        <w:rPr>
          <w:b/>
          <w:noProof/>
        </w:rPr>
        <w:t xml:space="preserve">Mesures visant à renforcer les capacités d’enregistrement du service d'asile grec: </w:t>
      </w:r>
      <w:r>
        <w:rPr>
          <w:noProof/>
        </w:rPr>
        <w:t xml:space="preserve">Les équipes d'enregistrement mixtes service d’asile/EASO se composent de 6 experts à Athènes, 3 à Thessalonique et 3 à Alexandroúpoli. Comme indiqué dans le quatrième rapport, une partie du personnel du service d’asile grec participe à l’exercice d'enregistrement préalable. Par conséquent, la capacité de traitement dont le service d’asile dispose n’a pas encore été augmentée, mais un accroissement notable de celle-ci est prévu dès la fin de l’exercice d'enregistrement préalable. En moyenne, le service d’asile grec, avec l’appui de l’EASO, présente quotidiennement 110 demandeurs éligibles à une relocalisation. </w:t>
      </w:r>
    </w:p>
    <w:p>
      <w:pPr>
        <w:jc w:val="both"/>
        <w:rPr>
          <w:noProof/>
        </w:rPr>
      </w:pPr>
    </w:p>
    <w:p>
      <w:pPr>
        <w:widowControl w:val="0"/>
        <w:jc w:val="both"/>
        <w:rPr>
          <w:noProof/>
        </w:rPr>
      </w:pPr>
      <w:r>
        <w:rPr>
          <w:noProof/>
          <w:lang w:val="en-US" w:eastAsia="en-US" w:bidi="ar-SA"/>
        </w:rPr>
        <w:drawing>
          <wp:anchor distT="0" distB="0" distL="114300" distR="114300" simplePos="0" relativeHeight="251660289" behindDoc="0" locked="0" layoutInCell="1" allowOverlap="1">
            <wp:simplePos x="0" y="0"/>
            <wp:positionH relativeFrom="column">
              <wp:posOffset>24765</wp:posOffset>
            </wp:positionH>
            <wp:positionV relativeFrom="paragraph">
              <wp:posOffset>78105</wp:posOffset>
            </wp:positionV>
            <wp:extent cx="3042920" cy="2568575"/>
            <wp:effectExtent l="0" t="0" r="508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2920" cy="2568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Le nombre d’enregistrements s'est accompagné d'une hausse comparable du nombre d'engagements et l’écart entre le nombre de demandes de relocalisation présentées par la Grèce et le nombre d’acceptations par les États membres de relocalisation a diminué au cours de la période considérée: la Grèce a envoyé au total 1 268 demandes de relocalisation qui ont donné lieu à 1 224 nouvelles acceptations de la part des États membres de relocalisation. Ce décalage reste toutefois important et risque de créer un sérieux goulet d'étranglement aux lendemains de l'exercice d'enregistrement préalable de grande envergure. </w:t>
      </w:r>
    </w:p>
    <w:p>
      <w:pPr>
        <w:jc w:val="both"/>
        <w:rPr>
          <w:b/>
          <w:noProof/>
        </w:rPr>
      </w:pPr>
    </w:p>
    <w:p>
      <w:pPr>
        <w:jc w:val="both"/>
        <w:rPr>
          <w:noProof/>
        </w:rPr>
      </w:pPr>
      <w:r>
        <w:rPr>
          <w:b/>
          <w:noProof/>
        </w:rPr>
        <w:t>Mesures visant à améliorer la coordination et à diminuer le temps de réponse aux demandes de relocalisation</w:t>
      </w:r>
      <w:r>
        <w:rPr>
          <w:noProof/>
        </w:rPr>
        <w:t xml:space="preserve">: Le 8 juillet, le protocole sur la relocalisation a été approuvé lors de la réunion des officiers de liaison. </w:t>
      </w:r>
    </w:p>
    <w:p>
      <w:pPr>
        <w:jc w:val="both"/>
        <w:rPr>
          <w:noProof/>
        </w:rPr>
      </w:pPr>
    </w:p>
    <w:p>
      <w:pPr>
        <w:jc w:val="both"/>
        <w:rPr>
          <w:noProof/>
        </w:rPr>
      </w:pPr>
      <w:r>
        <w:rPr>
          <w:b/>
          <w:noProof/>
        </w:rPr>
        <w:t>Mesures visant à accroître les capacités d’accueil en Grèce</w:t>
      </w:r>
      <w:r>
        <w:rPr>
          <w:noProof/>
        </w:rPr>
        <w:t>: Á la date du 8 juillet, les capacités d'accueil totales de la Grèce se montaient à plus de 50 000 places</w:t>
      </w:r>
      <w:r>
        <w:rPr>
          <w:rStyle w:val="FootnoteReference"/>
          <w:noProof/>
        </w:rPr>
        <w:footnoteReference w:id="25"/>
      </w:r>
      <w:r>
        <w:rPr>
          <w:noProof/>
        </w:rPr>
        <w:t xml:space="preserve">, dans des structures temporaires et des lieux d'accueil permanents, à la fois pour les migrants en situation irrégulière et pour les personnes ayant potentiellement besoin d'une protection internationale qui ont exprimé leur volonté de demander l'asile ou ont déjà déposé leur demande d'asile. Toutefois, ces structures doivent être considérablement améliorées pour </w:t>
      </w:r>
      <w:r>
        <w:rPr>
          <w:noProof/>
        </w:rPr>
        <w:lastRenderedPageBreak/>
        <w:t>satisfaire aux normes applicables</w:t>
      </w:r>
      <w:r>
        <w:rPr>
          <w:rStyle w:val="FootnoteReference"/>
          <w:noProof/>
        </w:rPr>
        <w:footnoteReference w:id="26"/>
      </w:r>
      <w:r>
        <w:rPr>
          <w:noProof/>
        </w:rPr>
        <w:t xml:space="preserve">. Sur les 20 000 places affectées aux demandeurs éligibles à une relocalisation dans le cadre du programme de subvention des loyers du HCR en décembre 2015, 7 652 places étaient disponibles à la date du 4 juillet, dont 2 349 dans des hôtels/immeubles entiers, 3 738 dans des appartements, 212 dans des familles d'accueil et 201 dans des structures réservées aux mineurs non accompagnés. </w:t>
      </w:r>
    </w:p>
    <w:p>
      <w:pPr>
        <w:jc w:val="both"/>
        <w:rPr>
          <w:noProof/>
        </w:rPr>
      </w:pPr>
    </w:p>
    <w:p>
      <w:pPr>
        <w:jc w:val="both"/>
        <w:rPr>
          <w:noProof/>
        </w:rPr>
      </w:pPr>
      <w:r>
        <w:rPr>
          <w:noProof/>
        </w:rPr>
        <w:t>Toutefois, à la date du 11 juillet, un seul des trois centres de relocalisation prévus par les autorités grecques (Lagadikia) a été mis en place. Au 8 juillet, 861 personnes étaient hébergées dans ce centre. Pour les deux autres, les autorités grecques n'ont pas encore désigné de sites appropriés. Les discussions se poursuivent entre le HCR</w:t>
      </w:r>
      <w:r>
        <w:rPr>
          <w:rStyle w:val="FootnoteReference"/>
          <w:noProof/>
        </w:rPr>
        <w:footnoteReference w:id="27"/>
      </w:r>
      <w:r>
        <w:rPr>
          <w:noProof/>
        </w:rPr>
        <w:t xml:space="preserve"> et les autorités grecques concernant la mise à disposition d’un plus grand nombre de sites pour la construction de centres dédiés à la relocalisation, notamment dans la région de l’Attique</w:t>
      </w:r>
      <w:r>
        <w:rPr>
          <w:rStyle w:val="FootnoteReference"/>
          <w:noProof/>
        </w:rPr>
        <w:footnoteReference w:id="28"/>
      </w:r>
      <w:r>
        <w:rPr>
          <w:noProof/>
        </w:rPr>
        <w:t xml:space="preserve">. Comme mentionné dans le quatrième rapport, ces sites devraient être désignés dans les plus brefs délais afin d’éviter des engorgements dans le déroulement des tâches liées aux relocalisations une fois terminé l'exercice d'enregistrement préalable de grande envergure. </w:t>
      </w:r>
    </w:p>
    <w:p>
      <w:pPr>
        <w:rPr>
          <w:noProof/>
        </w:rPr>
      </w:pPr>
    </w:p>
    <w:p>
      <w:pPr>
        <w:pStyle w:val="ListParagraph"/>
        <w:keepNext/>
        <w:numPr>
          <w:ilvl w:val="0"/>
          <w:numId w:val="8"/>
        </w:numPr>
        <w:ind w:left="720" w:hanging="360"/>
        <w:rPr>
          <w:b/>
          <w:i/>
          <w:noProof/>
        </w:rPr>
      </w:pPr>
      <w:r>
        <w:rPr>
          <w:b/>
          <w:i/>
          <w:noProof/>
        </w:rPr>
        <w:t xml:space="preserve">Italie </w:t>
      </w:r>
    </w:p>
    <w:p>
      <w:pPr>
        <w:keepNext/>
        <w:rPr>
          <w:noProof/>
        </w:rPr>
      </w:pPr>
    </w:p>
    <w:p>
      <w:pPr>
        <w:jc w:val="both"/>
        <w:rPr>
          <w:noProof/>
        </w:rPr>
      </w:pPr>
      <w:r>
        <w:rPr>
          <w:b/>
          <w:noProof/>
        </w:rPr>
        <w:t xml:space="preserve">Mesures visant à accroître le nombre de centres d'enregistrement («hotspots») et à les rendre pleinement opérationnels: </w:t>
      </w:r>
      <w:r>
        <w:rPr>
          <w:noProof/>
        </w:rPr>
        <w:t xml:space="preserve">Au cours des derniers mois, les chiffres record enregistrés pour les arrivées ont démontré que la capacité actuelle de 1 600 places dans les quatre centres opérationnels (Pozzallo, Lampedusa, Trapani et Tarante) n’est pas suffisante. En outre, la majorité des débarquements continuent à avoir lieu hors des zones d'enregistrement. Comme indiqué dans le quatrième rapport, l’Italie devrait accélérer l’ouverture des centres d'enregistrement supplémentaires déjà annoncés, ainsi que la mise en place de centres mobiles (avec le soutien des agences de l’UE). En outre, compte tenu de la hausse du nombre de mineurs non accompagnés débarquant en Italie, des espaces devraient leur être réservés et une assistance spécifique leur être fournie dans tous les centres d'enregistrement. </w:t>
      </w:r>
    </w:p>
    <w:p>
      <w:pPr>
        <w:jc w:val="both"/>
        <w:rPr>
          <w:b/>
          <w:noProof/>
        </w:rPr>
      </w:pPr>
    </w:p>
    <w:p>
      <w:pPr>
        <w:jc w:val="both"/>
        <w:rPr>
          <w:noProof/>
        </w:rPr>
      </w:pPr>
      <w:r>
        <w:rPr>
          <w:b/>
          <w:noProof/>
        </w:rPr>
        <w:t xml:space="preserve">Mesures visant à améliorer la coordination: </w:t>
      </w:r>
      <w:r>
        <w:rPr>
          <w:noProof/>
        </w:rPr>
        <w:t>Après l’adoption des modes opératoires standardisés relatifs aux centres d'enregistrement italiens</w:t>
      </w:r>
      <w:r>
        <w:rPr>
          <w:rStyle w:val="FootnoteReference"/>
          <w:rFonts w:eastAsiaTheme="majorEastAsia"/>
          <w:noProof/>
        </w:rPr>
        <w:footnoteReference w:id="29"/>
      </w:r>
      <w:r>
        <w:rPr>
          <w:noProof/>
        </w:rPr>
        <w:t>, plusieurs cours de formation consacrés à ces modes opératoires ont été offerts aux parties concernées à Trapani (27 juin), à Lampedusa (28 juin) et à Tarante (5 juillet). Ces cours ont été organisés par le ministère italien de l’intérieur, en coopération avec la Commission, Frontex, Europol, l’EASO, le HCR et l’OIM. Un cours supplémentaire est programmé le 12 juillet 2016 à Pozzallo. Le groupe qui a élaboré les modes opératoires standardisés continuera de se réunir régulièrement et de contrôler la mise en œuvre correcte des dispositions correspondantes dans le cadre des activités quotidiennes.</w:t>
      </w:r>
    </w:p>
    <w:p>
      <w:pPr>
        <w:pStyle w:val="CommentText"/>
        <w:jc w:val="both"/>
        <w:rPr>
          <w:noProof/>
          <w:sz w:val="24"/>
        </w:rPr>
      </w:pPr>
    </w:p>
    <w:p>
      <w:pPr>
        <w:pStyle w:val="CommentText"/>
        <w:jc w:val="both"/>
        <w:rPr>
          <w:noProof/>
          <w:sz w:val="24"/>
          <w:szCs w:val="24"/>
        </w:rPr>
      </w:pPr>
      <w:r>
        <w:rPr>
          <w:noProof/>
          <w:sz w:val="24"/>
        </w:rPr>
        <w:t xml:space="preserve">La Commission accompagne les autorités italiennes dans la définition de l’organisation des tâches liées aux relocalisations. Un premier projet de texte fixant cette organisation des tâches a été élaboré et est en cours de discussion avec les parties concernées en vue de son approbation. Ce processus devrait s’achever très rapidement. La Commission organisera également une réunion des points de contact nationaux et des autorités italiennes afin d’améliorer la coordination entre les différents acteurs, et d’évaluer et éliminer rapidement les goulets d’étranglement recensés. </w:t>
      </w:r>
    </w:p>
    <w:p>
      <w:pPr>
        <w:pStyle w:val="CommentText"/>
        <w:jc w:val="both"/>
        <w:rPr>
          <w:noProof/>
          <w:sz w:val="24"/>
          <w:szCs w:val="24"/>
        </w:rPr>
      </w:pPr>
    </w:p>
    <w:p>
      <w:pPr>
        <w:pStyle w:val="CommentText"/>
        <w:jc w:val="both"/>
        <w:rPr>
          <w:noProof/>
          <w:sz w:val="24"/>
          <w:szCs w:val="24"/>
        </w:rPr>
      </w:pPr>
      <w:r>
        <w:rPr>
          <w:noProof/>
          <w:sz w:val="24"/>
        </w:rPr>
        <w:t xml:space="preserve">Par ailleurs, la Commission relève la nécessité de disposer d’informations claires sur le nombre d'arrivées, de personnes enregistrées et de candidats pouvant prétendre à une relocalisation présents en Italie. Elle travaille actuellement avec les autorités italiennes et l’EASO en vue d’établir des procédures plus claires pour améliorer l’information sur ces points. </w:t>
      </w:r>
    </w:p>
    <w:p>
      <w:pPr>
        <w:jc w:val="both"/>
        <w:rPr>
          <w:noProof/>
        </w:rPr>
      </w:pPr>
    </w:p>
    <w:p>
      <w:pPr>
        <w:jc w:val="both"/>
        <w:rPr>
          <w:noProof/>
        </w:rPr>
      </w:pPr>
      <w:r>
        <w:rPr>
          <w:b/>
          <w:noProof/>
        </w:rPr>
        <w:t>Mesures visant à accroître les capacités de traitement en Italie:</w:t>
      </w:r>
      <w:r>
        <w:rPr>
          <w:noProof/>
        </w:rPr>
        <w:t xml:space="preserve"> Comme indiqué dans le quatrième rapport, les capacités dont les autorités italiennes disposent pour enregistrer et traiter les demandes doivent augmenter. Cela permettrait également de réduire le risque de fuite des demandeurs, étant donné que leurs demandes seraient traitées plus rapidement. Les équipes enregistrant les demandes doivent être renforcées et la présence de l’EASO dans les nouveaux pôles d’enregistrement doit être assurée. </w:t>
      </w:r>
    </w:p>
    <w:p>
      <w:pPr>
        <w:jc w:val="both"/>
        <w:rPr>
          <w:noProof/>
        </w:rPr>
      </w:pPr>
    </w:p>
    <w:p>
      <w:pPr>
        <w:jc w:val="both"/>
        <w:rPr>
          <w:rFonts w:ascii="Book Antiqua" w:hAnsi="Book Antiqua"/>
          <w:noProof/>
          <w:color w:val="008000"/>
        </w:rPr>
      </w:pPr>
      <w:r>
        <w:rPr>
          <w:b/>
          <w:noProof/>
        </w:rPr>
        <w:t xml:space="preserve">Mesures visant à diminuer le temps de réponse aux demandes de relocalisation: </w:t>
      </w:r>
      <w:r>
        <w:rPr>
          <w:noProof/>
        </w:rPr>
        <w:t>L'Italie continue à appliquer une politique très stricte ne permettant pas la tenue d'entretiens de sécurité supplémentaires par l'État membre de relocalisation. En conséquence, certains États membres ne relocalisent aucun demandeur au départ de l'Italie. Cette situation a un impact significatif sur le nombre de relocalisations effectuées depuis l’Italie, qui demeure exceptionnellement faible. Comme mentionné dans le quatrième rapport, des solutions doivent être trouvées pour permettre la tenue de ces entretiens, eu égard notamment aux profils plus complexes des demandeurs. Les recommandations du quatrième rapport restent valables s'agissant de renforcer la confiance et de diminuer le nombre de demandes d’entretiens supplémentaires faites par les États membres de relocalisation</w:t>
      </w:r>
      <w:r>
        <w:rPr>
          <w:rStyle w:val="FootnoteReference"/>
          <w:noProof/>
        </w:rPr>
        <w:footnoteReference w:id="30"/>
      </w:r>
      <w:r>
        <w:rPr>
          <w:noProof/>
        </w:rPr>
        <w:t>.</w:t>
      </w:r>
    </w:p>
    <w:p>
      <w:pPr>
        <w:jc w:val="both"/>
        <w:rPr>
          <w:b/>
          <w:noProof/>
        </w:rPr>
      </w:pPr>
    </w:p>
    <w:p>
      <w:pPr>
        <w:jc w:val="both"/>
        <w:rPr>
          <w:noProof/>
        </w:rPr>
      </w:pPr>
      <w:r>
        <w:rPr>
          <w:b/>
          <w:noProof/>
        </w:rPr>
        <w:t>Mesures visant à s’attaquer aux problèmes liés à la relocalisation des demandeurs vulnérables et des mineurs non accompagnés:</w:t>
      </w:r>
      <w:r>
        <w:rPr>
          <w:noProof/>
        </w:rPr>
        <w:t xml:space="preserve"> Aucun mineur non accompagné n’a encore été relocalisé à partir de l’Italie. La relocalisation de ces mineurs devrait devenir une priorité essentielle car ils sont 1 500 à pouvoir prétendre à une relocalisation (la grande majorité d'entre eux, soit 1 430, provient d’Érythrée). L’absence d'une procédure visant à faciliter la relocalisation des mineurs non accompagnés qui soit spécifique à l’Italie, encourage indirectement ceux-ci à se rendre de manière autonome à leur destination souhaitée, ce qui les expose aux passeurs et en fait de potentielles victimes de la traite des êtres humains. Il est essentiel de mettre rapidement en place le projet pilote de relocalisation des mineurs non accompagnés afin d’élaborer une procédure de relocalisation spécifique à l’Italie. </w:t>
      </w:r>
    </w:p>
    <w:p>
      <w:pPr>
        <w:jc w:val="both"/>
        <w:rPr>
          <w:noProof/>
        </w:rPr>
      </w:pPr>
    </w:p>
    <w:p>
      <w:pPr>
        <w:pStyle w:val="Heading1"/>
        <w:numPr>
          <w:ilvl w:val="1"/>
          <w:numId w:val="2"/>
        </w:numPr>
        <w:spacing w:before="200"/>
        <w:rPr>
          <w:noProof/>
        </w:rPr>
      </w:pPr>
      <w:r>
        <w:rPr>
          <w:rFonts w:ascii="Times New Roman" w:hAnsi="Times New Roman"/>
          <w:noProof/>
          <w:color w:val="auto"/>
          <w:sz w:val="26"/>
        </w:rPr>
        <w:t xml:space="preserve">Mesures prises par la Commission et les agences de l’UE </w:t>
      </w:r>
    </w:p>
    <w:p>
      <w:pPr>
        <w:rPr>
          <w:noProof/>
        </w:rPr>
      </w:pPr>
    </w:p>
    <w:p>
      <w:pPr>
        <w:pStyle w:val="ListParagraph"/>
        <w:numPr>
          <w:ilvl w:val="0"/>
          <w:numId w:val="8"/>
        </w:numPr>
        <w:ind w:left="720" w:hanging="360"/>
        <w:rPr>
          <w:b/>
          <w:i/>
          <w:noProof/>
        </w:rPr>
      </w:pPr>
      <w:r>
        <w:rPr>
          <w:b/>
          <w:i/>
          <w:noProof/>
        </w:rPr>
        <w:t>Commission européenne</w:t>
      </w:r>
    </w:p>
    <w:p>
      <w:pPr>
        <w:rPr>
          <w:noProof/>
        </w:rPr>
      </w:pPr>
    </w:p>
    <w:p>
      <w:pPr>
        <w:jc w:val="both"/>
        <w:rPr>
          <w:noProof/>
        </w:rPr>
      </w:pPr>
      <w:r>
        <w:rPr>
          <w:noProof/>
        </w:rPr>
        <w:t>La Commission a continué à apporter son soutien à l'Italie et à la Grèce sur le terrain</w:t>
      </w:r>
      <w:r>
        <w:rPr>
          <w:rStyle w:val="FootnoteReference"/>
          <w:noProof/>
        </w:rPr>
        <w:footnoteReference w:id="31"/>
      </w:r>
      <w:r>
        <w:rPr>
          <w:noProof/>
        </w:rPr>
        <w:t>. Elle a également consacré une séance de la douzième réunion du groupe informel d’experts sur les droits de l’enfant à la relocalisation des mineurs non accompagnés, afin de sensibiliser les experts à cette question complexe et de partager avec eux des expériences positives (principalement celle de la Finlande). Dans le cadre de la surveillance de l'application des décisions du Conseil sur la relocalisation, la Commission a fait part de ses inquiétudes, et continuera de le faire, aux États membres qui n'ont pas encore rempli leurs obligations.</w:t>
      </w:r>
    </w:p>
    <w:p>
      <w:pPr>
        <w:pStyle w:val="ListParagraph"/>
        <w:rPr>
          <w:b/>
          <w:i/>
          <w:noProof/>
        </w:rPr>
      </w:pPr>
    </w:p>
    <w:p>
      <w:pPr>
        <w:pStyle w:val="ListParagraph"/>
        <w:numPr>
          <w:ilvl w:val="0"/>
          <w:numId w:val="8"/>
        </w:numPr>
        <w:ind w:left="720" w:hanging="360"/>
        <w:rPr>
          <w:noProof/>
        </w:rPr>
      </w:pPr>
      <w:r>
        <w:rPr>
          <w:b/>
          <w:i/>
          <w:noProof/>
        </w:rPr>
        <w:t>Bureau européen d’appui en matière d’asile</w:t>
      </w:r>
    </w:p>
    <w:p>
      <w:pPr>
        <w:rPr>
          <w:noProof/>
        </w:rPr>
      </w:pPr>
    </w:p>
    <w:p>
      <w:pPr>
        <w:jc w:val="both"/>
        <w:rPr>
          <w:noProof/>
        </w:rPr>
      </w:pPr>
      <w:r>
        <w:rPr>
          <w:b/>
          <w:noProof/>
        </w:rPr>
        <w:t>Mesures visant à accélérer le processus de relocalisation et à accroître la capacité d'enregistrement en Grèce et en Italie:</w:t>
      </w:r>
      <w:r>
        <w:rPr>
          <w:noProof/>
        </w:rPr>
        <w:t xml:space="preserve"> Des experts sont déployés pour assumer un certain nombre de fonctions. En Grèce, 12 experts contribuent directement au processus d'enregistrement en participant au traitement conjoint des demandes; 14 autres participent à la diffusion d'informations, à la gestion de deux lignes d'assistance téléphonique et à la fourniture d'informations sur les procédures d’enregistrement, de relocalisation et de Dublin, dans les camps et durant l'exercice d'enregistrement préalable</w:t>
      </w:r>
      <w:r>
        <w:rPr>
          <w:rStyle w:val="FootnoteReference"/>
          <w:noProof/>
        </w:rPr>
        <w:footnoteReference w:id="32"/>
      </w:r>
      <w:r>
        <w:rPr>
          <w:noProof/>
        </w:rPr>
        <w:t xml:space="preserve">. Sur la base des recommandations relatives aux moyens d'améliorer la mise en relation des demandeurs avec des États membres particuliers, l’EASO apporte la dernière main à un plan d’action, en collaboration avec le service d’asile grec, en vue de mettre en œuvre l’assistance correspondante. </w:t>
      </w:r>
    </w:p>
    <w:p>
      <w:pPr>
        <w:jc w:val="both"/>
        <w:rPr>
          <w:noProof/>
        </w:rPr>
      </w:pPr>
    </w:p>
    <w:p>
      <w:pPr>
        <w:rPr>
          <w:rFonts w:eastAsiaTheme="majorEastAsia"/>
          <w:b/>
          <w:bCs/>
          <w:noProof/>
          <w:color w:val="000000" w:themeColor="text1"/>
          <w:sz w:val="28"/>
          <w:szCs w:val="28"/>
        </w:rPr>
      </w:pPr>
      <w:r>
        <w:rPr>
          <w:noProof/>
        </w:rPr>
        <w:t>En Italie, l'EASO est en train de déployer 32 des 74 experts demandés aux États membres et pays associés: 9 experts dans les centres d'enregistrement, 4 experts dans deux équipes mobiles (basées à Rome et à Catane), 13 experts dans les pôles de relocalisation et 6 experts dans l'unité Dublin de Rome. L'EASO va également déployer jusqu'à 48 médiateurs culturels (pour l'arabe, le tigrinya et le kurde) en appui au processus de relocalisation (à la date du 11 juillet, 35 médiateurs culturels étaient déployés sur le terrain).</w:t>
      </w:r>
      <w:r>
        <w:rPr>
          <w:noProof/>
        </w:rPr>
        <w:br w:type="page"/>
      </w:r>
    </w:p>
    <w:p>
      <w:pPr>
        <w:pStyle w:val="Heading1"/>
        <w:numPr>
          <w:ilvl w:val="0"/>
          <w:numId w:val="2"/>
        </w:numPr>
        <w:spacing w:after="120"/>
        <w:rPr>
          <w:noProof/>
        </w:rPr>
      </w:pPr>
      <w:r>
        <w:rPr>
          <w:rFonts w:ascii="Times New Roman" w:hAnsi="Times New Roman"/>
          <w:noProof/>
          <w:color w:val="000000" w:themeColor="text1"/>
        </w:rPr>
        <w:t xml:space="preserve">Réinstallation </w:t>
      </w:r>
    </w:p>
    <w:p>
      <w:pPr>
        <w:jc w:val="both"/>
        <w:rPr>
          <w:noProof/>
        </w:rPr>
      </w:pPr>
      <w:r>
        <w:rPr>
          <w:noProof/>
        </w:rPr>
        <w:t xml:space="preserve">Selon les informations fournies par les États participants, à la date du 11 juillet 2016, 8 268 personnes ont, dans le cadre du programme de réinstallation du 20 juillet 2015, été transférées vers 20 États de réinstallation (Allemagne, Autriche, Belgique, Danemark, Espagne, Finlande, France, Irlande, Islande, Italie, Liechtenstein, Lettonie, Lituanie, Norvège, Pays-Bas, Portugal, République tchèque, Royaume-Uni, Suède et Suisse). Une majorité d’États participant au programme ont indiqué que leurs efforts de réinstallation étaient principalement, mais pas exclusivement, axés sur les Syriens se trouvant en Jordanie, au Liban ou en Turquie. </w:t>
      </w:r>
    </w:p>
    <w:p>
      <w:pPr>
        <w:jc w:val="both"/>
        <w:rPr>
          <w:noProof/>
        </w:rPr>
      </w:pPr>
    </w:p>
    <w:p>
      <w:pPr>
        <w:jc w:val="both"/>
        <w:rPr>
          <w:noProof/>
        </w:rPr>
      </w:pPr>
      <w:r>
        <w:rPr>
          <w:noProof/>
        </w:rPr>
        <w:t>Le nombre de réinstallations depuis la Turquie ne cesse d'augmenter à mesure que les États membres finalisent l'évaluation des dossiers qui leur ont été adressés par la Turquie par l'intermédiaire du HCR. Depuis le 4 avril 2016, 802 Syriens ont été réinstallés depuis la Turquie dans le cadre du volet «réinstallation» du mécanisme «un pour un». Davantage d'États membres participent aussi activement à ce mécanisme. Depuis le dernier rapport d'avancement, des réinstallations ont également eu lieu en Lettonie et en Espagne, outre la Finlande, l'Allemagne, la Lituanie, les Pays-Bas, la Suède, l'Italie, le Luxembourg et le Portugal.</w:t>
      </w:r>
    </w:p>
    <w:p>
      <w:pPr>
        <w:jc w:val="both"/>
        <w:rPr>
          <w:noProof/>
        </w:rPr>
      </w:pPr>
    </w:p>
    <w:p>
      <w:pPr>
        <w:jc w:val="both"/>
        <w:rPr>
          <w:noProof/>
          <w:highlight w:val="yellow"/>
        </w:rPr>
      </w:pPr>
      <w:r>
        <w:rPr>
          <w:noProof/>
          <w:sz w:val="23"/>
        </w:rPr>
        <w:t xml:space="preserve">La déclaration UE-Turquie du 18 mars prévoit que le programme d’admission humanitaire volontaire en association avec la Turquie soit activé dès que les franchissements irréguliers des frontières entre la Turquie et l’UE auront pris fin ou auront, tout au moins, diminué sensiblement et durablement. </w:t>
      </w:r>
      <w:r>
        <w:rPr>
          <w:noProof/>
        </w:rPr>
        <w:t>Les modes opératoires standardisés applicables au programme d’admission humanitaire volontaire en association avec la Turquie sont en cours d’élaboration au sein du Conseil, en étroite coopération avec la Commission, l'EASO, le HCR et l’OIM. Le document correspondant, qui a été communiqué à la Turquie le 7 juin, est en cours de négociation.</w:t>
      </w:r>
      <w:r>
        <w:rPr>
          <w:noProof/>
          <w:color w:val="000000"/>
          <w:sz w:val="23"/>
        </w:rPr>
        <w:t xml:space="preserve"> </w:t>
      </w:r>
      <w:r>
        <w:rPr>
          <w:noProof/>
        </w:rPr>
        <w:t>Une fois ces modes opératoires approuvés, il s'agira d’apprécier si les conditions pour le déclenchement de la mise en œuvre de ce programme sont réunies.</w:t>
      </w:r>
    </w:p>
    <w:p>
      <w:pPr>
        <w:jc w:val="both"/>
        <w:rPr>
          <w:noProof/>
          <w:highlight w:val="yellow"/>
        </w:rPr>
      </w:pPr>
    </w:p>
    <w:p>
      <w:pPr>
        <w:jc w:val="both"/>
        <w:rPr>
          <w:noProof/>
          <w:sz w:val="23"/>
          <w:szCs w:val="23"/>
        </w:rPr>
      </w:pPr>
      <w:r>
        <w:rPr>
          <w:noProof/>
          <w:sz w:val="23"/>
        </w:rPr>
        <w:t xml:space="preserve">En ce qui concerne la proposition présentée par la Commission le 21 mars 2016, qui consiste à mettre à disposition de nouvelles places de réinstallation ou d'autres formes d'admission légale depuis la Turquie en modifiant la décision (UE) 2015/1601 du Conseil du 22 septembre 2015 en ce qui concerne la relocalisation de demandeurs de protection internationale depuis l'Italie et la Grèce, le Conseil attend l'avis du Parlement européen, prévu pour septembre 2016, avant d'adopter ladite décision. Il importe que cette proposition soit adoptée rapidement de manière à permettre aux États membres de faire usage de la flexibilité qu'elle prévoit. </w:t>
      </w:r>
    </w:p>
    <w:p>
      <w:pPr>
        <w:jc w:val="both"/>
        <w:rPr>
          <w:noProof/>
          <w:sz w:val="23"/>
          <w:szCs w:val="23"/>
        </w:rPr>
      </w:pPr>
    </w:p>
    <w:p>
      <w:pPr>
        <w:jc w:val="both"/>
        <w:rPr>
          <w:noProof/>
          <w:sz w:val="23"/>
          <w:szCs w:val="23"/>
        </w:rPr>
      </w:pPr>
      <w:r>
        <w:rPr>
          <w:noProof/>
          <w:sz w:val="23"/>
        </w:rPr>
        <w:t>La Commission a également adopté une proposition de règlement instituant un cadre de réinstallation dans l’Union</w:t>
      </w:r>
      <w:r>
        <w:rPr>
          <w:rStyle w:val="FootnoteReference"/>
          <w:noProof/>
          <w:sz w:val="23"/>
        </w:rPr>
        <w:footnoteReference w:id="33"/>
      </w:r>
      <w:r>
        <w:rPr>
          <w:noProof/>
          <w:sz w:val="23"/>
        </w:rPr>
        <w:t xml:space="preserve"> et invite le Parlement européen et le Conseil à accorder la priorité à cette proposition.</w:t>
      </w:r>
    </w:p>
    <w:p>
      <w:pPr>
        <w:pStyle w:val="Heading1"/>
        <w:numPr>
          <w:ilvl w:val="0"/>
          <w:numId w:val="2"/>
        </w:numPr>
        <w:spacing w:after="120"/>
        <w:rPr>
          <w:rFonts w:ascii="Times New Roman" w:hAnsi="Times New Roman" w:cs="Times New Roman"/>
          <w:noProof/>
          <w:color w:val="000000" w:themeColor="text1"/>
        </w:rPr>
      </w:pPr>
      <w:r>
        <w:rPr>
          <w:rFonts w:ascii="Times New Roman" w:hAnsi="Times New Roman"/>
          <w:noProof/>
          <w:color w:val="000000" w:themeColor="text1"/>
        </w:rPr>
        <w:t>Étapes ultérieures</w:t>
      </w:r>
    </w:p>
    <w:p>
      <w:pPr>
        <w:jc w:val="both"/>
        <w:rPr>
          <w:noProof/>
        </w:rPr>
      </w:pPr>
      <w:r>
        <w:rPr>
          <w:noProof/>
        </w:rPr>
        <w:t>La Grèce reste confrontée à une crise humanitaire qui appelle l'exécution rapide et intégrale, par les États membres, des obligations qui leur incombent en vertu des décisions du Conseil en matière de relocalisation. En ce qui concerne l’Italie, le nombre d’arrivées en hausse vient confirmer les tendances saisonnières déjà observées et se traduira par une augmentation rapide du nombre de demandeurs éligibles à une relocalisation.</w:t>
      </w:r>
    </w:p>
    <w:p>
      <w:pPr>
        <w:jc w:val="both"/>
        <w:rPr>
          <w:noProof/>
        </w:rPr>
      </w:pPr>
    </w:p>
    <w:p>
      <w:pPr>
        <w:jc w:val="both"/>
        <w:rPr>
          <w:noProof/>
        </w:rPr>
      </w:pPr>
      <w:r>
        <w:rPr>
          <w:noProof/>
        </w:rPr>
        <w:t>Lors de sa dernière réunion du 28 juin, le Conseil européen</w:t>
      </w:r>
      <w:r>
        <w:rPr>
          <w:rStyle w:val="FootnoteReference"/>
          <w:noProof/>
        </w:rPr>
        <w:footnoteReference w:id="34"/>
      </w:r>
      <w:r>
        <w:rPr>
          <w:noProof/>
        </w:rPr>
        <w:t xml:space="preserve"> a reconnu l’urgence de la situation et a réitéré son appel en faveur de nouvelles mesures pour accélérer la mise en œuvre des programmes de relocalisation et de réinstallation. Les appels lancés par les chefs d'État ou de gouvernement doivent être suivis d'une action déterminée de la part des services nationaux compétents sur le terrain.</w:t>
      </w:r>
    </w:p>
    <w:p>
      <w:pPr>
        <w:jc w:val="both"/>
        <w:rPr>
          <w:noProof/>
        </w:rPr>
      </w:pPr>
    </w:p>
    <w:p>
      <w:pPr>
        <w:jc w:val="both"/>
        <w:rPr>
          <w:noProof/>
        </w:rPr>
      </w:pPr>
      <w:r>
        <w:rPr>
          <w:noProof/>
        </w:rPr>
        <w:t>La Commission prend acte des progrès réalisés et des efforts consentis, qui se reflètent dans le rythme des relocalisations qui continue à s'intensifier, du moins en ce qui concerne la Grèce. Cependant, les résultats obtenus ne sont pas encore à la mesure des appels lancés ou de l'ampleur du défi à relever. Dans son premier rapport sur la relocalisation et la réinstallation</w:t>
      </w:r>
      <w:r>
        <w:rPr>
          <w:rStyle w:val="FootnoteReference"/>
          <w:noProof/>
        </w:rPr>
        <w:footnoteReference w:id="35"/>
      </w:r>
      <w:r>
        <w:rPr>
          <w:noProof/>
        </w:rPr>
        <w:t xml:space="preserve">, la Commission estimait qu’au moins 6 000 personnes devraient être relocalisées chaque mois. </w:t>
      </w:r>
    </w:p>
    <w:p>
      <w:pPr>
        <w:jc w:val="both"/>
        <w:rPr>
          <w:noProof/>
        </w:rPr>
      </w:pPr>
    </w:p>
    <w:p>
      <w:pPr>
        <w:jc w:val="both"/>
        <w:rPr>
          <w:noProof/>
        </w:rPr>
      </w:pPr>
      <w:r>
        <w:rPr>
          <w:noProof/>
        </w:rPr>
        <w:t>La Grèce procède actuellement à un exercice d'enregistrement préalable rapide et de grande envergure, qui accélérera l'identification et l'enregistrement complet des demandeurs éligibles à une relocalisation, dont le nombre devrait atteindre 34 000. La Grèce doit continuer à développer ses capacités de traitement afin d'éviter de créer un engorgement après la fin de l'enregistrement préalable, de façon à ce que les demandeurs puissent déposer leur dossier de candidature complet aussi rapidement que possible; par ailleurs, elle doit établir de toute urgence les centres de relocalisation supplémentaires et relocaliser les demandeurs qui remplissent les conditions requises.</w:t>
      </w:r>
    </w:p>
    <w:p>
      <w:pPr>
        <w:jc w:val="both"/>
        <w:rPr>
          <w:noProof/>
        </w:rPr>
      </w:pPr>
    </w:p>
    <w:p>
      <w:pPr>
        <w:jc w:val="both"/>
        <w:rPr>
          <w:noProof/>
        </w:rPr>
      </w:pPr>
      <w:r>
        <w:rPr>
          <w:noProof/>
        </w:rPr>
        <w:t xml:space="preserve">En Italie, l’augmentation continue du nombre de demandeurs éligibles à une relocalisation (4 650 Érythréens à relocaliser) oblige les autorités italiennes à accroître rapidement leurs capacités de traitement, à coopérer plus étroitement avec les États membres de relocalisation, à finaliser l'organisation des tâches liées aux relocalisations et à la mettre en œuvre sans tarder, tout en renforçant leurs capacités administratives. L’Italie devrait également, sans délai, mettre à exécution le projet pilote de relocalisation des mineurs non accompagnés et instaurer des procédures spécifiques permettant la relocalisation de cette catégorie de demandeurs vulnérables. </w:t>
      </w:r>
    </w:p>
    <w:p>
      <w:pPr>
        <w:jc w:val="both"/>
        <w:rPr>
          <w:noProof/>
        </w:rPr>
      </w:pPr>
    </w:p>
    <w:p>
      <w:pPr>
        <w:jc w:val="both"/>
        <w:rPr>
          <w:noProof/>
        </w:rPr>
      </w:pPr>
      <w:r>
        <w:rPr>
          <w:noProof/>
        </w:rPr>
        <w:t xml:space="preserve">Pour leur part, les États membres doivent d'urgence réagir de manière adéquate en augmentant le nombre de leurs engagements, notamment pour les mineurs non accompagnés, en planifiant avec soin les transferts pour les six mois à venir et en réduisant le temps de réponse aux demandes de relocalisation (y compris en limitant les vérifications de sécurité supplémentaires à des cas spécifiques et dûment justifiés). La Grèce et l'Italie auront aussi besoin d'un soutien accru de la part des États membres, afin que l'EASO puisse déployer les experts nécessaires à l'intensification des enregistrements. Ces experts devraient être détachés pour six mois au moins. </w:t>
      </w:r>
    </w:p>
    <w:p>
      <w:pPr>
        <w:jc w:val="both"/>
        <w:rPr>
          <w:noProof/>
        </w:rPr>
      </w:pPr>
    </w:p>
    <w:p>
      <w:pPr>
        <w:jc w:val="both"/>
        <w:rPr>
          <w:noProof/>
        </w:rPr>
      </w:pPr>
      <w:r>
        <w:rPr>
          <w:noProof/>
        </w:rPr>
        <w:t xml:space="preserve">La Commission invite instamment les États membres à respecter intégralement les obligations qui leur incombent en vertu des décisions du Conseil sur la relocalisation et appelle tous les États membres à s'investir plus activement dans la relocalisation, à prendre des engagements et à relocaliser, tant depuis l'Italie que depuis la Grèce, dans des proportions conformes aux contingents qui leur ont été attribués et suivant un rythme régulier. Les États membres qui n'ont pas encore pris d'engagement ou n'ont encore relocalisé aucun demandeur devraient le faire sans délai. </w:t>
      </w:r>
    </w:p>
    <w:p>
      <w:pPr>
        <w:jc w:val="both"/>
        <w:rPr>
          <w:noProof/>
        </w:rPr>
      </w:pPr>
    </w:p>
    <w:p>
      <w:pPr>
        <w:jc w:val="both"/>
        <w:rPr>
          <w:noProof/>
        </w:rPr>
      </w:pPr>
      <w:r>
        <w:rPr>
          <w:noProof/>
        </w:rPr>
        <w:t>La Commission continuera de surveiller de près la mise en œuvre des deux décisions du Conseil sur la relocalisation et à faire régulièrement rapport à ce sujet. La Commission se réserve le droit de prendre des mesures à l'encontre des États membres qui ne se conforment pas à leurs obligations.</w:t>
      </w:r>
    </w:p>
    <w:p>
      <w:pPr>
        <w:jc w:val="both"/>
        <w:rPr>
          <w:noProof/>
        </w:rPr>
      </w:pPr>
    </w:p>
    <w:p>
      <w:pPr>
        <w:jc w:val="both"/>
        <w:rPr>
          <w:noProof/>
        </w:rPr>
      </w:pPr>
      <w:r>
        <w:rPr>
          <w:noProof/>
        </w:rPr>
        <w:t>Parallèlement, les États membres devraient continuer à remplir leurs engagements de réinstallation, y compris dans le cadre de la mise en œuvre de la déclaration UE-Turquie</w:t>
      </w:r>
      <w:r>
        <w:rPr>
          <w:rStyle w:val="FootnoteReference"/>
          <w:noProof/>
        </w:rPr>
        <w:footnoteReference w:id="36"/>
      </w:r>
      <w:r>
        <w:rPr>
          <w:noProof/>
        </w:rPr>
        <w:t xml:space="preserve">. </w:t>
      </w:r>
    </w:p>
    <w:sectPr>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023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jc w:val="both"/>
      </w:pPr>
      <w:r>
        <w:rPr>
          <w:rStyle w:val="FootnoteReference"/>
        </w:rPr>
        <w:footnoteRef/>
      </w:r>
      <w:r>
        <w:t xml:space="preserve"> COM(2016) 416 final.</w:t>
      </w:r>
    </w:p>
  </w:footnote>
  <w:footnote w:id="3">
    <w:p>
      <w:pPr>
        <w:pStyle w:val="FootnoteText"/>
        <w:jc w:val="both"/>
      </w:pPr>
      <w:r>
        <w:rPr>
          <w:rStyle w:val="FootnoteReference"/>
        </w:rPr>
        <w:footnoteRef/>
      </w:r>
      <w:r>
        <w:t xml:space="preserve"> Conclusions du Conseil européen du 7 mars 2016: </w:t>
      </w:r>
      <w:hyperlink r:id="rId1">
        <w:r>
          <w:rPr>
            <w:rStyle w:val="Hyperlink"/>
            <w:rFonts w:ascii="Times New Roman" w:hAnsi="Times New Roman"/>
          </w:rPr>
          <w:t>http://www.consilium.europa.eu/fr/press/press-releases/2016/03/07-eu-turkey-meeting-statement</w:t>
        </w:r>
      </w:hyperlink>
      <w:r>
        <w:t xml:space="preserve">; conclusions du Conseil européen du 28 juin 2016:  </w:t>
      </w:r>
      <w:hyperlink r:id="rId2">
        <w:r>
          <w:rPr>
            <w:rStyle w:val="Hyperlink"/>
            <w:rFonts w:ascii="Times New Roman" w:hAnsi="Times New Roman"/>
          </w:rPr>
          <w:t>http://www.consilium.europa.eu/fr/press/press-releases/2016/06/28-euco-conclusions/</w:t>
        </w:r>
      </w:hyperlink>
      <w:r>
        <w:t xml:space="preserve">  </w:t>
      </w:r>
    </w:p>
  </w:footnote>
  <w:footnote w:id="4">
    <w:p>
      <w:pPr>
        <w:pStyle w:val="FootnoteText"/>
        <w:jc w:val="both"/>
      </w:pPr>
      <w:r>
        <w:rPr>
          <w:rStyle w:val="FootnoteReference"/>
        </w:rPr>
        <w:footnoteRef/>
      </w:r>
      <w:r>
        <w:t xml:space="preserve"> Arrivées irrégulières entre le 11 juin et le 10 juillet – Source: Frontex, indications fournies par la Grèce dans le cadre du rapport quotidien sur les Balkans occidentaux.</w:t>
      </w:r>
    </w:p>
  </w:footnote>
  <w:footnote w:id="5">
    <w:p>
      <w:pPr>
        <w:pStyle w:val="FootnoteText"/>
        <w:jc w:val="both"/>
      </w:pPr>
      <w:r>
        <w:rPr>
          <w:rStyle w:val="FootnoteReference"/>
        </w:rPr>
        <w:footnoteRef/>
      </w:r>
      <w:r>
        <w:t xml:space="preserve"> Sources: autorités grecques et HCR.</w:t>
      </w:r>
    </w:p>
  </w:footnote>
  <w:footnote w:id="6">
    <w:p>
      <w:pPr>
        <w:pStyle w:val="FootnoteText"/>
        <w:jc w:val="both"/>
      </w:pPr>
      <w:r>
        <w:rPr>
          <w:rStyle w:val="FootnoteReference"/>
        </w:rPr>
        <w:footnoteRef/>
      </w:r>
      <w:r>
        <w:t xml:space="preserve"> Nombre d'arrivées irrégulières en Italie par les frontières maritimes, du 11 juin au 10 juillet, tel que déclaré dans la «Joint Operations Reporting Application» (JORA) (application de transmission d'informations sur les opérations conjointes) et recueilli dans le cadre de l’opération conjointe Triton 2016. Les données sont susceptibles d'être modifiées après validation.  </w:t>
      </w:r>
    </w:p>
  </w:footnote>
  <w:footnote w:id="7">
    <w:p>
      <w:pPr>
        <w:pStyle w:val="FootnoteText"/>
        <w:jc w:val="both"/>
      </w:pPr>
      <w:r>
        <w:rPr>
          <w:rStyle w:val="FootnoteReference"/>
        </w:rPr>
        <w:footnoteRef/>
      </w:r>
      <w:r>
        <w:t xml:space="preserve"> SN 38/16 du 18.3.2016.</w:t>
      </w:r>
    </w:p>
  </w:footnote>
  <w:footnote w:id="8">
    <w:p>
      <w:pPr>
        <w:pStyle w:val="FootnoteText"/>
        <w:jc w:val="both"/>
      </w:pPr>
      <w:r>
        <w:rPr>
          <w:rStyle w:val="FootnoteReference"/>
        </w:rPr>
        <w:footnoteRef/>
      </w:r>
      <w:r>
        <w:t xml:space="preserve"> Article 3, paragraphe 2, des décisions du Conseil relatives à la relocalisation. Pour de plus amples informations, voir le premier rapport sur la relocalisation et la réinstallation – COM(2016) 165 final.</w:t>
      </w:r>
    </w:p>
  </w:footnote>
  <w:footnote w:id="9">
    <w:p>
      <w:pPr>
        <w:pStyle w:val="FootnoteText"/>
        <w:jc w:val="both"/>
      </w:pPr>
      <w:r>
        <w:rPr>
          <w:rStyle w:val="FootnoteReference"/>
        </w:rPr>
        <w:footnoteRef/>
      </w:r>
      <w:r>
        <w:t xml:space="preserve"> Les pays dont les ressortissants peuvent prétendre à une relocalisation sont les suivants: République centrafricaine, Érythrée, Seychelles, Dominique, Bahreïn, Laos, Arabie saoudite et Syrie. Les nationalités qui atteignaient le seuil d’éligibilité de 75 % selon les données d’Eurostat du 1</w:t>
      </w:r>
      <w:r>
        <w:rPr>
          <w:vertAlign w:val="superscript"/>
        </w:rPr>
        <w:t>er</w:t>
      </w:r>
      <w:r>
        <w:t> trimestre de 2016 mais ne l’atteignent plus actuellement correspondent aux pays suivants: Burundi, pays et territoires britanniques d’outre-mer, Costa Rica, Iraq, Maldives et Saint-Vincent-et-les-Grenadines.</w:t>
      </w:r>
    </w:p>
  </w:footnote>
  <w:footnote w:id="10">
    <w:p>
      <w:pPr>
        <w:pStyle w:val="FootnoteText"/>
        <w:jc w:val="both"/>
      </w:pPr>
      <w:r>
        <w:rPr>
          <w:rStyle w:val="FootnoteReference"/>
        </w:rPr>
        <w:footnoteRef/>
      </w:r>
      <w:r>
        <w:t xml:space="preserve"> 70 en Belgique, 2 en Bulgarie, 29 à Chypre, 63 en Espagne, 8 en Estonie, 68 en Finlande, 256 en France, 28 en Irlande, 18 en Lettonie, 28 en Lituanie, 42 aux Pays-Bas, 65 au Portugal et 33 en Roumanie. </w:t>
      </w:r>
    </w:p>
  </w:footnote>
  <w:footnote w:id="11">
    <w:p>
      <w:pPr>
        <w:pStyle w:val="FootnoteText"/>
        <w:jc w:val="both"/>
        <w:rPr>
          <w:highlight w:val="yellow"/>
        </w:rPr>
      </w:pPr>
      <w:r>
        <w:rPr>
          <w:rStyle w:val="FootnoteReference"/>
        </w:rPr>
        <w:footnoteRef/>
      </w:r>
      <w:r>
        <w:t xml:space="preserve"> 4 à Chypre, 4 en Croatie, 50 aux Pays-Bas et 8 au Portugal. </w:t>
      </w:r>
    </w:p>
  </w:footnote>
  <w:footnote w:id="12">
    <w:p>
      <w:pPr>
        <w:pStyle w:val="FootnoteText"/>
        <w:jc w:val="both"/>
      </w:pPr>
      <w:r>
        <w:rPr>
          <w:rStyle w:val="FootnoteReference"/>
        </w:rPr>
        <w:footnoteRef/>
      </w:r>
      <w:r>
        <w:t xml:space="preserve"> 24 en Finlande, 104 aux Pays-Bas et 5 au Portugal. </w:t>
      </w:r>
    </w:p>
  </w:footnote>
  <w:footnote w:id="13">
    <w:p>
      <w:pPr>
        <w:pStyle w:val="FootnoteText"/>
        <w:jc w:val="both"/>
      </w:pPr>
      <w:r>
        <w:rPr>
          <w:rStyle w:val="FootnoteReference"/>
        </w:rPr>
        <w:footnoteRef/>
      </w:r>
      <w:r>
        <w:t xml:space="preserve"> 32 en Espagne, 50 en France, 15 en Lettonie et 22 au Portugal. </w:t>
      </w:r>
    </w:p>
  </w:footnote>
  <w:footnote w:id="14">
    <w:p>
      <w:pPr>
        <w:pStyle w:val="FootnoteText"/>
        <w:jc w:val="both"/>
      </w:pPr>
      <w:r>
        <w:rPr>
          <w:rStyle w:val="FootnoteReference"/>
        </w:rPr>
        <w:footnoteRef/>
      </w:r>
      <w:r>
        <w:t xml:space="preserve"> Allemagne: 100 envers la Grèce, Estonie: 15 envers la Grèce, Finlande: 100 envers l'Italie, France: 50 envers l'Italie, Irlande: 50 envers la Grèce, Lituanie: 80 envers la Grèce, Pays-Bas: 50 envers l'Italie et 100 envers la Grèce, Roumanie: 70 envers l'Italie et 130 envers la Grèce, et Slovénie: 10 envers l'Italie.</w:t>
      </w:r>
    </w:p>
  </w:footnote>
  <w:footnote w:id="15">
    <w:p>
      <w:pPr>
        <w:pStyle w:val="FootnoteText"/>
      </w:pPr>
      <w:r>
        <w:rPr>
          <w:rStyle w:val="FootnoteReference"/>
        </w:rPr>
        <w:footnoteRef/>
      </w:r>
      <w:r>
        <w:t xml:space="preserve"> 100 envers l’Italie. </w:t>
      </w:r>
    </w:p>
  </w:footnote>
  <w:footnote w:id="16">
    <w:p>
      <w:pPr>
        <w:pStyle w:val="FootnoteText"/>
        <w:jc w:val="both"/>
      </w:pPr>
      <w:r>
        <w:rPr>
          <w:rStyle w:val="FootnoteReference"/>
        </w:rPr>
        <w:footnoteRef/>
      </w:r>
      <w:r>
        <w:t xml:space="preserve"> Il convient de noter que, durant la période de référence précédente, la France avait pris envers la Grèce un engagement pour 400 personnes qu'elle n'a confirmé qu'au cours de la période visée par le présent rapport.</w:t>
      </w:r>
    </w:p>
  </w:footnote>
  <w:footnote w:id="17">
    <w:p>
      <w:pPr>
        <w:pStyle w:val="FootnoteText"/>
        <w:jc w:val="both"/>
      </w:pPr>
      <w:r>
        <w:rPr>
          <w:rStyle w:val="FootnoteReference"/>
        </w:rPr>
        <w:footnoteRef/>
      </w:r>
      <w:r>
        <w:t xml:space="preserve"> Il convient de noter que, durant la période de référence précédente, un engagement formel pris par la Roumanie n'avait pas été pris en compte. </w:t>
      </w:r>
    </w:p>
  </w:footnote>
  <w:footnote w:id="18">
    <w:p>
      <w:pPr>
        <w:pStyle w:val="FootnoteText"/>
        <w:jc w:val="both"/>
      </w:pPr>
      <w:r>
        <w:rPr>
          <w:rStyle w:val="FootnoteReference"/>
        </w:rPr>
        <w:footnoteRef/>
      </w:r>
      <w:r>
        <w:t xml:space="preserve"> L’Autriche bénéficie d’une suspension temporaire de la relocalisation de demandeurs dans une proportion pouvant atteindre 30 % du contingent qui lui a été attribué en vertu de la décision (UE) 2015/1601 du Conseil. Ce pays bénéficie donc, pendant un an, d'une suspension pour la relocalisation de 1 065 personnes. Il n'en demeure pas moins soumis aux obligations juridiques normales en ce qui concerne la relocalisation du reste du contingent, de sorte que des engagements et des relocalisations sont tout de même attendus de sa part.</w:t>
      </w:r>
    </w:p>
  </w:footnote>
  <w:footnote w:id="19">
    <w:p>
      <w:pPr>
        <w:pStyle w:val="FootnoteText"/>
        <w:jc w:val="both"/>
      </w:pPr>
      <w:r>
        <w:rPr>
          <w:rStyle w:val="FootnoteReference"/>
        </w:rPr>
        <w:footnoteRef/>
      </w:r>
      <w:r>
        <w:t xml:space="preserve"> Début avril, la Pologne a suspendu le traitement de 73 demandes de relocalisation qui lui avaient été soumises par le service d'asile grec sur la base d'un engagement pris le 16 décembre 2015, gelant ainsi de facto la procédure de relocalisation trois mois et demi après son engagement. Il en va de même des demandes que lui avait adressées l'Italie.  </w:t>
      </w:r>
    </w:p>
  </w:footnote>
  <w:footnote w:id="20">
    <w:p>
      <w:pPr>
        <w:pStyle w:val="FootnoteText"/>
        <w:jc w:val="both"/>
      </w:pPr>
      <w:r>
        <w:rPr>
          <w:rStyle w:val="FootnoteReference"/>
        </w:rPr>
        <w:footnoteRef/>
      </w:r>
      <w:r>
        <w:t xml:space="preserve"> Il est probable que la baisse des chiffres soit due aux mineurs qui ont quitté la Grèce par la route des Balkans occidentaux plut tôt dans l’année. </w:t>
      </w:r>
    </w:p>
  </w:footnote>
  <w:footnote w:id="21">
    <w:p>
      <w:pPr>
        <w:pStyle w:val="FootnoteText"/>
        <w:jc w:val="both"/>
      </w:pPr>
      <w:r>
        <w:rPr>
          <w:rStyle w:val="FootnoteReference"/>
        </w:rPr>
        <w:footnoteRef/>
      </w:r>
      <w:r>
        <w:t xml:space="preserve"> Autriche, Suisse, Lituanie, Pologne, République tchèque, Royaume-Uni, Roumanie, Allemagne, Lettonie, Espagne, France, Croatie, Pays-Bas, Norvège, Suède et Malte.</w:t>
      </w:r>
    </w:p>
  </w:footnote>
  <w:footnote w:id="22">
    <w:p>
      <w:pPr>
        <w:pStyle w:val="FootnoteText"/>
      </w:pPr>
      <w:r>
        <w:rPr>
          <w:rStyle w:val="FootnoteReference"/>
        </w:rPr>
        <w:footnoteRef/>
      </w:r>
      <w:r>
        <w:t xml:space="preserve"> La durée du détachement de plusieurs experts a pris fin pendant la période de référence. </w:t>
      </w:r>
    </w:p>
  </w:footnote>
  <w:footnote w:id="23">
    <w:p>
      <w:pPr>
        <w:pStyle w:val="FootnoteText"/>
        <w:jc w:val="both"/>
      </w:pPr>
      <w:r>
        <w:rPr>
          <w:rStyle w:val="FootnoteReference"/>
        </w:rPr>
        <w:footnoteRef/>
      </w:r>
      <w:r>
        <w:t xml:space="preserve"> Le cinquième appel à experts de l'EASO pour soutenir la relocalisation en Grèce a été lancé le 21 avril et il a été mentionné pour la première fois dans le troisième rapport sur la relocalisation et la réinstallation. Un rappel a été envoyé le 24 juin. </w:t>
      </w:r>
    </w:p>
  </w:footnote>
  <w:footnote w:id="24">
    <w:p>
      <w:pPr>
        <w:pStyle w:val="FootnoteText"/>
        <w:jc w:val="both"/>
      </w:pPr>
      <w:r>
        <w:rPr>
          <w:rStyle w:val="FootnoteReference"/>
        </w:rPr>
        <w:footnoteRef/>
      </w:r>
      <w:r>
        <w:t xml:space="preserve"> </w:t>
      </w:r>
      <w:hyperlink r:id="rId3">
        <w:r>
          <w:rPr>
            <w:rStyle w:val="Hyperlink"/>
            <w:rFonts w:ascii="Times New Roman" w:hAnsi="Times New Roman"/>
          </w:rPr>
          <w:t>https://www.easo.europa.eu/news-events/joint-press-release-pre-registration-asylum-seekers-greek-mainland-starting-today</w:t>
        </w:r>
      </w:hyperlink>
      <w:r>
        <w:t>.</w:t>
      </w:r>
    </w:p>
  </w:footnote>
  <w:footnote w:id="25">
    <w:p>
      <w:pPr>
        <w:pStyle w:val="FootnoteText"/>
        <w:jc w:val="both"/>
      </w:pPr>
      <w:r>
        <w:rPr>
          <w:rStyle w:val="FootnoteReference"/>
        </w:rPr>
        <w:footnoteRef/>
      </w:r>
      <w:r>
        <w:t xml:space="preserve"> Ce chiffre ne comprend pas les places mises à disposition dans le cadre du programme de subvention des loyers du HCR.</w:t>
      </w:r>
    </w:p>
    <w:p>
      <w:pPr>
        <w:pStyle w:val="FootnoteText"/>
        <w:jc w:val="both"/>
      </w:pPr>
      <w:hyperlink r:id="rId4">
        <w:r>
          <w:rPr>
            <w:rStyle w:val="Hyperlink"/>
            <w:rFonts w:ascii="Times New Roman" w:hAnsi="Times New Roman"/>
          </w:rPr>
          <w:t>http://data.unhcr.org/mediterranean/documents.php?page=1&amp;view=grid&amp;Country[]=83</w:t>
        </w:r>
      </w:hyperlink>
      <w:r>
        <w:t xml:space="preserve">  </w:t>
      </w:r>
    </w:p>
    <w:p>
      <w:pPr>
        <w:pStyle w:val="FootnoteText"/>
        <w:jc w:val="both"/>
      </w:pPr>
      <w:r>
        <w:t>Ces structures d'urgence temporaires et permanentes sont établies sur les îles de la mer Égée dans les zones d'enregistrement, ainsi que sur le continent. Au 11 juillet 2016, on ne dénombre que 1 138 places d'accueil permanentes qui sont attribuées exclusivement aux demandeurs d'une protection internationale et aux mineurs non accompagnés.</w:t>
      </w:r>
    </w:p>
  </w:footnote>
  <w:footnote w:id="26">
    <w:p>
      <w:pPr>
        <w:pStyle w:val="FootnoteText"/>
        <w:jc w:val="both"/>
      </w:pPr>
      <w:r>
        <w:rPr>
          <w:rStyle w:val="FootnoteReference"/>
        </w:rPr>
        <w:footnoteRef/>
      </w:r>
      <w:r>
        <w:t xml:space="preserve"> Recommandation de la Commission adressée à la République hellénique sur les mesures spécifiques urgentes à prendre en Grèce dans la perspective de la reprise des transferts prévus par le règlement (UE) nº 604/2013, C(2016) 3805. </w:t>
      </w:r>
    </w:p>
  </w:footnote>
  <w:footnote w:id="27">
    <w:p>
      <w:pPr>
        <w:pStyle w:val="FootnoteText"/>
        <w:jc w:val="both"/>
      </w:pPr>
      <w:r>
        <w:rPr>
          <w:rStyle w:val="FootnoteReference"/>
        </w:rPr>
        <w:footnoteRef/>
      </w:r>
      <w:r>
        <w:t xml:space="preserve"> Le HCR a accepté de mettre 6 000 places du programme de subvention des loyers à la disposition des centres de relocalisation, afin d'héberger tous les demandeurs éligibles à une relocalisation dont le dossier d'enregistrement est complet. La convention de délégation conclue avec le HCR pour les 20 000 places du programme de subvention des loyers profite principalement aux demandeurs d'asile pouvant prétendre à une relocalisation, mais peut également bénéficier à d'autres demandeurs candidats à un regroupement familial dans un autre État membre de l'UE et aux personnes demandant l'asile en Grèce, en particulier aux demandeurs vulnérables. Il est prévu que les 6 000 places mises à la disposition des centres de relocalisation deviendront l'hébergement principal des bénéficiaires d'une relocalisation.</w:t>
      </w:r>
    </w:p>
  </w:footnote>
  <w:footnote w:id="28">
    <w:p>
      <w:pPr>
        <w:pStyle w:val="FootnoteText"/>
        <w:jc w:val="both"/>
      </w:pPr>
      <w:r>
        <w:rPr>
          <w:rStyle w:val="FootnoteReference"/>
        </w:rPr>
        <w:footnoteRef/>
      </w:r>
      <w:r>
        <w:t xml:space="preserve"> Les centres de relocalisation doivent être financés par l'UE dans le cadre de la convention de délégation conclue avec le HCR pour le programme de subvention des loyers.</w:t>
      </w:r>
    </w:p>
  </w:footnote>
  <w:footnote w:id="29">
    <w:p>
      <w:pPr>
        <w:pStyle w:val="FootnoteText"/>
        <w:rPr>
          <w:lang w:val="mt-MT"/>
        </w:rPr>
      </w:pPr>
      <w:r>
        <w:rPr>
          <w:rStyle w:val="FootnoteReference"/>
          <w:rFonts w:eastAsiaTheme="majorEastAsia"/>
        </w:rPr>
        <w:footnoteRef/>
      </w:r>
      <w:r>
        <w:t xml:space="preserve"> Le texte peut être consulté librement à l'adresse suivante: </w:t>
      </w:r>
      <w:hyperlink r:id="rId5">
        <w:r>
          <w:rPr>
            <w:rStyle w:val="Hyperlink"/>
            <w:rFonts w:ascii="Times New Roman" w:hAnsi="Times New Roman"/>
          </w:rPr>
          <w:t>http://www.libertaciviliimmigrazione.dlci.interno.gov.it/it/hotspot</w:t>
        </w:r>
      </w:hyperlink>
      <w:r>
        <w:t xml:space="preserve">. </w:t>
      </w:r>
    </w:p>
  </w:footnote>
  <w:footnote w:id="30">
    <w:p>
      <w:pPr>
        <w:pStyle w:val="FootnoteText"/>
        <w:jc w:val="both"/>
      </w:pPr>
      <w:r>
        <w:rPr>
          <w:rStyle w:val="FootnoteReference"/>
        </w:rPr>
        <w:footnoteRef/>
      </w:r>
      <w:r>
        <w:t xml:space="preserve"> Ces recommandations envisagent la possibilité d’associer des experts de l’EASO en vue de mener des entretiens plus approfondis; d’améliorer la qualité du dossier du demandeur en y incluant un formulaire de sécurité indiquant les différents contrôles que la personne a subis à chaque étape de la procédure et le résultat de ces contrôles; de désigner un correspondant sécurité du côté italien; et de conclure des accords de coopération bilatéraux afin de comparer et d’échanger les données dactyloscopiques à des fins de sécurité et de lutte contre la criminalité.</w:t>
      </w:r>
    </w:p>
  </w:footnote>
  <w:footnote w:id="31">
    <w:p>
      <w:pPr>
        <w:pStyle w:val="FootnoteText"/>
        <w:jc w:val="both"/>
      </w:pPr>
      <w:r>
        <w:rPr>
          <w:rStyle w:val="FootnoteReference"/>
        </w:rPr>
        <w:footnoteRef/>
      </w:r>
      <w:r>
        <w:t xml:space="preserve"> </w:t>
      </w:r>
      <w:r>
        <w:rPr>
          <w:color w:val="000000"/>
        </w:rPr>
        <w:t>Cette assistance d'urgence s'ajoute aux 509 millions d'euros alloués à la Grèce pour la période 2014-2020 dans le cadre de ses programmes nationaux au titre des Fonds «Affaires intérieures» (FAMI et FSI), par le biais desquels des montants importants sont également mis à disposition pour soutenir la mise en œuvre des politiques d'asile.</w:t>
      </w:r>
    </w:p>
  </w:footnote>
  <w:footnote w:id="32">
    <w:p>
      <w:pPr>
        <w:pStyle w:val="FootnoteText"/>
        <w:jc w:val="both"/>
      </w:pPr>
      <w:r>
        <w:rPr>
          <w:rStyle w:val="FootnoteReference"/>
        </w:rPr>
        <w:footnoteRef/>
      </w:r>
      <w:r>
        <w:t xml:space="preserve"> Comme signalé dans le quatrième rapport, une nouvelle augmentation des effectifs était prévue - 18 experts des États membres devraient apporter leur concours à l'enregistrement - mais elle a dû être reportée parce qu'un certain nombre d'agents du service d'asile sont mobilisés pour l'exercice d'enregistrement préalable.</w:t>
      </w:r>
    </w:p>
  </w:footnote>
  <w:footnote w:id="33">
    <w:p>
      <w:pPr>
        <w:pStyle w:val="FootnoteText"/>
      </w:pPr>
      <w:r>
        <w:rPr>
          <w:rStyle w:val="FootnoteReference"/>
        </w:rPr>
        <w:footnoteRef/>
      </w:r>
      <w:r>
        <w:t xml:space="preserve">  JO C […] du […], p. […].</w:t>
      </w:r>
    </w:p>
  </w:footnote>
  <w:footnote w:id="34">
    <w:p>
      <w:pPr>
        <w:pStyle w:val="FootnoteText"/>
        <w:jc w:val="both"/>
      </w:pPr>
      <w:r>
        <w:rPr>
          <w:rStyle w:val="FootnoteReference"/>
        </w:rPr>
        <w:footnoteRef/>
      </w:r>
      <w:r>
        <w:t xml:space="preserve"> Conclusions du Conseil européen du 7 mars 2016. </w:t>
      </w:r>
      <w:hyperlink r:id="rId6">
        <w:r>
          <w:rPr>
            <w:rStyle w:val="Hyperlink"/>
            <w:rFonts w:ascii="Times New Roman" w:hAnsi="Times New Roman"/>
          </w:rPr>
          <w:t>http://www.consilium.europa.eu/fr/press/press-releases/2016/03/07-eu-turkey-meeting-statement</w:t>
        </w:r>
      </w:hyperlink>
      <w:r>
        <w:t xml:space="preserve">; Conclusions du Conseil européen du 28 juin 2016.  </w:t>
      </w:r>
      <w:hyperlink r:id="rId7">
        <w:r>
          <w:rPr>
            <w:rStyle w:val="Hyperlink"/>
            <w:rFonts w:ascii="Times New Roman" w:hAnsi="Times New Roman"/>
          </w:rPr>
          <w:t>http://www.consilium.europa.eu/fr/press/press-releases/2016/06/28-euco-conclusions/</w:t>
        </w:r>
      </w:hyperlink>
      <w:r>
        <w:t xml:space="preserve">  </w:t>
      </w:r>
    </w:p>
  </w:footnote>
  <w:footnote w:id="35">
    <w:p>
      <w:pPr>
        <w:jc w:val="both"/>
        <w:rPr>
          <w:sz w:val="20"/>
          <w:szCs w:val="20"/>
        </w:rPr>
      </w:pPr>
      <w:r>
        <w:rPr>
          <w:rStyle w:val="FootnoteReference"/>
          <w:sz w:val="20"/>
        </w:rPr>
        <w:footnoteRef/>
      </w:r>
      <w:r>
        <w:rPr>
          <w:sz w:val="20"/>
        </w:rPr>
        <w:t xml:space="preserve"> COM(2016) 165 final.</w:t>
      </w:r>
    </w:p>
  </w:footnote>
  <w:footnote w:id="36">
    <w:p>
      <w:pPr>
        <w:pStyle w:val="FootnoteText"/>
      </w:pPr>
      <w:r>
        <w:rPr>
          <w:rStyle w:val="FootnoteReference"/>
        </w:rPr>
        <w:footnoteRef/>
      </w:r>
      <w:r>
        <w:t xml:space="preserve"> Deuxième rapport sur les progrès réalisés dans la mise en œuvre de la déclaration UE-Turquie [COM(2016) 349].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573"/>
    <w:multiLevelType w:val="hybridMultilevel"/>
    <w:tmpl w:val="D9E47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32373E"/>
    <w:multiLevelType w:val="hybridMultilevel"/>
    <w:tmpl w:val="0FB4B6D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AB3F4C"/>
    <w:multiLevelType w:val="hybridMultilevel"/>
    <w:tmpl w:val="2A8CA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1978386D"/>
    <w:multiLevelType w:val="hybridMultilevel"/>
    <w:tmpl w:val="486A75EE"/>
    <w:lvl w:ilvl="0" w:tplc="1AB86BDC">
      <w:start w:val="2"/>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E4594D"/>
    <w:multiLevelType w:val="multilevel"/>
    <w:tmpl w:val="F79CD254"/>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ascii="Times New Roman" w:hAnsi="Times New Roman" w:cs="Times New Roman" w:hint="default"/>
        <w:color w:val="auto"/>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25642FC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5D80F54"/>
    <w:multiLevelType w:val="hybridMultilevel"/>
    <w:tmpl w:val="6B2E6698"/>
    <w:lvl w:ilvl="0" w:tplc="1AB86BDC">
      <w:start w:val="2"/>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334B49"/>
    <w:multiLevelType w:val="hybridMultilevel"/>
    <w:tmpl w:val="DB24A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6991EF5"/>
    <w:multiLevelType w:val="hybridMultilevel"/>
    <w:tmpl w:val="EDB287DA"/>
    <w:lvl w:ilvl="0" w:tplc="08090001">
      <w:start w:val="1"/>
      <w:numFmt w:val="bullet"/>
      <w:lvlText w:val=""/>
      <w:lvlJc w:val="left"/>
      <w:pPr>
        <w:ind w:left="720" w:hanging="360"/>
      </w:pPr>
      <w:rPr>
        <w:rFonts w:ascii="Symbol" w:hAnsi="Symbol" w:hint="default"/>
      </w:rPr>
    </w:lvl>
    <w:lvl w:ilvl="1" w:tplc="16342B0A">
      <w:start w:val="1"/>
      <w:numFmt w:val="bullet"/>
      <w:lvlText w:val="-"/>
      <w:lvlJc w:val="left"/>
      <w:pPr>
        <w:ind w:left="1440" w:hanging="360"/>
      </w:pPr>
      <w:rPr>
        <w:rFonts w:ascii="Calibri" w:eastAsia="Times New Roman" w:hAnsi="Calibri" w:cs="Calibr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4"/>
  </w:num>
  <w:num w:numId="3">
    <w:abstractNumId w:val="5"/>
  </w:num>
  <w:num w:numId="4">
    <w:abstractNumId w:val="5"/>
  </w:num>
  <w:num w:numId="5">
    <w:abstractNumId w:val="0"/>
  </w:num>
  <w:num w:numId="6">
    <w:abstractNumId w:val="3"/>
  </w:num>
  <w:num w:numId="7">
    <w:abstractNumId w:val="6"/>
  </w:num>
  <w:num w:numId="8">
    <w:abstractNumId w:val="1"/>
  </w:num>
  <w:num w:numId="9">
    <w:abstractNumId w:val="5"/>
  </w:num>
  <w:num w:numId="10">
    <w:abstractNumId w:val="5"/>
  </w:num>
  <w:num w:numId="11">
    <w:abstractNumId w:val="5"/>
  </w:num>
  <w:num w:numId="12">
    <w:abstractNumId w:val="8"/>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58EEF2CAAA474687ACB5A3C5CD6F7573"/>
    <w:docVar w:name="LW_CROSSREFERENCE" w:val="&lt;UNUSED&gt;"/>
    <w:docVar w:name="LW_DocType" w:val="NORMAL"/>
    <w:docVar w:name="LW_EMISSION" w:val="13.7.2016"/>
    <w:docVar w:name="LW_EMISSION_ISODATE" w:val="2016-07-13"/>
    <w:docVar w:name="LW_EMISSION_LOCATION" w:val="BRX"/>
    <w:docVar w:name="LW_EMISSION_PREFIX" w:val="Bruxelles, le "/>
    <w:docVar w:name="LW_EMISSION_SUFFIX" w:val=" "/>
    <w:docVar w:name="LW_ID_DOCTYPE_NONLW" w:val="CP-035"/>
    <w:docVar w:name="LW_LANGUE" w:val="FR"/>
    <w:docVar w:name="LW_MARKING" w:val="&lt;UNUSED&g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480"/>
    <w:docVar w:name="LW_REF.INTERNE" w:val="&lt;UNUSED&gt;"/>
    <w:docVar w:name="LW_SOUS.TITRE.OBJ.CP" w:val="&lt;UNUSED&gt;"/>
    <w:docVar w:name="LW_SUPERTITRE" w:val="&lt;UNUSED&gt;"/>
    <w:docVar w:name="LW_TITRE.OBJ.CP" w:val="Cinquième rapport sur la relocalisation et la réinstallation"/>
    <w:docVar w:name="LW_TYPE.DOC.CP" w:val="COMMUNICATION DE LA COMMISSION AU PARLEMENT EUROPÉEN, AU CONSEIL EUROPÉEN ET AU CONSEIL_x000b_"/>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7" w:uiPriority="39"/>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numPr>
        <w:numId w:val="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iPriority w:val="99"/>
    <w:qFormat/>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style>
  <w:style w:type="character" w:styleId="FootnoteReference">
    <w:name w:val="footnote reference"/>
    <w:aliases w:val="Footnote Reference Superscript,Footnote symbol,BVI fnr,Footnote reference number,note TESI,Appel note de bas de p,Nota,SUPERS,Footnote number,EN Footnote Reference,-E Fußnotenzeichen,number Char Char,number,Ref,styl,styli,R, BVI fnr"/>
    <w:basedOn w:val="DefaultParagraphFont"/>
    <w:uiPriority w:val="99"/>
    <w:qFormat/>
    <w:rPr>
      <w:vertAlign w:val="superscript"/>
    </w:rPr>
  </w:style>
  <w:style w:type="character" w:styleId="Hyperlink">
    <w:name w:val="Hyperlink"/>
    <w:basedOn w:val="DefaultParagraphFont"/>
    <w:uiPriority w:val="99"/>
    <w:unhideWhenUsed/>
    <w:rPr>
      <w:rFonts w:ascii="Verdana" w:hAnsi="Verdana" w:hint="default"/>
      <w:strike w:val="0"/>
      <w:dstrike w:val="0"/>
      <w:color w:val="0000FF"/>
      <w:u w:val="none"/>
      <w:effect w:val="none"/>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PreformattedChar">
    <w:name w:val="HTML Preformatted Char"/>
    <w:basedOn w:val="DefaultParagraphFont"/>
    <w:link w:val="HTMLPreformatted"/>
    <w:uiPriority w:val="99"/>
    <w:rPr>
      <w:rFonts w:ascii="Consolas" w:hAnsi="Consolas" w:cs="Consolas"/>
      <w:lang w:eastAsia="fr-FR"/>
    </w:rPr>
  </w:style>
  <w:style w:type="paragraph" w:styleId="Revision">
    <w:name w:val="Revision"/>
    <w:hidden/>
    <w:uiPriority w:val="99"/>
    <w:semiHidden/>
    <w:rPr>
      <w:sz w:val="24"/>
      <w:szCs w:val="24"/>
    </w:rPr>
  </w:style>
  <w:style w:type="paragraph" w:styleId="TOC7">
    <w:name w:val="toc 7"/>
    <w:basedOn w:val="Normal"/>
    <w:next w:val="Normal"/>
    <w:uiPriority w:val="39"/>
    <w:unhideWhenUsed/>
    <w:pPr>
      <w:tabs>
        <w:tab w:val="right" w:leader="dot" w:pos="9071"/>
      </w:tabs>
      <w:spacing w:before="180" w:after="120"/>
    </w:pPr>
    <w:rPr>
      <w:rFonts w:eastAsiaTheme="minorHAnsi"/>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NormalWeb">
    <w:name w:val="Normal (Web)"/>
    <w:basedOn w:val="Normal"/>
    <w:uiPriority w:val="99"/>
    <w:unhideWhenUsed/>
    <w:pPr>
      <w:spacing w:before="100" w:beforeAutospacing="1" w:after="100" w:afterAutospacing="1"/>
    </w:pPr>
    <w:rPr>
      <w:rFonts w:eastAsiaTheme="minorHAnsi"/>
    </w:rPr>
  </w:style>
  <w:style w:type="paragraph" w:customStyle="1" w:styleId="Considrant">
    <w:name w:val="Considérant"/>
    <w:basedOn w:val="Normal"/>
    <w:pPr>
      <w:numPr>
        <w:numId w:val="14"/>
      </w:numPr>
      <w:spacing w:before="120" w:after="120"/>
      <w:jc w:val="both"/>
    </w:pPr>
    <w:rPr>
      <w:rFonts w:eastAsiaTheme="minorHAnsi"/>
      <w:szCs w:val="22"/>
    </w:rPr>
  </w:style>
  <w:style w:type="character" w:styleId="FollowedHyperlink">
    <w:name w:val="FollowedHyperlink"/>
    <w:basedOn w:val="DefaultParagraphFont"/>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7" w:uiPriority="39"/>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numPr>
        <w:numId w:val="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iPriority w:val="99"/>
    <w:qFormat/>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style>
  <w:style w:type="character" w:styleId="FootnoteReference">
    <w:name w:val="footnote reference"/>
    <w:aliases w:val="Footnote Reference Superscript,Footnote symbol,BVI fnr,Footnote reference number,note TESI,Appel note de bas de p,Nota,SUPERS,Footnote number,EN Footnote Reference,-E Fußnotenzeichen,number Char Char,number,Ref,styl,styli,R, BVI fnr"/>
    <w:basedOn w:val="DefaultParagraphFont"/>
    <w:uiPriority w:val="99"/>
    <w:qFormat/>
    <w:rPr>
      <w:vertAlign w:val="superscript"/>
    </w:rPr>
  </w:style>
  <w:style w:type="character" w:styleId="Hyperlink">
    <w:name w:val="Hyperlink"/>
    <w:basedOn w:val="DefaultParagraphFont"/>
    <w:uiPriority w:val="99"/>
    <w:unhideWhenUsed/>
    <w:rPr>
      <w:rFonts w:ascii="Verdana" w:hAnsi="Verdana" w:hint="default"/>
      <w:strike w:val="0"/>
      <w:dstrike w:val="0"/>
      <w:color w:val="0000FF"/>
      <w:u w:val="none"/>
      <w:effect w:val="none"/>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PreformattedChar">
    <w:name w:val="HTML Preformatted Char"/>
    <w:basedOn w:val="DefaultParagraphFont"/>
    <w:link w:val="HTMLPreformatted"/>
    <w:uiPriority w:val="99"/>
    <w:rPr>
      <w:rFonts w:ascii="Consolas" w:hAnsi="Consolas" w:cs="Consolas"/>
      <w:lang w:eastAsia="fr-FR"/>
    </w:rPr>
  </w:style>
  <w:style w:type="paragraph" w:styleId="Revision">
    <w:name w:val="Revision"/>
    <w:hidden/>
    <w:uiPriority w:val="99"/>
    <w:semiHidden/>
    <w:rPr>
      <w:sz w:val="24"/>
      <w:szCs w:val="24"/>
    </w:rPr>
  </w:style>
  <w:style w:type="paragraph" w:styleId="TOC7">
    <w:name w:val="toc 7"/>
    <w:basedOn w:val="Normal"/>
    <w:next w:val="Normal"/>
    <w:uiPriority w:val="39"/>
    <w:unhideWhenUsed/>
    <w:pPr>
      <w:tabs>
        <w:tab w:val="right" w:leader="dot" w:pos="9071"/>
      </w:tabs>
      <w:spacing w:before="180" w:after="120"/>
    </w:pPr>
    <w:rPr>
      <w:rFonts w:eastAsiaTheme="minorHAnsi"/>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NormalWeb">
    <w:name w:val="Normal (Web)"/>
    <w:basedOn w:val="Normal"/>
    <w:uiPriority w:val="99"/>
    <w:unhideWhenUsed/>
    <w:pPr>
      <w:spacing w:before="100" w:beforeAutospacing="1" w:after="100" w:afterAutospacing="1"/>
    </w:pPr>
    <w:rPr>
      <w:rFonts w:eastAsiaTheme="minorHAnsi"/>
    </w:rPr>
  </w:style>
  <w:style w:type="paragraph" w:customStyle="1" w:styleId="Considrant">
    <w:name w:val="Considérant"/>
    <w:basedOn w:val="Normal"/>
    <w:pPr>
      <w:numPr>
        <w:numId w:val="14"/>
      </w:numPr>
      <w:spacing w:before="120" w:after="120"/>
      <w:jc w:val="both"/>
    </w:pPr>
    <w:rPr>
      <w:rFonts w:eastAsiaTheme="minorHAnsi"/>
      <w:szCs w:val="22"/>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09727">
      <w:bodyDiv w:val="1"/>
      <w:marLeft w:val="0"/>
      <w:marRight w:val="0"/>
      <w:marTop w:val="0"/>
      <w:marBottom w:val="0"/>
      <w:divBdr>
        <w:top w:val="none" w:sz="0" w:space="0" w:color="auto"/>
        <w:left w:val="none" w:sz="0" w:space="0" w:color="auto"/>
        <w:bottom w:val="none" w:sz="0" w:space="0" w:color="auto"/>
        <w:right w:val="none" w:sz="0" w:space="0" w:color="auto"/>
      </w:divBdr>
    </w:div>
    <w:div w:id="185365638">
      <w:bodyDiv w:val="1"/>
      <w:marLeft w:val="0"/>
      <w:marRight w:val="0"/>
      <w:marTop w:val="0"/>
      <w:marBottom w:val="0"/>
      <w:divBdr>
        <w:top w:val="none" w:sz="0" w:space="0" w:color="auto"/>
        <w:left w:val="none" w:sz="0" w:space="0" w:color="auto"/>
        <w:bottom w:val="none" w:sz="0" w:space="0" w:color="auto"/>
        <w:right w:val="none" w:sz="0" w:space="0" w:color="auto"/>
      </w:divBdr>
    </w:div>
    <w:div w:id="193882147">
      <w:bodyDiv w:val="1"/>
      <w:marLeft w:val="0"/>
      <w:marRight w:val="0"/>
      <w:marTop w:val="0"/>
      <w:marBottom w:val="0"/>
      <w:divBdr>
        <w:top w:val="none" w:sz="0" w:space="0" w:color="auto"/>
        <w:left w:val="none" w:sz="0" w:space="0" w:color="auto"/>
        <w:bottom w:val="none" w:sz="0" w:space="0" w:color="auto"/>
        <w:right w:val="none" w:sz="0" w:space="0" w:color="auto"/>
      </w:divBdr>
    </w:div>
    <w:div w:id="224491531">
      <w:bodyDiv w:val="1"/>
      <w:marLeft w:val="0"/>
      <w:marRight w:val="0"/>
      <w:marTop w:val="0"/>
      <w:marBottom w:val="0"/>
      <w:divBdr>
        <w:top w:val="none" w:sz="0" w:space="0" w:color="auto"/>
        <w:left w:val="none" w:sz="0" w:space="0" w:color="auto"/>
        <w:bottom w:val="none" w:sz="0" w:space="0" w:color="auto"/>
        <w:right w:val="none" w:sz="0" w:space="0" w:color="auto"/>
      </w:divBdr>
    </w:div>
    <w:div w:id="238445361">
      <w:bodyDiv w:val="1"/>
      <w:marLeft w:val="0"/>
      <w:marRight w:val="0"/>
      <w:marTop w:val="0"/>
      <w:marBottom w:val="0"/>
      <w:divBdr>
        <w:top w:val="none" w:sz="0" w:space="0" w:color="auto"/>
        <w:left w:val="none" w:sz="0" w:space="0" w:color="auto"/>
        <w:bottom w:val="none" w:sz="0" w:space="0" w:color="auto"/>
        <w:right w:val="none" w:sz="0" w:space="0" w:color="auto"/>
      </w:divBdr>
    </w:div>
    <w:div w:id="622998664">
      <w:bodyDiv w:val="1"/>
      <w:marLeft w:val="0"/>
      <w:marRight w:val="0"/>
      <w:marTop w:val="0"/>
      <w:marBottom w:val="0"/>
      <w:divBdr>
        <w:top w:val="none" w:sz="0" w:space="0" w:color="auto"/>
        <w:left w:val="none" w:sz="0" w:space="0" w:color="auto"/>
        <w:bottom w:val="none" w:sz="0" w:space="0" w:color="auto"/>
        <w:right w:val="none" w:sz="0" w:space="0" w:color="auto"/>
      </w:divBdr>
    </w:div>
    <w:div w:id="645208491">
      <w:bodyDiv w:val="1"/>
      <w:marLeft w:val="0"/>
      <w:marRight w:val="0"/>
      <w:marTop w:val="0"/>
      <w:marBottom w:val="0"/>
      <w:divBdr>
        <w:top w:val="none" w:sz="0" w:space="0" w:color="auto"/>
        <w:left w:val="none" w:sz="0" w:space="0" w:color="auto"/>
        <w:bottom w:val="none" w:sz="0" w:space="0" w:color="auto"/>
        <w:right w:val="none" w:sz="0" w:space="0" w:color="auto"/>
      </w:divBdr>
    </w:div>
    <w:div w:id="729380906">
      <w:bodyDiv w:val="1"/>
      <w:marLeft w:val="0"/>
      <w:marRight w:val="0"/>
      <w:marTop w:val="0"/>
      <w:marBottom w:val="0"/>
      <w:divBdr>
        <w:top w:val="none" w:sz="0" w:space="0" w:color="auto"/>
        <w:left w:val="none" w:sz="0" w:space="0" w:color="auto"/>
        <w:bottom w:val="none" w:sz="0" w:space="0" w:color="auto"/>
        <w:right w:val="none" w:sz="0" w:space="0" w:color="auto"/>
      </w:divBdr>
    </w:div>
    <w:div w:id="841429257">
      <w:bodyDiv w:val="1"/>
      <w:marLeft w:val="0"/>
      <w:marRight w:val="0"/>
      <w:marTop w:val="0"/>
      <w:marBottom w:val="0"/>
      <w:divBdr>
        <w:top w:val="none" w:sz="0" w:space="0" w:color="auto"/>
        <w:left w:val="none" w:sz="0" w:space="0" w:color="auto"/>
        <w:bottom w:val="none" w:sz="0" w:space="0" w:color="auto"/>
        <w:right w:val="none" w:sz="0" w:space="0" w:color="auto"/>
      </w:divBdr>
    </w:div>
    <w:div w:id="938492733">
      <w:bodyDiv w:val="1"/>
      <w:marLeft w:val="0"/>
      <w:marRight w:val="0"/>
      <w:marTop w:val="0"/>
      <w:marBottom w:val="0"/>
      <w:divBdr>
        <w:top w:val="none" w:sz="0" w:space="0" w:color="auto"/>
        <w:left w:val="none" w:sz="0" w:space="0" w:color="auto"/>
        <w:bottom w:val="none" w:sz="0" w:space="0" w:color="auto"/>
        <w:right w:val="none" w:sz="0" w:space="0" w:color="auto"/>
      </w:divBdr>
    </w:div>
    <w:div w:id="1248610017">
      <w:bodyDiv w:val="1"/>
      <w:marLeft w:val="0"/>
      <w:marRight w:val="0"/>
      <w:marTop w:val="0"/>
      <w:marBottom w:val="0"/>
      <w:divBdr>
        <w:top w:val="none" w:sz="0" w:space="0" w:color="auto"/>
        <w:left w:val="none" w:sz="0" w:space="0" w:color="auto"/>
        <w:bottom w:val="none" w:sz="0" w:space="0" w:color="auto"/>
        <w:right w:val="none" w:sz="0" w:space="0" w:color="auto"/>
      </w:divBdr>
    </w:div>
    <w:div w:id="1426196613">
      <w:bodyDiv w:val="1"/>
      <w:marLeft w:val="0"/>
      <w:marRight w:val="0"/>
      <w:marTop w:val="0"/>
      <w:marBottom w:val="0"/>
      <w:divBdr>
        <w:top w:val="none" w:sz="0" w:space="0" w:color="auto"/>
        <w:left w:val="none" w:sz="0" w:space="0" w:color="auto"/>
        <w:bottom w:val="none" w:sz="0" w:space="0" w:color="auto"/>
        <w:right w:val="none" w:sz="0" w:space="0" w:color="auto"/>
      </w:divBdr>
    </w:div>
    <w:div w:id="1548956403">
      <w:bodyDiv w:val="1"/>
      <w:marLeft w:val="0"/>
      <w:marRight w:val="0"/>
      <w:marTop w:val="0"/>
      <w:marBottom w:val="0"/>
      <w:divBdr>
        <w:top w:val="none" w:sz="0" w:space="0" w:color="auto"/>
        <w:left w:val="none" w:sz="0" w:space="0" w:color="auto"/>
        <w:bottom w:val="none" w:sz="0" w:space="0" w:color="auto"/>
        <w:right w:val="none" w:sz="0" w:space="0" w:color="auto"/>
      </w:divBdr>
    </w:div>
    <w:div w:id="193157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aso.europa.eu/news-events/joint-press-release-pre-registration-asylum-seekers-greek-mainland-starting-today" TargetMode="External"/><Relationship Id="rId7" Type="http://schemas.openxmlformats.org/officeDocument/2006/relationships/hyperlink" Target="http://www.consilium.europa.eu/fr/press/press-releases/2016/06/28-euco-conclusions/" TargetMode="External"/><Relationship Id="rId2" Type="http://schemas.openxmlformats.org/officeDocument/2006/relationships/hyperlink" Target="http://www.consilium.europa.eu/fr/press/press-releases/2016/06/28-euco-conclusions/" TargetMode="External"/><Relationship Id="rId1" Type="http://schemas.openxmlformats.org/officeDocument/2006/relationships/hyperlink" Target="http://www.consilium.europa.eu/fr/press/press-releases/2016/03/07-eu-turkey-meeting-statement" TargetMode="External"/><Relationship Id="rId6" Type="http://schemas.openxmlformats.org/officeDocument/2006/relationships/hyperlink" Target="http://www.consilium.europa.eu/fr/press/press-releases/2016/03/07-eu-turkey-meeting-statement" TargetMode="External"/><Relationship Id="rId5" Type="http://schemas.openxmlformats.org/officeDocument/2006/relationships/hyperlink" Target="http://www.libertaciviliimmigrazione.dlci.interno.gov.it/it/hotspot" TargetMode="External"/><Relationship Id="rId4" Type="http://schemas.openxmlformats.org/officeDocument/2006/relationships/hyperlink" Target="http://data.unhcr.org/mediterranean/documents.php?page=1&amp;view=grid&amp;Country%5B%5D=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E4784CB7A28D3C4488AA7E5C40997F0C" ma:contentTypeVersion="0" ma:contentTypeDescription="Create a new document in this library." ma:contentTypeScope="" ma:versionID="87f420ba1f11c7aec4d310e74a2aaba0">
  <xsd:schema xmlns:xsd="http://www.w3.org/2001/XMLSchema" xmlns:xs="http://www.w3.org/2001/XMLSchema" xmlns:p="http://schemas.microsoft.com/office/2006/metadata/properties" xmlns:ns2="http://schemas.microsoft.com/sharepoint/v3/fields" xmlns:ns3="17b46552-d8b0-4a09-8203-d52bd02ecc12" targetNamespace="http://schemas.microsoft.com/office/2006/metadata/properties" ma:root="true" ma:fieldsID="506a4dc83becbeaf627cebdd8d251707" ns2:_="" ns3:_="">
    <xsd:import namespace="http://schemas.microsoft.com/sharepoint/v3/fields"/>
    <xsd:import namespace="17b46552-d8b0-4a09-8203-d52bd02ecc12"/>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7b46552-d8b0-4a09-8203-d52bd02ecc1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Reference xmlns="17b46552-d8b0-4a09-8203-d52bd02ecc12" xsi:nil="true"/>
    <EC_Collab_DocumentLanguage xmlns="17b46552-d8b0-4a09-8203-d52bd02ecc12">EN</EC_Collab_DocumentLanguage>
    <EC_Collab_Status xmlns="17b46552-d8b0-4a09-8203-d52bd02ecc12">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87F06-B98A-4B36-99E8-DEF59680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7b46552-d8b0-4a09-8203-d52bd02e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559D6-CFD8-4D22-9866-0EC9DF3D70D6}">
  <ds:schemaRefs>
    <ds:schemaRef ds:uri="http://schemas.microsoft.com/sharepoint/v3/contenttype/forms"/>
  </ds:schemaRefs>
</ds:datastoreItem>
</file>

<file path=customXml/itemProps3.xml><?xml version="1.0" encoding="utf-8"?>
<ds:datastoreItem xmlns:ds="http://schemas.openxmlformats.org/officeDocument/2006/customXml" ds:itemID="{3423EB95-6BB2-4C3A-BB9E-734A6B20B5BF}">
  <ds:schemaRefs>
    <ds:schemaRef ds:uri="http://schemas.microsoft.com/office/2006/metadata/properties"/>
    <ds:schemaRef ds:uri="http://schemas.microsoft.com/office/infopath/2007/PartnerControls"/>
    <ds:schemaRef ds:uri="http://schemas.microsoft.com/sharepoint/v3/fields"/>
    <ds:schemaRef ds:uri="17b46552-d8b0-4a09-8203-d52bd02ecc12"/>
  </ds:schemaRefs>
</ds:datastoreItem>
</file>

<file path=customXml/itemProps4.xml><?xml version="1.0" encoding="utf-8"?>
<ds:datastoreItem xmlns:ds="http://schemas.openxmlformats.org/officeDocument/2006/customXml" ds:itemID="{A5BE1D8F-491E-4004-B8C1-E7660ACE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4814</Words>
  <Characters>26863</Characters>
  <Application>Microsoft Office Word</Application>
  <DocSecurity>0</DocSecurity>
  <Lines>440</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26</cp:revision>
  <cp:lastPrinted>2016-07-08T14:13:00Z</cp:lastPrinted>
  <dcterms:created xsi:type="dcterms:W3CDTF">2016-07-12T12:41:00Z</dcterms:created>
  <dcterms:modified xsi:type="dcterms:W3CDTF">2016-08-31T08:02:00Z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0x010100258AA79CEB83498886A3A0868112325000E4784CB7A28D3C4488AA7E5C40997F0C</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ies>
</file>