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2FE4A7E3F742C1BF0E0E71520B7005" style="width:450.75pt;height:306.75pt">
            <v:imagedata r:id="rId12" o:title=""/>
          </v:shape>
        </w:pict>
      </w:r>
    </w:p>
    <w:bookmarkEnd w:id="0"/>
    <w:p>
      <w:pPr>
        <w:rPr>
          <w:noProof/>
          <w:lang w:val="bg-BG"/>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noProof/>
          <w:lang w:val="bg-BG"/>
        </w:rPr>
      </w:pPr>
      <w:bookmarkStart w:id="1" w:name="_GoBack"/>
      <w:bookmarkEnd w:id="1"/>
      <w:r>
        <w:rPr>
          <w:rFonts w:ascii="Times New Roman" w:hAnsi="Times New Roman"/>
          <w:noProof/>
          <w:color w:val="000000" w:themeColor="text1"/>
          <w:lang w:val="bg-BG"/>
        </w:rPr>
        <w:lastRenderedPageBreak/>
        <w:t>Въведение</w:t>
      </w:r>
    </w:p>
    <w:p>
      <w:pPr>
        <w:jc w:val="both"/>
        <w:rPr>
          <w:noProof/>
          <w:lang w:val="bg-BG"/>
        </w:rPr>
      </w:pPr>
    </w:p>
    <w:p>
      <w:pPr>
        <w:jc w:val="both"/>
        <w:rPr>
          <w:i/>
          <w:noProof/>
          <w:lang w:val="bg-BG"/>
        </w:rPr>
      </w:pPr>
      <w:r>
        <w:rPr>
          <w:i/>
          <w:noProof/>
          <w:lang w:val="bg-BG"/>
        </w:rPr>
        <w:t>Петият доклад относно преместването и презаселването предлага актуализирана информация за обстановката след последния доклад от 15 юни</w:t>
      </w:r>
      <w:r>
        <w:rPr>
          <w:rStyle w:val="FootnoteReference"/>
          <w:i/>
          <w:noProof/>
          <w:lang w:val="bg-BG"/>
        </w:rPr>
        <w:footnoteReference w:id="2"/>
      </w:r>
      <w:r>
        <w:rPr>
          <w:i/>
          <w:noProof/>
          <w:lang w:val="bg-BG"/>
        </w:rPr>
        <w:t xml:space="preserve"> и оценка на действията, предприети от всички заинтересовани страни в периода от 14 юни до 11 юли 2016 г. (отчетния период) в изпълнение на препоръките за ускоряване на прилагането на схемите за преместване и презаселване.</w:t>
      </w:r>
    </w:p>
    <w:p>
      <w:pPr>
        <w:jc w:val="both"/>
        <w:rPr>
          <w:i/>
          <w:noProof/>
          <w:lang w:val="bg-BG"/>
        </w:rPr>
      </w:pPr>
    </w:p>
    <w:p>
      <w:pPr>
        <w:jc w:val="both"/>
        <w:rPr>
          <w:i/>
          <w:noProof/>
          <w:lang w:val="bg-BG"/>
        </w:rPr>
      </w:pPr>
      <w:r>
        <w:rPr>
          <w:i/>
          <w:noProof/>
          <w:lang w:val="bg-BG"/>
        </w:rPr>
        <w:t>Предвид належащата нужда да се окаже подкрепа на Гърция и Италия Европейският съвет</w:t>
      </w:r>
      <w:r>
        <w:rPr>
          <w:rStyle w:val="FootnoteReference"/>
          <w:i/>
          <w:noProof/>
          <w:lang w:val="bg-BG"/>
        </w:rPr>
        <w:footnoteReference w:id="3"/>
      </w:r>
      <w:r>
        <w:rPr>
          <w:i/>
          <w:noProof/>
          <w:lang w:val="bg-BG"/>
        </w:rPr>
        <w:t xml:space="preserve"> отново призова за по-нататъшни действия за ускоряване на прилагането на схемите за преместване и презаселване, както направи това и на последното си заседание от 28 юни 2016 г. </w:t>
      </w:r>
    </w:p>
    <w:p>
      <w:pPr>
        <w:jc w:val="both"/>
        <w:rPr>
          <w:i/>
          <w:noProof/>
          <w:lang w:val="bg-BG"/>
        </w:rPr>
      </w:pPr>
    </w:p>
    <w:p>
      <w:pPr>
        <w:jc w:val="both"/>
        <w:rPr>
          <w:i/>
          <w:noProof/>
          <w:lang w:val="bg-BG"/>
        </w:rPr>
      </w:pPr>
      <w:r>
        <w:rPr>
          <w:i/>
          <w:noProof/>
          <w:lang w:val="bg-BG"/>
        </w:rPr>
        <w:t>От 11 юни 2016 г. досега в Гърция са пристигнали 1694 души</w:t>
      </w:r>
      <w:r>
        <w:rPr>
          <w:rStyle w:val="FootnoteReference"/>
          <w:i/>
          <w:noProof/>
          <w:lang w:val="bg-BG"/>
        </w:rPr>
        <w:footnoteReference w:id="4"/>
      </w:r>
      <w:r>
        <w:rPr>
          <w:i/>
          <w:noProof/>
          <w:lang w:val="bg-BG"/>
        </w:rPr>
        <w:t>. Това число очевидно потвърждава още веднъж продължаващата тенденция за спад в броя на пристигащите, в резултат от изпълнението на Изявлението на ЕС и Турция. Броят на мигрантите в Гърция остава стабилен, около 57 000 души — около 8 500 на островите и около 48 500 в континентална Гърция</w:t>
      </w:r>
      <w:r>
        <w:rPr>
          <w:rStyle w:val="FootnoteReference"/>
          <w:i/>
          <w:noProof/>
          <w:lang w:val="bg-BG"/>
        </w:rPr>
        <w:footnoteReference w:id="5"/>
      </w:r>
      <w:r>
        <w:rPr>
          <w:i/>
          <w:noProof/>
          <w:lang w:val="bg-BG"/>
        </w:rPr>
        <w:t>. Според неотдавнашни оценки на гръцките органи около 34 000 мигранти в континентална Гърция са от националности, отговарящи на условията за преместване.</w:t>
      </w:r>
    </w:p>
    <w:p>
      <w:pPr>
        <w:jc w:val="both"/>
        <w:rPr>
          <w:i/>
          <w:noProof/>
          <w:lang w:val="bg-BG"/>
        </w:rPr>
      </w:pPr>
    </w:p>
    <w:p>
      <w:pPr>
        <w:jc w:val="both"/>
        <w:rPr>
          <w:i/>
          <w:noProof/>
          <w:lang w:val="bg-BG"/>
        </w:rPr>
      </w:pPr>
      <w:r>
        <w:rPr>
          <w:i/>
          <w:noProof/>
          <w:lang w:val="bg-BG"/>
        </w:rPr>
        <w:t>В Италия от 11 юни досега са пристигнали 24 977 души</w:t>
      </w:r>
      <w:r>
        <w:rPr>
          <w:rStyle w:val="FootnoteReference"/>
          <w:i/>
          <w:noProof/>
          <w:lang w:val="bg-BG"/>
        </w:rPr>
        <w:footnoteReference w:id="6"/>
      </w:r>
      <w:r>
        <w:rPr>
          <w:i/>
          <w:noProof/>
          <w:lang w:val="bg-BG"/>
        </w:rPr>
        <w:t xml:space="preserve">, като се запазва тенденцията на увеличаване спрямо същия период на 2015 г. Броят на пристигащите еритрейци, една от националностите, отговаряща на условията за преместване, също продължава да е висок (еритрейската националност е втора с най-много пристигащи в Италия, с над 2000 новодошли през отчетния период). По информация на Министерството на вътрешните работи на Италия 4650 еритрейци се намират в момента в страната и очакват преместване. </w:t>
      </w:r>
    </w:p>
    <w:p>
      <w:pPr>
        <w:jc w:val="both"/>
        <w:rPr>
          <w:i/>
          <w:noProof/>
          <w:lang w:val="bg-BG"/>
        </w:rPr>
      </w:pPr>
    </w:p>
    <w:p>
      <w:pPr>
        <w:jc w:val="both"/>
        <w:rPr>
          <w:i/>
          <w:noProof/>
          <w:lang w:val="bg-BG"/>
        </w:rPr>
      </w:pPr>
      <w:r>
        <w:rPr>
          <w:i/>
          <w:noProof/>
          <w:lang w:val="bg-BG"/>
        </w:rPr>
        <w:t>През отчетния период преместването продължава като цяло при същите нива, както в предходния доклад. Преместени са още 776 души, като така общият брой на преместените досега лица става 3056 (2213 от Гърция и 843 от Италия). Цялостният напредък по преместването показва положителна тенденция, която трябва да продължи, но е необходимо да се положат още усилия.</w:t>
      </w:r>
    </w:p>
    <w:p>
      <w:pPr>
        <w:jc w:val="both"/>
        <w:rPr>
          <w:i/>
          <w:noProof/>
          <w:lang w:val="bg-BG"/>
        </w:rPr>
      </w:pPr>
    </w:p>
    <w:p>
      <w:pPr>
        <w:jc w:val="both"/>
        <w:rPr>
          <w:i/>
          <w:noProof/>
          <w:lang w:val="bg-BG"/>
        </w:rPr>
      </w:pPr>
      <w:r>
        <w:rPr>
          <w:i/>
          <w:noProof/>
          <w:lang w:val="bg-BG"/>
        </w:rPr>
        <w:t xml:space="preserve">Що се отнася до презаселването, до момента са презаселени 8268 от договорените по схемата от юли 2015 г. 22 504 души, от които 996 души след последния доклад, основно от Турция, Йордания и Ливан. С договорените действия, заложени в </w:t>
      </w:r>
      <w:r>
        <w:rPr>
          <w:i/>
          <w:noProof/>
          <w:lang w:val="bg-BG"/>
        </w:rPr>
        <w:lastRenderedPageBreak/>
        <w:t>Изявлението на ЕС и Турция, което се прилага едва от 4 април</w:t>
      </w:r>
      <w:r>
        <w:rPr>
          <w:rStyle w:val="FootnoteReference"/>
          <w:i/>
          <w:noProof/>
          <w:lang w:val="bg-BG"/>
        </w:rPr>
        <w:footnoteReference w:id="7"/>
      </w:r>
      <w:r>
        <w:rPr>
          <w:i/>
          <w:noProof/>
          <w:lang w:val="bg-BG"/>
        </w:rPr>
        <w:t>, 802 души са презаселени от Турция в ЕС по механизма 1:1, от които 291 са презаселени от последния доклад насам.</w:t>
      </w:r>
    </w:p>
    <w:p>
      <w:pPr>
        <w:pStyle w:val="Heading1"/>
        <w:numPr>
          <w:ilvl w:val="0"/>
          <w:numId w:val="2"/>
        </w:numPr>
        <w:spacing w:after="120"/>
        <w:rPr>
          <w:rFonts w:ascii="Times New Roman" w:hAnsi="Times New Roman" w:cs="Times New Roman"/>
          <w:noProof/>
          <w:color w:val="000000" w:themeColor="text1"/>
          <w:lang w:val="bg-BG"/>
        </w:rPr>
      </w:pPr>
      <w:r>
        <w:rPr>
          <w:rFonts w:ascii="Times New Roman" w:hAnsi="Times New Roman"/>
          <w:noProof/>
          <w:color w:val="000000" w:themeColor="text1"/>
          <w:lang w:val="bg-BG"/>
        </w:rPr>
        <w:t>Преместване</w:t>
      </w:r>
    </w:p>
    <w:p>
      <w:pPr>
        <w:pStyle w:val="Heading1"/>
        <w:numPr>
          <w:ilvl w:val="1"/>
          <w:numId w:val="2"/>
        </w:numPr>
        <w:spacing w:before="200"/>
        <w:rPr>
          <w:rFonts w:ascii="Times New Roman" w:hAnsi="Times New Roman" w:cs="Times New Roman"/>
          <w:noProof/>
          <w:color w:val="auto"/>
          <w:sz w:val="26"/>
          <w:szCs w:val="26"/>
          <w:lang w:val="bg-BG"/>
        </w:rPr>
      </w:pPr>
      <w:r>
        <w:rPr>
          <w:rFonts w:ascii="Times New Roman" w:hAnsi="Times New Roman"/>
          <w:noProof/>
          <w:color w:val="auto"/>
          <w:sz w:val="26"/>
          <w:lang w:val="bg-BG"/>
        </w:rPr>
        <w:t>Основни акценти от отчетния период</w:t>
      </w:r>
    </w:p>
    <w:p>
      <w:pPr>
        <w:rPr>
          <w:rFonts w:eastAsiaTheme="majorEastAsia"/>
          <w:noProof/>
          <w:lang w:val="bg-BG"/>
        </w:rPr>
      </w:pPr>
    </w:p>
    <w:p>
      <w:pPr>
        <w:jc w:val="both"/>
        <w:rPr>
          <w:noProof/>
          <w:lang w:val="bg-BG"/>
        </w:rPr>
      </w:pPr>
      <w:r>
        <w:rPr>
          <w:noProof/>
          <w:lang w:val="bg-BG"/>
        </w:rPr>
        <w:t>Докато броят на прехвърлянията от Гърция през отчетния период е нараснал (преместени са 710 души спрямо 594 през предишния отчетен период), този на прехвърлянията от Италия е намалял и остава особено незадоволителен (едва 66 души са преместени през настоящия отчетен период спрямо 186 през предишния).</w:t>
      </w:r>
    </w:p>
    <w:p>
      <w:pPr>
        <w:rPr>
          <w:noProof/>
          <w:lang w:val="bg-BG"/>
        </w:rPr>
      </w:pPr>
    </w:p>
    <w:p>
      <w:pPr>
        <w:jc w:val="both"/>
        <w:rPr>
          <w:noProof/>
          <w:lang w:val="bg-BG"/>
        </w:rPr>
      </w:pPr>
      <w:r>
        <w:rPr>
          <w:noProof/>
          <w:lang w:val="bg-BG"/>
        </w:rPr>
        <w:t>Увеличените темпове на преместване от Гърция са последица от много фактори, сред които ангажимента на няколко държави членки на преместване, повишаването на капацитета на Службата за убежище на Гърция за обработването на заявки за преместване, все по-голямата готовност на търсещите убежище да участват в програмата, както и работата на Комисията в сътрудничество със Службата за убежище на Гърция, Европейската служба за подкрепа в областта на убежището (EASO), Върховния комисариат за бежанците на ООН (ВКБООН) и Международната организация по миграция (МОМ) по организирането в Гърция на по-гладка и по-ефикасна процедура по преместване. За да продължи положителната тенденция, е необходимо държавите членки да предоставят в най-кратки срокове още експерти.</w:t>
      </w:r>
    </w:p>
    <w:p>
      <w:pPr>
        <w:jc w:val="both"/>
        <w:rPr>
          <w:noProof/>
          <w:lang w:val="bg-BG"/>
        </w:rPr>
      </w:pPr>
    </w:p>
    <w:p>
      <w:pPr>
        <w:jc w:val="both"/>
        <w:rPr>
          <w:noProof/>
          <w:lang w:val="bg-BG"/>
        </w:rPr>
      </w:pPr>
      <w:r>
        <w:rPr>
          <w:noProof/>
          <w:lang w:val="bg-BG"/>
        </w:rPr>
        <w:t>По отношение на Италия много малкият брой премествания може да се обясни с редица фактори. Сред тях са по-неустановената процедура по преместване в Италия, продължаващото разработване на процеса на преместване и недостатъчно тясното сътрудничество между италианските органи и държавите членки на преместване (особено по отношение на въпросите на сигурността). Италия следва също така да побърза с откриването на вече обявените допълнителни горещи точки, както и да изгради мобилни такива. Освен това е необходима ясна информация за броя на пристигащите, регистрираните лица и потенциалните кандидати, отговарящи на условията за преместване, които се намират в Италия. Нещо повече, кандидатите в Италия, които отговарят на условията за преместване, обикновено са с по-комплексни профили, налагащи допълнителни административни усилия както от държавите членки на преместване, така и от италианските органи, например осигуряването на достатъчни услуги по устен превод. За да се ускорят преместванията от Италия е нужно повече доверие между органите, бързо финализиране и след това осъществяване на процедурата по преместване, доразвиване на административния капацитет на италианските органи и гарантиране на достатъчно поети ангажименти и на гъвкавото изпълнение на съществуващите договорености. Държавите членки трябва също така да отговарят на обявите за изпращане на експерти в Италия.</w:t>
      </w:r>
    </w:p>
    <w:p>
      <w:pPr>
        <w:jc w:val="both"/>
        <w:rPr>
          <w:noProof/>
          <w:lang w:val="bg-BG"/>
        </w:rPr>
      </w:pPr>
    </w:p>
    <w:p>
      <w:pPr>
        <w:jc w:val="both"/>
        <w:rPr>
          <w:noProof/>
          <w:lang w:val="bg-BG"/>
        </w:rPr>
      </w:pPr>
      <w:r>
        <w:rPr>
          <w:noProof/>
          <w:lang w:val="bg-BG"/>
        </w:rPr>
        <w:t>Изключително бавните темпове на преместване на непридружени непълнолетни е сериозен повод за загриженост. През отчетния период са преместени едва 6 непридружени непълнолетни. Финландия е единствената държава членка, която активно се е ангажирала с преместването на тази категория уязвими кандидати, макар че съгласно решенията на Съвета те следва да имат приоритет. Същевременно броят на пристигащите в Италия непридружени непълнолетни продължава да расте (почти 9800 пристигнали от началото на януари, от които 1430 еритрейци), а в Гърция след масовата предварителна регистрация е било установено, че има приблизително 2000 непридружени непълнолетни. Държавите членки следва спешно да увеличат усилията си, като осигурят места за непридружени непълнолетни в рамките на своите официални ангажименти.</w:t>
      </w:r>
    </w:p>
    <w:p>
      <w:pPr>
        <w:jc w:val="both"/>
        <w:rPr>
          <w:noProof/>
          <w:lang w:val="bg-BG"/>
        </w:rPr>
      </w:pPr>
    </w:p>
    <w:p>
      <w:pPr>
        <w:autoSpaceDE w:val="0"/>
        <w:autoSpaceDN w:val="0"/>
        <w:adjustRightInd w:val="0"/>
        <w:jc w:val="both"/>
        <w:rPr>
          <w:noProof/>
          <w:lang w:val="bg-BG"/>
        </w:rPr>
      </w:pPr>
      <w:r>
        <w:rPr>
          <w:noProof/>
          <w:lang w:val="bg-BG"/>
        </w:rPr>
        <w:t>Преместването засяга националности, за които средният за ЕС дял на одобрение на молбите за международна закрила е 75 % и повече</w:t>
      </w:r>
      <w:r>
        <w:rPr>
          <w:rStyle w:val="FootnoteReference"/>
          <w:noProof/>
          <w:lang w:val="bg-BG"/>
        </w:rPr>
        <w:footnoteReference w:id="8"/>
      </w:r>
      <w:r>
        <w:rPr>
          <w:noProof/>
          <w:lang w:val="bg-BG"/>
        </w:rPr>
        <w:t>. Информацията е по данни на Евростат и се актуализира на всеки три месеца въз основа на неговите доклади. Докладът за последното тримесечие беше публикуван през отчетния период. Съществена новост е фактът, че след последния тримесечен доклад на Евростат иракчаните вече не отговарят на условията за преместване</w:t>
      </w:r>
      <w:r>
        <w:rPr>
          <w:rStyle w:val="FootnoteReference"/>
          <w:noProof/>
          <w:lang w:val="bg-BG"/>
        </w:rPr>
        <w:footnoteReference w:id="9"/>
      </w:r>
      <w:r>
        <w:rPr>
          <w:noProof/>
          <w:lang w:val="bg-BG"/>
        </w:rPr>
        <w:t>. Съгласно решенията на Съвета относно преместването обаче това не засяга онези мигранти, за които вече е установено, че са лица, евентуално нуждаещи се от международна закрила.</w:t>
      </w:r>
    </w:p>
    <w:p>
      <w:pPr>
        <w:autoSpaceDE w:val="0"/>
        <w:autoSpaceDN w:val="0"/>
        <w:adjustRightInd w:val="0"/>
        <w:jc w:val="both"/>
        <w:rPr>
          <w:noProof/>
          <w:lang w:val="bg-BG"/>
        </w:rPr>
      </w:pPr>
    </w:p>
    <w:p>
      <w:pPr>
        <w:pStyle w:val="Heading1"/>
        <w:numPr>
          <w:ilvl w:val="1"/>
          <w:numId w:val="2"/>
        </w:numPr>
        <w:spacing w:before="200"/>
        <w:rPr>
          <w:rFonts w:ascii="Times New Roman" w:hAnsi="Times New Roman" w:cs="Times New Roman"/>
          <w:noProof/>
          <w:color w:val="auto"/>
          <w:sz w:val="26"/>
          <w:szCs w:val="26"/>
          <w:lang w:val="bg-BG"/>
        </w:rPr>
      </w:pPr>
      <w:r>
        <w:rPr>
          <w:rFonts w:ascii="Times New Roman" w:hAnsi="Times New Roman"/>
          <w:noProof/>
          <w:color w:val="auto"/>
          <w:sz w:val="26"/>
          <w:lang w:val="bg-BG"/>
        </w:rPr>
        <w:t xml:space="preserve">Действия на държавите членки на преместване </w:t>
      </w:r>
    </w:p>
    <w:p>
      <w:pPr>
        <w:rPr>
          <w:noProof/>
          <w:lang w:val="bg-BG"/>
        </w:rPr>
      </w:pPr>
    </w:p>
    <w:p>
      <w:pPr>
        <w:jc w:val="both"/>
        <w:rPr>
          <w:noProof/>
          <w:lang w:val="bg-BG"/>
        </w:rPr>
      </w:pPr>
      <w:r>
        <w:rPr>
          <w:noProof/>
          <w:lang w:val="en-US" w:eastAsia="en-US"/>
        </w:rPr>
        <w:drawing>
          <wp:anchor distT="0" distB="0" distL="114300" distR="114300" simplePos="0" relativeHeight="251663360" behindDoc="0" locked="0" layoutInCell="1" allowOverlap="1">
            <wp:simplePos x="0" y="0"/>
            <wp:positionH relativeFrom="column">
              <wp:posOffset>-4445</wp:posOffset>
            </wp:positionH>
            <wp:positionV relativeFrom="paragraph">
              <wp:posOffset>217805</wp:posOffset>
            </wp:positionV>
            <wp:extent cx="3038475" cy="183007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038475" cy="1830070"/>
                    </a:xfrm>
                    <a:prstGeom prst="rect">
                      <a:avLst/>
                    </a:prstGeom>
                  </pic:spPr>
                </pic:pic>
              </a:graphicData>
            </a:graphic>
            <wp14:sizeRelH relativeFrom="page">
              <wp14:pctWidth>0</wp14:pctWidth>
            </wp14:sizeRelH>
            <wp14:sizeRelV relativeFrom="page">
              <wp14:pctHeight>0</wp14:pctHeight>
            </wp14:sizeRelV>
          </wp:anchor>
        </w:drawing>
      </w:r>
      <w:r>
        <w:rPr>
          <w:noProof/>
          <w:lang w:val="bg-BG"/>
        </w:rPr>
        <w:t>В периода 14 юни — 11 юли са преместени още 776 мигранти — 710 от Гърция (в Белгия, България, Естония, Ирландия, Испания, Кипър, Латвия, Литва, Нидерландия, Португалия, Румъния, Финландия и Франция)</w:t>
      </w:r>
      <w:r>
        <w:rPr>
          <w:rStyle w:val="FootnoteReference"/>
          <w:noProof/>
          <w:lang w:val="bg-BG"/>
        </w:rPr>
        <w:footnoteReference w:id="10"/>
      </w:r>
      <w:r>
        <w:rPr>
          <w:noProof/>
          <w:lang w:val="bg-BG"/>
        </w:rPr>
        <w:t xml:space="preserve"> и 66 от Италия (в Кипър, Нидерландия, Португалия и Хърватия (първи за тази държава премествания)</w:t>
      </w:r>
      <w:r>
        <w:rPr>
          <w:rStyle w:val="FootnoteReference"/>
          <w:noProof/>
          <w:lang w:val="bg-BG"/>
        </w:rPr>
        <w:footnoteReference w:id="11"/>
      </w:r>
      <w:r>
        <w:rPr>
          <w:noProof/>
          <w:lang w:val="bg-BG"/>
        </w:rPr>
        <w:t>. На 15 юни Франция прие от Гърция 126 души, а на 7 юли още една група от 124 кандидати, с което отново показа, че е възможно преместване на голям брой хора наведнъж. Освен това Нидерландия, Португалия, Финландия и Франция продължиха да извършват редовни месечни прехвърляния. До края на юли са планирани още 133 премествания от Гърция</w:t>
      </w:r>
      <w:r>
        <w:rPr>
          <w:rStyle w:val="FootnoteReference"/>
          <w:noProof/>
          <w:lang w:val="bg-BG"/>
        </w:rPr>
        <w:footnoteReference w:id="12"/>
      </w:r>
      <w:r>
        <w:rPr>
          <w:noProof/>
          <w:lang w:val="bg-BG"/>
        </w:rPr>
        <w:t xml:space="preserve"> и 119 от Италия</w:t>
      </w:r>
      <w:r>
        <w:rPr>
          <w:rStyle w:val="FootnoteReference"/>
          <w:noProof/>
          <w:lang w:val="bg-BG"/>
        </w:rPr>
        <w:footnoteReference w:id="13"/>
      </w:r>
      <w:r>
        <w:rPr>
          <w:noProof/>
          <w:lang w:val="bg-BG"/>
        </w:rPr>
        <w:t xml:space="preserve">. </w:t>
      </w:r>
    </w:p>
    <w:p>
      <w:pPr>
        <w:jc w:val="both"/>
        <w:rPr>
          <w:noProof/>
          <w:lang w:val="bg-BG"/>
        </w:rPr>
      </w:pPr>
    </w:p>
    <w:p>
      <w:pPr>
        <w:jc w:val="both"/>
        <w:rPr>
          <w:noProof/>
          <w:lang w:val="bg-BG"/>
        </w:rPr>
      </w:pPr>
      <w:r>
        <w:rPr>
          <w:b/>
          <w:noProof/>
          <w:lang w:val="bg-BG"/>
        </w:rPr>
        <w:t>Действия за справяне с ограничения брой поемани ангажименти</w:t>
      </w:r>
      <w:r>
        <w:rPr>
          <w:noProof/>
          <w:lang w:val="bg-BG"/>
        </w:rPr>
        <w:t>: 10 държави членки (Германия, Естония, Ирландия, Латвия, Литва, Нидерландия, Румъния, Словения, Финландия и Франция)</w:t>
      </w:r>
      <w:r>
        <w:rPr>
          <w:rStyle w:val="FootnoteReference"/>
          <w:noProof/>
          <w:lang w:val="bg-BG"/>
        </w:rPr>
        <w:footnoteReference w:id="14"/>
      </w:r>
      <w:r>
        <w:rPr>
          <w:noProof/>
          <w:lang w:val="bg-BG"/>
        </w:rPr>
        <w:t>, както и Швейцария</w:t>
      </w:r>
      <w:r>
        <w:rPr>
          <w:rStyle w:val="FootnoteReference"/>
          <w:noProof/>
          <w:lang w:val="bg-BG"/>
        </w:rPr>
        <w:footnoteReference w:id="15"/>
      </w:r>
      <w:r>
        <w:rPr>
          <w:noProof/>
          <w:lang w:val="bg-BG"/>
        </w:rPr>
        <w:t xml:space="preserve"> са заявили готовност за бързо преместване на нови 858</w:t>
      </w:r>
      <w:r>
        <w:rPr>
          <w:rStyle w:val="FootnoteReference"/>
          <w:noProof/>
          <w:lang w:val="bg-BG"/>
        </w:rPr>
        <w:footnoteReference w:id="16"/>
      </w:r>
      <w:r>
        <w:rPr>
          <w:noProof/>
          <w:lang w:val="bg-BG"/>
        </w:rPr>
        <w:t xml:space="preserve"> кандидати за международна закрила („официални ангажименти“), което е по-малко, отколкото през предишния отчетен период. Броят на новите официални ангажименти е по-равномерно разпределен, отколкото през предишния отчетен период: 380 официални ангажимента са подадени за Италия и 478 за Гърция. Общият брой официални ангажименти, поети от държавите членки на преместване, възлиза на 9119 (2428</w:t>
      </w:r>
      <w:r>
        <w:rPr>
          <w:rStyle w:val="FootnoteReference"/>
          <w:noProof/>
          <w:lang w:val="bg-BG"/>
        </w:rPr>
        <w:footnoteReference w:id="17"/>
      </w:r>
      <w:r>
        <w:rPr>
          <w:noProof/>
          <w:lang w:val="bg-BG"/>
        </w:rPr>
        <w:t xml:space="preserve"> за Италия и 6691 за Гърция). </w:t>
      </w:r>
    </w:p>
    <w:p>
      <w:pPr>
        <w:jc w:val="both"/>
        <w:rPr>
          <w:noProof/>
          <w:lang w:val="bg-BG"/>
        </w:rPr>
      </w:pPr>
    </w:p>
    <w:p>
      <w:pPr>
        <w:jc w:val="both"/>
        <w:rPr>
          <w:noProof/>
          <w:lang w:val="bg-BG"/>
        </w:rPr>
      </w:pPr>
      <w:r>
        <w:rPr>
          <w:noProof/>
          <w:lang w:val="bg-BG"/>
        </w:rPr>
        <w:t>Австрия</w:t>
      </w:r>
      <w:r>
        <w:rPr>
          <w:rStyle w:val="FootnoteReference"/>
          <w:noProof/>
          <w:lang w:val="bg-BG"/>
        </w:rPr>
        <w:footnoteReference w:id="18"/>
      </w:r>
      <w:r>
        <w:rPr>
          <w:noProof/>
          <w:lang w:val="bg-BG"/>
        </w:rPr>
        <w:t xml:space="preserve"> и Унгария все още не са поели никакъв ангажимент. Полша от своя страна продължава да прилага де факто временно преустановяване на процедурата по преместване</w:t>
      </w:r>
      <w:r>
        <w:rPr>
          <w:rStyle w:val="FootnoteReference"/>
          <w:noProof/>
          <w:lang w:val="bg-BG"/>
        </w:rPr>
        <w:footnoteReference w:id="19"/>
      </w:r>
      <w:r>
        <w:rPr>
          <w:noProof/>
          <w:lang w:val="bg-BG"/>
        </w:rPr>
        <w:t>. В крайна сметка, до този момент повечето държави членки не поемат ангажиментите в пропорции, съответстващи на квотите им за целия период, обхванат от решенията (например Германия, Полша, Словакия, Хърватия и Чешката република са поели ангажименти за едва 1-2 % от съответните си квоти).</w:t>
      </w:r>
    </w:p>
    <w:p>
      <w:pPr>
        <w:jc w:val="both"/>
        <w:rPr>
          <w:noProof/>
          <w:lang w:val="bg-BG"/>
        </w:rPr>
      </w:pPr>
    </w:p>
    <w:p>
      <w:pPr>
        <w:jc w:val="both"/>
        <w:rPr>
          <w:noProof/>
          <w:lang w:val="bg-BG"/>
        </w:rPr>
      </w:pPr>
      <w:r>
        <w:rPr>
          <w:b/>
          <w:noProof/>
          <w:lang w:val="bg-BG"/>
        </w:rPr>
        <w:t>Действия за ускоряване на отговорите на заявките за преместване</w:t>
      </w:r>
      <w:r>
        <w:rPr>
          <w:noProof/>
          <w:lang w:val="bg-BG"/>
        </w:rPr>
        <w:t xml:space="preserve">: Въпреки че повече държави членки вече се ангажират активно с преместване от Гърция, някои от тях (Люксембург и Нидерландия, както и Швейцария) полагат усилия да отговарят в по-кратки срокове на заявките за преместване. </w:t>
      </w:r>
    </w:p>
    <w:p>
      <w:pPr>
        <w:jc w:val="both"/>
        <w:rPr>
          <w:noProof/>
          <w:lang w:val="bg-BG"/>
        </w:rPr>
      </w:pPr>
    </w:p>
    <w:p>
      <w:pPr>
        <w:jc w:val="both"/>
        <w:rPr>
          <w:noProof/>
          <w:lang w:val="bg-BG"/>
        </w:rPr>
      </w:pPr>
      <w:r>
        <w:rPr>
          <w:noProof/>
          <w:lang w:val="bg-BG"/>
        </w:rPr>
        <w:t>През отчетния период някои държави членки (Естония, Латвия и Литва) са отхвърлили заявки за преместване, без да посочат уважителни причини или на основания, различни от посочените в решенията на Съвета относно преместването.</w:t>
      </w:r>
    </w:p>
    <w:p>
      <w:pPr>
        <w:jc w:val="both"/>
        <w:rPr>
          <w:noProof/>
          <w:lang w:val="bg-BG"/>
        </w:rPr>
      </w:pPr>
    </w:p>
    <w:p>
      <w:pPr>
        <w:jc w:val="both"/>
        <w:rPr>
          <w:noProof/>
          <w:lang w:val="bg-BG"/>
        </w:rPr>
      </w:pPr>
      <w:r>
        <w:rPr>
          <w:b/>
          <w:noProof/>
          <w:lang w:val="bg-BG"/>
        </w:rPr>
        <w:t xml:space="preserve">Действия за справяне с предизвикателствата, свързани с преместване на уязвими кандидати, включително непридружени непълнолетни: </w:t>
      </w:r>
      <w:r>
        <w:rPr>
          <w:noProof/>
          <w:lang w:val="bg-BG"/>
        </w:rPr>
        <w:t>между 1 и 30 юни в Италия са пристигнали 3169 непридружени непълнолетни, от които приблизително 500 еритрейци и много малко иракчани. В Гърция, въпреки че не е възможно да се определи броят на пристигналите през същия период непридружени непълнолетни, от Националния център за социална солидарност (EKKA) съобщават, че от началото на 2016 г. към EKKA са насочени за настаняване 2390 непридружени непълнолетни, от които 531 са настанени в специализирани постройки, а 911 очакват настаняване. Според данните от операцията по предварителната регистрация към 7 юли са регистрирани 906 непридружени непълнолетни</w:t>
      </w:r>
      <w:r>
        <w:rPr>
          <w:rStyle w:val="FootnoteReference"/>
          <w:noProof/>
          <w:lang w:val="bg-BG"/>
        </w:rPr>
        <w:footnoteReference w:id="20"/>
      </w:r>
      <w:r>
        <w:rPr>
          <w:noProof/>
          <w:lang w:val="bg-BG"/>
        </w:rPr>
        <w:t>.</w:t>
      </w:r>
    </w:p>
    <w:p>
      <w:pPr>
        <w:jc w:val="both"/>
        <w:rPr>
          <w:noProof/>
          <w:lang w:val="bg-BG"/>
        </w:rPr>
      </w:pPr>
    </w:p>
    <w:p>
      <w:pPr>
        <w:jc w:val="both"/>
        <w:rPr>
          <w:noProof/>
          <w:lang w:val="bg-BG"/>
        </w:rPr>
      </w:pPr>
      <w:r>
        <w:rPr>
          <w:noProof/>
          <w:lang w:val="bg-BG"/>
        </w:rPr>
        <w:t xml:space="preserve">Преместването на непридружени непълнолетни продължава да става изключително бавно. От 14 юни насам само шестима непридружени непълнолетни са преместени от Гърция (петима във Финландия и един в Ирландия), с което общият брой преместени непридружени непълнолетни става 29. Само няколко държави членки желаят да приемат прехвърляне на непридружени непълнолетни, а предлаганите места продължават да бъдат недостатъчни за преместването на всички непридружени непълнолетни, които отговарят на условията за това. </w:t>
      </w:r>
    </w:p>
    <w:p>
      <w:pPr>
        <w:jc w:val="both"/>
        <w:rPr>
          <w:noProof/>
          <w:lang w:val="bg-BG"/>
        </w:rPr>
      </w:pPr>
    </w:p>
    <w:p>
      <w:pPr>
        <w:jc w:val="both"/>
        <w:rPr>
          <w:noProof/>
          <w:lang w:val="bg-BG"/>
        </w:rPr>
      </w:pPr>
      <w:r>
        <w:rPr>
          <w:b/>
          <w:noProof/>
          <w:lang w:val="bg-BG"/>
        </w:rPr>
        <w:t>Действия за укрепване на капацитета на EASO в подкрепа на Италия и Гърция:</w:t>
      </w:r>
      <w:r>
        <w:rPr>
          <w:noProof/>
          <w:lang w:val="bg-BG"/>
        </w:rPr>
        <w:t xml:space="preserve"> последната обява на EASO за набиране на експерти за Италия, публикувана на 28 май 2016 г., е за още 35 експерти. Към 11 юли са получени 40 кандидатури</w:t>
      </w:r>
      <w:r>
        <w:rPr>
          <w:rStyle w:val="FootnoteReference"/>
          <w:noProof/>
          <w:lang w:val="bg-BG"/>
        </w:rPr>
        <w:footnoteReference w:id="21"/>
      </w:r>
      <w:r>
        <w:rPr>
          <w:noProof/>
          <w:lang w:val="bg-BG"/>
        </w:rPr>
        <w:t>. Общият брой на експертите, изпратени в Италия, е 32 експерти по убежището и 35 културни посредници</w:t>
      </w:r>
      <w:r>
        <w:rPr>
          <w:rStyle w:val="FootnoteReference"/>
          <w:noProof/>
          <w:lang w:val="bg-BG"/>
        </w:rPr>
        <w:footnoteReference w:id="22"/>
      </w:r>
      <w:r>
        <w:rPr>
          <w:noProof/>
          <w:lang w:val="bg-BG"/>
        </w:rPr>
        <w:t>, което е все още недостатъчно за справяне с растящия брой пристигащи и е под необходимата съгласно плана за извънредни ситуации численост, договорена между EASO и италианските органи (74 експерти). По тази причина са необходими още назначения, и то в по-дългосрочен план.</w:t>
      </w:r>
    </w:p>
    <w:p>
      <w:pPr>
        <w:jc w:val="both"/>
        <w:rPr>
          <w:noProof/>
          <w:lang w:val="bg-BG"/>
        </w:rPr>
      </w:pPr>
    </w:p>
    <w:p>
      <w:pPr>
        <w:jc w:val="both"/>
        <w:rPr>
          <w:noProof/>
          <w:lang w:val="bg-BG"/>
        </w:rPr>
      </w:pPr>
      <w:r>
        <w:rPr>
          <w:noProof/>
          <w:lang w:val="bg-BG"/>
        </w:rPr>
        <w:t>По отношение на Гърция EASO изпрати до държавите членки напомняне във връзка с последната обява за набиране на експерти</w:t>
      </w:r>
      <w:r>
        <w:rPr>
          <w:rStyle w:val="FootnoteReference"/>
          <w:noProof/>
          <w:lang w:val="bg-BG"/>
        </w:rPr>
        <w:footnoteReference w:id="23"/>
      </w:r>
      <w:r>
        <w:rPr>
          <w:noProof/>
          <w:lang w:val="bg-BG"/>
        </w:rPr>
        <w:t>, които да подпомагат схемата за преместване в Гърция, тъй като непрекъснато има нужда да се изпращат нови експерти поради изтичането на мандатите им. До момента в EASO не са получавани нови кандидатури след това напомняне. Общият брой на експертите, изпратени в Гърция към 11 юли, е 27 експерти по убежището и 24 устни преводачи, което е недостатъчно за справяне с увеличения брой молби, които трябва да бъдат подадени след приключване на масовата операция по предварителна регистрация. Поради тази причина, след като гръцките органи направиха преоценка на нуждите след операцията по предварителна регистрация, от EASO ще обмислят да поискат още експерти и културни посредници.</w:t>
      </w:r>
    </w:p>
    <w:p>
      <w:pPr>
        <w:pStyle w:val="Heading1"/>
        <w:numPr>
          <w:ilvl w:val="1"/>
          <w:numId w:val="2"/>
        </w:numPr>
        <w:spacing w:before="200"/>
        <w:rPr>
          <w:rFonts w:ascii="Times New Roman" w:hAnsi="Times New Roman" w:cs="Times New Roman"/>
          <w:noProof/>
          <w:color w:val="auto"/>
          <w:sz w:val="26"/>
          <w:szCs w:val="26"/>
          <w:lang w:val="bg-BG"/>
        </w:rPr>
      </w:pPr>
      <w:r>
        <w:rPr>
          <w:rFonts w:ascii="Times New Roman" w:hAnsi="Times New Roman"/>
          <w:noProof/>
          <w:color w:val="auto"/>
          <w:sz w:val="26"/>
          <w:lang w:val="bg-BG"/>
        </w:rPr>
        <w:t>Действия от страна на Гърция и Италия, включително акценти от пътните карти</w:t>
      </w:r>
    </w:p>
    <w:p>
      <w:pPr>
        <w:rPr>
          <w:noProof/>
          <w:lang w:val="bg-BG"/>
        </w:rPr>
      </w:pPr>
    </w:p>
    <w:p>
      <w:pPr>
        <w:pStyle w:val="ListParagraph"/>
        <w:numPr>
          <w:ilvl w:val="0"/>
          <w:numId w:val="8"/>
        </w:numPr>
        <w:ind w:left="720" w:hanging="360"/>
        <w:rPr>
          <w:b/>
          <w:i/>
          <w:noProof/>
          <w:lang w:val="bg-BG"/>
        </w:rPr>
      </w:pPr>
      <w:r>
        <w:rPr>
          <w:b/>
          <w:i/>
          <w:noProof/>
          <w:lang w:val="bg-BG"/>
        </w:rPr>
        <w:t xml:space="preserve">Гърция </w:t>
      </w:r>
    </w:p>
    <w:p>
      <w:pPr>
        <w:rPr>
          <w:noProof/>
          <w:lang w:val="bg-BG"/>
        </w:rPr>
      </w:pPr>
    </w:p>
    <w:p>
      <w:pPr>
        <w:jc w:val="both"/>
        <w:rPr>
          <w:noProof/>
          <w:lang w:val="bg-BG"/>
        </w:rPr>
      </w:pPr>
      <w:r>
        <w:rPr>
          <w:b/>
          <w:noProof/>
          <w:lang w:val="bg-BG"/>
        </w:rPr>
        <w:t>Действия за ускоряване на регистрацията и обработване на мигрантите</w:t>
      </w:r>
      <w:r>
        <w:rPr>
          <w:noProof/>
          <w:lang w:val="bg-BG"/>
        </w:rPr>
        <w:t>: както е отбелязано в Четвъртия доклад относно преместването и презаселването, на 8 юни Службата за убежище на Гърция (в тясно сътрудничество с ВКБООН и EASO) започна масова операция по предварителна регистрация на около 49 000 души, които в момента се намират във временни места за настаняване в континенталната част на страната</w:t>
      </w:r>
      <w:r>
        <w:rPr>
          <w:rStyle w:val="FootnoteReference"/>
          <w:noProof/>
          <w:lang w:val="bg-BG"/>
        </w:rPr>
        <w:footnoteReference w:id="24"/>
      </w:r>
      <w:r>
        <w:rPr>
          <w:noProof/>
          <w:lang w:val="bg-BG"/>
        </w:rPr>
        <w:t>. Към 11 юли е била направена предварителна регистрация на 21 223 лица.</w:t>
      </w:r>
    </w:p>
    <w:p>
      <w:pPr>
        <w:jc w:val="both"/>
        <w:rPr>
          <w:noProof/>
          <w:lang w:val="bg-BG"/>
        </w:rPr>
      </w:pPr>
    </w:p>
    <w:p>
      <w:pPr>
        <w:jc w:val="both"/>
        <w:rPr>
          <w:noProof/>
          <w:lang w:val="bg-BG"/>
        </w:rPr>
      </w:pPr>
      <w:r>
        <w:rPr>
          <w:noProof/>
          <w:lang w:val="en-US" w:eastAsia="en-US"/>
        </w:rPr>
        <w:drawing>
          <wp:anchor distT="0" distB="0" distL="114300" distR="114300" simplePos="0" relativeHeight="251664384" behindDoc="0" locked="0" layoutInCell="1" allowOverlap="1">
            <wp:simplePos x="0" y="0"/>
            <wp:positionH relativeFrom="column">
              <wp:posOffset>-4445</wp:posOffset>
            </wp:positionH>
            <wp:positionV relativeFrom="paragraph">
              <wp:posOffset>796290</wp:posOffset>
            </wp:positionV>
            <wp:extent cx="3552825" cy="287083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552825" cy="2870835"/>
                    </a:xfrm>
                    <a:prstGeom prst="rect">
                      <a:avLst/>
                    </a:prstGeom>
                  </pic:spPr>
                </pic:pic>
              </a:graphicData>
            </a:graphic>
            <wp14:sizeRelH relativeFrom="page">
              <wp14:pctWidth>0</wp14:pctWidth>
            </wp14:sizeRelH>
            <wp14:sizeRelV relativeFrom="page">
              <wp14:pctHeight>0</wp14:pctHeight>
            </wp14:sizeRelV>
          </wp:anchor>
        </w:drawing>
      </w:r>
      <w:r>
        <w:rPr>
          <w:b/>
          <w:noProof/>
          <w:lang w:val="bg-BG"/>
        </w:rPr>
        <w:t xml:space="preserve">Действия по укрепване на капацитета за регистрация на Службата за убежище на Гърция: </w:t>
      </w:r>
      <w:r>
        <w:rPr>
          <w:noProof/>
          <w:lang w:val="bg-BG"/>
        </w:rPr>
        <w:t xml:space="preserve">смесените екипи по регистрацията на Службата за убежище и EASO се състоят от 6 експерти в Атина, 3 в Солун и 3 в Александруполис. Както е посочено в Четвъртия доклад, част от служителите на Службата за убежище на Гърция оказват подкрепа в масовата операция по предварителна регистрация. Ето защо капацитетът за обработване на Службата за убежище не се е повишил, но се очаква значителното му увеличаване в края на операцията по предварителна регистрация. С подкрепата на EASO Службата за убежище на Гърция подава дневно документите на средно 110 кандидати, отговарящи на условията за преместване. </w:t>
      </w:r>
    </w:p>
    <w:p>
      <w:pPr>
        <w:jc w:val="both"/>
        <w:rPr>
          <w:noProof/>
          <w:lang w:val="bg-BG"/>
        </w:rPr>
      </w:pPr>
    </w:p>
    <w:p>
      <w:pPr>
        <w:widowControl w:val="0"/>
        <w:jc w:val="both"/>
        <w:rPr>
          <w:noProof/>
          <w:spacing w:val="-2"/>
          <w:lang w:val="bg-BG"/>
        </w:rPr>
      </w:pPr>
      <w:r>
        <w:rPr>
          <w:noProof/>
          <w:spacing w:val="-2"/>
          <w:lang w:val="bg-BG"/>
        </w:rPr>
        <w:t xml:space="preserve">Броят на регистрациите съответства на сходно увеличение в броя на ангажиментите, а разликата през отчетния период между броя на заявките за преместване, подадени от Гърция, и съгласията от държавите членки на преместване е намаляла: Гърция е изпратила общо 1268 заявки за преместване, докато от държавите членки на преместване са получени 1224 нови съгласия. Разликата обаче продължава да е голяма и може да предизвика значителни затруднения по-нататък след масовата операция по предварителна регистрация. </w:t>
      </w:r>
    </w:p>
    <w:p>
      <w:pPr>
        <w:jc w:val="both"/>
        <w:rPr>
          <w:b/>
          <w:noProof/>
          <w:lang w:val="bg-BG"/>
        </w:rPr>
      </w:pPr>
    </w:p>
    <w:p>
      <w:pPr>
        <w:jc w:val="both"/>
        <w:rPr>
          <w:noProof/>
          <w:lang w:val="bg-BG"/>
        </w:rPr>
      </w:pPr>
      <w:r>
        <w:rPr>
          <w:b/>
          <w:noProof/>
          <w:lang w:val="bg-BG"/>
        </w:rPr>
        <w:t>Действия за подобряване на координацията и ускоряване на отговорите на заявките за преместване</w:t>
      </w:r>
      <w:r>
        <w:rPr>
          <w:noProof/>
          <w:lang w:val="bg-BG"/>
        </w:rPr>
        <w:t xml:space="preserve">: на 8 юли на заседанието на служителите за връзка беше одобрен протоколът за преместването. </w:t>
      </w:r>
    </w:p>
    <w:p>
      <w:pPr>
        <w:jc w:val="both"/>
        <w:rPr>
          <w:noProof/>
          <w:lang w:val="bg-BG"/>
        </w:rPr>
      </w:pPr>
    </w:p>
    <w:p>
      <w:pPr>
        <w:jc w:val="both"/>
        <w:rPr>
          <w:noProof/>
          <w:lang w:val="bg-BG"/>
        </w:rPr>
      </w:pPr>
      <w:r>
        <w:rPr>
          <w:b/>
          <w:noProof/>
          <w:lang w:val="bg-BG"/>
        </w:rPr>
        <w:t>Действия за подобряване на капацитета за приемане в Гърция</w:t>
      </w:r>
      <w:r>
        <w:rPr>
          <w:noProof/>
          <w:lang w:val="bg-BG"/>
        </w:rPr>
        <w:t>: към 8 юли общият капацитет за приемане в Гърция надвишава 50 000 места</w:t>
      </w:r>
      <w:r>
        <w:rPr>
          <w:rStyle w:val="FootnoteReference"/>
          <w:noProof/>
          <w:lang w:val="bg-BG"/>
        </w:rPr>
        <w:footnoteReference w:id="25"/>
      </w:r>
      <w:r>
        <w:rPr>
          <w:noProof/>
          <w:lang w:val="bg-BG"/>
        </w:rPr>
        <w:t xml:space="preserve"> във временни постройки за настаняване и постоянни места за приемане както на незаконни мигранти, така и на лица, евентуално нуждаещи се от международна закрила, които са изразили желанието си да кандидатстват за убежище или вече са подали молбата си за убежище. Тези постройки обаче се нуждаят от значителни подобрения, за да отговорят на съответните стандарти</w:t>
      </w:r>
      <w:r>
        <w:rPr>
          <w:rStyle w:val="FootnoteReference"/>
          <w:noProof/>
          <w:lang w:val="bg-BG"/>
        </w:rPr>
        <w:footnoteReference w:id="26"/>
      </w:r>
      <w:r>
        <w:rPr>
          <w:noProof/>
          <w:lang w:val="bg-BG"/>
        </w:rPr>
        <w:t xml:space="preserve">. От 20 000 места, предвидени по системата за наемане, въведена от ВКБООН през декември 2015 г. за кандидати, отговарящи на условията за преместване, към 4 юли са налични 7652 места, от тях 2349 места в хотели/цели сгради, 3738 места в апартаменти, 212 места в приемни семейства и 201 места в специализирани постройки за непридружени непълнолетни. </w:t>
      </w:r>
    </w:p>
    <w:p>
      <w:pPr>
        <w:jc w:val="both"/>
        <w:rPr>
          <w:noProof/>
          <w:lang w:val="bg-BG"/>
        </w:rPr>
      </w:pPr>
    </w:p>
    <w:p>
      <w:pPr>
        <w:jc w:val="both"/>
        <w:rPr>
          <w:noProof/>
          <w:spacing w:val="-4"/>
          <w:lang w:val="bg-BG"/>
        </w:rPr>
      </w:pPr>
      <w:r>
        <w:rPr>
          <w:noProof/>
          <w:spacing w:val="-4"/>
          <w:lang w:val="bg-BG"/>
        </w:rPr>
        <w:t>По въпроса за центровете за преместване, към 11 юли е отворен само един от трите центъра, обещани от гръцките органи (Лангадикия). Към 8 юли там са настанени 861 лица. За останалите два центъра гръцките органи още не са определили подходящи терени. Все още текат дискусии между ВКБООН</w:t>
      </w:r>
      <w:r>
        <w:rPr>
          <w:rStyle w:val="FootnoteReference"/>
          <w:noProof/>
          <w:spacing w:val="-4"/>
          <w:lang w:val="bg-BG"/>
        </w:rPr>
        <w:footnoteReference w:id="27"/>
      </w:r>
      <w:r>
        <w:rPr>
          <w:noProof/>
          <w:spacing w:val="-4"/>
          <w:lang w:val="bg-BG"/>
        </w:rPr>
        <w:t xml:space="preserve"> и гръцките органи относно осигуряването на още терени за изграждането на специализираните центрове за преместване, и по-специално в района на Атика</w:t>
      </w:r>
      <w:r>
        <w:rPr>
          <w:rStyle w:val="FootnoteReference"/>
          <w:noProof/>
          <w:spacing w:val="-4"/>
          <w:lang w:val="bg-BG"/>
        </w:rPr>
        <w:footnoteReference w:id="28"/>
      </w:r>
      <w:r>
        <w:rPr>
          <w:noProof/>
          <w:spacing w:val="-4"/>
          <w:lang w:val="bg-BG"/>
        </w:rPr>
        <w:t xml:space="preserve">. Както е посочено в Четвъртия доклад, тези терени следва да бъдат спешно определени, за да се избегнат затрудненията при процедурата по преместване след масовата операция по предварителна регистрация. </w:t>
      </w:r>
    </w:p>
    <w:p>
      <w:pPr>
        <w:rPr>
          <w:noProof/>
          <w:lang w:val="bg-BG"/>
        </w:rPr>
      </w:pPr>
    </w:p>
    <w:p>
      <w:pPr>
        <w:pStyle w:val="ListParagraph"/>
        <w:keepNext/>
        <w:numPr>
          <w:ilvl w:val="0"/>
          <w:numId w:val="8"/>
        </w:numPr>
        <w:ind w:left="720" w:hanging="360"/>
        <w:rPr>
          <w:b/>
          <w:i/>
          <w:noProof/>
          <w:lang w:val="bg-BG"/>
        </w:rPr>
      </w:pPr>
      <w:r>
        <w:rPr>
          <w:b/>
          <w:i/>
          <w:noProof/>
          <w:lang w:val="bg-BG"/>
        </w:rPr>
        <w:t xml:space="preserve">Италия </w:t>
      </w:r>
    </w:p>
    <w:p>
      <w:pPr>
        <w:keepNext/>
        <w:rPr>
          <w:noProof/>
          <w:lang w:val="bg-BG"/>
        </w:rPr>
      </w:pPr>
    </w:p>
    <w:p>
      <w:pPr>
        <w:jc w:val="both"/>
        <w:rPr>
          <w:noProof/>
          <w:lang w:val="bg-BG"/>
        </w:rPr>
      </w:pPr>
      <w:r>
        <w:rPr>
          <w:b/>
          <w:noProof/>
          <w:lang w:val="bg-BG"/>
        </w:rPr>
        <w:t xml:space="preserve">Действия за увеличаване на броя на горещите точки и постигане на пълната им оперативност: </w:t>
      </w:r>
      <w:r>
        <w:rPr>
          <w:noProof/>
          <w:lang w:val="bg-BG"/>
        </w:rPr>
        <w:t xml:space="preserve">пиковете на пристигане през миналите месеци показаха, че настоящият капацитет от 1600 места в четирите действащи горещи точки (Поцало, Лампедуза, Трапани и Таранто) не е достатъчен. Освен това в повечето случаи мигрантите продължават да слизат на брега извън зоните на горещите точки. Както е посочено в Четвъртия доклад, Италия следва да ускори откриването на вече обявените допълнителни горещи точки, както и да изгради мобилни такива (с подкрепата на агенциите от ЕС). Също така, поради нарастващия брой непридружени непълнолетни, които слизат на италианския бряг, специални зони и специална помощ следва да бъдат осигурени във всички горещи точки. </w:t>
      </w:r>
    </w:p>
    <w:p>
      <w:pPr>
        <w:jc w:val="both"/>
        <w:rPr>
          <w:b/>
          <w:noProof/>
          <w:lang w:val="bg-BG"/>
        </w:rPr>
      </w:pPr>
    </w:p>
    <w:p>
      <w:pPr>
        <w:jc w:val="both"/>
        <w:rPr>
          <w:noProof/>
          <w:lang w:val="bg-BG"/>
        </w:rPr>
      </w:pPr>
      <w:r>
        <w:rPr>
          <w:b/>
          <w:noProof/>
          <w:lang w:val="bg-BG"/>
        </w:rPr>
        <w:t xml:space="preserve">Действия за подобряване на координацията: </w:t>
      </w:r>
      <w:r>
        <w:rPr>
          <w:noProof/>
          <w:lang w:val="bg-BG"/>
        </w:rPr>
        <w:t>след приемането на стандартните оперативни процедури за италианските горещи точки</w:t>
      </w:r>
      <w:r>
        <w:rPr>
          <w:rStyle w:val="FootnoteReference"/>
          <w:rFonts w:eastAsiaTheme="majorEastAsia"/>
          <w:noProof/>
          <w:lang w:val="bg-BG"/>
        </w:rPr>
        <w:footnoteReference w:id="29"/>
      </w:r>
      <w:r>
        <w:rPr>
          <w:noProof/>
          <w:lang w:val="bg-BG"/>
        </w:rPr>
        <w:t xml:space="preserve"> бяха проведени няколко обучителни сесии по тях за заинтересованите страни в Трапани (27 юни), Лампедуза (28 юни) и Таранто (5 юли). Те са организирани от Министерството на вътрешните работи на Италия в сътрудничество с Комисията, Frontex, EASO, ВКБООН и МОМ. Още една сесия е предвидена в Поцало на 12 юли 2016 г. Групата, изготвила стандартните оперативни процедури, ще продължи да заседава редовно и да следи за правилното прилагане на разпоредбите при всекидневната работа.</w:t>
      </w:r>
    </w:p>
    <w:p>
      <w:pPr>
        <w:pStyle w:val="CommentText"/>
        <w:jc w:val="both"/>
        <w:rPr>
          <w:noProof/>
          <w:sz w:val="24"/>
          <w:lang w:val="bg-BG"/>
        </w:rPr>
      </w:pPr>
    </w:p>
    <w:p>
      <w:pPr>
        <w:pStyle w:val="CommentText"/>
        <w:jc w:val="both"/>
        <w:rPr>
          <w:noProof/>
          <w:sz w:val="24"/>
          <w:szCs w:val="24"/>
          <w:lang w:val="bg-BG"/>
        </w:rPr>
      </w:pPr>
      <w:r>
        <w:rPr>
          <w:noProof/>
          <w:sz w:val="24"/>
          <w:lang w:val="bg-BG"/>
        </w:rPr>
        <w:t xml:space="preserve">Комисията подкрепя италианските органи в разработването на работна процедура по преместване. Изготвен е неин първоначален проект и в момента той се обсъжда със заинтересованите лица, които трябва да го одобрят, а това следва да стане много скоро. Комисията ще организира също и среща на националните звена за контакт с италианските органи, за да се подобри координацията между съответните участници, както и да се оценят и бързо да се разрешат установените затруднения. </w:t>
      </w:r>
    </w:p>
    <w:p>
      <w:pPr>
        <w:pStyle w:val="CommentText"/>
        <w:jc w:val="both"/>
        <w:rPr>
          <w:noProof/>
          <w:sz w:val="24"/>
          <w:szCs w:val="24"/>
          <w:lang w:val="bg-BG"/>
        </w:rPr>
      </w:pPr>
    </w:p>
    <w:p>
      <w:pPr>
        <w:pStyle w:val="CommentText"/>
        <w:jc w:val="both"/>
        <w:rPr>
          <w:noProof/>
          <w:sz w:val="24"/>
          <w:szCs w:val="24"/>
          <w:lang w:val="bg-BG"/>
        </w:rPr>
      </w:pPr>
      <w:r>
        <w:rPr>
          <w:noProof/>
          <w:sz w:val="24"/>
          <w:lang w:val="bg-BG"/>
        </w:rPr>
        <w:t xml:space="preserve">Комисията отбелязва също така, че е необходима ясна информация за броя на пристигащите, регистрираните и потенциалните кандидати, отговарящи на условията за преместване, намиращи се в Италия. Комисията работи с италианските органи и EASO за създаването на по-ясни процедури за по-добра информация относно тези точки. </w:t>
      </w:r>
    </w:p>
    <w:p>
      <w:pPr>
        <w:jc w:val="both"/>
        <w:rPr>
          <w:noProof/>
          <w:lang w:val="bg-BG"/>
        </w:rPr>
      </w:pPr>
    </w:p>
    <w:p>
      <w:pPr>
        <w:jc w:val="both"/>
        <w:rPr>
          <w:noProof/>
          <w:lang w:val="bg-BG"/>
        </w:rPr>
      </w:pPr>
      <w:r>
        <w:rPr>
          <w:b/>
          <w:noProof/>
          <w:lang w:val="bg-BG"/>
        </w:rPr>
        <w:t>Действия за укрепване на капацитета за обработване в Италия:</w:t>
      </w:r>
      <w:r>
        <w:rPr>
          <w:noProof/>
          <w:lang w:val="bg-BG"/>
        </w:rPr>
        <w:t xml:space="preserve"> както е отбелязано в Четвъртия доклад, капацитетът на италианските органи да регистрират и обработват молби трябва да се повиши. Това следва също така да допринесе за намаляване на опасността от укриване, тъй като молбите на кандидатите ще бъдат обработвани по-бързо. Необходимо е екипите, които регистрират молбите, да бъдат укрепени и присъствието на EASO в новите центрове за регистрация да бъде гарантирано. </w:t>
      </w:r>
    </w:p>
    <w:p>
      <w:pPr>
        <w:jc w:val="both"/>
        <w:rPr>
          <w:noProof/>
          <w:lang w:val="bg-BG"/>
        </w:rPr>
      </w:pPr>
    </w:p>
    <w:p>
      <w:pPr>
        <w:jc w:val="both"/>
        <w:rPr>
          <w:rFonts w:ascii="Book Antiqua" w:hAnsi="Book Antiqua"/>
          <w:noProof/>
          <w:color w:val="008000"/>
          <w:spacing w:val="2"/>
          <w:lang w:val="bg-BG"/>
        </w:rPr>
      </w:pPr>
      <w:r>
        <w:rPr>
          <w:b/>
          <w:noProof/>
          <w:spacing w:val="2"/>
          <w:lang w:val="bg-BG"/>
        </w:rPr>
        <w:t xml:space="preserve">Действия за ускоряване на отговорите на заявките за преместване: </w:t>
      </w:r>
      <w:r>
        <w:rPr>
          <w:noProof/>
          <w:spacing w:val="2"/>
          <w:lang w:val="bg-BG"/>
        </w:rPr>
        <w:t>Италия продължава да прилага много строга политика да не позволява държавата членка на преместване да извършва допълнителни интервюта за сигурност с мигрантите. В резултат на това някои държави членки все още не приемат от нея никакви кандидати. Това оказва съществено влияние върху броя на прехвърлянията от Италия, който продължава да е изключително нисък. Както е посочено в Четвъртия доклад, трябва да се намерят решения, за да могат тези интервюта за сигурност да бъдат провеждани, особено предвид по-комплексните профили на кандидатите. Препоръките от Четвъртия доклад продължават да бъдат в сила като начин за изграждане на доверие и намаляване на исканията за допълнителни интервюта от държавите членки на преместване</w:t>
      </w:r>
      <w:r>
        <w:rPr>
          <w:rStyle w:val="FootnoteReference"/>
          <w:noProof/>
          <w:spacing w:val="2"/>
          <w:lang w:val="bg-BG"/>
        </w:rPr>
        <w:footnoteReference w:id="30"/>
      </w:r>
      <w:r>
        <w:rPr>
          <w:noProof/>
          <w:spacing w:val="2"/>
          <w:lang w:val="bg-BG"/>
        </w:rPr>
        <w:t>.</w:t>
      </w:r>
    </w:p>
    <w:p>
      <w:pPr>
        <w:jc w:val="both"/>
        <w:rPr>
          <w:b/>
          <w:noProof/>
          <w:lang w:val="bg-BG"/>
        </w:rPr>
      </w:pPr>
    </w:p>
    <w:p>
      <w:pPr>
        <w:jc w:val="both"/>
        <w:rPr>
          <w:noProof/>
          <w:spacing w:val="-4"/>
          <w:lang w:val="bg-BG"/>
        </w:rPr>
      </w:pPr>
      <w:r>
        <w:rPr>
          <w:b/>
          <w:noProof/>
          <w:spacing w:val="-4"/>
          <w:lang w:val="bg-BG"/>
        </w:rPr>
        <w:t>Действия за справяне с предизвикателствата, свързани с преместване на уязвими кандидати и непридружени непълнолетни:</w:t>
      </w:r>
      <w:r>
        <w:rPr>
          <w:noProof/>
          <w:spacing w:val="-4"/>
          <w:lang w:val="bg-BG"/>
        </w:rPr>
        <w:t xml:space="preserve"> от Италия все още не е преместен нито един непридружен непълнолетен. Това следва да стане основен приоритет, тъй като непридружените непълнолетни, потенциално отговарящи на условията за преместване, са почти 1500 (повечето — 1430, са от Еритрея). Липсата на специална процедура за улесняване на преместването на непридружени непълнолетни от Италия индиректно ги насърчава да се придвижват към желаното от тях направление самостоятелно, като така се излагат на опасността да попаднат на нелегално превеждащи лица и да станат жертва на трафик. Много е важно бързо да се организира пилотното преместване на непридружените непълнолетни, за да се разработи специална процедура за преместване за Италия. </w:t>
      </w:r>
    </w:p>
    <w:p>
      <w:pPr>
        <w:jc w:val="both"/>
        <w:rPr>
          <w:noProof/>
          <w:lang w:val="bg-BG"/>
        </w:rPr>
      </w:pPr>
    </w:p>
    <w:p>
      <w:pPr>
        <w:pStyle w:val="Heading1"/>
        <w:numPr>
          <w:ilvl w:val="1"/>
          <w:numId w:val="2"/>
        </w:numPr>
        <w:spacing w:before="0"/>
        <w:ind w:left="578" w:hanging="578"/>
        <w:rPr>
          <w:noProof/>
          <w:lang w:val="bg-BG"/>
        </w:rPr>
      </w:pPr>
      <w:r>
        <w:rPr>
          <w:rFonts w:ascii="Times New Roman" w:hAnsi="Times New Roman"/>
          <w:noProof/>
          <w:color w:val="auto"/>
          <w:sz w:val="26"/>
          <w:lang w:val="bg-BG"/>
        </w:rPr>
        <w:t xml:space="preserve">Действия на Комисията и агенциите на ЕС </w:t>
      </w:r>
    </w:p>
    <w:p>
      <w:pPr>
        <w:rPr>
          <w:noProof/>
          <w:lang w:val="bg-BG"/>
        </w:rPr>
      </w:pPr>
    </w:p>
    <w:p>
      <w:pPr>
        <w:pStyle w:val="ListParagraph"/>
        <w:numPr>
          <w:ilvl w:val="0"/>
          <w:numId w:val="8"/>
        </w:numPr>
        <w:ind w:left="720" w:hanging="360"/>
        <w:rPr>
          <w:b/>
          <w:i/>
          <w:noProof/>
          <w:lang w:val="bg-BG"/>
        </w:rPr>
      </w:pPr>
      <w:r>
        <w:rPr>
          <w:b/>
          <w:i/>
          <w:noProof/>
          <w:lang w:val="bg-BG"/>
        </w:rPr>
        <w:t>Европейска комисия</w:t>
      </w:r>
    </w:p>
    <w:p>
      <w:pPr>
        <w:rPr>
          <w:noProof/>
          <w:lang w:val="bg-BG"/>
        </w:rPr>
      </w:pPr>
    </w:p>
    <w:p>
      <w:pPr>
        <w:jc w:val="both"/>
        <w:rPr>
          <w:noProof/>
          <w:spacing w:val="-4"/>
          <w:lang w:val="bg-BG"/>
        </w:rPr>
      </w:pPr>
      <w:r>
        <w:rPr>
          <w:noProof/>
          <w:spacing w:val="-4"/>
          <w:lang w:val="bg-BG"/>
        </w:rPr>
        <w:t>Комисията продължи да осигурява съдействие на Италия и на Гърция на място</w:t>
      </w:r>
      <w:r>
        <w:rPr>
          <w:rStyle w:val="FootnoteReference"/>
          <w:noProof/>
          <w:spacing w:val="-4"/>
          <w:lang w:val="bg-BG"/>
        </w:rPr>
        <w:footnoteReference w:id="31"/>
      </w:r>
      <w:r>
        <w:rPr>
          <w:noProof/>
          <w:spacing w:val="-4"/>
          <w:lang w:val="bg-BG"/>
        </w:rPr>
        <w:t>. Тя посвети също така една от сесиите на ХІІ заседание на неформалната експертна група по правата на детето на преместването на непридружени непълнолетни, за да повиши осведомеността и да сподели положителен опит (основно от Финландия) по този сложен казус. Като част от процеса на мониторинг по изпълнението на решенията на Съвета относно преместването, Комисията изрази и ще продължава да изразява безпокойство пред държавите членки, които до този момент не са изпълнили задълженията си.</w:t>
      </w:r>
    </w:p>
    <w:p>
      <w:pPr>
        <w:pStyle w:val="ListParagraph"/>
        <w:rPr>
          <w:b/>
          <w:i/>
          <w:noProof/>
          <w:lang w:val="bg-BG"/>
        </w:rPr>
      </w:pPr>
    </w:p>
    <w:p>
      <w:pPr>
        <w:pStyle w:val="ListParagraph"/>
        <w:numPr>
          <w:ilvl w:val="0"/>
          <w:numId w:val="8"/>
        </w:numPr>
        <w:ind w:left="720" w:hanging="360"/>
        <w:rPr>
          <w:noProof/>
          <w:lang w:val="bg-BG"/>
        </w:rPr>
      </w:pPr>
      <w:r>
        <w:rPr>
          <w:b/>
          <w:i/>
          <w:noProof/>
          <w:lang w:val="bg-BG"/>
        </w:rPr>
        <w:t>Европейска служба за подкрепа в областта на убежището</w:t>
      </w:r>
    </w:p>
    <w:p>
      <w:pPr>
        <w:rPr>
          <w:noProof/>
          <w:lang w:val="bg-BG"/>
        </w:rPr>
      </w:pPr>
    </w:p>
    <w:p>
      <w:pPr>
        <w:jc w:val="both"/>
        <w:rPr>
          <w:noProof/>
          <w:lang w:val="bg-BG"/>
        </w:rPr>
      </w:pPr>
      <w:r>
        <w:rPr>
          <w:b/>
          <w:noProof/>
          <w:lang w:val="bg-BG"/>
        </w:rPr>
        <w:t>Действия за ускоряване на процеса по преместване и за укрепване на капацитета за регистрация в Гърция и Италия:</w:t>
      </w:r>
      <w:r>
        <w:rPr>
          <w:noProof/>
          <w:lang w:val="bg-BG"/>
        </w:rPr>
        <w:t xml:space="preserve"> експертите се изпращат на различни функции. В Гърция в момента 12 експерти оказват пряка подкрепа при регистрацията чрез съвместно обработване. 14 други експерти участват в предоставянето на информация, като поддържат две горещи линии и предоставят информация в лагерите и по време на предварителната регистрация във връзка с регистрацията, преместването и дъблинските процедури</w:t>
      </w:r>
      <w:r>
        <w:rPr>
          <w:rStyle w:val="FootnoteReference"/>
          <w:noProof/>
          <w:lang w:val="bg-BG"/>
        </w:rPr>
        <w:footnoteReference w:id="32"/>
      </w:r>
      <w:r>
        <w:rPr>
          <w:noProof/>
          <w:lang w:val="bg-BG"/>
        </w:rPr>
        <w:t xml:space="preserve">. Въз основа на препоръките как да се укрепи процесът на подбор по профил, целящ намиране на подходящи държави членки за съответните кандидати, EASO довършва заедно със Службата за убежище на Гърция план за действие за оказване на подкрепата. </w:t>
      </w:r>
    </w:p>
    <w:p>
      <w:pPr>
        <w:jc w:val="both"/>
        <w:rPr>
          <w:noProof/>
          <w:lang w:val="bg-BG"/>
        </w:rPr>
      </w:pPr>
    </w:p>
    <w:p>
      <w:pPr>
        <w:jc w:val="both"/>
        <w:rPr>
          <w:noProof/>
          <w:lang w:val="bg-BG"/>
        </w:rPr>
      </w:pPr>
      <w:r>
        <w:rPr>
          <w:noProof/>
          <w:lang w:val="bg-BG"/>
        </w:rPr>
        <w:t>В момента EASO изпраща в Италия 32 от поисканите 74 експерти от държавите членки и асоциираните държави: 9 експерти в горещите точки, 4 експерти в два мобилни екипа (базирани в Рим и Катания), 13 експерти в центрове за преместване и 6 експерти в звеното по Дъблинския регламент в Рим. EASO изпраща и до 48 културни посредници (за арабски, тигриня и кюрдски), които да съдействат в процеса по преместване (към 11 юли на място са изпратени 35 културни посредници).</w:t>
      </w:r>
    </w:p>
    <w:p>
      <w:pPr>
        <w:pStyle w:val="Heading1"/>
        <w:numPr>
          <w:ilvl w:val="0"/>
          <w:numId w:val="2"/>
        </w:numPr>
        <w:spacing w:after="120"/>
        <w:rPr>
          <w:noProof/>
          <w:lang w:val="bg-BG"/>
        </w:rPr>
      </w:pPr>
      <w:r>
        <w:rPr>
          <w:rFonts w:ascii="Times New Roman" w:hAnsi="Times New Roman"/>
          <w:noProof/>
          <w:color w:val="000000" w:themeColor="text1"/>
          <w:lang w:val="bg-BG"/>
        </w:rPr>
        <w:t xml:space="preserve">Презаселване </w:t>
      </w:r>
    </w:p>
    <w:p>
      <w:pPr>
        <w:jc w:val="both"/>
        <w:rPr>
          <w:noProof/>
          <w:lang w:val="bg-BG"/>
        </w:rPr>
      </w:pPr>
      <w:r>
        <w:rPr>
          <w:noProof/>
          <w:lang w:val="bg-BG"/>
        </w:rPr>
        <w:t xml:space="preserve">Според информацията, получена от участващите държави, 8268 души са презаселени в периода до 11 юли 2016 г. в рамките на схемата за презаселване от 20 юли 2015 г. в 20 държави на презаселване (Австрия, Белгия, Германия, Дания, Ирландия, Исландия, Испания, Италия, Латвия, Литва, Лихтенщайн, Нидерландия, Норвегия, Обединеното кралство, Португалия, Финландия, Франция, Чешката република, Швеция и Швейцария). Голяма част от държавите, участващи в схемата, са посочили, че техните усилия във връзка с презаселването са насочени основно, но не само, към сирийци, намиращи се в Йордания, Ливан и Турция. </w:t>
      </w:r>
    </w:p>
    <w:p>
      <w:pPr>
        <w:jc w:val="both"/>
        <w:rPr>
          <w:noProof/>
          <w:lang w:val="bg-BG"/>
        </w:rPr>
      </w:pPr>
    </w:p>
    <w:p>
      <w:pPr>
        <w:jc w:val="both"/>
        <w:rPr>
          <w:noProof/>
          <w:lang w:val="bg-BG"/>
        </w:rPr>
      </w:pPr>
      <w:r>
        <w:rPr>
          <w:noProof/>
          <w:lang w:val="bg-BG"/>
        </w:rPr>
        <w:t>Броят на презаселванията от Турция продължава да нараства, докато държавите членки финализират оценяването на досиетата, изпратени им от Турция чрез ВКБООН. От 4 април 2016 г. насам 802 сирийци са презаселени от Турция съгласно частта за презаселването от схемата 1:1. Все по-голям брой държави членки също участват активно в схемата. От последния доклад за напредъка освен в Германия, Италия, Литва, Люксембург, Нидерландия, Португалия, Финландия и Швеция презаселвания са извършени и в Латвия и Испания.</w:t>
      </w:r>
    </w:p>
    <w:p>
      <w:pPr>
        <w:jc w:val="both"/>
        <w:rPr>
          <w:noProof/>
          <w:lang w:val="bg-BG"/>
        </w:rPr>
      </w:pPr>
    </w:p>
    <w:p>
      <w:pPr>
        <w:jc w:val="both"/>
        <w:rPr>
          <w:noProof/>
          <w:highlight w:val="yellow"/>
          <w:lang w:val="bg-BG"/>
        </w:rPr>
      </w:pPr>
      <w:r>
        <w:rPr>
          <w:noProof/>
          <w:sz w:val="23"/>
          <w:lang w:val="bg-BG"/>
        </w:rPr>
        <w:t xml:space="preserve">В Изявлението на ЕС и Турция от 18 март се предвижда привеждането в действие на доброволната схема за хуманитарно приемане с Турция след прекратяването или поне същественото и устойчиво намаляване на незаконните преминавания от Турция в ЕС. </w:t>
      </w:r>
      <w:r>
        <w:rPr>
          <w:noProof/>
          <w:lang w:val="bg-BG"/>
        </w:rPr>
        <w:t>В момента в Съвета се разработват стандартните оперативни процедури за доброволната схема за хуманитарно приемане с Турция в тясно сътрудничество с Комисията, EASO, ВКБООН и МОМ. Преговорите по текста, който беше изпратен на Турция на 7 юни, продължават.</w:t>
      </w:r>
      <w:r>
        <w:rPr>
          <w:noProof/>
          <w:color w:val="000000"/>
          <w:sz w:val="23"/>
          <w:lang w:val="bg-BG"/>
        </w:rPr>
        <w:t xml:space="preserve"> </w:t>
      </w:r>
      <w:r>
        <w:rPr>
          <w:noProof/>
          <w:lang w:val="bg-BG"/>
        </w:rPr>
        <w:t>Щом стандартните оперативни процедури бъдат договорени, следва да се направи оценка на това дали са изпълнени условията, за да се предприеме прилагане на схемата.</w:t>
      </w:r>
    </w:p>
    <w:p>
      <w:pPr>
        <w:jc w:val="both"/>
        <w:rPr>
          <w:noProof/>
          <w:highlight w:val="yellow"/>
          <w:lang w:val="bg-BG"/>
        </w:rPr>
      </w:pPr>
    </w:p>
    <w:p>
      <w:pPr>
        <w:jc w:val="both"/>
        <w:rPr>
          <w:noProof/>
          <w:sz w:val="23"/>
          <w:szCs w:val="23"/>
          <w:lang w:val="bg-BG"/>
        </w:rPr>
      </w:pPr>
      <w:r>
        <w:rPr>
          <w:noProof/>
          <w:sz w:val="23"/>
          <w:lang w:val="bg-BG"/>
        </w:rPr>
        <w:t xml:space="preserve">Колкото до представеното от Комисията на 21 март 2016 г. предложение за осигуряване на допълнителни места за презаселване или други форми на законен прием от Турция чрез изменение на Решение (ЕС) 2015/1601 на Съвета от 22 септември 2015 г. относно преместването на кандидати за международна закрила от Италия и Гърция, Съветът очаква становището на Парламента, предвидено за септември 2016 г., преди да приеме решението. Важно е това предложение да бъде прието бързо, за да могат държавите членки да използват гъвкавостта, която то осигурява. </w:t>
      </w:r>
    </w:p>
    <w:p>
      <w:pPr>
        <w:jc w:val="both"/>
        <w:rPr>
          <w:noProof/>
          <w:sz w:val="23"/>
          <w:szCs w:val="23"/>
          <w:lang w:val="bg-BG"/>
        </w:rPr>
      </w:pPr>
    </w:p>
    <w:p>
      <w:pPr>
        <w:jc w:val="both"/>
        <w:rPr>
          <w:noProof/>
          <w:sz w:val="23"/>
          <w:szCs w:val="23"/>
          <w:lang w:val="bg-BG"/>
        </w:rPr>
      </w:pPr>
      <w:r>
        <w:rPr>
          <w:noProof/>
          <w:sz w:val="23"/>
          <w:lang w:val="bg-BG"/>
        </w:rPr>
        <w:t>Също днес Комисията прие и предложение за регламент за установяване на рамка на Съюза относно презаселването</w:t>
      </w:r>
      <w:r>
        <w:rPr>
          <w:rStyle w:val="FootnoteReference"/>
          <w:noProof/>
          <w:sz w:val="23"/>
          <w:lang w:val="bg-BG"/>
        </w:rPr>
        <w:footnoteReference w:id="33"/>
      </w:r>
      <w:r>
        <w:rPr>
          <w:noProof/>
          <w:sz w:val="23"/>
          <w:lang w:val="bg-BG"/>
        </w:rPr>
        <w:t xml:space="preserve"> и призовава Европейския парламент и Съвета да го разгледат приоритетно.</w:t>
      </w:r>
    </w:p>
    <w:p>
      <w:pPr>
        <w:pStyle w:val="Heading1"/>
        <w:numPr>
          <w:ilvl w:val="0"/>
          <w:numId w:val="2"/>
        </w:numPr>
        <w:spacing w:after="120"/>
        <w:rPr>
          <w:rFonts w:ascii="Times New Roman" w:hAnsi="Times New Roman" w:cs="Times New Roman"/>
          <w:noProof/>
          <w:color w:val="000000" w:themeColor="text1"/>
          <w:lang w:val="bg-BG"/>
        </w:rPr>
      </w:pPr>
      <w:r>
        <w:rPr>
          <w:rFonts w:ascii="Times New Roman" w:hAnsi="Times New Roman"/>
          <w:noProof/>
          <w:color w:val="000000" w:themeColor="text1"/>
          <w:lang w:val="bg-BG"/>
        </w:rPr>
        <w:t>Предстоящи стъпки</w:t>
      </w:r>
    </w:p>
    <w:p>
      <w:pPr>
        <w:jc w:val="both"/>
        <w:rPr>
          <w:noProof/>
          <w:lang w:val="bg-BG"/>
        </w:rPr>
      </w:pPr>
      <w:r>
        <w:rPr>
          <w:noProof/>
          <w:lang w:val="bg-BG"/>
        </w:rPr>
        <w:t>Гърция продължава да е изправена пред хуманитарна криза, за която е необходимо бързо и цялостно изпълнение на задълженията, поети от държавите членки чрез решенията на Съвета относно преместването. Що се отнася до Италия, предвид твърдо установените сезонни тенденции, броят на пристигащите се увеличава и това ще доведе до бързо нарастване на броя на кандидатите, отговарящи на условията за преместване.</w:t>
      </w:r>
    </w:p>
    <w:p>
      <w:pPr>
        <w:jc w:val="both"/>
        <w:rPr>
          <w:noProof/>
          <w:lang w:val="bg-BG"/>
        </w:rPr>
      </w:pPr>
    </w:p>
    <w:p>
      <w:pPr>
        <w:jc w:val="both"/>
        <w:rPr>
          <w:noProof/>
          <w:lang w:val="bg-BG"/>
        </w:rPr>
      </w:pPr>
      <w:r>
        <w:rPr>
          <w:noProof/>
          <w:lang w:val="bg-BG"/>
        </w:rPr>
        <w:t>На последното си заседание от 28 юни Европейският съвет</w:t>
      </w:r>
      <w:r>
        <w:rPr>
          <w:rStyle w:val="FootnoteReference"/>
          <w:noProof/>
          <w:lang w:val="bg-BG"/>
        </w:rPr>
        <w:footnoteReference w:id="34"/>
      </w:r>
      <w:r>
        <w:rPr>
          <w:noProof/>
          <w:lang w:val="bg-BG"/>
        </w:rPr>
        <w:t xml:space="preserve"> призна, че ситуацията е спешна, и отново призова за по-нататъшни действия, чрез които да се ускори прилагането на схемите за преместване и презаселване. Призивите, отправени от държавните или правителствените ръководители, трябва да бъдат последвани от решителни действия на компетентните национални служби по места.</w:t>
      </w:r>
    </w:p>
    <w:p>
      <w:pPr>
        <w:jc w:val="both"/>
        <w:rPr>
          <w:noProof/>
          <w:lang w:val="bg-BG"/>
        </w:rPr>
      </w:pPr>
    </w:p>
    <w:p>
      <w:pPr>
        <w:jc w:val="both"/>
        <w:rPr>
          <w:noProof/>
          <w:lang w:val="bg-BG"/>
        </w:rPr>
      </w:pPr>
      <w:r>
        <w:rPr>
          <w:noProof/>
          <w:lang w:val="bg-BG"/>
        </w:rPr>
        <w:t>Комисията признава напредъка и положените усилия, за които свидетелства трайният ръст на преместванията, поне в случая с Гърция. Въпреки това постигнатите резултати все още не са съизмерими с отправените призиви и с мащаба на предизвикателствата. В своя Първи доклад относно преместването и презаселването</w:t>
      </w:r>
      <w:r>
        <w:rPr>
          <w:rStyle w:val="FootnoteReference"/>
          <w:noProof/>
          <w:lang w:val="bg-BG"/>
        </w:rPr>
        <w:footnoteReference w:id="35"/>
      </w:r>
      <w:r>
        <w:rPr>
          <w:noProof/>
          <w:lang w:val="bg-BG"/>
        </w:rPr>
        <w:t xml:space="preserve"> Комисията счете, че следва да се извършват поне 6000 премествания на месец. </w:t>
      </w:r>
    </w:p>
    <w:p>
      <w:pPr>
        <w:jc w:val="both"/>
        <w:rPr>
          <w:noProof/>
          <w:lang w:val="bg-BG"/>
        </w:rPr>
      </w:pPr>
    </w:p>
    <w:p>
      <w:pPr>
        <w:jc w:val="both"/>
        <w:rPr>
          <w:noProof/>
          <w:lang w:val="bg-BG"/>
        </w:rPr>
      </w:pPr>
      <w:r>
        <w:rPr>
          <w:noProof/>
          <w:lang w:val="bg-BG"/>
        </w:rPr>
        <w:t>Гърция провежда масова и бърза операция по предварителна регистрация, която ще ускори установяването на самоличността и пълната регистрация на кандидатите, отговарящи на условията за преместване. Очаква се 34 000 кандидати да отговарят на тези условия. Гърция трябва да продължи да укрепва капацитета си за обработване, за да избегне затруднения, след като приключи предварителната регистрация, така че кандидатите да могат да подават пълните си молби възможно най-бързо, както и бързо да изгради допълнителните центрове за преместване и да продължи да премества лицата, отговарящи на необходимите условия.</w:t>
      </w:r>
    </w:p>
    <w:p>
      <w:pPr>
        <w:jc w:val="both"/>
        <w:rPr>
          <w:noProof/>
          <w:lang w:val="bg-BG"/>
        </w:rPr>
      </w:pPr>
    </w:p>
    <w:p>
      <w:pPr>
        <w:jc w:val="both"/>
        <w:rPr>
          <w:noProof/>
          <w:lang w:val="bg-BG"/>
        </w:rPr>
      </w:pPr>
      <w:r>
        <w:rPr>
          <w:noProof/>
          <w:lang w:val="bg-BG"/>
        </w:rPr>
        <w:t xml:space="preserve">В Италия продължаващото увеличаване на броя на кандидатите, отговарящи на условията за преместване (4650 еритрейци, очакващи преместване), налага италианските органи бързо да повишат капацитета си за обработване, да си сътрудничат по-тясно с държавите членки на преместване и да финализират и бързо да въведат в действие работната процедура по преместване като доразвият административния капацитет в страната. Италия следва също така спешно да изпълни пилотното преместване на непридружени непълнолетни и да утвърди специални процедури, които да уреждат преместването на тази категория уязвими кандидати. </w:t>
      </w:r>
    </w:p>
    <w:p>
      <w:pPr>
        <w:jc w:val="both"/>
        <w:rPr>
          <w:noProof/>
          <w:lang w:val="bg-BG"/>
        </w:rPr>
      </w:pPr>
    </w:p>
    <w:p>
      <w:pPr>
        <w:jc w:val="both"/>
        <w:rPr>
          <w:noProof/>
          <w:lang w:val="bg-BG"/>
        </w:rPr>
      </w:pPr>
      <w:r>
        <w:rPr>
          <w:noProof/>
          <w:lang w:val="bg-BG"/>
        </w:rPr>
        <w:t xml:space="preserve">От своя страна държавите членки следва спешно да реагират адекватно, като увеличат броя на поетите ангажименти, по-специално за непридружените непълнолетни, като планират внимателно прехвърлянията в следващите шест месеца и съкратят времето за отговор на заявките за преместване (както и като ограничат допълнителните проверки за сигурност само до конкретни и надлежно обосновани случаи). Гърция и Италия се нуждаят и от още подкрепа от държавите членки, за да може EASO да изпрати експертите, необходими за ускоряване на регистрацията. Те следва да бъдат на разположение поне за срок от шест месеца. </w:t>
      </w:r>
    </w:p>
    <w:p>
      <w:pPr>
        <w:jc w:val="both"/>
        <w:rPr>
          <w:noProof/>
          <w:lang w:val="bg-BG"/>
        </w:rPr>
      </w:pPr>
    </w:p>
    <w:p>
      <w:pPr>
        <w:jc w:val="both"/>
        <w:rPr>
          <w:noProof/>
          <w:lang w:val="bg-BG"/>
        </w:rPr>
      </w:pPr>
      <w:r>
        <w:rPr>
          <w:noProof/>
          <w:lang w:val="bg-BG"/>
        </w:rPr>
        <w:t xml:space="preserve">Комисията приканва настоятелно държавите членки да спазват стриктно своите ангажименти в съответствие с решенията на Съвета относно преместването и призовава всички държави членки да се ангажират по-активно с преместването, като редовно поемат ангажименти и приемат премествани лица според квотите си както от Италия, така и от Гърция. Държавите членки, които все още не са заявили ангажименти или не са участвали в преместването на нито един мигрант, следва да го направят незабавно. </w:t>
      </w:r>
    </w:p>
    <w:p>
      <w:pPr>
        <w:jc w:val="both"/>
        <w:rPr>
          <w:noProof/>
          <w:lang w:val="bg-BG"/>
        </w:rPr>
      </w:pPr>
    </w:p>
    <w:p>
      <w:pPr>
        <w:jc w:val="both"/>
        <w:rPr>
          <w:noProof/>
          <w:lang w:val="bg-BG"/>
        </w:rPr>
      </w:pPr>
      <w:r>
        <w:rPr>
          <w:noProof/>
          <w:lang w:val="bg-BG"/>
        </w:rPr>
        <w:t>Комисията ще продължи да следи отблизо и да докладва редовно за напредъка по изпълнението на двете решения на Съвета относно преместването. Тя си запазва правото да предприеме действия срещу държавите членки, които не изпълняват задълженията си.</w:t>
      </w:r>
    </w:p>
    <w:p>
      <w:pPr>
        <w:jc w:val="both"/>
        <w:rPr>
          <w:noProof/>
          <w:lang w:val="bg-BG"/>
        </w:rPr>
      </w:pPr>
    </w:p>
    <w:p>
      <w:pPr>
        <w:jc w:val="both"/>
        <w:rPr>
          <w:noProof/>
          <w:lang w:val="bg-BG"/>
        </w:rPr>
      </w:pPr>
      <w:r>
        <w:rPr>
          <w:noProof/>
          <w:lang w:val="bg-BG"/>
        </w:rPr>
        <w:t>Заедно с това държавите членки следва да продължат да изпълняват своите поети задължения за презаселване, включително като част от изпълнението на Изявлението на ЕС и Турция</w:t>
      </w:r>
      <w:r>
        <w:rPr>
          <w:rStyle w:val="FootnoteReference"/>
          <w:noProof/>
          <w:lang w:val="bg-BG"/>
        </w:rPr>
        <w:footnoteReference w:id="36"/>
      </w:r>
      <w:r>
        <w:rPr>
          <w:noProof/>
          <w:lang w:val="bg-BG"/>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lang w:val="bg-BG"/>
        </w:rPr>
      </w:pPr>
      <w:r>
        <w:rPr>
          <w:rStyle w:val="FootnoteReference"/>
          <w:lang w:val="bg-BG"/>
        </w:rPr>
        <w:footnoteRef/>
      </w:r>
      <w:r>
        <w:rPr>
          <w:lang w:val="bg-BG"/>
        </w:rPr>
        <w:t xml:space="preserve"> COM(2016) 416 final.</w:t>
      </w:r>
    </w:p>
  </w:footnote>
  <w:footnote w:id="3">
    <w:p>
      <w:pPr>
        <w:pStyle w:val="FootnoteText"/>
        <w:jc w:val="both"/>
        <w:rPr>
          <w:lang w:val="bg-BG"/>
        </w:rPr>
      </w:pPr>
      <w:r>
        <w:rPr>
          <w:rStyle w:val="FootnoteReference"/>
          <w:lang w:val="bg-BG"/>
        </w:rPr>
        <w:footnoteRef/>
      </w:r>
      <w:r>
        <w:rPr>
          <w:lang w:val="bg-BG"/>
        </w:rPr>
        <w:t xml:space="preserve"> Заключения на Европейския съвет от 7 март 2016 г. </w:t>
      </w:r>
      <w:hyperlink r:id="rId1">
        <w:r>
          <w:rPr>
            <w:rStyle w:val="Hyperlink"/>
            <w:rFonts w:ascii="Times New Roman" w:hAnsi="Times New Roman"/>
            <w:lang w:val="bg-BG"/>
          </w:rPr>
          <w:t>http://www.consilium.europa.eu/bg/press/press-releases/2016/03/07-eu-turkey-meeting-statement/</w:t>
        </w:r>
      </w:hyperlink>
      <w:r>
        <w:rPr>
          <w:lang w:val="bg-BG"/>
        </w:rPr>
        <w:t xml:space="preserve">; заключения на Европейския съвет от 28 юни 2016 г. </w:t>
      </w:r>
      <w:hyperlink r:id="rId2">
        <w:r>
          <w:rPr>
            <w:rStyle w:val="Hyperlink"/>
            <w:rFonts w:ascii="Times New Roman" w:hAnsi="Times New Roman"/>
            <w:lang w:val="bg-BG"/>
          </w:rPr>
          <w:t>http://www.consilium.europa.eu/bg/press/press-releases/2016/06/28-euco-conclusions/</w:t>
        </w:r>
      </w:hyperlink>
    </w:p>
  </w:footnote>
  <w:footnote w:id="4">
    <w:p>
      <w:pPr>
        <w:pStyle w:val="FootnoteText"/>
        <w:jc w:val="both"/>
        <w:rPr>
          <w:lang w:val="bg-BG"/>
        </w:rPr>
      </w:pPr>
      <w:r>
        <w:rPr>
          <w:rStyle w:val="FootnoteReference"/>
          <w:lang w:val="bg-BG"/>
        </w:rPr>
        <w:footnoteRef/>
      </w:r>
      <w:r>
        <w:rPr>
          <w:lang w:val="bg-BG"/>
        </w:rPr>
        <w:t xml:space="preserve"> Незаконно пристигнали от 11 юни до 10 юли. Източник Frontex по информация от Гърция, включена в ежедневните доклади за Западните Балкани.</w:t>
      </w:r>
    </w:p>
  </w:footnote>
  <w:footnote w:id="5">
    <w:p>
      <w:pPr>
        <w:pStyle w:val="FootnoteText"/>
        <w:jc w:val="both"/>
        <w:rPr>
          <w:lang w:val="bg-BG"/>
        </w:rPr>
      </w:pPr>
      <w:r>
        <w:rPr>
          <w:rStyle w:val="FootnoteReference"/>
          <w:lang w:val="bg-BG"/>
        </w:rPr>
        <w:footnoteRef/>
      </w:r>
      <w:r>
        <w:rPr>
          <w:lang w:val="bg-BG"/>
        </w:rPr>
        <w:t xml:space="preserve"> Източник: Гръцките органи и ВКБООН.</w:t>
      </w:r>
    </w:p>
  </w:footnote>
  <w:footnote w:id="6">
    <w:p>
      <w:pPr>
        <w:pStyle w:val="FootnoteText"/>
        <w:jc w:val="both"/>
        <w:rPr>
          <w:lang w:val="bg-BG"/>
        </w:rPr>
      </w:pPr>
      <w:r>
        <w:rPr>
          <w:rStyle w:val="FootnoteReference"/>
          <w:lang w:val="bg-BG"/>
        </w:rPr>
        <w:footnoteRef/>
      </w:r>
      <w:r>
        <w:rPr>
          <w:lang w:val="bg-BG"/>
        </w:rPr>
        <w:t xml:space="preserve"> Брой на незаконно пристигналите в Италия през морските граници от 11 юни до 10 юли по данни от JORA (приложение за докладване на съвместни операции), събрани в рамките на съвместната операция „Тритон 2016“. Данните могат да бъдат променени след потвърждаването им.</w:t>
      </w:r>
    </w:p>
  </w:footnote>
  <w:footnote w:id="7">
    <w:p>
      <w:pPr>
        <w:pStyle w:val="FootnoteText"/>
        <w:jc w:val="both"/>
        <w:rPr>
          <w:lang w:val="bg-BG"/>
        </w:rPr>
      </w:pPr>
      <w:r>
        <w:rPr>
          <w:rStyle w:val="FootnoteReference"/>
          <w:lang w:val="bg-BG"/>
        </w:rPr>
        <w:footnoteRef/>
      </w:r>
      <w:r>
        <w:rPr>
          <w:lang w:val="bg-BG"/>
        </w:rPr>
        <w:t xml:space="preserve"> SN 38/16, 18.3.2016 г.</w:t>
      </w:r>
    </w:p>
  </w:footnote>
  <w:footnote w:id="8">
    <w:p>
      <w:pPr>
        <w:pStyle w:val="FootnoteText"/>
        <w:jc w:val="both"/>
        <w:rPr>
          <w:lang w:val="bg-BG"/>
        </w:rPr>
      </w:pPr>
      <w:r>
        <w:rPr>
          <w:rStyle w:val="FootnoteReference"/>
          <w:lang w:val="bg-BG"/>
        </w:rPr>
        <w:footnoteRef/>
      </w:r>
      <w:r>
        <w:rPr>
          <w:lang w:val="bg-BG"/>
        </w:rPr>
        <w:t xml:space="preserve"> Член 3, параграф 2 от решенията на Съвета относно преместването. За повече информация вж. Първия доклад за преместването и презаселването — COM(2016) 165 final.</w:t>
      </w:r>
    </w:p>
  </w:footnote>
  <w:footnote w:id="9">
    <w:p>
      <w:pPr>
        <w:pStyle w:val="FootnoteText"/>
        <w:jc w:val="both"/>
        <w:rPr>
          <w:lang w:val="bg-BG"/>
        </w:rPr>
      </w:pPr>
      <w:r>
        <w:rPr>
          <w:rStyle w:val="FootnoteReference"/>
          <w:lang w:val="bg-BG"/>
        </w:rPr>
        <w:footnoteRef/>
      </w:r>
      <w:r>
        <w:rPr>
          <w:lang w:val="bg-BG"/>
        </w:rPr>
        <w:t xml:space="preserve"> Националностите, отговарящи на условията за преместване, са: Централноафриканска република, Еритрея, Сейшелските острови, Доминика, Бахрейн, Лаос, Саудитска Арабия и Сирия. Националностите, които са отговаряли на 75-процентния праг по данни от Евростат от първото тримесечие на 2016 г., но вече не отговарят на този праг, са Бурунди, Британските отвъдморски страни и територии, Коста Рика, Ирак, Малдивските острови и Сейнт Винсънт и Гренадини.</w:t>
      </w:r>
    </w:p>
  </w:footnote>
  <w:footnote w:id="10">
    <w:p>
      <w:pPr>
        <w:pStyle w:val="FootnoteText"/>
        <w:jc w:val="both"/>
        <w:rPr>
          <w:lang w:val="bg-BG"/>
        </w:rPr>
      </w:pPr>
      <w:r>
        <w:rPr>
          <w:rStyle w:val="FootnoteReference"/>
          <w:lang w:val="bg-BG"/>
        </w:rPr>
        <w:footnoteRef/>
      </w:r>
      <w:r>
        <w:rPr>
          <w:lang w:val="bg-BG"/>
        </w:rPr>
        <w:t xml:space="preserve"> 70 в Белгия, 2 в България, 8 в Естония, 28 в Ирландия, 63 в Испания, 29 в Кипър, 18 в Латвия, 28 в Литва, 42 в Нидерландия, 65 в Португалия, 33 в Румъния, 68 във Финландия и 256 във Франция. </w:t>
      </w:r>
    </w:p>
  </w:footnote>
  <w:footnote w:id="11">
    <w:p>
      <w:pPr>
        <w:pStyle w:val="FootnoteText"/>
        <w:jc w:val="both"/>
        <w:rPr>
          <w:highlight w:val="yellow"/>
          <w:lang w:val="bg-BG"/>
        </w:rPr>
      </w:pPr>
      <w:r>
        <w:rPr>
          <w:rStyle w:val="FootnoteReference"/>
          <w:lang w:val="bg-BG"/>
        </w:rPr>
        <w:footnoteRef/>
      </w:r>
      <w:r>
        <w:rPr>
          <w:lang w:val="bg-BG"/>
        </w:rPr>
        <w:t xml:space="preserve"> 4 в Кипър, 50 в Нидерландия, 8 в Португалия и 4 в Хърватия. </w:t>
      </w:r>
    </w:p>
  </w:footnote>
  <w:footnote w:id="12">
    <w:p>
      <w:pPr>
        <w:pStyle w:val="FootnoteText"/>
        <w:jc w:val="both"/>
        <w:rPr>
          <w:lang w:val="bg-BG"/>
        </w:rPr>
      </w:pPr>
      <w:r>
        <w:rPr>
          <w:rStyle w:val="FootnoteReference"/>
          <w:lang w:val="bg-BG"/>
        </w:rPr>
        <w:footnoteRef/>
      </w:r>
      <w:r>
        <w:rPr>
          <w:lang w:val="bg-BG"/>
        </w:rPr>
        <w:t xml:space="preserve"> 104 в Нидерландия, 5 в Португалия и 24 във Финландия. </w:t>
      </w:r>
    </w:p>
  </w:footnote>
  <w:footnote w:id="13">
    <w:p>
      <w:pPr>
        <w:pStyle w:val="FootnoteText"/>
        <w:jc w:val="both"/>
        <w:rPr>
          <w:lang w:val="bg-BG"/>
        </w:rPr>
      </w:pPr>
      <w:r>
        <w:rPr>
          <w:rStyle w:val="FootnoteReference"/>
          <w:lang w:val="bg-BG"/>
        </w:rPr>
        <w:footnoteRef/>
      </w:r>
      <w:r>
        <w:rPr>
          <w:lang w:val="bg-BG"/>
        </w:rPr>
        <w:t xml:space="preserve"> 32 в Испания, 15 в Латвия, 22 в Португалия и 50 във Франция. </w:t>
      </w:r>
    </w:p>
  </w:footnote>
  <w:footnote w:id="14">
    <w:p>
      <w:pPr>
        <w:pStyle w:val="FootnoteText"/>
        <w:jc w:val="both"/>
        <w:rPr>
          <w:lang w:val="bg-BG"/>
        </w:rPr>
      </w:pPr>
      <w:r>
        <w:rPr>
          <w:rStyle w:val="FootnoteReference"/>
          <w:lang w:val="bg-BG"/>
        </w:rPr>
        <w:footnoteRef/>
      </w:r>
      <w:r>
        <w:rPr>
          <w:lang w:val="bg-BG"/>
        </w:rPr>
        <w:t xml:space="preserve"> Германия — 100 за Гърция, Естония — 15 за Гърция, Ирландия — 50 за Гърция, Литва — 80 за Гърция, Нидерландия — 50 за Италия и 100 за Гърция, Румъния — 70 за Италия и 130 за Гърция, Словения — 10 за Италия, Финландия — 100 за Италия и Франция — 50 за Италия.</w:t>
      </w:r>
    </w:p>
  </w:footnote>
  <w:footnote w:id="15">
    <w:p>
      <w:pPr>
        <w:pStyle w:val="FootnoteText"/>
        <w:rPr>
          <w:lang w:val="bg-BG"/>
        </w:rPr>
      </w:pPr>
      <w:r>
        <w:rPr>
          <w:rStyle w:val="FootnoteReference"/>
          <w:lang w:val="bg-BG"/>
        </w:rPr>
        <w:footnoteRef/>
      </w:r>
      <w:r>
        <w:rPr>
          <w:lang w:val="bg-BG"/>
        </w:rPr>
        <w:t xml:space="preserve"> 100 за Италия. </w:t>
      </w:r>
    </w:p>
  </w:footnote>
  <w:footnote w:id="16">
    <w:p>
      <w:pPr>
        <w:pStyle w:val="FootnoteText"/>
        <w:jc w:val="both"/>
        <w:rPr>
          <w:lang w:val="bg-BG"/>
        </w:rPr>
      </w:pPr>
      <w:r>
        <w:rPr>
          <w:rStyle w:val="FootnoteReference"/>
          <w:lang w:val="bg-BG"/>
        </w:rPr>
        <w:footnoteRef/>
      </w:r>
      <w:r>
        <w:rPr>
          <w:lang w:val="bg-BG"/>
        </w:rPr>
        <w:t xml:space="preserve"> Следва да се отбележи, че през предходния отчетен период Франция е поела ангажимент за 400 души от Гърция, но потвърждението е получено едва през настоящия отчетен период.</w:t>
      </w:r>
    </w:p>
  </w:footnote>
  <w:footnote w:id="17">
    <w:p>
      <w:pPr>
        <w:pStyle w:val="FootnoteText"/>
        <w:jc w:val="both"/>
        <w:rPr>
          <w:lang w:val="bg-BG"/>
        </w:rPr>
      </w:pPr>
      <w:r>
        <w:rPr>
          <w:rStyle w:val="FootnoteReference"/>
          <w:lang w:val="bg-BG"/>
        </w:rPr>
        <w:footnoteRef/>
      </w:r>
      <w:r>
        <w:rPr>
          <w:lang w:val="bg-BG"/>
        </w:rPr>
        <w:t xml:space="preserve"> Следва да се отбележи, че през предходния отчетен период официален ангажимент от Румъния не е бил взет под внимание. </w:t>
      </w:r>
    </w:p>
  </w:footnote>
  <w:footnote w:id="18">
    <w:p>
      <w:pPr>
        <w:pStyle w:val="FootnoteText"/>
        <w:jc w:val="both"/>
        <w:rPr>
          <w:lang w:val="bg-BG"/>
        </w:rPr>
      </w:pPr>
      <w:r>
        <w:rPr>
          <w:rStyle w:val="FootnoteReference"/>
          <w:lang w:val="bg-BG"/>
        </w:rPr>
        <w:footnoteRef/>
      </w:r>
      <w:r>
        <w:rPr>
          <w:lang w:val="bg-BG"/>
        </w:rPr>
        <w:t xml:space="preserve"> За Австрия е в сила временно преустановяване на действията по преместване на до 30 % от кандидатите по квотата на държавата съгласно Решение (ЕС) 2015/1601 на Съвета. В резултат на това за една година за нея се прилага спиране на действията по преместването на 1065 души. Въпреки това Австрия трябва да се придържа към обичайните си правни задължения за преместване на оставащата квота, така че от нея все пак се очакват ангажименти и премествания.</w:t>
      </w:r>
    </w:p>
  </w:footnote>
  <w:footnote w:id="19">
    <w:p>
      <w:pPr>
        <w:pStyle w:val="FootnoteText"/>
        <w:jc w:val="both"/>
        <w:rPr>
          <w:lang w:val="bg-BG"/>
        </w:rPr>
      </w:pPr>
      <w:r>
        <w:rPr>
          <w:rStyle w:val="FootnoteReference"/>
          <w:lang w:val="bg-BG"/>
        </w:rPr>
        <w:footnoteRef/>
      </w:r>
      <w:r>
        <w:rPr>
          <w:lang w:val="bg-BG"/>
        </w:rPr>
        <w:t xml:space="preserve"> В началото на април Полша спря обработването на 73 заявки за преместване, които Службата за убежище на Гърция ѝ беше изпратила въз основа на ангажимент, поет от Полша на 16 декември 2015 г., като по този начин де факто замрази процедурата по преместване три месеца и половина след поемането на ангажимента. Същото важи и за заявките от Италия.</w:t>
      </w:r>
    </w:p>
  </w:footnote>
  <w:footnote w:id="20">
    <w:p>
      <w:pPr>
        <w:pStyle w:val="FootnoteText"/>
        <w:jc w:val="both"/>
        <w:rPr>
          <w:lang w:val="bg-BG"/>
        </w:rPr>
      </w:pPr>
      <w:r>
        <w:rPr>
          <w:rStyle w:val="FootnoteReference"/>
          <w:lang w:val="bg-BG"/>
        </w:rPr>
        <w:footnoteRef/>
      </w:r>
      <w:r>
        <w:rPr>
          <w:lang w:val="bg-BG"/>
        </w:rPr>
        <w:t xml:space="preserve"> Възможно е намалелият брой да се дължи на напускането на Гърция от непълнолетни лица по западнобалканския маршрут по-рано през 2016 г. </w:t>
      </w:r>
    </w:p>
  </w:footnote>
  <w:footnote w:id="21">
    <w:p>
      <w:pPr>
        <w:pStyle w:val="FootnoteText"/>
        <w:jc w:val="both"/>
        <w:rPr>
          <w:lang w:val="bg-BG"/>
        </w:rPr>
      </w:pPr>
      <w:r>
        <w:rPr>
          <w:rStyle w:val="FootnoteReference"/>
          <w:lang w:val="bg-BG"/>
        </w:rPr>
        <w:footnoteRef/>
      </w:r>
      <w:r>
        <w:rPr>
          <w:lang w:val="bg-BG"/>
        </w:rPr>
        <w:t xml:space="preserve"> Австрия, Швейцария, Литва, Полша, Чешката република, Обединеното кралство, Румъния, Германия, Латвия, Испания, Франция, Хърватия, Нидерландия, Норвегия, Швеция и Малта.</w:t>
      </w:r>
    </w:p>
  </w:footnote>
  <w:footnote w:id="22">
    <w:p>
      <w:pPr>
        <w:pStyle w:val="FootnoteText"/>
        <w:rPr>
          <w:lang w:val="bg-BG"/>
        </w:rPr>
      </w:pPr>
      <w:r>
        <w:rPr>
          <w:rStyle w:val="FootnoteReference"/>
          <w:lang w:val="bg-BG"/>
        </w:rPr>
        <w:footnoteRef/>
      </w:r>
      <w:r>
        <w:rPr>
          <w:lang w:val="bg-BG"/>
        </w:rPr>
        <w:t xml:space="preserve"> Срокът на мандатите на няколко експерти изтече през отчетния период. </w:t>
      </w:r>
    </w:p>
  </w:footnote>
  <w:footnote w:id="23">
    <w:p>
      <w:pPr>
        <w:pStyle w:val="FootnoteText"/>
        <w:jc w:val="both"/>
        <w:rPr>
          <w:lang w:val="bg-BG"/>
        </w:rPr>
      </w:pPr>
      <w:r>
        <w:rPr>
          <w:rStyle w:val="FootnoteReference"/>
          <w:lang w:val="bg-BG"/>
        </w:rPr>
        <w:footnoteRef/>
      </w:r>
      <w:r>
        <w:rPr>
          <w:lang w:val="bg-BG"/>
        </w:rPr>
        <w:t xml:space="preserve"> Петата обява на EASO за набиране на експерти, които да помагат в Гърция при преместването, е от 21 април и е отчетена за първи път в Третия доклад относно преместването и презаселването. На 24 юни е било изпратено напомняне. </w:t>
      </w:r>
    </w:p>
  </w:footnote>
  <w:footnote w:id="24">
    <w:p>
      <w:pPr>
        <w:pStyle w:val="FootnoteText"/>
        <w:jc w:val="both"/>
        <w:rPr>
          <w:spacing w:val="-6"/>
          <w:lang w:val="bg-BG"/>
        </w:rPr>
      </w:pPr>
      <w:r>
        <w:rPr>
          <w:rStyle w:val="FootnoteReference"/>
          <w:spacing w:val="-6"/>
          <w:lang w:val="bg-BG"/>
        </w:rPr>
        <w:footnoteRef/>
      </w:r>
      <w:r>
        <w:rPr>
          <w:spacing w:val="-6"/>
          <w:lang w:val="bg-BG"/>
        </w:rPr>
        <w:t xml:space="preserve"> </w:t>
      </w:r>
      <w:hyperlink r:id="rId3">
        <w:r>
          <w:rPr>
            <w:rStyle w:val="Hyperlink"/>
            <w:rFonts w:ascii="Times New Roman" w:hAnsi="Times New Roman"/>
            <w:spacing w:val="-6"/>
            <w:lang w:val="bg-BG"/>
          </w:rPr>
          <w:t>https://www.easo.europa.eu/news-events/joint-press-release-pre-registration-asylum-seekers-greek-mainland-starting-today</w:t>
        </w:r>
      </w:hyperlink>
      <w:r>
        <w:rPr>
          <w:spacing w:val="-6"/>
          <w:lang w:val="bg-BG"/>
        </w:rPr>
        <w:t>.</w:t>
      </w:r>
    </w:p>
  </w:footnote>
  <w:footnote w:id="25">
    <w:p>
      <w:pPr>
        <w:pStyle w:val="FootnoteText"/>
        <w:jc w:val="both"/>
        <w:rPr>
          <w:spacing w:val="-6"/>
          <w:lang w:val="bg-BG"/>
        </w:rPr>
      </w:pPr>
      <w:r>
        <w:rPr>
          <w:rStyle w:val="FootnoteReference"/>
          <w:spacing w:val="-6"/>
          <w:lang w:val="bg-BG"/>
        </w:rPr>
        <w:footnoteRef/>
      </w:r>
      <w:r>
        <w:rPr>
          <w:spacing w:val="-6"/>
          <w:lang w:val="bg-BG"/>
        </w:rPr>
        <w:t xml:space="preserve"> Тези данни не включват местата, осигурени в съответствие с капацитета на системата за наемане на ВКБООН.</w:t>
      </w:r>
    </w:p>
    <w:p>
      <w:pPr>
        <w:pStyle w:val="FootnoteText"/>
        <w:jc w:val="both"/>
        <w:rPr>
          <w:lang w:val="bg-BG"/>
        </w:rPr>
      </w:pPr>
      <w:hyperlink r:id="rId4">
        <w:r>
          <w:rPr>
            <w:rStyle w:val="Hyperlink"/>
            <w:rFonts w:ascii="Times New Roman" w:hAnsi="Times New Roman"/>
            <w:lang w:val="bg-BG"/>
          </w:rPr>
          <w:t>http://data.unhcr.org/mediterranean/documents.php?page=1&amp;view=grid&amp;Country[]=83</w:t>
        </w:r>
      </w:hyperlink>
    </w:p>
    <w:p>
      <w:pPr>
        <w:pStyle w:val="FootnoteText"/>
        <w:jc w:val="both"/>
        <w:rPr>
          <w:spacing w:val="-4"/>
          <w:lang w:val="bg-BG"/>
        </w:rPr>
      </w:pPr>
      <w:r>
        <w:rPr>
          <w:spacing w:val="-4"/>
          <w:lang w:val="bg-BG"/>
        </w:rPr>
        <w:t>Тези временни резервни и постоянни постройки са изградени в горещите точки на островите в Егейско море, както и на континента. По данни от 11 юли 2016 г. в момента има само 1138 постоянни места за настаняване, където са настанени изключително кандидати за международна закрила и непридружени непълнолетни.</w:t>
      </w:r>
    </w:p>
  </w:footnote>
  <w:footnote w:id="26">
    <w:p>
      <w:pPr>
        <w:pStyle w:val="FootnoteText"/>
        <w:jc w:val="both"/>
        <w:rPr>
          <w:lang w:val="bg-BG"/>
        </w:rPr>
      </w:pPr>
      <w:r>
        <w:rPr>
          <w:rStyle w:val="FootnoteReference"/>
          <w:lang w:val="bg-BG"/>
        </w:rPr>
        <w:footnoteRef/>
      </w:r>
      <w:r>
        <w:rPr>
          <w:lang w:val="bg-BG"/>
        </w:rPr>
        <w:t xml:space="preserve"> Препоръка на Комисията до Република Гърция относно предприемането на конкретни спешни мерки от Гърция с цел възобновяване на прехвърлянията съгласно Регламент (ЕС) № 604/2013, C(2016) 3805. </w:t>
      </w:r>
    </w:p>
  </w:footnote>
  <w:footnote w:id="27">
    <w:p>
      <w:pPr>
        <w:pStyle w:val="FootnoteText"/>
        <w:jc w:val="both"/>
        <w:rPr>
          <w:lang w:val="bg-BG"/>
        </w:rPr>
      </w:pPr>
      <w:r>
        <w:rPr>
          <w:rStyle w:val="FootnoteReference"/>
          <w:lang w:val="bg-BG"/>
        </w:rPr>
        <w:footnoteRef/>
      </w:r>
      <w:r>
        <w:rPr>
          <w:lang w:val="bg-BG"/>
        </w:rPr>
        <w:t xml:space="preserve"> ВКБООН се съгласи да осигури 6000 места от системата за наемане за центровете за преместване, където да се настанят всички напълно регистрирани кандидати за преместване. Споразумението за делегиране, постигнато с ВКБООН за 20 000 места за настаняване от системата за наемане, е от полза най-вече за търсещите убежище, които отговарят на условията за преместване, но може да е от полза и за други кандидати за събиране на семейства в друга държава — членка на ЕС, както и за лица, търсещи убежище в Гърция, особено за уязвимите кандидати. Тези 6000 места, които ще бъдат осигурени за центровете за преместване, ще бъдат основните места за настаняване на одобрените за преместване.</w:t>
      </w:r>
    </w:p>
  </w:footnote>
  <w:footnote w:id="28">
    <w:p>
      <w:pPr>
        <w:pStyle w:val="FootnoteText"/>
        <w:jc w:val="both"/>
        <w:rPr>
          <w:lang w:val="bg-BG"/>
        </w:rPr>
      </w:pPr>
      <w:r>
        <w:rPr>
          <w:rStyle w:val="FootnoteReference"/>
          <w:lang w:val="bg-BG"/>
        </w:rPr>
        <w:footnoteRef/>
      </w:r>
      <w:r>
        <w:rPr>
          <w:lang w:val="bg-BG"/>
        </w:rPr>
        <w:t xml:space="preserve"> Центровете за преместване ще се финансират от ЕС като част от споразумението за делегиране с ВКБООН във връзка със системата за наемане с цел настаняване.</w:t>
      </w:r>
    </w:p>
  </w:footnote>
  <w:footnote w:id="29">
    <w:p>
      <w:pPr>
        <w:pStyle w:val="FootnoteText"/>
        <w:rPr>
          <w:lang w:val="bg-BG"/>
        </w:rPr>
      </w:pPr>
      <w:r>
        <w:rPr>
          <w:rStyle w:val="FootnoteReference"/>
          <w:rFonts w:eastAsiaTheme="majorEastAsia"/>
          <w:lang w:val="bg-BG"/>
        </w:rPr>
        <w:footnoteRef/>
      </w:r>
      <w:r>
        <w:rPr>
          <w:lang w:val="bg-BG"/>
        </w:rPr>
        <w:t xml:space="preserve"> Текстът може да бъде намерен на адрес: </w:t>
      </w:r>
      <w:hyperlink r:id="rId5">
        <w:r>
          <w:rPr>
            <w:rStyle w:val="Hyperlink"/>
            <w:rFonts w:ascii="Times New Roman" w:hAnsi="Times New Roman"/>
            <w:lang w:val="bg-BG"/>
          </w:rPr>
          <w:t>http://www.libertaciviliimmigrazione.dlci.interno.gov.it/it/hotspot</w:t>
        </w:r>
      </w:hyperlink>
      <w:r>
        <w:rPr>
          <w:lang w:val="bg-BG"/>
        </w:rPr>
        <w:t xml:space="preserve">. </w:t>
      </w:r>
    </w:p>
  </w:footnote>
  <w:footnote w:id="30">
    <w:p>
      <w:pPr>
        <w:pStyle w:val="FootnoteText"/>
        <w:jc w:val="both"/>
        <w:rPr>
          <w:lang w:val="bg-BG"/>
        </w:rPr>
      </w:pPr>
      <w:r>
        <w:rPr>
          <w:rStyle w:val="FootnoteReference"/>
          <w:lang w:val="bg-BG"/>
        </w:rPr>
        <w:footnoteRef/>
      </w:r>
      <w:r>
        <w:rPr>
          <w:lang w:val="bg-BG"/>
        </w:rPr>
        <w:t xml:space="preserve"> С тях се препоръчва да се предостави възможност за включване на експерти на EASO в провеждането на по-задълбочени интервюта, да се повиши качеството на досието на кандидата чрез включване на формуляр за сигурност, съдържащ списък на различните проверки, извършени спрямо лицето на всеки етап от процедурата, и резултата от тези проверки, наличието на кореспондент по сигурността от италианска страна и двустранни споразумения за сътрудничество за сравняване и размяна на данни от пръстови отпечатъци за целите на сигурността и борбата с престъпността.</w:t>
      </w:r>
    </w:p>
  </w:footnote>
  <w:footnote w:id="31">
    <w:p>
      <w:pPr>
        <w:pStyle w:val="FootnoteText"/>
        <w:jc w:val="both"/>
        <w:rPr>
          <w:lang w:val="bg-BG"/>
        </w:rPr>
      </w:pPr>
      <w:r>
        <w:rPr>
          <w:rStyle w:val="FootnoteReference"/>
          <w:lang w:val="bg-BG"/>
        </w:rPr>
        <w:footnoteRef/>
      </w:r>
      <w:r>
        <w:rPr>
          <w:lang w:val="bg-BG"/>
        </w:rPr>
        <w:t xml:space="preserve"> </w:t>
      </w:r>
      <w:r>
        <w:rPr>
          <w:color w:val="000000"/>
          <w:lang w:val="bg-BG"/>
        </w:rPr>
        <w:t>Тази спешна помощ допълва вече отпуснатите на Гърция 509 милиона евро за периода 2014 — 2020 г. по националните ѝ програми от фондовете за вътрешни работи (ФУМИ и ФВС), които също разполагат с достатъчно финансиране в подкрепа за прилагането на политиките за убежище.</w:t>
      </w:r>
    </w:p>
  </w:footnote>
  <w:footnote w:id="32">
    <w:p>
      <w:pPr>
        <w:pStyle w:val="FootnoteText"/>
        <w:jc w:val="both"/>
        <w:rPr>
          <w:lang w:val="bg-BG"/>
        </w:rPr>
      </w:pPr>
      <w:r>
        <w:rPr>
          <w:rStyle w:val="FootnoteReference"/>
          <w:lang w:val="bg-BG"/>
        </w:rPr>
        <w:footnoteRef/>
      </w:r>
      <w:r>
        <w:rPr>
          <w:lang w:val="bg-BG"/>
        </w:rPr>
        <w:t xml:space="preserve"> Както е отбелязано в Четвъртия доклад, планираното допълнително увеличаване на персонала с още 18 експерти от държавите членки за подпомагане на регистрацията е трябвало да бъде отложено, тъй като голяма част от служителите на Службата за убежище са ангажирани в операцията по предварителна регистрация.</w:t>
      </w:r>
    </w:p>
  </w:footnote>
  <w:footnote w:id="33">
    <w:p>
      <w:pPr>
        <w:pStyle w:val="FootnoteText"/>
        <w:rPr>
          <w:lang w:val="bg-BG"/>
        </w:rPr>
      </w:pPr>
      <w:r>
        <w:rPr>
          <w:rStyle w:val="FootnoteReference"/>
          <w:lang w:val="bg-BG"/>
        </w:rPr>
        <w:footnoteRef/>
      </w:r>
      <w:r>
        <w:rPr>
          <w:lang w:val="bg-BG"/>
        </w:rPr>
        <w:t xml:space="preserve"> ОВ C […], […], стр. […].</w:t>
      </w:r>
    </w:p>
  </w:footnote>
  <w:footnote w:id="34">
    <w:p>
      <w:pPr>
        <w:pStyle w:val="FootnoteText"/>
        <w:jc w:val="both"/>
        <w:rPr>
          <w:lang w:val="bg-BG"/>
        </w:rPr>
      </w:pPr>
      <w:r>
        <w:rPr>
          <w:rStyle w:val="FootnoteReference"/>
          <w:lang w:val="bg-BG"/>
        </w:rPr>
        <w:footnoteRef/>
      </w:r>
      <w:r>
        <w:rPr>
          <w:lang w:val="bg-BG"/>
        </w:rPr>
        <w:t xml:space="preserve"> Заключения на Европейския съвет от 7 март 2016 г. </w:t>
      </w:r>
      <w:hyperlink r:id="rId6">
        <w:r>
          <w:rPr>
            <w:rStyle w:val="Hyperlink"/>
            <w:rFonts w:ascii="Times New Roman" w:hAnsi="Times New Roman"/>
            <w:lang w:val="bg-BG"/>
          </w:rPr>
          <w:t>http://www.consilium.europa.eu/bg/press/press-releases/2016/03/07-eu-turkey-meeting-statement/</w:t>
        </w:r>
      </w:hyperlink>
      <w:r>
        <w:rPr>
          <w:lang w:val="bg-BG"/>
        </w:rPr>
        <w:t xml:space="preserve">; заключения на Европейския съвет от 28 юни 2016 г. </w:t>
      </w:r>
      <w:hyperlink r:id="rId7" w:history="1">
        <w:r>
          <w:rPr>
            <w:rStyle w:val="Hyperlink"/>
            <w:rFonts w:ascii="Times New Roman" w:hAnsi="Times New Roman"/>
            <w:lang w:val="bg-BG"/>
          </w:rPr>
          <w:t>http://www.consilium.europa.eu/bg/press/press-releases/2016/06/28-euco-conclusions/</w:t>
        </w:r>
      </w:hyperlink>
    </w:p>
  </w:footnote>
  <w:footnote w:id="35">
    <w:p>
      <w:pPr>
        <w:jc w:val="both"/>
        <w:rPr>
          <w:sz w:val="20"/>
          <w:szCs w:val="20"/>
          <w:lang w:val="bg-BG"/>
        </w:rPr>
      </w:pPr>
      <w:r>
        <w:rPr>
          <w:rStyle w:val="FootnoteReference"/>
          <w:sz w:val="20"/>
          <w:lang w:val="bg-BG"/>
        </w:rPr>
        <w:footnoteRef/>
      </w:r>
      <w:r>
        <w:rPr>
          <w:sz w:val="20"/>
          <w:lang w:val="bg-BG"/>
        </w:rPr>
        <w:t xml:space="preserve"> COM(2016) 165 final.</w:t>
      </w:r>
    </w:p>
  </w:footnote>
  <w:footnote w:id="36">
    <w:p>
      <w:pPr>
        <w:pStyle w:val="FootnoteText"/>
        <w:rPr>
          <w:lang w:val="bg-BG"/>
        </w:rPr>
      </w:pPr>
      <w:r>
        <w:rPr>
          <w:rStyle w:val="FootnoteReference"/>
          <w:lang w:val="bg-BG"/>
        </w:rPr>
        <w:footnoteRef/>
      </w:r>
      <w:r>
        <w:rPr>
          <w:lang w:val="bg-BG"/>
        </w:rPr>
        <w:t xml:space="preserve"> Втори доклад относно напредъка в изпълнението на Изявлението на ЕС и Турция (COM(2016)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E4594D"/>
    <w:multiLevelType w:val="multilevel"/>
    <w:tmpl w:val="F79CD254"/>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4"/>
  </w:num>
  <w:num w:numId="3">
    <w:abstractNumId w:val="5"/>
  </w:num>
  <w:num w:numId="4">
    <w:abstractNumId w:val="5"/>
  </w:num>
  <w:num w:numId="5">
    <w:abstractNumId w:val="0"/>
  </w:num>
  <w:num w:numId="6">
    <w:abstractNumId w:val="3"/>
  </w:num>
  <w:num w:numId="7">
    <w:abstractNumId w:val="6"/>
  </w:num>
  <w:num w:numId="8">
    <w:abstractNumId w:val="1"/>
  </w:num>
  <w:num w:numId="9">
    <w:abstractNumId w:val="5"/>
  </w:num>
  <w:num w:numId="10">
    <w:abstractNumId w:val="5"/>
  </w:num>
  <w:num w:numId="11">
    <w:abstractNumId w:val="5"/>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52FE4A7E3F742C1BF0E0E71520B7005"/>
    <w:docVar w:name="LW_CROSSREFERENCE" w:val="&lt;UNUSED&gt;"/>
    <w:docVar w:name="LW_DocType" w:val="NORMAL"/>
    <w:docVar w:name="LW_EMISSION" w:val="13.7.2016"/>
    <w:docVar w:name="LW_EMISSION_ISODATE" w:val="2016-07-13"/>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480"/>
    <w:docVar w:name="LW_REF.INTERNE" w:val="&lt;UNUSED&gt;"/>
    <w:docVar w:name="LW_SOUS.TITRE.OBJ.CP" w:val="&lt;UNUSED&gt;"/>
    <w:docVar w:name="LW_SUPERTITRE" w:val="&lt;UNUSED&gt;"/>
    <w:docVar w:name="LW_TITRE.OBJ.CP" w:val="\u1055?\u1077?\u1090?\u1080? \u1076?\u1086?\u1082?\u1083?\u1072?\u1076? \u1086?\u1090?\u1085?\u1086?\u1089?\u1085?\u1086? \u1087?\u1088?\u1077?\u1084?\u1077?\u1089?\u1090?\u1074?\u1072?\u1085?\u1077?\u1090?\u1086? \u1080? \u1087?\u1088?\u1077?\u1079?\u1072?\u1089?\u1077?\u1083?\u1074?\u1072?\u1085?\u1077?\u1090?\u1086?"/>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aso.europa.eu/news-events/joint-press-release-pre-registration-asylum-seekers-greek-mainland-starting-today" TargetMode="External"/><Relationship Id="rId7" Type="http://schemas.openxmlformats.org/officeDocument/2006/relationships/hyperlink" Target="http://www.consilium.europa.eu/bg/press/press-releases/2016/06/28-euco-conclusions/" TargetMode="External"/><Relationship Id="rId2" Type="http://schemas.openxmlformats.org/officeDocument/2006/relationships/hyperlink" Target="http://www.consilium.europa.eu/bg/press/press-releases/2016/06/28-euco-conclusions/" TargetMode="External"/><Relationship Id="rId1" Type="http://schemas.openxmlformats.org/officeDocument/2006/relationships/hyperlink" Target="http://www.consilium.europa.eu/bg/press/press-releases/2016/03/07-eu-turkey-meeting-statement/" TargetMode="External"/><Relationship Id="rId6" Type="http://schemas.openxmlformats.org/officeDocument/2006/relationships/hyperlink" Target="http://www.consilium.europa.eu/bg/press/press-releases/2016/03/07-eu-turkey-meeting-statement/" TargetMode="External"/><Relationship Id="rId5" Type="http://schemas.openxmlformats.org/officeDocument/2006/relationships/hyperlink" Target="http://www.libertaciviliimmigrazione.dlci.interno.gov.it/it/hotspot" TargetMode="External"/><Relationship Id="rId4" Type="http://schemas.openxmlformats.org/officeDocument/2006/relationships/hyperlink" Target="http://data.unhcr.org/mediterranean/documents.php?page=1&amp;view=grid&amp;Country%5B%5D=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17b46552-d8b0-4a09-8203-d52bd02ecc12" xsi:nil="true"/>
    <EC_Collab_DocumentLanguage xmlns="17b46552-d8b0-4a09-8203-d52bd02ecc12">EN</EC_Collab_DocumentLanguage>
    <EC_Collab_Status xmlns="17b46552-d8b0-4a09-8203-d52bd02ecc12">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87F06-B98A-4B36-99E8-DEF59680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559D6-CFD8-4D22-9866-0EC9DF3D70D6}">
  <ds:schemaRefs>
    <ds:schemaRef ds:uri="http://schemas.microsoft.com/sharepoint/v3/contenttype/forms"/>
  </ds:schemaRefs>
</ds:datastoreItem>
</file>

<file path=customXml/itemProps3.xml><?xml version="1.0" encoding="utf-8"?>
<ds:datastoreItem xmlns:ds="http://schemas.openxmlformats.org/officeDocument/2006/customXml" ds:itemID="{3423EB95-6BB2-4C3A-BB9E-734A6B20B5BF}">
  <ds:schemaRefs>
    <ds:schemaRef ds:uri="http://schemas.microsoft.com/office/2006/metadata/properties"/>
    <ds:schemaRef ds:uri="http://schemas.microsoft.com/office/infopath/2007/PartnerControls"/>
    <ds:schemaRef ds:uri="http://schemas.microsoft.com/sharepoint/v3/fields"/>
    <ds:schemaRef ds:uri="17b46552-d8b0-4a09-8203-d52bd02ecc12"/>
  </ds:schemaRefs>
</ds:datastoreItem>
</file>

<file path=customXml/itemProps4.xml><?xml version="1.0" encoding="utf-8"?>
<ds:datastoreItem xmlns:ds="http://schemas.openxmlformats.org/officeDocument/2006/customXml" ds:itemID="{5062E5ED-3F4A-4889-AC06-638F3A32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13</Pages>
  <Words>4046</Words>
  <Characters>23230</Characters>
  <Application>Microsoft Office Word</Application>
  <DocSecurity>0</DocSecurity>
  <Lines>430</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58</cp:revision>
  <cp:lastPrinted>2016-07-08T14:13:00Z</cp:lastPrinted>
  <dcterms:created xsi:type="dcterms:W3CDTF">2016-07-12T12:41:00Z</dcterms:created>
  <dcterms:modified xsi:type="dcterms:W3CDTF">2016-08-31T08:02:00Z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0x010100258AA79CEB83498886A3A0868112325000E4784CB7A28D3C4488AA7E5C40997F0C</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