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5C18DC1719F40BCB47C537BC883935A" style="width:450.75pt;height:39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pPr>
        <w:spacing w:after="120"/>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Annexe 3: État des lieux en matière de réinstallation au 11 juillet 2016, par référence aux conclusions du Conseil du 20 juillet 2015 </w:t>
      </w:r>
      <w:r>
        <w:rPr>
          <w:rFonts w:ascii="Times New Roman" w:hAnsi="Times New Roman" w:cs="Times New Roman"/>
          <w:b/>
          <w:noProof/>
          <w:sz w:val="24"/>
          <w:szCs w:val="24"/>
        </w:rPr>
        <w:br/>
      </w:r>
      <w:r>
        <w:rPr>
          <w:rFonts w:ascii="Times New Roman" w:hAnsi="Times New Roman"/>
          <w:b/>
          <w:noProof/>
          <w:sz w:val="24"/>
        </w:rPr>
        <w:t xml:space="preserve"> et au mécanisme «1 pour 1» avec la Turquie (applicable depuis le 4 avril 2016)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079"/>
        <w:gridCol w:w="2970"/>
        <w:gridCol w:w="3126"/>
      </w:tblGrid>
      <w:tr>
        <w:trPr>
          <w:tblHeader/>
          <w:jc w:val="center"/>
        </w:trPr>
        <w:tc>
          <w:tcPr>
            <w:tcW w:w="1173" w:type="pct"/>
            <w:shd w:val="clear" w:color="auto" w:fill="C6D9F1" w:themeFill="text2" w:themeFillTint="33"/>
            <w:vAlign w:val="center"/>
          </w:tcPr>
          <w:p>
            <w:pPr>
              <w:spacing w:after="6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État membre /</w:t>
            </w:r>
            <w:r>
              <w:rPr>
                <w:rFonts w:ascii="Times New Roman" w:eastAsia="Times New Roman" w:hAnsi="Times New Roman" w:cs="Times New Roman"/>
                <w:b/>
                <w:noProof/>
                <w:sz w:val="24"/>
                <w:szCs w:val="24"/>
              </w:rPr>
              <w:br/>
            </w:r>
            <w:r>
              <w:rPr>
                <w:rFonts w:ascii="Times New Roman" w:hAnsi="Times New Roman"/>
                <w:b/>
                <w:i/>
                <w:noProof/>
                <w:sz w:val="24"/>
              </w:rPr>
              <w:t>État associé</w:t>
            </w:r>
          </w:p>
        </w:tc>
        <w:tc>
          <w:tcPr>
            <w:tcW w:w="973" w:type="pct"/>
            <w:shd w:val="clear" w:color="auto" w:fill="C6D9F1" w:themeFill="text2" w:themeFillTint="33"/>
            <w:vAlign w:val="center"/>
          </w:tcPr>
          <w:p>
            <w:pPr>
              <w:spacing w:after="60" w:line="240" w:lineRule="auto"/>
              <w:jc w:val="center"/>
              <w:rPr>
                <w:rFonts w:ascii="Times New Roman" w:eastAsia="Times New Roman" w:hAnsi="Times New Roman" w:cs="Times New Roman"/>
                <w:bCs/>
                <w:noProof/>
                <w:sz w:val="24"/>
                <w:szCs w:val="24"/>
              </w:rPr>
            </w:pPr>
            <w:r>
              <w:rPr>
                <w:rFonts w:ascii="Times New Roman" w:hAnsi="Times New Roman"/>
                <w:b/>
                <w:noProof/>
                <w:sz w:val="24"/>
              </w:rPr>
              <w:t>Engagements pris dans le cadre du programme adopté le 20 juillet 2015</w:t>
            </w:r>
          </w:p>
        </w:tc>
        <w:tc>
          <w:tcPr>
            <w:tcW w:w="1390" w:type="pct"/>
            <w:shd w:val="clear" w:color="auto" w:fill="C6D9F1" w:themeFill="text2" w:themeFillTint="33"/>
            <w:vAlign w:val="center"/>
          </w:tcPr>
          <w:p>
            <w:pPr>
              <w:spacing w:after="60" w:line="240" w:lineRule="auto"/>
              <w:jc w:val="center"/>
              <w:rPr>
                <w:rFonts w:ascii="Times New Roman" w:eastAsia="Times New Roman" w:hAnsi="Times New Roman" w:cs="Times New Roman"/>
                <w:b/>
                <w:noProof/>
                <w:sz w:val="24"/>
                <w:szCs w:val="24"/>
              </w:rPr>
            </w:pPr>
            <w:r>
              <w:rPr>
                <w:rFonts w:ascii="Times New Roman" w:hAnsi="Times New Roman"/>
                <w:b/>
                <w:noProof/>
                <w:sz w:val="24"/>
              </w:rPr>
              <w:t>Nombre total de personnes réinstallées dans le cadre du programme adopté le 20 juillet 2015, y compris le mécanisme «1 pour 1» avec la Turquie</w:t>
            </w:r>
          </w:p>
        </w:tc>
        <w:tc>
          <w:tcPr>
            <w:tcW w:w="1463" w:type="pct"/>
            <w:shd w:val="clear" w:color="auto" w:fill="C6D9F1" w:themeFill="text2" w:themeFillTint="33"/>
            <w:vAlign w:val="center"/>
          </w:tcPr>
          <w:p>
            <w:pPr>
              <w:spacing w:after="0" w:line="240" w:lineRule="auto"/>
              <w:jc w:val="center"/>
              <w:rPr>
                <w:rFonts w:ascii="Times New Roman" w:eastAsia="Times New Roman" w:hAnsi="Times New Roman" w:cs="Times New Roman"/>
                <w:b/>
                <w:noProof/>
                <w:sz w:val="24"/>
              </w:rPr>
            </w:pPr>
            <w:r>
              <w:rPr>
                <w:rFonts w:ascii="Times New Roman" w:hAnsi="Times New Roman"/>
                <w:b/>
                <w:noProof/>
                <w:sz w:val="24"/>
              </w:rPr>
              <w:t>Pays tiers de provenance des personnes réinstallées</w:t>
            </w:r>
          </w:p>
          <w:p>
            <w:pPr>
              <w:spacing w:after="0" w:line="240" w:lineRule="auto"/>
              <w:jc w:val="center"/>
              <w:rPr>
                <w:rFonts w:ascii="Times New Roman" w:eastAsia="Times New Roman" w:hAnsi="Times New Roman" w:cs="Times New Roman"/>
                <w:noProof/>
                <w:sz w:val="24"/>
                <w:szCs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Autriche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1 900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1 453</w:t>
            </w:r>
            <w:r>
              <w:rPr>
                <w:rFonts w:ascii="Times New Roman" w:hAnsi="Times New Roman"/>
                <w:noProof/>
                <w:sz w:val="24"/>
                <w:vertAlign w:val="superscript"/>
              </w:rPr>
              <w:footnoteReference w:id="2"/>
            </w:r>
          </w:p>
        </w:tc>
        <w:tc>
          <w:tcPr>
            <w:tcW w:w="146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noProof/>
                <w:sz w:val="24"/>
              </w:rPr>
              <w:t>Liban: 837; Jordanie: 442; Turquie: 173; Iraq: 1</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Belgique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1 100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333</w:t>
            </w:r>
          </w:p>
        </w:tc>
        <w:tc>
          <w:tcPr>
            <w:tcW w:w="146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noProof/>
                <w:sz w:val="24"/>
              </w:rPr>
              <w:t>Liban: 325; Jordanie: 4; Turquie: 4</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Bulgarie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Croatie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150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Chypre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69</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République tchèque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400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52</w:t>
            </w:r>
          </w:p>
        </w:tc>
        <w:tc>
          <w:tcPr>
            <w:tcW w:w="146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noProof/>
                <w:sz w:val="24"/>
              </w:rPr>
              <w:t>Liban: 32; Jordanie: 20</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Danemark</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1 000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481</w:t>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noProof/>
                <w:sz w:val="24"/>
              </w:rPr>
              <w:t>Liban, Ouganda</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Estonie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Finlande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293</w:t>
            </w:r>
            <w:r>
              <w:rPr>
                <w:rStyle w:val="FootnoteReference"/>
                <w:rFonts w:ascii="Times New Roman" w:hAnsi="Times New Roman"/>
                <w:noProof/>
                <w:sz w:val="24"/>
              </w:rPr>
              <w:footnoteReference w:id="3"/>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192</w:t>
            </w:r>
            <w:r>
              <w:rPr>
                <w:rStyle w:val="FootnoteReference"/>
                <w:rFonts w:ascii="Times New Roman" w:hAnsi="Times New Roman"/>
                <w:noProof/>
                <w:sz w:val="24"/>
              </w:rPr>
              <w:footnoteReference w:id="4"/>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noProof/>
                <w:sz w:val="24"/>
              </w:rPr>
              <w:t xml:space="preserve">Liban: 153; Égypte: 34; Iraq: 3; Yémen: 2 </w:t>
            </w:r>
            <w:r>
              <w:rPr>
                <w:rFonts w:ascii="Times New Roman" w:hAnsi="Times New Roman"/>
                <w:noProof/>
                <w:sz w:val="24"/>
              </w:rPr>
              <w:br/>
            </w:r>
            <w:r>
              <w:rPr>
                <w:rFonts w:ascii="Times New Roman" w:hAnsi="Times New Roman"/>
                <w:b/>
                <w:noProof/>
                <w:sz w:val="24"/>
              </w:rPr>
              <w:t>Turquie: 11 en vertu du mécanisme «1 pour 1», indépendamment du programme adopté le 20 juillet 2015</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France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2 375</w:t>
            </w:r>
            <w:r>
              <w:rPr>
                <w:rStyle w:val="FootnoteReference"/>
                <w:rFonts w:ascii="Times New Roman" w:hAnsi="Times New Roman"/>
                <w:noProof/>
                <w:sz w:val="24"/>
              </w:rPr>
              <w:footnoteReference w:id="5"/>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335</w:t>
            </w:r>
            <w:r>
              <w:rPr>
                <w:rStyle w:val="FootnoteReference"/>
                <w:rFonts w:ascii="Times New Roman" w:hAnsi="Times New Roman"/>
                <w:noProof/>
                <w:sz w:val="24"/>
              </w:rPr>
              <w:footnoteReference w:id="6"/>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noProof/>
                <w:sz w:val="24"/>
              </w:rPr>
              <w:t>Liban: 217, Jordanie: 118</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Allemagne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1 600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294</w:t>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b/>
                <w:noProof/>
                <w:sz w:val="24"/>
              </w:rPr>
              <w:t>Turquie: 294 en vertu du mécanisme «1 pour 1»</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Grèce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354</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Hongrie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i/>
                <w:noProof/>
                <w:sz w:val="24"/>
                <w:szCs w:val="24"/>
              </w:rPr>
            </w:pPr>
            <w:r>
              <w:rPr>
                <w:rFonts w:ascii="Times New Roman" w:hAnsi="Times New Roman"/>
                <w:b/>
                <w:i/>
                <w:noProof/>
                <w:sz w:val="24"/>
              </w:rPr>
              <w:t>Islande</w:t>
            </w:r>
          </w:p>
        </w:tc>
        <w:tc>
          <w:tcPr>
            <w:tcW w:w="973"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50</w:t>
            </w:r>
          </w:p>
        </w:tc>
        <w:tc>
          <w:tcPr>
            <w:tcW w:w="1390"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48</w:t>
            </w:r>
          </w:p>
        </w:tc>
        <w:tc>
          <w:tcPr>
            <w:tcW w:w="1463" w:type="pct"/>
            <w:shd w:val="clear" w:color="auto" w:fill="auto"/>
            <w:vAlign w:val="center"/>
          </w:tcPr>
          <w:p>
            <w:pPr>
              <w:spacing w:after="60" w:line="240" w:lineRule="auto"/>
              <w:jc w:val="center"/>
              <w:rPr>
                <w:rFonts w:ascii="Times New Roman" w:hAnsi="Times New Roman"/>
                <w:i/>
                <w:noProof/>
                <w:sz w:val="24"/>
              </w:rPr>
            </w:pPr>
            <w:r>
              <w:rPr>
                <w:rFonts w:ascii="Times New Roman" w:hAnsi="Times New Roman"/>
                <w:i/>
                <w:noProof/>
                <w:sz w:val="24"/>
              </w:rPr>
              <w:t>Liban</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Irlande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520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273</w:t>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noProof/>
                <w:sz w:val="24"/>
              </w:rPr>
              <w:t>Liban</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Italie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1 989</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419</w:t>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noProof/>
                <w:sz w:val="24"/>
              </w:rPr>
              <w:t xml:space="preserve">Liban: 349; </w:t>
            </w:r>
            <w:r>
              <w:rPr>
                <w:rFonts w:ascii="Times New Roman" w:hAnsi="Times New Roman"/>
                <w:b/>
                <w:noProof/>
                <w:sz w:val="24"/>
              </w:rPr>
              <w:t>Turquie: 70 en vertu du mécanisme «1 pour 1»</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Lettonie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6</w:t>
            </w:r>
          </w:p>
        </w:tc>
        <w:tc>
          <w:tcPr>
            <w:tcW w:w="1463" w:type="pct"/>
            <w:shd w:val="clear" w:color="auto" w:fill="auto"/>
            <w:vAlign w:val="center"/>
          </w:tcPr>
          <w:p>
            <w:pPr>
              <w:spacing w:after="60" w:line="240" w:lineRule="auto"/>
              <w:jc w:val="center"/>
              <w:rPr>
                <w:rFonts w:ascii="Times New Roman" w:hAnsi="Times New Roman"/>
                <w:noProof/>
                <w:sz w:val="24"/>
              </w:rPr>
            </w:pPr>
            <w:r>
              <w:rPr>
                <w:rFonts w:ascii="Times New Roman" w:hAnsi="Times New Roman"/>
                <w:b/>
                <w:noProof/>
                <w:sz w:val="24"/>
              </w:rPr>
              <w:t>Turquie: 6 en vertu du mécanisme «1 pour 1»</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i/>
                <w:noProof/>
                <w:sz w:val="24"/>
                <w:szCs w:val="24"/>
              </w:rPr>
            </w:pPr>
            <w:r>
              <w:rPr>
                <w:rFonts w:ascii="Times New Roman" w:hAnsi="Times New Roman"/>
                <w:b/>
                <w:i/>
                <w:noProof/>
                <w:sz w:val="24"/>
              </w:rPr>
              <w:t>Liechtenstein</w:t>
            </w:r>
          </w:p>
        </w:tc>
        <w:tc>
          <w:tcPr>
            <w:tcW w:w="973"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20</w:t>
            </w:r>
          </w:p>
        </w:tc>
        <w:tc>
          <w:tcPr>
            <w:tcW w:w="1390"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20</w:t>
            </w:r>
          </w:p>
        </w:tc>
        <w:tc>
          <w:tcPr>
            <w:tcW w:w="1463" w:type="pct"/>
            <w:shd w:val="clear" w:color="auto" w:fill="auto"/>
            <w:vAlign w:val="center"/>
          </w:tcPr>
          <w:p>
            <w:pPr>
              <w:spacing w:after="60" w:line="240" w:lineRule="auto"/>
              <w:jc w:val="center"/>
              <w:rPr>
                <w:rFonts w:ascii="Times New Roman" w:hAnsi="Times New Roman"/>
                <w:i/>
                <w:noProof/>
                <w:sz w:val="24"/>
              </w:rPr>
            </w:pPr>
            <w:r>
              <w:rPr>
                <w:rFonts w:ascii="Times New Roman" w:hAnsi="Times New Roman"/>
                <w:i/>
                <w:noProof/>
                <w:sz w:val="24"/>
              </w:rPr>
              <w:t>Turquie</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Lituanie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70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5</w:t>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b/>
                <w:noProof/>
                <w:sz w:val="24"/>
              </w:rPr>
              <w:t xml:space="preserve">Turquie: 5 en vertu du mécanisme «1 pour 1» </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Luxembourg</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 xml:space="preserve"> 0</w:t>
            </w:r>
            <w:r>
              <w:rPr>
                <w:rStyle w:val="FootnoteReference"/>
                <w:rFonts w:ascii="Times New Roman" w:hAnsi="Times New Roman"/>
                <w:noProof/>
                <w:sz w:val="24"/>
              </w:rPr>
              <w:footnoteReference w:id="7"/>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b/>
                <w:noProof/>
                <w:sz w:val="24"/>
              </w:rPr>
              <w:t>Turquie: 27 en vertu du mécanisme «1 pour 1», indépendamment du programme adopté le 20 juillet 2015</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Malte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14</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Pays-Bas</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1 000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366</w:t>
            </w:r>
          </w:p>
        </w:tc>
        <w:tc>
          <w:tcPr>
            <w:tcW w:w="146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noProof/>
                <w:sz w:val="24"/>
              </w:rPr>
              <w:t xml:space="preserve">Liban: 219; Jordanie: 7; </w:t>
            </w:r>
            <w:r>
              <w:rPr>
                <w:rFonts w:ascii="Times New Roman" w:hAnsi="Times New Roman"/>
                <w:b/>
                <w:noProof/>
                <w:sz w:val="24"/>
              </w:rPr>
              <w:t>Turquie</w:t>
            </w:r>
            <w:r>
              <w:rPr>
                <w:rFonts w:ascii="Times New Roman" w:hAnsi="Times New Roman"/>
                <w:noProof/>
                <w:sz w:val="24"/>
              </w:rPr>
              <w:t xml:space="preserve">: 61 (dont </w:t>
            </w:r>
            <w:r>
              <w:rPr>
                <w:rFonts w:ascii="Times New Roman" w:hAnsi="Times New Roman"/>
                <w:b/>
                <w:noProof/>
                <w:sz w:val="24"/>
              </w:rPr>
              <w:t>56 en vertu du mécanisme «1 pour 1»</w:t>
            </w:r>
            <w:r>
              <w:rPr>
                <w:rFonts w:ascii="Times New Roman" w:hAnsi="Times New Roman"/>
                <w:noProof/>
                <w:sz w:val="24"/>
              </w:rPr>
              <w:t>); Maroc: 1; Éthiopie: 8; Kenya 70</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i/>
                <w:noProof/>
                <w:sz w:val="24"/>
                <w:szCs w:val="24"/>
              </w:rPr>
            </w:pPr>
            <w:r>
              <w:rPr>
                <w:rFonts w:ascii="Times New Roman" w:hAnsi="Times New Roman"/>
                <w:b/>
                <w:i/>
                <w:noProof/>
                <w:sz w:val="24"/>
              </w:rPr>
              <w:t>Norvège</w:t>
            </w:r>
          </w:p>
        </w:tc>
        <w:tc>
          <w:tcPr>
            <w:tcW w:w="973"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3 500</w:t>
            </w:r>
          </w:p>
        </w:tc>
        <w:tc>
          <w:tcPr>
            <w:tcW w:w="1390"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1 098</w:t>
            </w:r>
          </w:p>
        </w:tc>
        <w:tc>
          <w:tcPr>
            <w:tcW w:w="1463" w:type="pct"/>
            <w:shd w:val="clear" w:color="auto" w:fill="auto"/>
            <w:vAlign w:val="center"/>
          </w:tcPr>
          <w:p>
            <w:pPr>
              <w:spacing w:after="60" w:line="240" w:lineRule="auto"/>
              <w:jc w:val="center"/>
              <w:rPr>
                <w:rFonts w:ascii="Times New Roman" w:hAnsi="Times New Roman"/>
                <w:i/>
                <w:noProof/>
                <w:sz w:val="24"/>
              </w:rPr>
            </w:pPr>
            <w:r>
              <w:rPr>
                <w:rFonts w:ascii="Times New Roman" w:hAnsi="Times New Roman"/>
                <w:i/>
                <w:noProof/>
                <w:sz w:val="24"/>
              </w:rPr>
              <w:t>Liban</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Pologne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900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Portugal</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191</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12</w:t>
            </w:r>
            <w:r>
              <w:rPr>
                <w:rStyle w:val="FootnoteReference"/>
                <w:rFonts w:ascii="Times New Roman" w:hAnsi="Times New Roman"/>
                <w:noProof/>
                <w:sz w:val="24"/>
              </w:rPr>
              <w:footnoteReference w:id="8"/>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b/>
                <w:noProof/>
                <w:sz w:val="24"/>
              </w:rPr>
              <w:t>Turquie: 12 en vertu du mécanisme «1 pour 1»</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Roumanie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80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Slovaquie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100</w:t>
            </w:r>
            <w:r>
              <w:rPr>
                <w:rStyle w:val="FootnoteReference"/>
                <w:rFonts w:ascii="Times New Roman" w:hAnsi="Times New Roman"/>
                <w:noProof/>
                <w:sz w:val="24"/>
              </w:rPr>
              <w:footnoteReference w:id="9"/>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Slovénie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0</w:t>
            </w:r>
          </w:p>
        </w:tc>
        <w:tc>
          <w:tcPr>
            <w:tcW w:w="1463" w:type="pct"/>
            <w:shd w:val="clear" w:color="auto" w:fill="auto"/>
            <w:vAlign w:val="center"/>
          </w:tcPr>
          <w:p>
            <w:pPr>
              <w:spacing w:after="60" w:line="240" w:lineRule="auto"/>
              <w:jc w:val="center"/>
              <w:rPr>
                <w:rFonts w:ascii="Times New Roman" w:hAnsi="Times New Roman"/>
                <w:noProof/>
                <w:sz w:val="24"/>
              </w:rPr>
            </w:pP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Espagne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1 449</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118</w:t>
            </w:r>
          </w:p>
        </w:tc>
        <w:tc>
          <w:tcPr>
            <w:tcW w:w="1463" w:type="pct"/>
            <w:shd w:val="clear" w:color="auto" w:fill="auto"/>
            <w:vAlign w:val="center"/>
          </w:tcPr>
          <w:p>
            <w:pPr>
              <w:spacing w:after="60" w:line="240" w:lineRule="auto"/>
              <w:jc w:val="center"/>
              <w:rPr>
                <w:rFonts w:ascii="Times New Roman" w:hAnsi="Times New Roman"/>
                <w:b/>
                <w:noProof/>
                <w:sz w:val="24"/>
              </w:rPr>
            </w:pPr>
            <w:r>
              <w:rPr>
                <w:rFonts w:ascii="Times New Roman" w:hAnsi="Times New Roman"/>
                <w:noProof/>
                <w:sz w:val="24"/>
              </w:rPr>
              <w:t xml:space="preserve">Liban: 61; </w:t>
            </w:r>
            <w:r>
              <w:rPr>
                <w:rFonts w:ascii="Times New Roman" w:hAnsi="Times New Roman"/>
                <w:b/>
                <w:noProof/>
                <w:sz w:val="24"/>
              </w:rPr>
              <w:t>Turquie: 57 en vertu du mécanisme «1 pour 1»</w:t>
            </w:r>
            <w:r>
              <w:rPr>
                <w:rFonts w:ascii="Times New Roman" w:hAnsi="Times New Roman"/>
                <w:noProof/>
                <w:sz w:val="24"/>
              </w:rPr>
              <w:t>;</w:t>
            </w:r>
            <w:r>
              <w:rPr>
                <w:rFonts w:ascii="Times New Roman" w:hAnsi="Times New Roman"/>
                <w:b/>
                <w:noProof/>
                <w:sz w:val="24"/>
              </w:rPr>
              <w:t xml:space="preserve"> </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Suède</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491</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380</w:t>
            </w:r>
            <w:r>
              <w:rPr>
                <w:rStyle w:val="FootnoteReference"/>
                <w:rFonts w:ascii="Times New Roman" w:hAnsi="Times New Roman"/>
                <w:noProof/>
                <w:sz w:val="24"/>
              </w:rPr>
              <w:footnoteReference w:id="10"/>
            </w:r>
          </w:p>
        </w:tc>
        <w:tc>
          <w:tcPr>
            <w:tcW w:w="1463" w:type="pct"/>
            <w:shd w:val="clear" w:color="auto" w:fill="auto"/>
          </w:tcPr>
          <w:p>
            <w:pPr>
              <w:spacing w:after="60" w:line="240" w:lineRule="auto"/>
              <w:jc w:val="center"/>
              <w:rPr>
                <w:rFonts w:ascii="Times New Roman" w:hAnsi="Times New Roman"/>
                <w:noProof/>
                <w:sz w:val="24"/>
              </w:rPr>
            </w:pPr>
            <w:r>
              <w:rPr>
                <w:rFonts w:ascii="Times New Roman" w:hAnsi="Times New Roman"/>
                <w:noProof/>
                <w:sz w:val="24"/>
              </w:rPr>
              <w:t>Soudan: 85; Iraq: 10; Kenya: 6; Égypte: 3; Liban: 3; Jordanie: 1;</w:t>
            </w:r>
            <w:r>
              <w:rPr>
                <w:rFonts w:ascii="Times New Roman" w:hAnsi="Times New Roman"/>
                <w:b/>
                <w:noProof/>
                <w:sz w:val="24"/>
              </w:rPr>
              <w:t xml:space="preserve"> Turquie: </w:t>
            </w:r>
            <w:r>
              <w:rPr>
                <w:rFonts w:ascii="Times New Roman" w:hAnsi="Times New Roman"/>
                <w:noProof/>
                <w:sz w:val="24"/>
              </w:rPr>
              <w:t xml:space="preserve">272 (dont </w:t>
            </w:r>
            <w:r>
              <w:rPr>
                <w:rFonts w:ascii="Times New Roman" w:hAnsi="Times New Roman"/>
                <w:b/>
                <w:noProof/>
                <w:sz w:val="24"/>
              </w:rPr>
              <w:t>264 en vertu du mécanisme «1 pour 1»</w:t>
            </w:r>
            <w:r>
              <w:rPr>
                <w:rFonts w:ascii="Times New Roman" w:hAnsi="Times New Roman"/>
                <w:noProof/>
                <w:sz w:val="24"/>
              </w:rPr>
              <w:t>);</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i/>
                <w:noProof/>
                <w:sz w:val="24"/>
                <w:szCs w:val="24"/>
              </w:rPr>
            </w:pPr>
            <w:r>
              <w:rPr>
                <w:rFonts w:ascii="Times New Roman" w:hAnsi="Times New Roman"/>
                <w:b/>
                <w:i/>
                <w:noProof/>
                <w:sz w:val="24"/>
              </w:rPr>
              <w:t>Suisse</w:t>
            </w:r>
          </w:p>
        </w:tc>
        <w:tc>
          <w:tcPr>
            <w:tcW w:w="973"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519</w:t>
            </w:r>
          </w:p>
        </w:tc>
        <w:tc>
          <w:tcPr>
            <w:tcW w:w="1390" w:type="pct"/>
            <w:shd w:val="clear" w:color="auto" w:fill="auto"/>
            <w:vAlign w:val="center"/>
            <w:hideMark/>
          </w:tcPr>
          <w:p>
            <w:pPr>
              <w:spacing w:after="60" w:line="240" w:lineRule="auto"/>
              <w:jc w:val="center"/>
              <w:rPr>
                <w:rFonts w:ascii="Times New Roman" w:hAnsi="Times New Roman"/>
                <w:i/>
                <w:noProof/>
                <w:sz w:val="24"/>
              </w:rPr>
            </w:pPr>
            <w:r>
              <w:rPr>
                <w:rFonts w:ascii="Times New Roman" w:hAnsi="Times New Roman"/>
                <w:i/>
                <w:noProof/>
                <w:sz w:val="24"/>
              </w:rPr>
              <w:t>519</w:t>
            </w:r>
          </w:p>
        </w:tc>
        <w:tc>
          <w:tcPr>
            <w:tcW w:w="1463" w:type="pct"/>
            <w:shd w:val="clear" w:color="auto" w:fill="auto"/>
          </w:tcPr>
          <w:p>
            <w:pPr>
              <w:spacing w:after="0" w:line="240" w:lineRule="auto"/>
              <w:jc w:val="center"/>
              <w:rPr>
                <w:rFonts w:ascii="Times New Roman" w:hAnsi="Times New Roman"/>
                <w:i/>
                <w:noProof/>
                <w:sz w:val="24"/>
              </w:rPr>
            </w:pPr>
            <w:r>
              <w:rPr>
                <w:rFonts w:ascii="Times New Roman" w:hAnsi="Times New Roman"/>
                <w:i/>
                <w:noProof/>
                <w:sz w:val="24"/>
              </w:rPr>
              <w:t>Liban: 431</w:t>
            </w:r>
          </w:p>
          <w:p>
            <w:pPr>
              <w:spacing w:after="0" w:line="240" w:lineRule="auto"/>
              <w:jc w:val="center"/>
              <w:rPr>
                <w:rFonts w:ascii="Times New Roman" w:hAnsi="Times New Roman"/>
                <w:i/>
                <w:noProof/>
                <w:sz w:val="24"/>
              </w:rPr>
            </w:pPr>
            <w:r>
              <w:rPr>
                <w:rFonts w:ascii="Times New Roman" w:hAnsi="Times New Roman"/>
                <w:i/>
                <w:noProof/>
                <w:sz w:val="24"/>
              </w:rPr>
              <w:t xml:space="preserve">Syrie: 88 </w:t>
            </w:r>
          </w:p>
        </w:tc>
      </w:tr>
      <w:tr>
        <w:trPr>
          <w:jc w:val="center"/>
        </w:trPr>
        <w:tc>
          <w:tcPr>
            <w:tcW w:w="1173" w:type="pct"/>
            <w:shd w:val="clear" w:color="auto" w:fill="auto"/>
            <w:vAlign w:val="center"/>
            <w:hideMark/>
          </w:tcPr>
          <w:p>
            <w:pPr>
              <w:spacing w:after="60" w:line="240" w:lineRule="auto"/>
              <w:rPr>
                <w:rFonts w:ascii="Times New Roman" w:eastAsia="Times New Roman" w:hAnsi="Times New Roman" w:cs="Times New Roman"/>
                <w:b/>
                <w:bCs/>
                <w:noProof/>
                <w:sz w:val="24"/>
                <w:szCs w:val="24"/>
              </w:rPr>
            </w:pPr>
          </w:p>
          <w:p>
            <w:pPr>
              <w:spacing w:after="60" w:line="240" w:lineRule="auto"/>
              <w:rPr>
                <w:rFonts w:ascii="Times New Roman" w:eastAsia="Times New Roman" w:hAnsi="Times New Roman" w:cs="Times New Roman"/>
                <w:b/>
                <w:bCs/>
                <w:noProof/>
                <w:sz w:val="24"/>
                <w:szCs w:val="24"/>
              </w:rPr>
            </w:pPr>
            <w:r>
              <w:rPr>
                <w:rFonts w:ascii="Times New Roman" w:hAnsi="Times New Roman"/>
                <w:b/>
                <w:noProof/>
                <w:sz w:val="24"/>
              </w:rPr>
              <w:t>Royaume-Uni</w:t>
            </w:r>
          </w:p>
        </w:tc>
        <w:tc>
          <w:tcPr>
            <w:tcW w:w="973"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2 200</w:t>
            </w:r>
          </w:p>
        </w:tc>
        <w:tc>
          <w:tcPr>
            <w:tcW w:w="1390" w:type="pct"/>
            <w:shd w:val="clear" w:color="auto" w:fill="auto"/>
            <w:vAlign w:val="center"/>
            <w:hideMark/>
          </w:tcPr>
          <w:p>
            <w:pPr>
              <w:spacing w:after="60" w:line="240" w:lineRule="auto"/>
              <w:jc w:val="center"/>
              <w:rPr>
                <w:rFonts w:ascii="Times New Roman" w:hAnsi="Times New Roman"/>
                <w:noProof/>
                <w:sz w:val="24"/>
              </w:rPr>
            </w:pPr>
            <w:r>
              <w:rPr>
                <w:rFonts w:ascii="Times New Roman" w:hAnsi="Times New Roman"/>
                <w:noProof/>
                <w:sz w:val="24"/>
              </w:rPr>
              <w:t>1 864</w:t>
            </w:r>
            <w:r>
              <w:rPr>
                <w:rStyle w:val="FootnoteReference"/>
                <w:rFonts w:ascii="Times New Roman" w:hAnsi="Times New Roman"/>
                <w:noProof/>
                <w:sz w:val="24"/>
              </w:rPr>
              <w:footnoteReference w:id="11"/>
            </w:r>
          </w:p>
        </w:tc>
        <w:tc>
          <w:tcPr>
            <w:tcW w:w="1463" w:type="pct"/>
            <w:shd w:val="clear" w:color="auto" w:fill="auto"/>
          </w:tcPr>
          <w:p>
            <w:pPr>
              <w:spacing w:after="0" w:line="240" w:lineRule="auto"/>
              <w:jc w:val="center"/>
              <w:rPr>
                <w:rFonts w:ascii="Times New Roman" w:hAnsi="Times New Roman"/>
                <w:noProof/>
                <w:sz w:val="24"/>
              </w:rPr>
            </w:pPr>
            <w:r>
              <w:rPr>
                <w:rFonts w:ascii="Times New Roman" w:hAnsi="Times New Roman"/>
                <w:noProof/>
                <w:sz w:val="24"/>
              </w:rPr>
              <w:t>Jordanie, Liban, Turquie, Égypte, Iraq et autres pays, en fonction des besoins humanitaires.</w:t>
            </w:r>
          </w:p>
        </w:tc>
      </w:tr>
      <w:tr>
        <w:trPr>
          <w:jc w:val="center"/>
        </w:trPr>
        <w:tc>
          <w:tcPr>
            <w:tcW w:w="1173" w:type="pct"/>
            <w:shd w:val="clear" w:color="auto" w:fill="auto"/>
            <w:vAlign w:val="center"/>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TOTAL</w:t>
            </w:r>
          </w:p>
        </w:tc>
        <w:tc>
          <w:tcPr>
            <w:tcW w:w="973" w:type="pct"/>
            <w:shd w:val="clear" w:color="auto" w:fill="auto"/>
            <w:vAlign w:val="center"/>
          </w:tcPr>
          <w:p>
            <w:pPr>
              <w:spacing w:after="0" w:line="240" w:lineRule="auto"/>
              <w:jc w:val="center"/>
              <w:rPr>
                <w:rFonts w:ascii="Times New Roman" w:hAnsi="Times New Roman"/>
                <w:noProof/>
                <w:sz w:val="24"/>
              </w:rPr>
            </w:pPr>
            <w:r>
              <w:rPr>
                <w:rFonts w:ascii="Times New Roman" w:hAnsi="Times New Roman"/>
                <w:b/>
                <w:noProof/>
                <w:sz w:val="24"/>
              </w:rPr>
              <w:t>22 504</w:t>
            </w:r>
          </w:p>
        </w:tc>
        <w:tc>
          <w:tcPr>
            <w:tcW w:w="1390" w:type="pct"/>
            <w:shd w:val="clear" w:color="auto" w:fill="auto"/>
            <w:vAlign w:val="center"/>
          </w:tcPr>
          <w:p>
            <w:pPr>
              <w:spacing w:after="0" w:line="240" w:lineRule="auto"/>
              <w:rPr>
                <w:rFonts w:ascii="Times New Roman" w:hAnsi="Times New Roman"/>
                <w:b/>
                <w:noProof/>
                <w:sz w:val="24"/>
              </w:rPr>
            </w:pPr>
          </w:p>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8 268</w:t>
            </w:r>
          </w:p>
          <w:p>
            <w:pPr>
              <w:spacing w:after="0" w:line="240" w:lineRule="auto"/>
              <w:rPr>
                <w:rFonts w:ascii="Times New Roman" w:hAnsi="Times New Roman"/>
                <w:noProof/>
                <w:sz w:val="24"/>
              </w:rPr>
            </w:pPr>
            <w:r>
              <w:rPr>
                <w:rFonts w:ascii="Times New Roman" w:hAnsi="Times New Roman"/>
                <w:b/>
                <w:noProof/>
                <w:sz w:val="24"/>
              </w:rPr>
              <w:t xml:space="preserve"> </w:t>
            </w:r>
          </w:p>
        </w:tc>
        <w:tc>
          <w:tcPr>
            <w:tcW w:w="1463" w:type="pct"/>
            <w:shd w:val="clear" w:color="auto" w:fill="auto"/>
          </w:tcPr>
          <w:p>
            <w:pPr>
              <w:spacing w:after="0" w:line="240" w:lineRule="auto"/>
              <w:rPr>
                <w:rFonts w:ascii="Times New Roman" w:hAnsi="Times New Roman"/>
                <w:b/>
                <w:noProof/>
                <w:sz w:val="24"/>
              </w:rPr>
            </w:pPr>
            <w:r>
              <w:rPr>
                <w:rFonts w:ascii="Times New Roman" w:hAnsi="Times New Roman"/>
                <w:b/>
                <w:noProof/>
                <w:sz w:val="24"/>
              </w:rPr>
              <w:t>802 personnes au total ont été réinstallées depuis la Turquie en vertu du mécanisme «1 pour 1», dont 764 dans le cadre du programme adopté le 20 juillet 2015</w:t>
            </w:r>
          </w:p>
        </w:tc>
      </w:tr>
    </w:tbl>
    <w:p>
      <w:pPr>
        <w:spacing w:after="120"/>
        <w:rPr>
          <w:rFonts w:ascii="Times New Roman" w:hAnsi="Times New Roman" w:cs="Times New Roman"/>
          <w:b/>
          <w:noProof/>
        </w:rPr>
      </w:pPr>
    </w:p>
    <w:p>
      <w:pPr>
        <w:spacing w:after="120"/>
        <w:rPr>
          <w:rFonts w:ascii="Times New Roman" w:hAnsi="Times New Roman" w:cs="Times New Roman"/>
          <w:b/>
          <w:noProof/>
        </w:rPr>
      </w:pPr>
    </w:p>
    <w:p>
      <w:pPr>
        <w:spacing w:after="120"/>
        <w:rPr>
          <w:rFonts w:ascii="Times New Roman" w:hAnsi="Times New Roman" w:cs="Times New Roman"/>
          <w:b/>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134" w:right="720" w:bottom="284" w:left="72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6040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Ce nombre inclut les cas de regroupement familial et de réinstallation relevant du programme autrichien d'admission humanitaire.</w:t>
      </w:r>
    </w:p>
  </w:footnote>
  <w:footnote w:id="3">
    <w:p>
      <w:pPr>
        <w:pStyle w:val="FootnoteText"/>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Ce nombre représente une partie du contingent national de la Finlande pour 2016, qui est de 750 personnes à réinstaller.</w:t>
      </w:r>
    </w:p>
  </w:footnote>
  <w:footnote w:id="4">
    <w:p>
      <w:pPr>
        <w:pStyle w:val="FootnoteText"/>
        <w:ind w:left="142" w:hanging="142"/>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Ce nombre n'inclut pas la réinstallation de 11 Syriens réinstallés depuis la Turquie en vertu du mécanisme «1 pour 1», qui a été effectuée dans le cadre du programme national finlandais.</w:t>
      </w:r>
    </w:p>
  </w:footnote>
  <w:footnote w:id="5">
    <w:p>
      <w:pPr>
        <w:pStyle w:val="FootnoteText"/>
        <w:ind w:left="142" w:hanging="142"/>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Ce nombre s'ajoute au contingent national annuel de la France et aux engagements qu'elle a pris précédemment.</w:t>
      </w:r>
    </w:p>
  </w:footnote>
  <w:footnote w:id="6">
    <w:p>
      <w:pPr>
        <w:pStyle w:val="FootnoteText"/>
        <w:ind w:left="142" w:hanging="142"/>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Hormis ce nombre, pendant la même période, la France a admis 117 Syriens se trouvant dans la région et 55 réfugiés provenant d'autres régions du monde, indépendamment du programme adopté le 20 juillet 2015. En outre, dans le cadre du programme national en matière de visas et d'asile, la France a accordé, en avril 2016, 81 visas à des réfugiés syriens vulnérables venant de Turquie.</w:t>
      </w:r>
    </w:p>
  </w:footnote>
  <w:footnote w:id="7">
    <w:p>
      <w:pPr>
        <w:pStyle w:val="FootnoteText"/>
        <w:ind w:left="142" w:hanging="142"/>
      </w:pPr>
      <w:r>
        <w:rPr>
          <w:rStyle w:val="FootnoteReference"/>
          <w:rFonts w:ascii="Times New Roman" w:hAnsi="Times New Roman"/>
          <w:sz w:val="16"/>
        </w:rPr>
        <w:footnoteRef/>
      </w:r>
      <w:r>
        <w:t xml:space="preserve"> </w:t>
      </w:r>
      <w:r>
        <w:rPr>
          <w:rFonts w:ascii="Times New Roman" w:hAnsi="Times New Roman"/>
          <w:sz w:val="16"/>
        </w:rPr>
        <w:t>Bien qu’aucune réinstallation n'ait encore eu lieu par référence aux conclusions du Conseil du 20 juillet 2015, 46 Syriens venant de Turquie ont été réinstallés au Luxembourg dans le cadre du programme national de réinstallation en 2015.</w:t>
      </w:r>
    </w:p>
  </w:footnote>
  <w:footnote w:id="8">
    <w:p>
      <w:pPr>
        <w:pStyle w:val="FootnoteText"/>
        <w:ind w:left="142" w:hanging="142"/>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En 2015, le Portugal a réinstallé 39 Syriens depuis l'Égypte dans le cadre de son programme national, indépendamment du programme adopté le 20 juillet 2015.</w:t>
      </w:r>
    </w:p>
  </w:footnote>
  <w:footnote w:id="9">
    <w:p>
      <w:pPr>
        <w:pStyle w:val="FootnoteText"/>
        <w:ind w:left="142" w:hanging="142"/>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La Slovaquie a réinstallé 149 Assyriens, indépendamment du programme adopté le 20 juillet 2015.</w:t>
      </w:r>
    </w:p>
  </w:footnote>
  <w:footnote w:id="10">
    <w:p>
      <w:pPr>
        <w:pStyle w:val="FootnoteText"/>
        <w:ind w:left="142" w:hanging="142"/>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En 2015, la Suède a réinstallé 1 900 personnes dans le cadre de son programme national, indépendamment du programme adopté le 20 juillet 2015.</w:t>
      </w:r>
    </w:p>
  </w:footnote>
  <w:footnote w:id="11">
    <w:p>
      <w:pPr>
        <w:pStyle w:val="FootnoteText"/>
        <w:ind w:left="142" w:hanging="142"/>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En vertu des programmes de réinstallation nationaux du Royaume-Uni en place en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69F"/>
    <w:multiLevelType w:val="hybridMultilevel"/>
    <w:tmpl w:val="EBBC2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65C18DC1719F40BCB47C537BC883935A"/>
    <w:docVar w:name="LW_CROSSREFERENCE" w:val="&lt;UNUSED&gt;"/>
    <w:docVar w:name="LW_DocType" w:val="NORMAL"/>
    <w:docVar w:name="LW_EMISSION" w:val="13.7.2016"/>
    <w:docVar w:name="LW_EMISSION_ISODATE" w:val="2016-07-1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Cinquième rapport sur la relocalisation et la réinstallation"/>
    <w:docVar w:name="LW_PART_NBR" w:val="1"/>
    <w:docVar w:name="LW_PART_NBR_TOTAL" w:val="1"/>
    <w:docVar w:name="LW_REF.INST.NEW" w:val="COM"/>
    <w:docVar w:name="LW_REF.INST.NEW_ADOPTED" w:val="final"/>
    <w:docVar w:name="LW_REF.INST.NEW_TEXT" w:val="(2016) 48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7030">
      <w:bodyDiv w:val="1"/>
      <w:marLeft w:val="0"/>
      <w:marRight w:val="0"/>
      <w:marTop w:val="0"/>
      <w:marBottom w:val="0"/>
      <w:divBdr>
        <w:top w:val="none" w:sz="0" w:space="0" w:color="auto"/>
        <w:left w:val="none" w:sz="0" w:space="0" w:color="auto"/>
        <w:bottom w:val="none" w:sz="0" w:space="0" w:color="auto"/>
        <w:right w:val="none" w:sz="0" w:space="0" w:color="auto"/>
      </w:divBdr>
    </w:div>
    <w:div w:id="8884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2016-03-02T15:55:01+00:00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2016-03-02T15:55:01+00:00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632A-5407-43A6-AE38-F1A1F9C01E0C}">
  <ds:schemaRefs>
    <ds:schemaRef ds:uri="http://schemas.microsoft.com/office/2006/documentManagement/types"/>
    <ds:schemaRef ds:uri="47eefe9a-f81e-47cf-b703-dc75e53a6b28"/>
    <ds:schemaRef ds:uri="http://schemas.microsoft.com/sharepoint/v3/field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CF3C3AD-AB64-4306-89E7-3CA82C6F0277}">
  <ds:schemaRefs>
    <ds:schemaRef ds:uri="http://schemas.microsoft.com/sharepoint/v3/contenttype/forms"/>
  </ds:schemaRefs>
</ds:datastoreItem>
</file>

<file path=customXml/itemProps3.xml><?xml version="1.0" encoding="utf-8"?>
<ds:datastoreItem xmlns:ds="http://schemas.openxmlformats.org/officeDocument/2006/customXml" ds:itemID="{52A68647-51AB-4EB5-B59E-0F8D06319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AFFD4-A74E-4B06-B236-C1F20FB6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432</Words>
  <Characters>1908</Characters>
  <Application>Microsoft Office Word</Application>
  <DocSecurity>0</DocSecurity>
  <Lines>212</Lines>
  <Paragraphs>155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European Commission</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SELMAYR Martin (PRES-ELECT)</dc:creator>
  <cp:lastModifiedBy>DIGIT/A3</cp:lastModifiedBy>
  <cp:revision>12</cp:revision>
  <cp:lastPrinted>2016-07-12T08:59:00Z</cp:lastPrinted>
  <dcterms:created xsi:type="dcterms:W3CDTF">2016-07-12T11:18:00Z</dcterms:created>
  <dcterms:modified xsi:type="dcterms:W3CDTF">2016-08-31T08:03:00Z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First annex">
    <vt:lpwstr>3</vt:lpwstr>
  </property>
  <property fmtid="{D5CDD505-2E9C-101B-9397-08002B2CF9AE}" pid="4" name="Last annex">
    <vt:lpwstr>3</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