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736979F60DB44EB0895182B5F27A421D" style="width:450.8pt;height:420.75pt">
            <v:imagedata r:id="rId9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2"/>
          <w:cols w:space="720"/>
          <w:docGrid w:linePitch="360"/>
        </w:sectPr>
      </w:pPr>
    </w:p>
    <w:p>
      <w:pPr>
        <w:pStyle w:val="Annexetitre"/>
        <w:spacing w:before="0" w:after="0"/>
        <w:rPr>
          <w:rFonts w:ascii="Arial" w:hAnsi="Arial" w:cs="Arial"/>
          <w:b w:val="0"/>
          <w:noProof/>
        </w:rPr>
      </w:pPr>
      <w:bookmarkStart w:id="1" w:name="_GoBack"/>
      <w:bookmarkEnd w:id="1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9pt;margin-top:29.55pt;width:506.25pt;height:36pt;z-index:251656192" strokeweight="3pt">
            <v:stroke linestyle="thinThin"/>
            <v:textbox style="mso-fit-shape-to-text:t">
              <w:txbxContent>
                <w:p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/>
                      <w:b/>
                      <w:noProof/>
                    </w:rPr>
                    <w:t>Statistiques concernant l’application du règlement (CE) n° 1049/2001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 w:val="0"/>
          <w:noProof/>
        </w:rPr>
        <w:t>ANNEXE</w:t>
      </w:r>
      <w:r>
        <w:rPr>
          <w:rStyle w:val="FootnoteReference"/>
          <w:rFonts w:ascii="Arial" w:hAnsi="Arial"/>
          <w:b w:val="0"/>
          <w:noProof/>
        </w:rPr>
        <w:footnoteReference w:id="1"/>
      </w:r>
    </w:p>
    <w:p>
      <w:pPr>
        <w:pStyle w:val="Heading1"/>
        <w:numPr>
          <w:ilvl w:val="0"/>
          <w:numId w:val="31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Nombre de documents versés au registre</w:t>
      </w:r>
    </w:p>
    <w:tbl>
      <w:tblPr>
        <w:tblW w:w="5128" w:type="pct"/>
        <w:tblInd w:w="-176" w:type="dxa"/>
        <w:tblLook w:val="01E0" w:firstRow="1" w:lastRow="1" w:firstColumn="1" w:lastColumn="1" w:noHBand="0" w:noVBand="0"/>
      </w:tblPr>
      <w:tblGrid>
        <w:gridCol w:w="1210"/>
        <w:gridCol w:w="1036"/>
        <w:gridCol w:w="1036"/>
        <w:gridCol w:w="1037"/>
        <w:gridCol w:w="1037"/>
        <w:gridCol w:w="1037"/>
        <w:gridCol w:w="1037"/>
        <w:gridCol w:w="1037"/>
        <w:gridCol w:w="1174"/>
      </w:tblGrid>
      <w:tr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2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COM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SEC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C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JOIN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SWD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JO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PV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>
            <w:pPr>
              <w:pStyle w:val="Subtitle"/>
              <w:spacing w:after="1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Total</w:t>
            </w:r>
          </w:p>
        </w:tc>
      </w:tr>
      <w:t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1 488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1 293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15 558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18 945</w:t>
            </w:r>
          </w:p>
        </w:tc>
      </w:tr>
    </w:tbl>
    <w:p>
      <w:pPr>
        <w:keepNext/>
        <w:spacing w:before="0" w:after="0"/>
        <w:jc w:val="left"/>
        <w:rPr>
          <w:rFonts w:ascii="Arial" w:hAnsi="Arial" w:cs="Arial"/>
          <w:b/>
          <w:smallCaps/>
          <w:noProof/>
          <w:sz w:val="28"/>
          <w:szCs w:val="28"/>
        </w:rPr>
      </w:pPr>
    </w:p>
    <w:p>
      <w:pPr>
        <w:keepNext/>
        <w:spacing w:before="0" w:after="0"/>
        <w:jc w:val="left"/>
        <w:rPr>
          <w:rFonts w:ascii="Arial" w:hAnsi="Arial" w:cs="Arial"/>
          <w:b/>
          <w:smallCaps/>
          <w:noProof/>
          <w:sz w:val="28"/>
          <w:szCs w:val="28"/>
        </w:rPr>
      </w:pPr>
    </w:p>
    <w:p>
      <w:pPr>
        <w:pStyle w:val="Heading1"/>
        <w:numPr>
          <w:ilvl w:val="0"/>
          <w:numId w:val="0"/>
        </w:numPr>
        <w:spacing w:before="480"/>
        <w:ind w:left="710"/>
        <w:rPr>
          <w:rFonts w:ascii="Arial" w:hAnsi="Arial" w:cs="Arial"/>
          <w:noProof/>
        </w:rPr>
      </w:pPr>
      <w:r>
        <w:rPr>
          <w:noProof/>
        </w:rPr>
        <w:pict>
          <v:shape id="_x0000_s1027" type="#_x0000_t202" style="position:absolute;left:0;text-align:left;margin-left:-9pt;margin-top:12pt;width:117.25pt;height:24.05pt;z-index:251657216;mso-wrap-style:none">
            <v:textbox style="mso-next-textbox:#_x0000_s1027;mso-fit-shape-to-text:t">
              <w:txbxContent>
                <w:p>
                  <w:pPr>
                    <w:keepNext/>
                    <w:spacing w:before="0" w:after="0"/>
                    <w:rPr>
                      <w:rFonts w:ascii="Arial" w:hAnsi="Arial" w:cs="Arial"/>
                      <w:b/>
                      <w:smallCaps/>
                      <w:noProof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mallCaps/>
                      <w:noProof/>
                      <w:sz w:val="28"/>
                    </w:rPr>
                    <w:t>Demandes initiales</w:t>
                  </w:r>
                </w:p>
              </w:txbxContent>
            </v:textbox>
            <w10:wrap type="square"/>
          </v:shape>
        </w:pict>
      </w:r>
    </w:p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Demandes reçues et traitées</w:t>
      </w: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1276"/>
        <w:gridCol w:w="1414"/>
        <w:gridCol w:w="1276"/>
        <w:gridCol w:w="1130"/>
        <w:gridCol w:w="1128"/>
      </w:tblGrid>
      <w:tr>
        <w:tc>
          <w:tcPr>
            <w:tcW w:w="1722" w:type="pct"/>
            <w:shd w:val="clear" w:color="auto" w:fill="CCCCCC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72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745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672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595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595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c>
          <w:tcPr>
            <w:tcW w:w="1722" w:type="pct"/>
          </w:tcPr>
          <w:p>
            <w:pPr>
              <w:pStyle w:val="Text1"/>
              <w:ind w:left="1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Demandes enregistrées</w:t>
            </w:r>
          </w:p>
        </w:tc>
        <w:tc>
          <w:tcPr>
            <w:tcW w:w="672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6 477</w:t>
            </w:r>
          </w:p>
        </w:tc>
        <w:tc>
          <w:tcPr>
            <w:tcW w:w="745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6 014</w:t>
            </w:r>
          </w:p>
        </w:tc>
        <w:tc>
          <w:tcPr>
            <w:tcW w:w="672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6 525</w:t>
            </w:r>
          </w:p>
        </w:tc>
        <w:tc>
          <w:tcPr>
            <w:tcW w:w="595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6 227</w:t>
            </w:r>
          </w:p>
        </w:tc>
        <w:tc>
          <w:tcPr>
            <w:tcW w:w="595" w:type="pct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6 752</w:t>
            </w:r>
          </w:p>
        </w:tc>
      </w:tr>
      <w:tr>
        <w:tc>
          <w:tcPr>
            <w:tcW w:w="1722" w:type="pct"/>
            <w:shd w:val="clear" w:color="auto" w:fill="C0C0C0"/>
          </w:tcPr>
          <w:p>
            <w:pPr>
              <w:pStyle w:val="Text1"/>
              <w:ind w:left="1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Réponses données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2"/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</w:p>
        </w:tc>
        <w:tc>
          <w:tcPr>
            <w:tcW w:w="672" w:type="pct"/>
            <w:shd w:val="clear" w:color="auto" w:fill="C0C0C0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7 075</w:t>
            </w:r>
          </w:p>
        </w:tc>
        <w:tc>
          <w:tcPr>
            <w:tcW w:w="745" w:type="pct"/>
            <w:shd w:val="clear" w:color="auto" w:fill="C0C0C0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6 334</w:t>
            </w:r>
          </w:p>
        </w:tc>
        <w:tc>
          <w:tcPr>
            <w:tcW w:w="672" w:type="pct"/>
            <w:shd w:val="clear" w:color="auto" w:fill="C0C0C0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7 659</w:t>
            </w:r>
          </w:p>
        </w:tc>
        <w:tc>
          <w:tcPr>
            <w:tcW w:w="595" w:type="pct"/>
            <w:shd w:val="clear" w:color="auto" w:fill="C0C0C0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7 156</w:t>
            </w:r>
          </w:p>
        </w:tc>
        <w:tc>
          <w:tcPr>
            <w:tcW w:w="595" w:type="pct"/>
            <w:shd w:val="clear" w:color="auto" w:fill="C0C0C0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7 684</w:t>
            </w:r>
          </w:p>
        </w:tc>
      </w:tr>
      <w:tr>
        <w:tc>
          <w:tcPr>
            <w:tcW w:w="1722" w:type="pct"/>
          </w:tcPr>
          <w:p>
            <w:pPr>
              <w:pStyle w:val="Text1"/>
              <w:ind w:left="1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Réponses données sur la base du règlement (CE) nº 1049/2001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3"/>
            </w:r>
          </w:p>
        </w:tc>
        <w:tc>
          <w:tcPr>
            <w:tcW w:w="672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6 055</w:t>
            </w:r>
          </w:p>
        </w:tc>
        <w:tc>
          <w:tcPr>
            <w:tcW w:w="745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5 274</w:t>
            </w:r>
          </w:p>
        </w:tc>
        <w:tc>
          <w:tcPr>
            <w:tcW w:w="672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5 906</w:t>
            </w:r>
          </w:p>
        </w:tc>
        <w:tc>
          <w:tcPr>
            <w:tcW w:w="595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5 637</w:t>
            </w:r>
          </w:p>
        </w:tc>
        <w:tc>
          <w:tcPr>
            <w:tcW w:w="595" w:type="pct"/>
            <w:vAlign w:val="center"/>
          </w:tcPr>
          <w:p>
            <w:pPr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5 819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 xml:space="preserve">Résultat </w:t>
      </w:r>
    </w:p>
    <w:tbl>
      <w:tblPr>
        <w:tblW w:w="5094" w:type="pct"/>
        <w:tblInd w:w="-176" w:type="dxa"/>
        <w:tblLook w:val="0000" w:firstRow="0" w:lastRow="0" w:firstColumn="0" w:lastColumn="0" w:noHBand="0" w:noVBand="0"/>
      </w:tblPr>
      <w:tblGrid>
        <w:gridCol w:w="2489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267"/>
        </w:trPr>
        <w:tc>
          <w:tcPr>
            <w:tcW w:w="2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</w:rPr>
            </w:pPr>
            <w:r>
              <w:rPr>
                <w:noProof/>
              </w:rPr>
              <w:tab/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267"/>
        </w:trPr>
        <w:tc>
          <w:tcPr>
            <w:tcW w:w="24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noProof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Nbre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%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Nbre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%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Nbre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%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Nbre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%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Nbre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%</w:t>
            </w:r>
          </w:p>
        </w:tc>
      </w:tr>
      <w:tr>
        <w:trPr>
          <w:trHeight w:val="26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>
            <w:pPr>
              <w:pStyle w:val="Text1"/>
              <w:ind w:left="1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Accès intégral autorisé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4 856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80,20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3 928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74,48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4 400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73,43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4 096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72,77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4 003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68,79</w:t>
            </w:r>
          </w:p>
        </w:tc>
      </w:tr>
      <w:tr>
        <w:trPr>
          <w:trHeight w:val="26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Text1"/>
              <w:ind w:left="1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Accès partiel autorisé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462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7,62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454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8,61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640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10,68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866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890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15,29</w:t>
            </w:r>
          </w:p>
        </w:tc>
      </w:tr>
      <w:tr>
        <w:trPr>
          <w:trHeight w:val="26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>
            <w:pPr>
              <w:pStyle w:val="Text1"/>
              <w:ind w:left="1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Accès refusé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737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12,18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16,91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866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14,45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668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15,91</w:t>
            </w:r>
          </w:p>
        </w:tc>
      </w:tr>
      <w:tr>
        <w:trPr>
          <w:trHeight w:val="283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Text1"/>
              <w:ind w:left="12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6 055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5 274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5 906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5 630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5 819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Ventilation des refus par exception appliquée (%)</w:t>
      </w: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5630"/>
        <w:gridCol w:w="851"/>
        <w:gridCol w:w="850"/>
        <w:gridCol w:w="851"/>
        <w:gridCol w:w="850"/>
        <w:gridCol w:w="850"/>
      </w:tblGrid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CopyToNewDocument_"/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 xml:space="preserve"> tiret - Protection de la sécurité publique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2,43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 la défense et des affaires militaires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0,15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3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relations internationales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4,92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4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 la politique financière, monétaire ou économique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0,71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b), Protection de la vie privée et de l’intégrité de l'individu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29,40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 xml:space="preserve"> tiret - Protection des intérêts commerciaux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14,75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procédures juridictionnelles et des avis juridiques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4,51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3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objectifs des activités d'inspection, d'enquête et d'audit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25,32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25,01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20,88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3,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 xml:space="preserve"> alinéa - Processus décisionnel, décision pas encore prise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17,15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20,23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17,69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3,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alinéa - Processus décisionnel, décision déjà prise: avis destinés à l'utilisation interne dans le cadre de délibérations et de consultations préliminaires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2,58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5 - Refus de l'État membre/auteur tiers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4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1,98</w:t>
            </w:r>
          </w:p>
        </w:tc>
      </w:tr>
      <w:tr>
        <w:trPr>
          <w:trHeight w:val="284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</w:t>
            </w:r>
          </w:p>
        </w:tc>
      </w:tr>
    </w:tbl>
    <w:p>
      <w:pPr>
        <w:keepNext/>
        <w:pageBreakBefore/>
        <w:spacing w:before="0" w:after="0"/>
        <w:jc w:val="left"/>
        <w:rPr>
          <w:rFonts w:ascii="Arial" w:hAnsi="Arial" w:cs="Arial"/>
          <w:b/>
          <w:smallCaps/>
          <w:noProof/>
          <w:sz w:val="28"/>
          <w:szCs w:val="28"/>
        </w:rPr>
      </w:pPr>
      <w:r>
        <w:rPr>
          <w:noProof/>
        </w:rPr>
        <w:pict>
          <v:shape id="_x0000_s1029" type="#_x0000_t202" style="position:absolute;margin-left:0;margin-top:-11.75pt;width:170.75pt;height:24.05pt;z-index:251658240;mso-wrap-style:none;mso-position-horizontal-relative:text;mso-position-vertical-relative:text">
            <v:textbox style="mso-next-textbox:#_x0000_s1029;mso-fit-shape-to-text:t">
              <w:txbxContent>
                <w:p>
                  <w:pPr>
                    <w:keepNext/>
                    <w:pageBreakBefore/>
                    <w:spacing w:before="0" w:after="0"/>
                    <w:rPr>
                      <w:rFonts w:ascii="Arial" w:hAnsi="Arial" w:cs="Arial"/>
                      <w:b/>
                      <w:smallCaps/>
                      <w:noProof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mallCaps/>
                      <w:noProof/>
                      <w:sz w:val="28"/>
                    </w:rPr>
                    <w:t>Demandes confirmatives</w:t>
                  </w:r>
                </w:p>
              </w:txbxContent>
            </v:textbox>
            <w10:wrap type="square"/>
          </v:shape>
        </w:pict>
      </w:r>
    </w:p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Demandes reçues et traitées</w:t>
      </w:r>
    </w:p>
    <w:tbl>
      <w:tblPr>
        <w:tblW w:w="4999" w:type="pct"/>
        <w:tblLook w:val="01E0" w:firstRow="1" w:lastRow="1" w:firstColumn="1" w:lastColumn="1" w:noHBand="0" w:noVBand="0"/>
      </w:tblPr>
      <w:tblGrid>
        <w:gridCol w:w="3337"/>
        <w:gridCol w:w="1213"/>
        <w:gridCol w:w="1212"/>
        <w:gridCol w:w="1212"/>
        <w:gridCol w:w="1212"/>
        <w:gridCol w:w="1212"/>
      </w:tblGrid>
      <w:tr>
        <w:trPr>
          <w:trHeight w:val="36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398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Demandes enregistrées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284</w:t>
            </w:r>
          </w:p>
        </w:tc>
      </w:tr>
      <w:tr>
        <w:trPr>
          <w:trHeight w:val="31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Réponses données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252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327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291</w:t>
            </w:r>
          </w:p>
        </w:tc>
      </w:tr>
      <w:t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Réponses données sur la base du règlement (CE) nº 1049/2001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5"/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272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230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 xml:space="preserve">Résultat </w:t>
      </w:r>
    </w:p>
    <w:tbl>
      <w:tblPr>
        <w:tblW w:w="5052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2757"/>
        <w:gridCol w:w="576"/>
        <w:gridCol w:w="724"/>
        <w:gridCol w:w="612"/>
        <w:gridCol w:w="722"/>
        <w:gridCol w:w="591"/>
        <w:gridCol w:w="722"/>
        <w:gridCol w:w="589"/>
        <w:gridCol w:w="718"/>
        <w:gridCol w:w="714"/>
        <w:gridCol w:w="773"/>
      </w:tblGrid>
      <w:tr>
        <w:trPr>
          <w:trHeight w:val="255"/>
        </w:trPr>
        <w:tc>
          <w:tcPr>
            <w:tcW w:w="145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green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70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69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255"/>
        </w:trPr>
        <w:tc>
          <w:tcPr>
            <w:tcW w:w="145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green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Nbre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%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Nbre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%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Nbre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%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Nbre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%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Nbre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%</w:t>
            </w:r>
          </w:p>
        </w:tc>
      </w:tr>
      <w:tr>
        <w:trPr>
          <w:trHeight w:val="255"/>
        </w:trPr>
        <w:tc>
          <w:tcPr>
            <w:tcW w:w="1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Confirmation de la réponse initiale –</w:t>
            </w:r>
          </w:p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Accès refusé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61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42,36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56,88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56,08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154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56,62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135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58,70</w:t>
            </w:r>
          </w:p>
        </w:tc>
      </w:tr>
      <w:tr>
        <w:trPr>
          <w:trHeight w:val="255"/>
        </w:trPr>
        <w:tc>
          <w:tcPr>
            <w:tcW w:w="1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Révision partielle - </w:t>
            </w:r>
          </w:p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Accès partiel autorisé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62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43,05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24,38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23,81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67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24,63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73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31,74</w:t>
            </w:r>
          </w:p>
        </w:tc>
      </w:tr>
      <w:tr>
        <w:trPr>
          <w:trHeight w:val="255"/>
        </w:trPr>
        <w:tc>
          <w:tcPr>
            <w:tcW w:w="1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Révision complète -</w:t>
            </w:r>
          </w:p>
          <w:p>
            <w:pPr>
              <w:pStyle w:val="Text1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Accès intégral autorisé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14,58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18,75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20,11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18,75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9,57</w:t>
            </w:r>
          </w:p>
        </w:tc>
      </w:tr>
      <w:tr>
        <w:trPr>
          <w:trHeight w:val="270"/>
        </w:trPr>
        <w:tc>
          <w:tcPr>
            <w:tcW w:w="1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>
            <w:pPr>
              <w:pStyle w:val="Text1"/>
              <w:ind w:left="11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144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100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160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189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272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100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w:t>230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100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noProof/>
        </w:rPr>
        <w:br w:type="page"/>
      </w:r>
      <w:r>
        <w:rPr>
          <w:rFonts w:ascii="Arial" w:hAnsi="Arial"/>
          <w:noProof/>
        </w:rPr>
        <w:t xml:space="preserve">Ventilation des refus par exception appliquée (%)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767"/>
        <w:gridCol w:w="776"/>
        <w:gridCol w:w="776"/>
        <w:gridCol w:w="776"/>
        <w:gridCol w:w="775"/>
      </w:tblGrid>
      <w:tr>
        <w:tc>
          <w:tcPr>
            <w:tcW w:w="2941" w:type="pct"/>
          </w:tcPr>
          <w:p>
            <w:pPr>
              <w:pStyle w:val="Text1"/>
              <w:spacing w:before="0"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08" w:type="pct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413" w:type="pct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413" w:type="pct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413" w:type="pct"/>
            <w:vAlign w:val="bottom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412" w:type="pct"/>
          </w:tcPr>
          <w:p>
            <w:pPr>
              <w:pStyle w:val="Text1"/>
              <w:ind w:left="12" w:firstLine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c>
          <w:tcPr>
            <w:tcW w:w="2941" w:type="pct"/>
            <w:shd w:val="clear" w:color="auto" w:fill="C0C0C0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 xml:space="preserve"> tiret - Protection de la sécurité publique</w:t>
            </w:r>
          </w:p>
        </w:tc>
        <w:tc>
          <w:tcPr>
            <w:tcW w:w="408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1,33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1,31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0,92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  <w:tc>
          <w:tcPr>
            <w:tcW w:w="412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2,05</w:t>
            </w:r>
          </w:p>
        </w:tc>
      </w:tr>
      <w:tr>
        <w:tc>
          <w:tcPr>
            <w:tcW w:w="2941" w:type="pct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 la défense et des affaires militaires</w:t>
            </w:r>
          </w:p>
        </w:tc>
        <w:tc>
          <w:tcPr>
            <w:tcW w:w="408" w:type="pct"/>
            <w:vAlign w:val="center"/>
          </w:tcPr>
          <w:p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2,00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noProof/>
                <w:sz w:val="20"/>
              </w:rPr>
              <w:t>0,65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6"/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0,71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412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</w:tr>
      <w:tr>
        <w:tc>
          <w:tcPr>
            <w:tcW w:w="2941" w:type="pct"/>
            <w:shd w:val="clear" w:color="auto" w:fill="C0C0C0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3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relations internationales</w:t>
            </w:r>
          </w:p>
        </w:tc>
        <w:tc>
          <w:tcPr>
            <w:tcW w:w="408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4,67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7,19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7,37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4,61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412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7,38</w:t>
            </w:r>
          </w:p>
        </w:tc>
      </w:tr>
      <w:tr>
        <w:tc>
          <w:tcPr>
            <w:tcW w:w="2941" w:type="pct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a), 4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 la politique financière, monétaire ou économique</w:t>
            </w:r>
          </w:p>
        </w:tc>
        <w:tc>
          <w:tcPr>
            <w:tcW w:w="408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3,34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0,00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3,69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2,84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412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2,87</w:t>
            </w:r>
          </w:p>
        </w:tc>
      </w:tr>
      <w:tr>
        <w:tc>
          <w:tcPr>
            <w:tcW w:w="2941" w:type="pct"/>
            <w:shd w:val="clear" w:color="auto" w:fill="C0C0C0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1, point b) - Protection de la vie privée et de l’intégrité de l'individu</w:t>
            </w:r>
          </w:p>
        </w:tc>
        <w:tc>
          <w:tcPr>
            <w:tcW w:w="408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20,67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10,46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16,13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18,09</w:t>
            </w:r>
          </w:p>
        </w:tc>
        <w:tc>
          <w:tcPr>
            <w:tcW w:w="412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15,57</w:t>
            </w:r>
          </w:p>
        </w:tc>
      </w:tr>
      <w:tr>
        <w:tc>
          <w:tcPr>
            <w:tcW w:w="2941" w:type="pct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> tiret - Protection des intérêts commerciaux</w:t>
            </w:r>
          </w:p>
        </w:tc>
        <w:tc>
          <w:tcPr>
            <w:tcW w:w="408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14,66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11,76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11,98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15,96</w:t>
            </w:r>
          </w:p>
        </w:tc>
        <w:tc>
          <w:tcPr>
            <w:tcW w:w="412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13,11</w:t>
            </w:r>
          </w:p>
        </w:tc>
      </w:tr>
      <w:tr>
        <w:tc>
          <w:tcPr>
            <w:tcW w:w="2941" w:type="pct"/>
            <w:shd w:val="clear" w:color="auto" w:fill="C0C0C0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procédures juridictionnelles et des avis juridiques</w:t>
            </w:r>
          </w:p>
        </w:tc>
        <w:tc>
          <w:tcPr>
            <w:tcW w:w="408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1,33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7,84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6,91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10,28</w:t>
            </w:r>
          </w:p>
        </w:tc>
        <w:tc>
          <w:tcPr>
            <w:tcW w:w="412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4,92</w:t>
            </w:r>
          </w:p>
        </w:tc>
      </w:tr>
      <w:tr>
        <w:tc>
          <w:tcPr>
            <w:tcW w:w="2941" w:type="pct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2, 3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tiret - Protection des objectifs des activités d'inspection, d'enquête et d'audit</w:t>
            </w:r>
          </w:p>
        </w:tc>
        <w:tc>
          <w:tcPr>
            <w:tcW w:w="408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32,68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45,10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36,87</w:t>
            </w:r>
          </w:p>
        </w:tc>
        <w:tc>
          <w:tcPr>
            <w:tcW w:w="413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32,98</w:t>
            </w:r>
          </w:p>
        </w:tc>
        <w:tc>
          <w:tcPr>
            <w:tcW w:w="412" w:type="pct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37,70</w:t>
            </w:r>
          </w:p>
        </w:tc>
      </w:tr>
      <w:tr>
        <w:tc>
          <w:tcPr>
            <w:tcW w:w="2941" w:type="pct"/>
            <w:shd w:val="clear" w:color="auto" w:fill="C0C0C0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3, 1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er</w:t>
            </w:r>
            <w:r>
              <w:rPr>
                <w:rFonts w:ascii="Arial" w:hAnsi="Arial"/>
                <w:noProof/>
                <w:sz w:val="20"/>
              </w:rPr>
              <w:t xml:space="preserve"> alinéa - Processus décisionnel, décision pas encore prise</w:t>
            </w:r>
          </w:p>
        </w:tc>
        <w:tc>
          <w:tcPr>
            <w:tcW w:w="408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15,33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6,54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10,60</w:t>
            </w:r>
          </w:p>
        </w:tc>
        <w:tc>
          <w:tcPr>
            <w:tcW w:w="413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11,35</w:t>
            </w:r>
          </w:p>
        </w:tc>
        <w:tc>
          <w:tcPr>
            <w:tcW w:w="412" w:type="pct"/>
            <w:shd w:val="clear" w:color="auto" w:fill="C0C0C0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13,93</w:t>
            </w:r>
          </w:p>
        </w:tc>
      </w:tr>
      <w:tr>
        <w:tc>
          <w:tcPr>
            <w:tcW w:w="2941" w:type="pct"/>
            <w:tcBorders>
              <w:bottom w:val="single" w:sz="4" w:space="0" w:color="auto"/>
            </w:tcBorders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Article 4, paragraphe 3, 2</w:t>
            </w:r>
            <w:r>
              <w:rPr>
                <w:rFonts w:ascii="Arial" w:hAnsi="Arial"/>
                <w:noProof/>
                <w:sz w:val="20"/>
                <w:vertAlign w:val="superscript"/>
              </w:rPr>
              <w:t>e</w:t>
            </w:r>
            <w:r>
              <w:rPr>
                <w:rFonts w:ascii="Arial" w:hAnsi="Arial"/>
                <w:noProof/>
                <w:sz w:val="20"/>
              </w:rPr>
              <w:t xml:space="preserve"> alinéa - Processus décisionnel, décision déjà prise: avis destinés à l'utilisation interne dans le cadre de délibérations et de consultations préliminaires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9,15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5,53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3,19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2,46</w:t>
            </w:r>
          </w:p>
        </w:tc>
      </w:tr>
      <w:tr>
        <w:tc>
          <w:tcPr>
            <w:tcW w:w="2941" w:type="pc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</w:tr>
      <w:tr>
        <w:tc>
          <w:tcPr>
            <w:tcW w:w="29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Text1"/>
              <w:spacing w:after="0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>
      <w:pPr>
        <w:keepNext/>
        <w:pageBreakBefore/>
        <w:spacing w:before="0"/>
        <w:jc w:val="left"/>
        <w:rPr>
          <w:rFonts w:ascii="Arial" w:hAnsi="Arial" w:cs="Arial"/>
          <w:noProof/>
        </w:rPr>
      </w:pPr>
      <w:r>
        <w:rPr>
          <w:noProof/>
        </w:rPr>
        <w:pict>
          <v:shape id="_x0000_s1030" type="#_x0000_t202" style="position:absolute;margin-left:0;margin-top:-17pt;width:214.75pt;height:24.05pt;z-index:251659264;mso-wrap-style:none;mso-position-horizontal-relative:text;mso-position-vertical-relative:text">
            <v:textbox style="mso-fit-shape-to-text:t">
              <w:txbxContent>
                <w:p>
                  <w:pPr>
                    <w:keepNext/>
                    <w:pageBreakBefore/>
                    <w:spacing w:before="0" w:after="0"/>
                    <w:rPr>
                      <w:rFonts w:ascii="Arial" w:hAnsi="Arial" w:cs="Arial"/>
                      <w:b/>
                      <w:smallCaps/>
                      <w:noProof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mallCaps/>
                      <w:noProof/>
                      <w:sz w:val="28"/>
                    </w:rPr>
                    <w:t>Ventilation des demandes initiales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smallCaps/>
          <w:noProof/>
          <w:sz w:val="28"/>
        </w:rPr>
        <w:t xml:space="preserve"> </w:t>
      </w:r>
    </w:p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Selon la catégorie socioprofessionnelle des demandeurs (%)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619"/>
        <w:gridCol w:w="1157"/>
        <w:gridCol w:w="1157"/>
        <w:gridCol w:w="1157"/>
        <w:gridCol w:w="1152"/>
        <w:gridCol w:w="1152"/>
      </w:tblGrid>
      <w:tr>
        <w:trPr>
          <w:trHeight w:val="60"/>
        </w:trPr>
        <w:tc>
          <w:tcPr>
            <w:tcW w:w="1926" w:type="pct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613" w:type="pct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315"/>
        </w:trPr>
        <w:tc>
          <w:tcPr>
            <w:tcW w:w="1926" w:type="pct"/>
            <w:shd w:val="clear" w:color="auto" w:fill="C0C0C0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Milieu universitaire</w:t>
            </w:r>
          </w:p>
        </w:tc>
        <w:tc>
          <w:tcPr>
            <w:tcW w:w="616" w:type="pct"/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23,24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22,70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22,08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19,80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22,33</w:t>
            </w:r>
          </w:p>
        </w:tc>
      </w:tr>
      <w:tr>
        <w:trPr>
          <w:trHeight w:val="292"/>
        </w:trPr>
        <w:tc>
          <w:tcPr>
            <w:tcW w:w="1926" w:type="pct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Avocats et juristes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10,69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13,58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14,46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18,30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13,06</w:t>
            </w:r>
          </w:p>
        </w:tc>
      </w:tr>
      <w:tr>
        <w:trPr>
          <w:trHeight w:val="520"/>
        </w:trPr>
        <w:tc>
          <w:tcPr>
            <w:tcW w:w="1926" w:type="pct"/>
            <w:shd w:val="clear" w:color="auto" w:fill="C0C0C0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Société civile (groupes d'intérêt, industrie, ONG, etc.)</w:t>
            </w:r>
          </w:p>
        </w:tc>
        <w:tc>
          <w:tcPr>
            <w:tcW w:w="616" w:type="pct"/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8,18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10,32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16,62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16,04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15,64</w:t>
            </w:r>
          </w:p>
        </w:tc>
      </w:tr>
      <w:tr>
        <w:trPr>
          <w:trHeight w:val="463"/>
        </w:trPr>
        <w:tc>
          <w:tcPr>
            <w:tcW w:w="1926" w:type="pct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Autorités publiques (autres que les institutions de l’UE)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13,56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7,12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8,24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8,23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6,38</w:t>
            </w:r>
          </w:p>
        </w:tc>
      </w:tr>
      <w:tr>
        <w:trPr>
          <w:trHeight w:val="343"/>
        </w:trPr>
        <w:tc>
          <w:tcPr>
            <w:tcW w:w="1926" w:type="pct"/>
            <w:shd w:val="clear" w:color="auto" w:fill="CCCCCC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Autres institutions de l’UE</w:t>
            </w:r>
          </w:p>
        </w:tc>
        <w:tc>
          <w:tcPr>
            <w:tcW w:w="616" w:type="pct"/>
            <w:shd w:val="clear" w:color="auto" w:fill="CCCCCC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8,32</w:t>
            </w:r>
          </w:p>
        </w:tc>
        <w:tc>
          <w:tcPr>
            <w:tcW w:w="616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7,64</w:t>
            </w:r>
          </w:p>
        </w:tc>
        <w:tc>
          <w:tcPr>
            <w:tcW w:w="616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8,76</w:t>
            </w:r>
          </w:p>
        </w:tc>
        <w:tc>
          <w:tcPr>
            <w:tcW w:w="613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12,80</w:t>
            </w:r>
          </w:p>
        </w:tc>
        <w:tc>
          <w:tcPr>
            <w:tcW w:w="613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12,56</w:t>
            </w:r>
          </w:p>
        </w:tc>
      </w:tr>
      <w:tr>
        <w:trPr>
          <w:trHeight w:val="339"/>
        </w:trPr>
        <w:tc>
          <w:tcPr>
            <w:tcW w:w="1926" w:type="pct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Journalistes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3,35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4,81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4,58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6,00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7,03</w:t>
            </w:r>
          </w:p>
        </w:tc>
      </w:tr>
      <w:tr>
        <w:trPr>
          <w:trHeight w:val="354"/>
        </w:trPr>
        <w:tc>
          <w:tcPr>
            <w:tcW w:w="1926" w:type="pct"/>
            <w:shd w:val="clear" w:color="auto" w:fill="C0C0C0"/>
          </w:tcPr>
          <w:p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Non spécifié</w:t>
            </w:r>
          </w:p>
        </w:tc>
        <w:tc>
          <w:tcPr>
            <w:tcW w:w="616" w:type="pct"/>
            <w:shd w:val="clear" w:color="auto" w:fill="C0C0C0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32,68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33,83</w:t>
            </w:r>
          </w:p>
        </w:tc>
        <w:tc>
          <w:tcPr>
            <w:tcW w:w="616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25,26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18,83</w:t>
            </w:r>
          </w:p>
        </w:tc>
        <w:tc>
          <w:tcPr>
            <w:tcW w:w="613" w:type="pct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22,99</w:t>
            </w:r>
          </w:p>
        </w:tc>
      </w:tr>
      <w:tr>
        <w:trPr>
          <w:trHeight w:val="515"/>
        </w:trPr>
        <w:tc>
          <w:tcPr>
            <w:tcW w:w="1926" w:type="pct"/>
          </w:tcPr>
          <w:p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rFonts w:ascii="Arial" w:hAnsi="Arial" w:cs="Arial"/>
          <w:noProof/>
        </w:rPr>
      </w:pPr>
      <w:r>
        <w:rPr>
          <w:rFonts w:ascii="Arial" w:hAnsi="Arial"/>
          <w:noProof/>
        </w:rPr>
        <w:t>Selon l'origine géographique des demandes (%)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3624"/>
        <w:gridCol w:w="1156"/>
        <w:gridCol w:w="1156"/>
        <w:gridCol w:w="1156"/>
        <w:gridCol w:w="1152"/>
        <w:gridCol w:w="1152"/>
      </w:tblGrid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 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Autriche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Belgique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21,42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21,85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24,23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29,30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26,78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Bulgarie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0,68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Chypre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0,07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Croatie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République tchèque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1,39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Danemark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2,11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3,12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noProof/>
                <w:sz w:val="20"/>
                <w:highlight w:val="lightGray"/>
              </w:rPr>
              <w:t>Estonie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noProof/>
                <w:sz w:val="20"/>
                <w:highlight w:val="lightGray"/>
              </w:rPr>
              <w:t>0,19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noProof/>
                <w:sz w:val="20"/>
                <w:highlight w:val="lightGray"/>
              </w:rPr>
              <w:t>0,17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noProof/>
                <w:sz w:val="20"/>
                <w:highlight w:val="lightGray"/>
              </w:rPr>
              <w:t>0,11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noProof/>
                <w:sz w:val="20"/>
                <w:highlight w:val="lightGray"/>
              </w:rPr>
              <w:t>0,16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0,22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Finlande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0,68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France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8,90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7,53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7,27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7,97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7,57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Allemagne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12,27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14,04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12,96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11,94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11,74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Grèce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Hongrie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0,96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1,29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Irlande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1,04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Italie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12,37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7,54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5,91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8,02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7,26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Lettonie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Lituanie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Luxembourg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2,12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1,79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Malte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0,28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Pays-Bas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4,18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4,62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3,80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3,61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5,48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Pologne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2,79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3,95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3,04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Portugal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0,89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Roumanie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Slovaquie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0,56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0,65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Slovénie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0,29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0,39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0,15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Espagne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7,16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5,70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6,54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6,24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9,91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Suède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1,81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2,16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2,19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2,22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Royaume-Uni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8,59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10,17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7,64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7,41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7,63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Pays européens hors UE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0,37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1,81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1,81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Amérique du Nord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0,88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1,20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Australie et Nouvelle-Zélande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Afrique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0,36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Amérique du Sud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0,09</w:t>
            </w:r>
          </w:p>
        </w:tc>
      </w:tr>
      <w:tr>
        <w:trPr>
          <w:trHeight w:val="30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Asie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0,06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0,39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0,96</w:t>
            </w:r>
          </w:p>
        </w:tc>
      </w:tr>
      <w:tr>
        <w:trPr>
          <w:trHeight w:val="330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Non spécifié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3,73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6,03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6,96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2,47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0,99</w:t>
            </w:r>
          </w:p>
        </w:tc>
      </w:tr>
      <w:tr>
        <w:trPr>
          <w:trHeight w:val="418"/>
        </w:trPr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99,98</w:t>
            </w:r>
          </w:p>
        </w:tc>
      </w:tr>
    </w:tbl>
    <w:p>
      <w:pPr>
        <w:pStyle w:val="Heading1"/>
        <w:numPr>
          <w:ilvl w:val="0"/>
          <w:numId w:val="34"/>
        </w:numPr>
        <w:spacing w:before="480" w:after="240"/>
        <w:ind w:left="851" w:hanging="851"/>
        <w:rPr>
          <w:noProof/>
        </w:rPr>
      </w:pPr>
      <w:r>
        <w:rPr>
          <w:noProof/>
        </w:rPr>
        <w:br w:type="page"/>
      </w:r>
      <w:r>
        <w:rPr>
          <w:rFonts w:ascii="Arial" w:hAnsi="Arial"/>
          <w:noProof/>
        </w:rPr>
        <w:t>Selon le domaine d’intérêt (%)</w:t>
      </w:r>
    </w:p>
    <w:tbl>
      <w:tblPr>
        <w:tblW w:w="512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4"/>
        <w:gridCol w:w="6"/>
        <w:gridCol w:w="746"/>
        <w:gridCol w:w="35"/>
        <w:gridCol w:w="791"/>
        <w:gridCol w:w="792"/>
        <w:gridCol w:w="837"/>
        <w:gridCol w:w="850"/>
      </w:tblGrid>
      <w:tr>
        <w:trPr>
          <w:trHeight w:val="311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Direction générale/service</w:t>
            </w:r>
            <w:r>
              <w:rPr>
                <w:rStyle w:val="FootnoteReference"/>
                <w:rFonts w:ascii="Arial" w:hAnsi="Arial"/>
                <w:b/>
                <w:noProof/>
                <w:sz w:val="20"/>
              </w:rPr>
              <w:footnoteReference w:id="7"/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2011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2012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2013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2014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2015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0C0C0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AGRI </w:t>
            </w:r>
            <w:r>
              <w:rPr>
                <w:rFonts w:ascii="Arial" w:hAnsi="Arial"/>
                <w:noProof/>
                <w:sz w:val="18"/>
              </w:rPr>
              <w:t>– Agriculture et développement rural</w:t>
            </w:r>
          </w:p>
        </w:tc>
        <w:tc>
          <w:tcPr>
            <w:tcW w:w="387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2,62</w:t>
            </w:r>
          </w:p>
        </w:tc>
        <w:tc>
          <w:tcPr>
            <w:tcW w:w="428" w:type="pct"/>
            <w:gridSpan w:val="2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3,44</w:t>
            </w:r>
          </w:p>
        </w:tc>
        <w:tc>
          <w:tcPr>
            <w:tcW w:w="41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3,05</w:t>
            </w:r>
          </w:p>
        </w:tc>
        <w:tc>
          <w:tcPr>
            <w:tcW w:w="434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5,02</w:t>
            </w:r>
          </w:p>
        </w:tc>
        <w:tc>
          <w:tcPr>
            <w:tcW w:w="44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3,97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BUDG </w:t>
            </w:r>
            <w:r>
              <w:rPr>
                <w:rFonts w:ascii="Arial" w:hAnsi="Arial"/>
                <w:noProof/>
                <w:sz w:val="18"/>
              </w:rPr>
              <w:t>– Budget</w:t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1,02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0,81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0,72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0,74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CCCCC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CLIMA </w:t>
            </w:r>
            <w:r>
              <w:rPr>
                <w:rFonts w:ascii="Arial" w:hAnsi="Arial"/>
                <w:noProof/>
                <w:sz w:val="18"/>
              </w:rPr>
              <w:t>– Action pour le climat</w:t>
            </w:r>
          </w:p>
        </w:tc>
        <w:tc>
          <w:tcPr>
            <w:tcW w:w="387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2,22</w:t>
            </w:r>
          </w:p>
        </w:tc>
        <w:tc>
          <w:tcPr>
            <w:tcW w:w="428" w:type="pct"/>
            <w:gridSpan w:val="2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2,86</w:t>
            </w:r>
          </w:p>
        </w:tc>
        <w:tc>
          <w:tcPr>
            <w:tcW w:w="41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2,53</w:t>
            </w:r>
          </w:p>
        </w:tc>
        <w:tc>
          <w:tcPr>
            <w:tcW w:w="434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1,71</w:t>
            </w:r>
          </w:p>
        </w:tc>
        <w:tc>
          <w:tcPr>
            <w:tcW w:w="44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1,87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CNECT </w:t>
            </w:r>
            <w:r>
              <w:rPr>
                <w:rFonts w:ascii="Arial" w:hAnsi="Arial"/>
                <w:noProof/>
                <w:sz w:val="18"/>
              </w:rPr>
              <w:t>– Réseaux de communication, contenu et technologies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8"/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</w:p>
        </w:tc>
        <w:tc>
          <w:tcPr>
            <w:tcW w:w="387" w:type="pct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1,98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1,74</w:t>
            </w:r>
          </w:p>
        </w:tc>
        <w:tc>
          <w:tcPr>
            <w:tcW w:w="411" w:type="pct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2,07</w:t>
            </w:r>
          </w:p>
        </w:tc>
        <w:tc>
          <w:tcPr>
            <w:tcW w:w="434" w:type="pct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1,55</w:t>
            </w:r>
          </w:p>
        </w:tc>
        <w:tc>
          <w:tcPr>
            <w:tcW w:w="441" w:type="pct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2,65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CCCCC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COMM </w:t>
            </w:r>
            <w:r>
              <w:rPr>
                <w:rFonts w:ascii="Arial" w:hAnsi="Arial"/>
                <w:noProof/>
                <w:sz w:val="18"/>
              </w:rPr>
              <w:t>– Communication</w:t>
            </w:r>
          </w:p>
        </w:tc>
        <w:tc>
          <w:tcPr>
            <w:tcW w:w="387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1,26</w:t>
            </w:r>
          </w:p>
        </w:tc>
        <w:tc>
          <w:tcPr>
            <w:tcW w:w="428" w:type="pct"/>
            <w:gridSpan w:val="2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0,65</w:t>
            </w:r>
          </w:p>
        </w:tc>
        <w:tc>
          <w:tcPr>
            <w:tcW w:w="41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0,55</w:t>
            </w:r>
          </w:p>
        </w:tc>
        <w:tc>
          <w:tcPr>
            <w:tcW w:w="434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0,60</w:t>
            </w:r>
          </w:p>
        </w:tc>
        <w:tc>
          <w:tcPr>
            <w:tcW w:w="44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0,33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COMP </w:t>
            </w:r>
            <w:r>
              <w:rPr>
                <w:rFonts w:ascii="Arial" w:hAnsi="Arial"/>
                <w:noProof/>
                <w:sz w:val="18"/>
              </w:rPr>
              <w:t>– Concurrence</w:t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6,99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6,81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5,13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7,55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5,81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DEVCO </w:t>
            </w:r>
            <w:r>
              <w:rPr>
                <w:rFonts w:ascii="Arial" w:hAnsi="Arial"/>
                <w:noProof/>
                <w:sz w:val="18"/>
              </w:rPr>
              <w:t xml:space="preserve">– Développement et coopération-EuropeAid 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3,30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4,67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2,89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3,99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5,35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FFFFF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DGT </w:t>
            </w:r>
            <w:r>
              <w:rPr>
                <w:rFonts w:ascii="Arial" w:hAnsi="Arial"/>
                <w:noProof/>
                <w:sz w:val="18"/>
              </w:rPr>
              <w:t>– Traduction</w:t>
            </w:r>
          </w:p>
        </w:tc>
        <w:tc>
          <w:tcPr>
            <w:tcW w:w="387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0,14</w:t>
            </w:r>
          </w:p>
        </w:tc>
        <w:tc>
          <w:tcPr>
            <w:tcW w:w="428" w:type="pct"/>
            <w:gridSpan w:val="2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0,20</w:t>
            </w:r>
          </w:p>
        </w:tc>
        <w:tc>
          <w:tcPr>
            <w:tcW w:w="41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0,14</w:t>
            </w:r>
          </w:p>
        </w:tc>
        <w:tc>
          <w:tcPr>
            <w:tcW w:w="434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0,05</w:t>
            </w:r>
          </w:p>
        </w:tc>
        <w:tc>
          <w:tcPr>
            <w:tcW w:w="44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0,06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DIGIT </w:t>
            </w:r>
            <w:r>
              <w:rPr>
                <w:rFonts w:ascii="Arial" w:hAnsi="Arial"/>
                <w:noProof/>
                <w:sz w:val="18"/>
              </w:rPr>
              <w:t>– Informatique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0,09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0,12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0,05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0,06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0,10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EAC </w:t>
            </w:r>
            <w:r>
              <w:rPr>
                <w:rFonts w:ascii="Arial" w:hAnsi="Arial"/>
                <w:noProof/>
                <w:sz w:val="18"/>
              </w:rPr>
              <w:t>– Éducation et culture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1,05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1,13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2,13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0,84</w:t>
            </w:r>
          </w:p>
        </w:tc>
        <w:tc>
          <w:tcPr>
            <w:tcW w:w="44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0,71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ECFIN </w:t>
            </w:r>
            <w:r>
              <w:rPr>
                <w:rFonts w:ascii="Arial" w:hAnsi="Arial"/>
                <w:noProof/>
                <w:sz w:val="18"/>
              </w:rPr>
              <w:t>– Affaires économiques et financières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1,57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1,11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1,53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1,44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1,26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ECHO </w:t>
            </w:r>
            <w:r>
              <w:rPr>
                <w:rFonts w:ascii="Arial" w:hAnsi="Arial"/>
                <w:noProof/>
                <w:sz w:val="18"/>
              </w:rPr>
              <w:t>– Aide humanitaire et protection civile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0,33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0,18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0,23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0,18</w:t>
            </w:r>
          </w:p>
        </w:tc>
        <w:tc>
          <w:tcPr>
            <w:tcW w:w="44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0,34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EMPL </w:t>
            </w:r>
            <w:r>
              <w:rPr>
                <w:rFonts w:ascii="Arial" w:hAnsi="Arial"/>
                <w:noProof/>
                <w:sz w:val="18"/>
              </w:rPr>
              <w:t>– Emploi, affaires sociales et inclusion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1,64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3,47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2,51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2,61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2,68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ENER </w:t>
            </w:r>
            <w:r>
              <w:rPr>
                <w:rFonts w:ascii="Arial" w:hAnsi="Arial"/>
                <w:noProof/>
                <w:sz w:val="18"/>
              </w:rPr>
              <w:t>– Énergie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5,86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5,15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4,78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3,20</w:t>
            </w:r>
          </w:p>
        </w:tc>
        <w:tc>
          <w:tcPr>
            <w:tcW w:w="44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ENV </w:t>
            </w:r>
            <w:r>
              <w:rPr>
                <w:rFonts w:ascii="Arial" w:hAnsi="Arial"/>
                <w:noProof/>
                <w:sz w:val="18"/>
              </w:rPr>
              <w:t>– Environnement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6,37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6,61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5,07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5,29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5,79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FFFFF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EPSC </w:t>
            </w:r>
            <w:r>
              <w:rPr>
                <w:rFonts w:ascii="Arial" w:hAnsi="Arial"/>
                <w:noProof/>
                <w:sz w:val="18"/>
              </w:rPr>
              <w:t>– Centre européen de stratégie politique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9"/>
            </w:r>
          </w:p>
        </w:tc>
        <w:tc>
          <w:tcPr>
            <w:tcW w:w="387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0,11</w:t>
            </w:r>
          </w:p>
        </w:tc>
        <w:tc>
          <w:tcPr>
            <w:tcW w:w="428" w:type="pct"/>
            <w:gridSpan w:val="2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  <w:tc>
          <w:tcPr>
            <w:tcW w:w="41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0,06</w:t>
            </w:r>
          </w:p>
        </w:tc>
        <w:tc>
          <w:tcPr>
            <w:tcW w:w="434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0,15</w:t>
            </w:r>
          </w:p>
        </w:tc>
        <w:tc>
          <w:tcPr>
            <w:tcW w:w="44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0,10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EPSO </w:t>
            </w:r>
            <w:r>
              <w:rPr>
                <w:rFonts w:ascii="Arial" w:hAnsi="Arial"/>
                <w:noProof/>
                <w:sz w:val="18"/>
              </w:rPr>
              <w:t>– Office européen de sélection du personnel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0,23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0,23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0,18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0,23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0,09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ESTAT </w:t>
            </w:r>
            <w:r>
              <w:rPr>
                <w:rFonts w:ascii="Arial" w:hAnsi="Arial"/>
                <w:noProof/>
                <w:sz w:val="18"/>
              </w:rPr>
              <w:t>– Eurostat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0,20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0,20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0,28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0,36</w:t>
            </w:r>
          </w:p>
        </w:tc>
        <w:tc>
          <w:tcPr>
            <w:tcW w:w="44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0,44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FISMA </w:t>
            </w:r>
            <w:r>
              <w:rPr>
                <w:rFonts w:ascii="Arial" w:hAnsi="Arial"/>
                <w:noProof/>
                <w:sz w:val="18"/>
              </w:rPr>
              <w:t>– Stabilité financière, services financiers et union des marchés des capitaux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10"/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2,59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FPI </w:t>
            </w:r>
            <w:r>
              <w:rPr>
                <w:rFonts w:ascii="Arial" w:hAnsi="Arial"/>
                <w:noProof/>
                <w:sz w:val="18"/>
              </w:rPr>
              <w:t>– Service des instruments de politique étrangère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11"/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0,13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0,46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0,90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0,86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0C0C0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GROW </w:t>
            </w:r>
            <w:r>
              <w:rPr>
                <w:rFonts w:ascii="Arial" w:hAnsi="Arial"/>
                <w:noProof/>
                <w:sz w:val="18"/>
              </w:rPr>
              <w:t>– Marché intérieur, industrie, entrepreneuriat et PME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12"/>
            </w:r>
          </w:p>
        </w:tc>
        <w:tc>
          <w:tcPr>
            <w:tcW w:w="387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4,84</w:t>
            </w:r>
          </w:p>
        </w:tc>
        <w:tc>
          <w:tcPr>
            <w:tcW w:w="428" w:type="pct"/>
            <w:gridSpan w:val="2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4,55</w:t>
            </w:r>
          </w:p>
        </w:tc>
        <w:tc>
          <w:tcPr>
            <w:tcW w:w="41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5,02</w:t>
            </w:r>
          </w:p>
        </w:tc>
        <w:tc>
          <w:tcPr>
            <w:tcW w:w="434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5,02</w:t>
            </w:r>
          </w:p>
        </w:tc>
        <w:tc>
          <w:tcPr>
            <w:tcW w:w="44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8,58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HOME </w:t>
            </w:r>
            <w:r>
              <w:rPr>
                <w:rFonts w:ascii="Arial" w:hAnsi="Arial"/>
                <w:noProof/>
                <w:sz w:val="18"/>
              </w:rPr>
              <w:t>– Affaires intérieures</w:t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4,74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3,14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2,07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2,82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4,21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HR </w:t>
            </w:r>
            <w:r>
              <w:rPr>
                <w:rFonts w:ascii="Arial" w:hAnsi="Arial"/>
                <w:noProof/>
                <w:sz w:val="18"/>
              </w:rPr>
              <w:t>– Ressources humaines et sécurité</w:t>
            </w:r>
            <w:r>
              <w:rPr>
                <w:rFonts w:ascii="Arial" w:hAnsi="Arial"/>
                <w:noProof/>
                <w:sz w:val="20"/>
              </w:rPr>
              <w:t xml:space="preserve"> + OIB </w:t>
            </w:r>
            <w:r>
              <w:rPr>
                <w:rFonts w:ascii="Arial" w:hAnsi="Arial"/>
                <w:noProof/>
                <w:sz w:val="18"/>
              </w:rPr>
              <w:t xml:space="preserve">(Office pour les infrastructures et la logistique à Bruxelles) </w:t>
            </w:r>
            <w:r>
              <w:rPr>
                <w:rFonts w:ascii="Arial" w:hAnsi="Arial"/>
                <w:noProof/>
                <w:sz w:val="20"/>
              </w:rPr>
              <w:t xml:space="preserve">+ OIL </w:t>
            </w:r>
            <w:r>
              <w:rPr>
                <w:rFonts w:ascii="Arial" w:hAnsi="Arial"/>
                <w:noProof/>
                <w:sz w:val="18"/>
              </w:rPr>
              <w:t>(Office pour les infrastructures et la logistique à Luxembourg)</w:t>
            </w:r>
            <w:r>
              <w:rPr>
                <w:rFonts w:ascii="Arial" w:hAnsi="Arial"/>
                <w:noProof/>
                <w:sz w:val="20"/>
              </w:rPr>
              <w:t xml:space="preserve"> + PMO</w:t>
            </w:r>
            <w:r>
              <w:rPr>
                <w:rFonts w:ascii="Arial" w:hAnsi="Arial"/>
                <w:noProof/>
                <w:sz w:val="18"/>
              </w:rPr>
              <w:t xml:space="preserve"> (Office de gestion et de liquidation des droits individuels)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2,34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2,98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2,23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2,45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2,37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FFFFF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IAS </w:t>
            </w:r>
            <w:r>
              <w:rPr>
                <w:rFonts w:ascii="Arial" w:hAnsi="Arial"/>
                <w:noProof/>
                <w:sz w:val="18"/>
              </w:rPr>
              <w:t>– Service d’audit interne</w:t>
            </w:r>
          </w:p>
        </w:tc>
        <w:tc>
          <w:tcPr>
            <w:tcW w:w="387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0,05</w:t>
            </w:r>
          </w:p>
        </w:tc>
        <w:tc>
          <w:tcPr>
            <w:tcW w:w="428" w:type="pct"/>
            <w:gridSpan w:val="2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41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0,17</w:t>
            </w:r>
          </w:p>
        </w:tc>
        <w:tc>
          <w:tcPr>
            <w:tcW w:w="434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0,03</w:t>
            </w:r>
          </w:p>
        </w:tc>
        <w:tc>
          <w:tcPr>
            <w:tcW w:w="44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0,09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0C0C0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JUST </w:t>
            </w:r>
            <w:r>
              <w:rPr>
                <w:rFonts w:ascii="Arial" w:hAnsi="Arial"/>
                <w:noProof/>
                <w:sz w:val="18"/>
              </w:rPr>
              <w:t>– Justice</w:t>
            </w:r>
          </w:p>
        </w:tc>
        <w:tc>
          <w:tcPr>
            <w:tcW w:w="387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2,54</w:t>
            </w:r>
          </w:p>
        </w:tc>
        <w:tc>
          <w:tcPr>
            <w:tcW w:w="428" w:type="pct"/>
            <w:gridSpan w:val="2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3,72</w:t>
            </w:r>
          </w:p>
        </w:tc>
        <w:tc>
          <w:tcPr>
            <w:tcW w:w="41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4,21</w:t>
            </w:r>
          </w:p>
        </w:tc>
        <w:tc>
          <w:tcPr>
            <w:tcW w:w="434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3,60</w:t>
            </w:r>
          </w:p>
        </w:tc>
        <w:tc>
          <w:tcPr>
            <w:tcW w:w="44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2,77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MARE </w:t>
            </w:r>
            <w:r>
              <w:rPr>
                <w:rFonts w:ascii="Arial" w:hAnsi="Arial"/>
                <w:noProof/>
                <w:sz w:val="18"/>
              </w:rPr>
              <w:t>– Affaires maritimes et pêche</w:t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0,95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0,66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1,01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1,07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1,04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CCCCCC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MOVE </w:t>
            </w:r>
            <w:r>
              <w:rPr>
                <w:rFonts w:ascii="Arial" w:hAnsi="Arial"/>
                <w:noProof/>
                <w:sz w:val="18"/>
              </w:rPr>
              <w:t>– Mobilité et transports</w:t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</w:p>
        </w:tc>
        <w:tc>
          <w:tcPr>
            <w:tcW w:w="387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3,02</w:t>
            </w:r>
          </w:p>
        </w:tc>
        <w:tc>
          <w:tcPr>
            <w:tcW w:w="428" w:type="pct"/>
            <w:gridSpan w:val="2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2,66</w:t>
            </w:r>
          </w:p>
        </w:tc>
        <w:tc>
          <w:tcPr>
            <w:tcW w:w="41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4,15</w:t>
            </w:r>
          </w:p>
        </w:tc>
        <w:tc>
          <w:tcPr>
            <w:tcW w:w="434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3,47</w:t>
            </w:r>
          </w:p>
        </w:tc>
        <w:tc>
          <w:tcPr>
            <w:tcW w:w="44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3,76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NEAR </w:t>
            </w:r>
            <w:r>
              <w:rPr>
                <w:rFonts w:ascii="Arial" w:hAnsi="Arial"/>
                <w:noProof/>
                <w:sz w:val="18"/>
              </w:rPr>
              <w:t>– Voisinage et négociations d'élargissement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13"/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</w:p>
        </w:tc>
        <w:tc>
          <w:tcPr>
            <w:tcW w:w="387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1,04</w:t>
            </w:r>
          </w:p>
        </w:tc>
        <w:tc>
          <w:tcPr>
            <w:tcW w:w="428" w:type="pct"/>
            <w:gridSpan w:val="2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0,95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0,93</w:t>
            </w:r>
          </w:p>
        </w:tc>
        <w:tc>
          <w:tcPr>
            <w:tcW w:w="434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0,97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1,38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OP </w:t>
            </w:r>
            <w:r>
              <w:rPr>
                <w:rFonts w:ascii="Arial" w:hAnsi="Arial"/>
                <w:noProof/>
                <w:sz w:val="18"/>
              </w:rPr>
              <w:t>– Office des publications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0,37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0,12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0,11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0,10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0,15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FFFFF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RELEX </w:t>
            </w:r>
            <w:r>
              <w:rPr>
                <w:rFonts w:ascii="Arial" w:hAnsi="Arial"/>
                <w:noProof/>
                <w:sz w:val="18"/>
              </w:rPr>
              <w:t>– Relations extérieures</w:t>
            </w:r>
          </w:p>
        </w:tc>
        <w:tc>
          <w:tcPr>
            <w:tcW w:w="387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2,39</w:t>
            </w:r>
          </w:p>
        </w:tc>
        <w:tc>
          <w:tcPr>
            <w:tcW w:w="428" w:type="pct"/>
            <w:gridSpan w:val="2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41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434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  <w:tc>
          <w:tcPr>
            <w:tcW w:w="441" w:type="pct"/>
            <w:shd w:val="clear" w:color="auto" w:fill="FFFFF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-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REGIO </w:t>
            </w:r>
            <w:r>
              <w:rPr>
                <w:rFonts w:ascii="Arial" w:hAnsi="Arial"/>
                <w:noProof/>
                <w:sz w:val="18"/>
              </w:rPr>
              <w:t>– Politique régionale</w:t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2,29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3,41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2,20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4,13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3,92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RTD </w:t>
            </w:r>
            <w:r>
              <w:rPr>
                <w:rFonts w:ascii="Arial" w:hAnsi="Arial"/>
                <w:noProof/>
                <w:sz w:val="18"/>
              </w:rPr>
              <w:t>– Recherche et innovation</w:t>
            </w:r>
            <w:r>
              <w:rPr>
                <w:rFonts w:ascii="Arial" w:hAnsi="Arial"/>
                <w:noProof/>
                <w:sz w:val="20"/>
              </w:rPr>
              <w:t xml:space="preserve"> + JRC</w:t>
            </w:r>
            <w:r>
              <w:rPr>
                <w:rFonts w:ascii="Arial" w:hAnsi="Arial"/>
                <w:noProof/>
                <w:sz w:val="18"/>
              </w:rPr>
              <w:t xml:space="preserve"> – Centre commun de recherche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1,27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1,61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1,95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441" w:type="pct"/>
          </w:tcPr>
          <w:p>
            <w:pPr>
              <w:pStyle w:val="Text1"/>
              <w:ind w:left="1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1,40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SANTE </w:t>
            </w:r>
            <w:r>
              <w:rPr>
                <w:rFonts w:ascii="Arial" w:hAnsi="Arial"/>
                <w:noProof/>
                <w:sz w:val="18"/>
              </w:rPr>
              <w:t>– Santé et sécurité alimentaire</w:t>
            </w:r>
            <w:r>
              <w:rPr>
                <w:rStyle w:val="FootnoteReference"/>
                <w:rFonts w:ascii="Arial" w:hAnsi="Arial"/>
                <w:noProof/>
                <w:sz w:val="18"/>
              </w:rPr>
              <w:footnoteReference w:id="14"/>
            </w:r>
          </w:p>
        </w:tc>
        <w:tc>
          <w:tcPr>
            <w:tcW w:w="387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6,96</w:t>
            </w:r>
          </w:p>
        </w:tc>
        <w:tc>
          <w:tcPr>
            <w:tcW w:w="428" w:type="pct"/>
            <w:gridSpan w:val="2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7,28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8,26</w:t>
            </w:r>
          </w:p>
        </w:tc>
        <w:tc>
          <w:tcPr>
            <w:tcW w:w="434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7,21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9,18</w:t>
            </w:r>
          </w:p>
        </w:tc>
      </w:tr>
      <w:tr>
        <w:trPr>
          <w:trHeight w:val="300"/>
        </w:trPr>
        <w:tc>
          <w:tcPr>
            <w:tcW w:w="2899" w:type="pct"/>
            <w:gridSpan w:val="2"/>
            <w:shd w:val="clear" w:color="auto" w:fill="auto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SCIC </w:t>
            </w:r>
            <w:r>
              <w:rPr>
                <w:rFonts w:ascii="Arial" w:hAnsi="Arial"/>
                <w:noProof/>
                <w:sz w:val="18"/>
              </w:rPr>
              <w:t>– Service commun Interprétation-Conférences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  <w:tc>
          <w:tcPr>
            <w:tcW w:w="428" w:type="pct"/>
            <w:gridSpan w:val="2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411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0,02</w:t>
            </w:r>
          </w:p>
        </w:tc>
        <w:tc>
          <w:tcPr>
            <w:tcW w:w="434" w:type="pct"/>
            <w:shd w:val="clear" w:color="auto" w:fill="auto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0,01</w:t>
            </w:r>
          </w:p>
        </w:tc>
      </w:tr>
      <w:tr>
        <w:trPr>
          <w:trHeight w:val="300"/>
        </w:trPr>
        <w:tc>
          <w:tcPr>
            <w:tcW w:w="2896" w:type="pct"/>
            <w:shd w:val="clear" w:color="auto" w:fill="CCCCCC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SG </w:t>
            </w:r>
            <w:r>
              <w:rPr>
                <w:rFonts w:ascii="Arial" w:hAnsi="Arial"/>
                <w:noProof/>
                <w:sz w:val="18"/>
              </w:rPr>
              <w:t>– Secrétariat général</w:t>
            </w:r>
          </w:p>
        </w:tc>
        <w:tc>
          <w:tcPr>
            <w:tcW w:w="408" w:type="pct"/>
            <w:gridSpan w:val="3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10,12</w:t>
            </w:r>
          </w:p>
        </w:tc>
        <w:tc>
          <w:tcPr>
            <w:tcW w:w="410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12,10</w:t>
            </w:r>
          </w:p>
        </w:tc>
        <w:tc>
          <w:tcPr>
            <w:tcW w:w="41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13,88</w:t>
            </w:r>
          </w:p>
        </w:tc>
        <w:tc>
          <w:tcPr>
            <w:tcW w:w="434" w:type="pct"/>
            <w:shd w:val="clear" w:color="auto" w:fill="CCCCCC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11,57</w:t>
            </w:r>
          </w:p>
        </w:tc>
        <w:tc>
          <w:tcPr>
            <w:tcW w:w="441" w:type="pct"/>
            <w:shd w:val="clear" w:color="auto" w:fill="CCCCCC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8,74</w:t>
            </w:r>
          </w:p>
        </w:tc>
      </w:tr>
      <w:tr>
        <w:trPr>
          <w:trHeight w:val="300"/>
        </w:trPr>
        <w:tc>
          <w:tcPr>
            <w:tcW w:w="2896" w:type="pct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SJ</w:t>
            </w:r>
            <w:r>
              <w:rPr>
                <w:rFonts w:ascii="Arial" w:hAnsi="Arial"/>
                <w:noProof/>
                <w:sz w:val="18"/>
              </w:rPr>
              <w:t xml:space="preserve"> – Service juridique</w:t>
            </w:r>
          </w:p>
        </w:tc>
        <w:tc>
          <w:tcPr>
            <w:tcW w:w="408" w:type="pct"/>
            <w:gridSpan w:val="3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2,76</w:t>
            </w:r>
          </w:p>
        </w:tc>
        <w:tc>
          <w:tcPr>
            <w:tcW w:w="410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4,37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3,75</w:t>
            </w:r>
          </w:p>
        </w:tc>
        <w:tc>
          <w:tcPr>
            <w:tcW w:w="434" w:type="pct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3,17</w:t>
            </w:r>
          </w:p>
        </w:tc>
      </w:tr>
      <w:tr>
        <w:trPr>
          <w:trHeight w:val="300"/>
        </w:trPr>
        <w:tc>
          <w:tcPr>
            <w:tcW w:w="2896" w:type="pct"/>
            <w:shd w:val="clear" w:color="auto" w:fill="C0C0C0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TAXUD </w:t>
            </w:r>
            <w:r>
              <w:rPr>
                <w:rFonts w:ascii="Arial" w:hAnsi="Arial"/>
                <w:noProof/>
                <w:sz w:val="18"/>
              </w:rPr>
              <w:t>– Fiscalité et union douanière</w:t>
            </w:r>
          </w:p>
        </w:tc>
        <w:tc>
          <w:tcPr>
            <w:tcW w:w="408" w:type="pct"/>
            <w:gridSpan w:val="3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7,80</w:t>
            </w:r>
          </w:p>
        </w:tc>
        <w:tc>
          <w:tcPr>
            <w:tcW w:w="410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4,92</w:t>
            </w:r>
          </w:p>
        </w:tc>
        <w:tc>
          <w:tcPr>
            <w:tcW w:w="41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6,01</w:t>
            </w:r>
          </w:p>
        </w:tc>
        <w:tc>
          <w:tcPr>
            <w:tcW w:w="434" w:type="pct"/>
            <w:shd w:val="clear" w:color="auto" w:fill="C0C0C0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5,57</w:t>
            </w:r>
          </w:p>
        </w:tc>
        <w:tc>
          <w:tcPr>
            <w:tcW w:w="441" w:type="pct"/>
            <w:shd w:val="clear" w:color="auto" w:fill="C0C0C0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5,67</w:t>
            </w:r>
          </w:p>
        </w:tc>
      </w:tr>
      <w:tr>
        <w:trPr>
          <w:trHeight w:val="300"/>
        </w:trPr>
        <w:tc>
          <w:tcPr>
            <w:tcW w:w="2896" w:type="pct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TRADE </w:t>
            </w:r>
            <w:r>
              <w:rPr>
                <w:rFonts w:ascii="Arial" w:hAnsi="Arial"/>
                <w:noProof/>
                <w:sz w:val="18"/>
              </w:rPr>
              <w:t>– Commerce</w:t>
            </w:r>
          </w:p>
        </w:tc>
        <w:tc>
          <w:tcPr>
            <w:tcW w:w="408" w:type="pct"/>
            <w:gridSpan w:val="3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3,47</w:t>
            </w:r>
          </w:p>
        </w:tc>
        <w:tc>
          <w:tcPr>
            <w:tcW w:w="410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2,48</w:t>
            </w:r>
          </w:p>
        </w:tc>
        <w:tc>
          <w:tcPr>
            <w:tcW w:w="41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4,73</w:t>
            </w:r>
          </w:p>
        </w:tc>
        <w:tc>
          <w:tcPr>
            <w:tcW w:w="434" w:type="pct"/>
            <w:vAlign w:val="center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5,08</w:t>
            </w:r>
          </w:p>
        </w:tc>
        <w:tc>
          <w:tcPr>
            <w:tcW w:w="441" w:type="pct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4,38</w:t>
            </w:r>
          </w:p>
        </w:tc>
      </w:tr>
      <w:tr>
        <w:trPr>
          <w:trHeight w:val="300"/>
        </w:trPr>
        <w:tc>
          <w:tcPr>
            <w:tcW w:w="2896" w:type="pct"/>
            <w:shd w:val="clear" w:color="auto" w:fill="BFBFBF"/>
          </w:tcPr>
          <w:p>
            <w:pPr>
              <w:pStyle w:val="Text1"/>
              <w:ind w:left="12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Total</w:t>
            </w:r>
          </w:p>
        </w:tc>
        <w:tc>
          <w:tcPr>
            <w:tcW w:w="408" w:type="pct"/>
            <w:gridSpan w:val="3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0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1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34" w:type="pct"/>
            <w:shd w:val="clear" w:color="auto" w:fill="BFBFBF"/>
            <w:vAlign w:val="bottom"/>
          </w:tcPr>
          <w:p>
            <w:pPr>
              <w:pStyle w:val="Text1"/>
              <w:ind w:left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  <w:tc>
          <w:tcPr>
            <w:tcW w:w="441" w:type="pct"/>
            <w:shd w:val="clear" w:color="auto" w:fill="BFBFBF"/>
          </w:tcPr>
          <w:p>
            <w:pPr>
              <w:pStyle w:val="Text1"/>
              <w:ind w:left="12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100</w:t>
            </w:r>
          </w:p>
        </w:tc>
      </w:tr>
    </w:tbl>
    <w:p>
      <w:pPr>
        <w:spacing w:before="0" w:after="480"/>
        <w:jc w:val="left"/>
        <w:rPr>
          <w:rFonts w:ascii="Arial" w:hAnsi="Arial" w:cs="Arial"/>
          <w:b/>
          <w:noProof/>
          <w:sz w:val="22"/>
          <w:u w:val="single"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361" w:bottom="1021" w:left="136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  <w:rFonts w:ascii="Arial" w:hAnsi="Arial"/>
        </w:rPr>
        <w:footnoteRef/>
      </w:r>
      <w:r>
        <w:tab/>
      </w:r>
      <w:r>
        <w:rPr>
          <w:rFonts w:ascii="Arial" w:hAnsi="Arial"/>
          <w:sz w:val="16"/>
        </w:rPr>
        <w:t>Données extraites le 11 avril 2016.</w:t>
      </w:r>
    </w:p>
  </w:footnote>
  <w:footnote w:id="2">
    <w:p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/>
        </w:rPr>
        <w:footnoteRef/>
      </w:r>
      <w:r>
        <w:tab/>
      </w:r>
      <w:r>
        <w:rPr>
          <w:rFonts w:ascii="Arial" w:hAnsi="Arial"/>
          <w:sz w:val="16"/>
        </w:rPr>
        <w:t>Veuillez noter qu'une seule demande peut porter sur plusieurs documents et peut donc donner lieu à plusieurs réponses distinctes.</w:t>
      </w:r>
    </w:p>
  </w:footnote>
  <w:footnote w:id="3">
    <w:p>
      <w:pPr>
        <w:pStyle w:val="FootnoteText"/>
      </w:pPr>
      <w:r>
        <w:rPr>
          <w:rStyle w:val="FootnoteReference"/>
          <w:rFonts w:ascii="Arial" w:hAnsi="Arial"/>
          <w:sz w:val="18"/>
        </w:rPr>
        <w:footnoteRef/>
      </w:r>
      <w:r>
        <w:tab/>
      </w:r>
      <w:r>
        <w:rPr>
          <w:rFonts w:ascii="Arial" w:hAnsi="Arial"/>
          <w:sz w:val="16"/>
        </w:rPr>
        <w:t>Veuillez noter que cette catégorie n'inclut pas les réponses ne relevant pas du champ d’application du règlement (CE) n° 1049/2001, notamment les réponses données en application du règlement (CE) n° 45/2001.</w:t>
      </w:r>
    </w:p>
  </w:footnote>
  <w:footnote w:id="4">
    <w:p>
      <w:pPr>
        <w:pStyle w:val="FootnoteText"/>
        <w:rPr>
          <w:sz w:val="16"/>
          <w:szCs w:val="16"/>
        </w:rPr>
      </w:pPr>
      <w:r>
        <w:rPr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tab/>
      </w:r>
      <w:r>
        <w:rPr>
          <w:rFonts w:ascii="Arial" w:hAnsi="Arial"/>
          <w:sz w:val="16"/>
        </w:rPr>
        <w:t>Cette catégorie n’est plus utilisée étant donné qu’elle ne constitue pas une exception au sens de l’article 4 du règlement (CE) n° 1049/2001. Elle apparaît encore car les données brutes disponibles ne permettaient pas, dans tous les cas, une ventilation en fonction de l’exception visée à l'article 4 du règlement (CE) n° 1049/2001.</w:t>
      </w:r>
    </w:p>
  </w:footnote>
  <w:footnote w:id="5">
    <w:p>
      <w:pPr>
        <w:pStyle w:val="FootnoteText"/>
      </w:pPr>
      <w:r>
        <w:rPr>
          <w:rStyle w:val="FootnoteReference"/>
          <w:rFonts w:ascii="Arial" w:hAnsi="Arial"/>
          <w:sz w:val="18"/>
        </w:rPr>
        <w:footnoteRef/>
      </w:r>
      <w:r>
        <w:tab/>
      </w:r>
      <w:r>
        <w:rPr>
          <w:rFonts w:ascii="Arial" w:hAnsi="Arial"/>
          <w:sz w:val="16"/>
        </w:rPr>
        <w:t>Veuillez noter que cette catégorie n'inclut pas les réponses ne relevant pas du champ d’application du règlement (CE) n° 1049/2001.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En raison d’une erreur technique, les chiffres correspondant à ces catégories ont été inversés dans les rapports annuels des années 2013 et 2014.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Veuillez noter que l’OLAF n’enregistre pas ses demandes d’accès aux documents dans le même système.</w:t>
      </w:r>
    </w:p>
  </w:footnote>
  <w:footnote w:id="8">
    <w:p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/>
          <w:sz w:val="18"/>
        </w:rPr>
        <w:footnoteRef/>
      </w:r>
      <w:r>
        <w:tab/>
      </w:r>
      <w:r>
        <w:rPr>
          <w:rFonts w:ascii="Arial" w:hAnsi="Arial"/>
          <w:sz w:val="16"/>
        </w:rPr>
        <w:t>Veuillez noter qu’il s’agissait précédemment de la DG INFSO (jusqu'au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juillet 2012).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Le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janvier 2015, le BEPA est devenu l'EPSC.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Le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janvier 2015, la DG MARKT est devenue la DG FISMA.</w:t>
      </w:r>
    </w:p>
  </w:footnote>
  <w:footnote w:id="11">
    <w:p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/>
          <w:sz w:val="18"/>
        </w:rPr>
        <w:footnoteRef/>
      </w:r>
      <w:r>
        <w:tab/>
      </w:r>
      <w:r>
        <w:rPr>
          <w:rFonts w:ascii="Arial" w:hAnsi="Arial"/>
          <w:sz w:val="16"/>
        </w:rPr>
        <w:t>Veuillez noter que, depuis la création du Service européen pour l’action extérieure (SEAE), seuls les documents du service des instruments de politique étrangère (FPI) relèvent encore de la Commission.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Le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janvier 2015, la DG ENTR est devenue la DG GROW.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Le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janvier 2015, la DG ELARG est devenue la DG NEAR.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/>
          <w:sz w:val="16"/>
        </w:rPr>
        <w:t>Le 1</w:t>
      </w:r>
      <w:r>
        <w:rPr>
          <w:rFonts w:ascii="Arial" w:hAnsi="Arial"/>
          <w:sz w:val="16"/>
          <w:vertAlign w:val="superscript"/>
        </w:rPr>
        <w:t>er </w:t>
      </w:r>
      <w:r>
        <w:rPr>
          <w:rFonts w:ascii="Arial" w:hAnsi="Arial"/>
          <w:sz w:val="16"/>
        </w:rPr>
        <w:t>janvier 2015, la DG SANCO est devenue la DG SANTE.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FB1"/>
    <w:multiLevelType w:val="multilevel"/>
    <w:tmpl w:val="30847FD6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5E43525"/>
    <w:multiLevelType w:val="multilevel"/>
    <w:tmpl w:val="76202BFE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2DD5905"/>
    <w:multiLevelType w:val="singleLevel"/>
    <w:tmpl w:val="6CB4B73E"/>
    <w:name w:val="List Bullet 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">
    <w:nsid w:val="1B3C78B8"/>
    <w:multiLevelType w:val="multilevel"/>
    <w:tmpl w:val="2ED4F4D0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>
    <w:nsid w:val="22E44180"/>
    <w:multiLevelType w:val="multilevel"/>
    <w:tmpl w:val="107007B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E930D7"/>
    <w:multiLevelType w:val="multilevel"/>
    <w:tmpl w:val="EFD2E05E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AF76E7A"/>
    <w:multiLevelType w:val="singleLevel"/>
    <w:tmpl w:val="C74C5A32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7">
    <w:nsid w:val="3A5459E8"/>
    <w:multiLevelType w:val="singleLevel"/>
    <w:tmpl w:val="2188C922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3BA736C9"/>
    <w:multiLevelType w:val="singleLevel"/>
    <w:tmpl w:val="F00A6C0C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>
    <w:nsid w:val="3C90278F"/>
    <w:multiLevelType w:val="singleLevel"/>
    <w:tmpl w:val="0FE08974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0">
    <w:nsid w:val="3E191884"/>
    <w:multiLevelType w:val="singleLevel"/>
    <w:tmpl w:val="3020C764"/>
    <w:name w:val="List Bullet 3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>
    <w:nsid w:val="42713452"/>
    <w:multiLevelType w:val="singleLevel"/>
    <w:tmpl w:val="3B8CC7EA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8842C30"/>
    <w:multiLevelType w:val="singleLevel"/>
    <w:tmpl w:val="4FA60B9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>
    <w:nsid w:val="54593082"/>
    <w:multiLevelType w:val="singleLevel"/>
    <w:tmpl w:val="EDE069AC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68864DC"/>
    <w:multiLevelType w:val="singleLevel"/>
    <w:tmpl w:val="485EBDAC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5F342530"/>
    <w:multiLevelType w:val="singleLevel"/>
    <w:tmpl w:val="D5444702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>
    <w:nsid w:val="5F8C3B69"/>
    <w:multiLevelType w:val="multilevel"/>
    <w:tmpl w:val="9B14DAA8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5F9C40AA"/>
    <w:multiLevelType w:val="singleLevel"/>
    <w:tmpl w:val="B89CB5A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62970F71"/>
    <w:multiLevelType w:val="singleLevel"/>
    <w:tmpl w:val="5AFA8C72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>
    <w:nsid w:val="64A12FA4"/>
    <w:multiLevelType w:val="multilevel"/>
    <w:tmpl w:val="D8BC42BC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50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85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3">
    <w:nsid w:val="69995580"/>
    <w:multiLevelType w:val="singleLevel"/>
    <w:tmpl w:val="75CC7CBA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4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>
    <w:nsid w:val="6D2B5511"/>
    <w:multiLevelType w:val="singleLevel"/>
    <w:tmpl w:val="74A09970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6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5C26F71"/>
    <w:multiLevelType w:val="multilevel"/>
    <w:tmpl w:val="E01E770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9">
    <w:nsid w:val="79C96D36"/>
    <w:multiLevelType w:val="multilevel"/>
    <w:tmpl w:val="BE983CE4"/>
    <w:name w:val="0,948844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0lett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1lett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1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2">
    <w:nsid w:val="7F7154E1"/>
    <w:multiLevelType w:val="singleLevel"/>
    <w:tmpl w:val="E3F6D2C6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7"/>
  </w:num>
  <w:num w:numId="5">
    <w:abstractNumId w:val="13"/>
  </w:num>
  <w:num w:numId="6">
    <w:abstractNumId w:val="23"/>
  </w:num>
  <w:num w:numId="7">
    <w:abstractNumId w:val="27"/>
  </w:num>
  <w:num w:numId="8">
    <w:abstractNumId w:val="26"/>
  </w:num>
  <w:num w:numId="9">
    <w:abstractNumId w:val="30"/>
  </w:num>
  <w:num w:numId="10">
    <w:abstractNumId w:val="8"/>
  </w:num>
  <w:num w:numId="11">
    <w:abstractNumId w:val="7"/>
  </w:num>
  <w:num w:numId="12">
    <w:abstractNumId w:val="20"/>
  </w:num>
  <w:num w:numId="13">
    <w:abstractNumId w:val="9"/>
  </w:num>
  <w:num w:numId="14">
    <w:abstractNumId w:val="15"/>
  </w:num>
  <w:num w:numId="15">
    <w:abstractNumId w:val="18"/>
  </w:num>
  <w:num w:numId="16">
    <w:abstractNumId w:val="29"/>
  </w:num>
  <w:num w:numId="17">
    <w:abstractNumId w:val="5"/>
  </w:num>
  <w:num w:numId="18">
    <w:abstractNumId w:val="1"/>
  </w:num>
  <w:num w:numId="19">
    <w:abstractNumId w:val="0"/>
  </w:num>
  <w:num w:numId="20">
    <w:abstractNumId w:val="25"/>
  </w:num>
  <w:num w:numId="21">
    <w:abstractNumId w:val="24"/>
  </w:num>
  <w:num w:numId="22">
    <w:abstractNumId w:val="2"/>
  </w:num>
  <w:num w:numId="23">
    <w:abstractNumId w:val="10"/>
  </w:num>
  <w:num w:numId="24">
    <w:abstractNumId w:val="32"/>
  </w:num>
  <w:num w:numId="25">
    <w:abstractNumId w:val="11"/>
  </w:num>
  <w:num w:numId="26">
    <w:abstractNumId w:val="21"/>
  </w:num>
  <w:num w:numId="27">
    <w:abstractNumId w:val="16"/>
  </w:num>
  <w:num w:numId="28">
    <w:abstractNumId w:val="28"/>
  </w:num>
  <w:num w:numId="29">
    <w:abstractNumId w:val="31"/>
  </w:num>
  <w:num w:numId="30">
    <w:abstractNumId w:val="12"/>
    <w:lvlOverride w:ilvl="0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4"/>
  </w:num>
  <w:num w:numId="34">
    <w:abstractNumId w:val="22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27"/>
  </w:num>
  <w:num w:numId="4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ocStatus" w:val="Green"/>
    <w:docVar w:name="LW_ACCOMPAGNANT.CP" w:val="au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736979F60DB44EB0895182B5F27A421D"/>
    <w:docVar w:name="LW_CROSSREFERENCE" w:val="&lt;UNUSED&gt;"/>
    <w:docVar w:name="LW_DocType" w:val="NORMAL"/>
    <w:docVar w:name="LW_EMISSION" w:val="24.8.2016"/>
    <w:docVar w:name="LW_EMISSION_ISODATE" w:val="2016-08-24"/>
    <w:docVar w:name="LW_EMISSION_LOCATION" w:val="BRX"/>
    <w:docVar w:name="LW_EMISSION_PREFIX" w:val="Bruxelles, le "/>
    <w:docVar w:name="LW_EMISSION_SUFFIX" w:val=" "/>
    <w:docVar w:name="LW_ID_DOCTYPE_NONLW" w:val="CP-039"/>
    <w:docVar w:name="LW_LANGUE" w:val="FR"/>
    <w:docVar w:name="LW_MARKING" w:val="&lt;UNUSED&gt;"/>
    <w:docVar w:name="LW_NOM.INST" w:val="COMMISSION EUROPÉENNE"/>
    <w:docVar w:name="LW_NOM.INST_JOINTDOC" w:val="&lt;EMPTY&gt;"/>
    <w:docVar w:name="LW_OBJETACTEPRINCIPAL.CP" w:val="_x000b_concernant l'application au cours de l'année 2015 du règlement (CE) n° 1049/2001 relatif à l'accès public aux documents du Parlement européen, du Conseil et de la Commission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6) 533"/>
    <w:docVar w:name="LW_REF.INTERNE" w:val="&lt;UNUSED&gt;"/>
    <w:docVar w:name="LW_SUPERTITRE" w:val="&lt;UNUSED&gt;"/>
    <w:docVar w:name="LW_TITRE.OBJ.CP" w:val="&lt;UNUSED&gt;"/>
    <w:docVar w:name="LW_TYPE.DOC.CP" w:val="ANNEXE_x000b_"/>
    <w:docVar w:name="LW_TYPEACTEPRINCIPAL.CP" w:val="RAPPORT DE LA COMMISSIO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List Bullet 2" w:uiPriority="99"/>
    <w:lsdException w:name="List Bullet 3" w:uiPriority="99"/>
    <w:lsdException w:name="List Bullet 4" w:uiPriority="99"/>
    <w:lsdException w:name="List Number 2" w:uiPriority="99"/>
    <w:lsdException w:name="List Number 3" w:uiPriority="99"/>
    <w:lsdException w:name="List Number 4" w:uiPriority="99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Table Grid 8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7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7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7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7"/>
      </w:num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b/>
      <w:bCs/>
      <w:smallCaps/>
      <w:sz w:val="24"/>
      <w:szCs w:val="32"/>
      <w:lang w:eastAsia="fr-FR"/>
    </w:rPr>
  </w:style>
  <w:style w:type="character" w:customStyle="1" w:styleId="Heading2Char">
    <w:name w:val="Heading 2 Char"/>
    <w:link w:val="Heading2"/>
    <w:uiPriority w:val="9"/>
    <w:rPr>
      <w:b/>
      <w:bCs/>
      <w:iCs/>
      <w:sz w:val="24"/>
      <w:szCs w:val="28"/>
      <w:lang w:eastAsia="fr-FR"/>
    </w:rPr>
  </w:style>
  <w:style w:type="character" w:customStyle="1" w:styleId="Heading3Char">
    <w:name w:val="Heading 3 Char"/>
    <w:link w:val="Heading3"/>
    <w:uiPriority w:val="9"/>
    <w:rPr>
      <w:bCs/>
      <w:i/>
      <w:sz w:val="24"/>
      <w:szCs w:val="26"/>
      <w:lang w:eastAsia="fr-FR"/>
    </w:rPr>
  </w:style>
  <w:style w:type="character" w:customStyle="1" w:styleId="Heading4Char">
    <w:name w:val="Heading 4 Char"/>
    <w:link w:val="Heading4"/>
    <w:uiPriority w:val="9"/>
    <w:rPr>
      <w:bCs/>
      <w:sz w:val="24"/>
      <w:szCs w:val="28"/>
      <w:lang w:eastAsia="fr-FR"/>
    </w:rPr>
  </w:style>
  <w:style w:type="paragraph" w:customStyle="1" w:styleId="Accompagnant">
    <w:name w:val="Accompagnant"/>
    <w:basedOn w:val="Normal"/>
    <w:next w:val="Normal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"/>
  </w:style>
  <w:style w:type="character" w:customStyle="1" w:styleId="Added">
    <w:name w:val="Added"/>
    <w:rPr>
      <w:b/>
      <w:u w:val="single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Normal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Bullet0">
    <w:name w:val="Bullet 0"/>
    <w:basedOn w:val="Normal"/>
    <w:pPr>
      <w:numPr>
        <w:numId w:val="1"/>
      </w:numPr>
    </w:p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Bullet2">
    <w:name w:val="Bullet 2"/>
    <w:basedOn w:val="Normal"/>
    <w:pPr>
      <w:numPr>
        <w:numId w:val="3"/>
      </w:numPr>
    </w:pPr>
  </w:style>
  <w:style w:type="paragraph" w:customStyle="1" w:styleId="Bullet3">
    <w:name w:val="Bullet 3"/>
    <w:basedOn w:val="Normal"/>
    <w:pPr>
      <w:numPr>
        <w:numId w:val="4"/>
      </w:numPr>
    </w:pPr>
  </w:style>
  <w:style w:type="paragraph" w:customStyle="1" w:styleId="Bullet4">
    <w:name w:val="Bullet 4"/>
    <w:basedOn w:val="Normal"/>
    <w:pPr>
      <w:numPr>
        <w:numId w:val="5"/>
      </w:numPr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Normal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Normal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"/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Emission">
    <w:name w:val="Emission"/>
    <w:basedOn w:val="Normal"/>
    <w:next w:val="Normal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Normal"/>
    <w:pPr>
      <w:keepNext/>
      <w:spacing w:after="0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fr-FR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rPr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eastAsia="fr-FR"/>
    </w:rPr>
  </w:style>
  <w:style w:type="paragraph" w:customStyle="1" w:styleId="Formuledadoption">
    <w:name w:val="Formule d'adoption"/>
    <w:basedOn w:val="Normal"/>
    <w:next w:val="Normal"/>
    <w:pPr>
      <w:keepNext/>
    </w:pPr>
  </w:style>
  <w:style w:type="paragraph" w:styleId="Header">
    <w:name w:val="header"/>
    <w:basedOn w:val="Normal"/>
    <w:link w:val="HeaderChar"/>
    <w:uiPriority w:val="99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fr-FR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IntrtEEEPagedecouverture">
    <w:name w:val="Intérêt EEE (Page de couverture)"/>
    <w:basedOn w:val="IntrtEEE"/>
    <w:next w:val="Normal"/>
  </w:style>
  <w:style w:type="paragraph" w:customStyle="1" w:styleId="Langue">
    <w:name w:val="Langue"/>
    <w:basedOn w:val="Normal"/>
    <w:next w:val="Normal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Normal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Normal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"/>
    <w:next w:val="Normal"/>
    <w:pPr>
      <w:ind w:left="850" w:hanging="850"/>
    </w:pPr>
  </w:style>
  <w:style w:type="paragraph" w:customStyle="1" w:styleId="ManualNumPar2">
    <w:name w:val="Manual NumPar 2"/>
    <w:basedOn w:val="Normal"/>
    <w:next w:val="Normal"/>
    <w:pPr>
      <w:ind w:left="850" w:hanging="850"/>
    </w:pPr>
  </w:style>
  <w:style w:type="paragraph" w:customStyle="1" w:styleId="ManualNumPar3">
    <w:name w:val="Manual NumPar 3"/>
    <w:basedOn w:val="Normal"/>
    <w:next w:val="Normal"/>
    <w:pPr>
      <w:ind w:left="850" w:hanging="850"/>
    </w:pPr>
  </w:style>
  <w:style w:type="paragraph" w:customStyle="1" w:styleId="ManualNumPar4">
    <w:name w:val="Manual NumPar 4"/>
    <w:basedOn w:val="Normal"/>
    <w:next w:val="Normal"/>
    <w:pPr>
      <w:ind w:left="850" w:hanging="850"/>
    </w:p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NumPar1">
    <w:name w:val="NumPar 1"/>
    <w:basedOn w:val="Normal"/>
    <w:next w:val="Normal"/>
    <w:pPr>
      <w:numPr>
        <w:numId w:val="8"/>
      </w:numPr>
    </w:pPr>
  </w:style>
  <w:style w:type="paragraph" w:customStyle="1" w:styleId="NumPar2">
    <w:name w:val="NumPar 2"/>
    <w:basedOn w:val="Normal"/>
    <w:next w:val="Normal"/>
    <w:pPr>
      <w:numPr>
        <w:ilvl w:val="1"/>
        <w:numId w:val="8"/>
      </w:numPr>
    </w:pPr>
  </w:style>
  <w:style w:type="paragraph" w:customStyle="1" w:styleId="NumPar3">
    <w:name w:val="NumPar 3"/>
    <w:basedOn w:val="Normal"/>
    <w:next w:val="Normal"/>
    <w:pPr>
      <w:numPr>
        <w:ilvl w:val="2"/>
        <w:numId w:val="8"/>
      </w:numPr>
    </w:pPr>
  </w:style>
  <w:style w:type="paragraph" w:customStyle="1" w:styleId="NumPar4">
    <w:name w:val="NumPar 4"/>
    <w:basedOn w:val="Normal"/>
    <w:next w:val="Normal"/>
    <w:pPr>
      <w:numPr>
        <w:ilvl w:val="3"/>
        <w:numId w:val="8"/>
      </w:numPr>
    </w:pPr>
  </w:style>
  <w:style w:type="paragraph" w:customStyle="1" w:styleId="Objetacteprincipal">
    <w:name w:val="Objet acte principal"/>
    <w:basedOn w:val="Normal"/>
    <w:next w:val="Normal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"/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0letter">
    <w:name w:val="Point 0 (letter)"/>
    <w:basedOn w:val="Normal"/>
    <w:pPr>
      <w:numPr>
        <w:ilvl w:val="1"/>
        <w:numId w:val="9"/>
      </w:numPr>
    </w:pPr>
  </w:style>
  <w:style w:type="paragraph" w:customStyle="1" w:styleId="Point0number">
    <w:name w:val="Point 0 (number)"/>
    <w:basedOn w:val="Normal"/>
    <w:pPr>
      <w:numPr>
        <w:numId w:val="9"/>
      </w:numPr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1letter">
    <w:name w:val="Point 1 (letter)"/>
    <w:basedOn w:val="Normal"/>
    <w:pPr>
      <w:numPr>
        <w:ilvl w:val="3"/>
        <w:numId w:val="9"/>
      </w:numPr>
    </w:pPr>
  </w:style>
  <w:style w:type="paragraph" w:customStyle="1" w:styleId="Point1number">
    <w:name w:val="Point 1 (number)"/>
    <w:basedOn w:val="Normal"/>
    <w:pPr>
      <w:numPr>
        <w:ilvl w:val="2"/>
        <w:numId w:val="9"/>
      </w:numPr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2letter">
    <w:name w:val="Point 2 (letter)"/>
    <w:basedOn w:val="Normal"/>
    <w:pPr>
      <w:numPr>
        <w:ilvl w:val="5"/>
        <w:numId w:val="9"/>
      </w:numPr>
    </w:pPr>
  </w:style>
  <w:style w:type="paragraph" w:customStyle="1" w:styleId="Point2number">
    <w:name w:val="Point 2 (number)"/>
    <w:basedOn w:val="Normal"/>
    <w:pPr>
      <w:tabs>
        <w:tab w:val="num" w:pos="1984"/>
      </w:tabs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3letter">
    <w:name w:val="Point 3 (letter)"/>
    <w:basedOn w:val="Normal"/>
    <w:pPr>
      <w:numPr>
        <w:ilvl w:val="7"/>
        <w:numId w:val="9"/>
      </w:numPr>
    </w:pPr>
  </w:style>
  <w:style w:type="paragraph" w:customStyle="1" w:styleId="Point3number">
    <w:name w:val="Point 3 (number)"/>
    <w:basedOn w:val="Normal"/>
    <w:pPr>
      <w:tabs>
        <w:tab w:val="num" w:pos="2551"/>
      </w:tabs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4letter">
    <w:name w:val="Point 4 (letter)"/>
    <w:basedOn w:val="Normal"/>
    <w:pPr>
      <w:numPr>
        <w:ilvl w:val="8"/>
        <w:numId w:val="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Normal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"/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071"/>
      </w:tabs>
    </w:pPr>
  </w:style>
  <w:style w:type="paragraph" w:styleId="TOCHeading">
    <w:name w:val="TOC Heading"/>
    <w:basedOn w:val="Normal"/>
    <w:next w:val="Normal"/>
    <w:uiPriority w:val="39"/>
    <w:qFormat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styleId="ListBullet">
    <w:name w:val="List Bullet"/>
    <w:basedOn w:val="Normal"/>
    <w:uiPriority w:val="99"/>
    <w:pPr>
      <w:numPr>
        <w:numId w:val="20"/>
      </w:numPr>
    </w:pPr>
    <w:rPr>
      <w:szCs w:val="22"/>
    </w:rPr>
  </w:style>
  <w:style w:type="paragraph" w:styleId="ListBullet2">
    <w:name w:val="List Bullet 2"/>
    <w:basedOn w:val="Normal"/>
    <w:uiPriority w:val="99"/>
    <w:pPr>
      <w:numPr>
        <w:numId w:val="22"/>
      </w:numPr>
    </w:pPr>
    <w:rPr>
      <w:szCs w:val="22"/>
    </w:rPr>
  </w:style>
  <w:style w:type="paragraph" w:styleId="ListBullet3">
    <w:name w:val="List Bullet 3"/>
    <w:basedOn w:val="Normal"/>
    <w:uiPriority w:val="99"/>
    <w:pPr>
      <w:numPr>
        <w:numId w:val="23"/>
      </w:numPr>
    </w:pPr>
    <w:rPr>
      <w:szCs w:val="22"/>
    </w:rPr>
  </w:style>
  <w:style w:type="paragraph" w:styleId="ListBullet4">
    <w:name w:val="List Bullet 4"/>
    <w:basedOn w:val="Normal"/>
    <w:uiPriority w:val="99"/>
    <w:pPr>
      <w:numPr>
        <w:numId w:val="24"/>
      </w:numPr>
    </w:pPr>
    <w:rPr>
      <w:szCs w:val="22"/>
    </w:rPr>
  </w:style>
  <w:style w:type="paragraph" w:styleId="ListNumber">
    <w:name w:val="List Number"/>
    <w:basedOn w:val="Normal"/>
    <w:uiPriority w:val="99"/>
    <w:pPr>
      <w:numPr>
        <w:numId w:val="15"/>
      </w:numPr>
    </w:pPr>
    <w:rPr>
      <w:szCs w:val="22"/>
    </w:rPr>
  </w:style>
  <w:style w:type="paragraph" w:styleId="ListNumber2">
    <w:name w:val="List Number 2"/>
    <w:basedOn w:val="Normal"/>
    <w:uiPriority w:val="99"/>
    <w:pPr>
      <w:numPr>
        <w:numId w:val="17"/>
      </w:numPr>
    </w:pPr>
    <w:rPr>
      <w:szCs w:val="22"/>
    </w:rPr>
  </w:style>
  <w:style w:type="paragraph" w:styleId="ListNumber3">
    <w:name w:val="List Number 3"/>
    <w:basedOn w:val="Normal"/>
    <w:uiPriority w:val="99"/>
    <w:pPr>
      <w:numPr>
        <w:numId w:val="18"/>
      </w:numPr>
    </w:pPr>
    <w:rPr>
      <w:szCs w:val="22"/>
    </w:rPr>
  </w:style>
  <w:style w:type="paragraph" w:styleId="ListNumber4">
    <w:name w:val="List Number 4"/>
    <w:basedOn w:val="Normal"/>
    <w:uiPriority w:val="99"/>
    <w:pPr>
      <w:numPr>
        <w:numId w:val="19"/>
      </w:numPr>
    </w:pPr>
    <w:rPr>
      <w:szCs w:val="22"/>
    </w:rPr>
  </w:style>
  <w:style w:type="paragraph" w:customStyle="1" w:styleId="ListBullet1">
    <w:name w:val="List Bullet 1"/>
    <w:basedOn w:val="Normal"/>
    <w:pPr>
      <w:numPr>
        <w:numId w:val="21"/>
      </w:numPr>
    </w:pPr>
    <w:rPr>
      <w:szCs w:val="22"/>
    </w:rPr>
  </w:style>
  <w:style w:type="paragraph" w:customStyle="1" w:styleId="ListDash">
    <w:name w:val="List Dash"/>
    <w:basedOn w:val="Normal"/>
    <w:pPr>
      <w:numPr>
        <w:numId w:val="25"/>
      </w:numPr>
    </w:pPr>
    <w:rPr>
      <w:szCs w:val="22"/>
    </w:rPr>
  </w:style>
  <w:style w:type="paragraph" w:customStyle="1" w:styleId="ListDash1">
    <w:name w:val="List Dash 1"/>
    <w:basedOn w:val="Normal"/>
    <w:pPr>
      <w:numPr>
        <w:numId w:val="26"/>
      </w:numPr>
    </w:pPr>
    <w:rPr>
      <w:szCs w:val="22"/>
    </w:rPr>
  </w:style>
  <w:style w:type="paragraph" w:customStyle="1" w:styleId="ListDash2">
    <w:name w:val="List Dash 2"/>
    <w:basedOn w:val="Normal"/>
    <w:pPr>
      <w:numPr>
        <w:numId w:val="27"/>
      </w:numPr>
    </w:pPr>
    <w:rPr>
      <w:szCs w:val="22"/>
    </w:rPr>
  </w:style>
  <w:style w:type="paragraph" w:customStyle="1" w:styleId="ListDash3">
    <w:name w:val="List Dash 3"/>
    <w:basedOn w:val="Normal"/>
    <w:pPr>
      <w:numPr>
        <w:numId w:val="28"/>
      </w:numPr>
    </w:pPr>
    <w:rPr>
      <w:szCs w:val="22"/>
    </w:rPr>
  </w:style>
  <w:style w:type="paragraph" w:customStyle="1" w:styleId="ListDash4">
    <w:name w:val="List Dash 4"/>
    <w:basedOn w:val="Normal"/>
    <w:pPr>
      <w:numPr>
        <w:numId w:val="29"/>
      </w:numPr>
    </w:pPr>
    <w:rPr>
      <w:szCs w:val="22"/>
    </w:rPr>
  </w:style>
  <w:style w:type="paragraph" w:customStyle="1" w:styleId="ListNumber1">
    <w:name w:val="List Number 1"/>
    <w:basedOn w:val="Text1"/>
    <w:pPr>
      <w:numPr>
        <w:numId w:val="16"/>
      </w:numPr>
    </w:pPr>
    <w:rPr>
      <w:szCs w:val="22"/>
    </w:rPr>
  </w:style>
  <w:style w:type="paragraph" w:customStyle="1" w:styleId="ListNumberLevel2">
    <w:name w:val="List Number (Level 2)"/>
    <w:basedOn w:val="Normal"/>
    <w:pPr>
      <w:numPr>
        <w:ilvl w:val="1"/>
        <w:numId w:val="15"/>
      </w:numPr>
    </w:pPr>
    <w:rPr>
      <w:szCs w:val="22"/>
    </w:rPr>
  </w:style>
  <w:style w:type="paragraph" w:customStyle="1" w:styleId="ListNumber1Level2">
    <w:name w:val="List Number 1 (Level 2)"/>
    <w:basedOn w:val="Text1"/>
    <w:pPr>
      <w:numPr>
        <w:ilvl w:val="1"/>
        <w:numId w:val="16"/>
      </w:numPr>
    </w:pPr>
    <w:rPr>
      <w:szCs w:val="22"/>
    </w:rPr>
  </w:style>
  <w:style w:type="paragraph" w:customStyle="1" w:styleId="ListNumber2Level2">
    <w:name w:val="List Number 2 (Level 2)"/>
    <w:basedOn w:val="Text2"/>
    <w:pPr>
      <w:numPr>
        <w:ilvl w:val="1"/>
        <w:numId w:val="17"/>
      </w:numPr>
    </w:pPr>
    <w:rPr>
      <w:szCs w:val="22"/>
    </w:rPr>
  </w:style>
  <w:style w:type="paragraph" w:customStyle="1" w:styleId="ListNumber3Level2">
    <w:name w:val="List Number 3 (Level 2)"/>
    <w:basedOn w:val="Text3"/>
    <w:pPr>
      <w:numPr>
        <w:ilvl w:val="1"/>
        <w:numId w:val="18"/>
      </w:numPr>
    </w:pPr>
    <w:rPr>
      <w:szCs w:val="22"/>
    </w:rPr>
  </w:style>
  <w:style w:type="paragraph" w:customStyle="1" w:styleId="ListNumber4Level2">
    <w:name w:val="List Number 4 (Level 2)"/>
    <w:basedOn w:val="Text4"/>
    <w:pPr>
      <w:numPr>
        <w:ilvl w:val="1"/>
        <w:numId w:val="19"/>
      </w:numPr>
    </w:pPr>
    <w:rPr>
      <w:szCs w:val="22"/>
    </w:rPr>
  </w:style>
  <w:style w:type="paragraph" w:customStyle="1" w:styleId="ListNumberLevel3">
    <w:name w:val="List Number (Level 3)"/>
    <w:basedOn w:val="Normal"/>
    <w:pPr>
      <w:numPr>
        <w:ilvl w:val="2"/>
        <w:numId w:val="15"/>
      </w:numPr>
    </w:pPr>
    <w:rPr>
      <w:szCs w:val="22"/>
    </w:rPr>
  </w:style>
  <w:style w:type="paragraph" w:customStyle="1" w:styleId="ListNumber1Level3">
    <w:name w:val="List Number 1 (Level 3)"/>
    <w:basedOn w:val="Text1"/>
    <w:pPr>
      <w:tabs>
        <w:tab w:val="num" w:pos="2977"/>
      </w:tabs>
      <w:ind w:left="2977" w:hanging="709"/>
    </w:pPr>
    <w:rPr>
      <w:szCs w:val="22"/>
    </w:rPr>
  </w:style>
  <w:style w:type="paragraph" w:customStyle="1" w:styleId="ListNumber2Level3">
    <w:name w:val="List Number 2 (Level 3)"/>
    <w:basedOn w:val="Text2"/>
    <w:pPr>
      <w:numPr>
        <w:ilvl w:val="2"/>
        <w:numId w:val="17"/>
      </w:numPr>
    </w:pPr>
    <w:rPr>
      <w:szCs w:val="22"/>
    </w:rPr>
  </w:style>
  <w:style w:type="paragraph" w:customStyle="1" w:styleId="ListNumber3Level3">
    <w:name w:val="List Number 3 (Level 3)"/>
    <w:basedOn w:val="Text3"/>
    <w:pPr>
      <w:numPr>
        <w:ilvl w:val="2"/>
        <w:numId w:val="18"/>
      </w:numPr>
    </w:pPr>
    <w:rPr>
      <w:szCs w:val="22"/>
    </w:rPr>
  </w:style>
  <w:style w:type="paragraph" w:customStyle="1" w:styleId="ListNumber4Level3">
    <w:name w:val="List Number 4 (Level 3)"/>
    <w:basedOn w:val="Text4"/>
    <w:pPr>
      <w:numPr>
        <w:ilvl w:val="2"/>
        <w:numId w:val="19"/>
      </w:numPr>
    </w:pPr>
    <w:rPr>
      <w:szCs w:val="22"/>
    </w:rPr>
  </w:style>
  <w:style w:type="paragraph" w:customStyle="1" w:styleId="ListNumberLevel4">
    <w:name w:val="List Number (Level 4)"/>
    <w:basedOn w:val="Normal"/>
    <w:pPr>
      <w:numPr>
        <w:ilvl w:val="3"/>
        <w:numId w:val="15"/>
      </w:numPr>
    </w:pPr>
    <w:rPr>
      <w:szCs w:val="22"/>
    </w:rPr>
  </w:style>
  <w:style w:type="paragraph" w:customStyle="1" w:styleId="ListNumber1Level4">
    <w:name w:val="List Number 1 (Level 4)"/>
    <w:basedOn w:val="Text1"/>
    <w:pPr>
      <w:numPr>
        <w:ilvl w:val="3"/>
        <w:numId w:val="16"/>
      </w:numPr>
    </w:pPr>
    <w:rPr>
      <w:szCs w:val="22"/>
    </w:rPr>
  </w:style>
  <w:style w:type="paragraph" w:customStyle="1" w:styleId="ListNumber2Level4">
    <w:name w:val="List Number 2 (Level 4)"/>
    <w:basedOn w:val="Text2"/>
    <w:pPr>
      <w:numPr>
        <w:ilvl w:val="3"/>
        <w:numId w:val="17"/>
      </w:numPr>
    </w:pPr>
    <w:rPr>
      <w:szCs w:val="22"/>
    </w:rPr>
  </w:style>
  <w:style w:type="paragraph" w:customStyle="1" w:styleId="ListNumber3Level4">
    <w:name w:val="List Number 3 (Level 4)"/>
    <w:basedOn w:val="Text3"/>
    <w:pPr>
      <w:numPr>
        <w:ilvl w:val="3"/>
        <w:numId w:val="18"/>
      </w:numPr>
    </w:pPr>
    <w:rPr>
      <w:szCs w:val="22"/>
    </w:rPr>
  </w:style>
  <w:style w:type="paragraph" w:customStyle="1" w:styleId="ListNumber4Level4">
    <w:name w:val="List Number 4 (Level 4)"/>
    <w:basedOn w:val="Text4"/>
    <w:pPr>
      <w:numPr>
        <w:ilvl w:val="3"/>
        <w:numId w:val="19"/>
      </w:numPr>
    </w:pPr>
    <w:rPr>
      <w:szCs w:val="22"/>
    </w:r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  <w:rPr>
      <w:szCs w:val="22"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b/>
      <w:szCs w:val="22"/>
    </w:r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  <w:rPr>
      <w:szCs w:val="22"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b/>
      <w:szCs w:val="22"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b/>
      <w:szCs w:val="22"/>
    </w:rPr>
  </w:style>
  <w:style w:type="paragraph" w:customStyle="1" w:styleId="Fichefinanciretextetable">
    <w:name w:val="Fiche financière texte (table)"/>
    <w:basedOn w:val="Normal"/>
    <w:pPr>
      <w:spacing w:before="0" w:after="0"/>
      <w:jc w:val="left"/>
    </w:pPr>
    <w:rPr>
      <w:sz w:val="20"/>
      <w:szCs w:val="20"/>
    </w:rPr>
  </w:style>
  <w:style w:type="paragraph" w:customStyle="1" w:styleId="Fichefinanciretitreactetable">
    <w:name w:val="Fiche financière titre (acte table)"/>
    <w:basedOn w:val="Normal"/>
    <w:next w:val="Normal"/>
    <w:pPr>
      <w:jc w:val="center"/>
    </w:pPr>
    <w:rPr>
      <w:b/>
      <w:sz w:val="40"/>
      <w:szCs w:val="20"/>
    </w:rPr>
  </w:style>
  <w:style w:type="paragraph" w:customStyle="1" w:styleId="Fichefinanciretitretable">
    <w:name w:val="Fiche financière titre (table)"/>
    <w:basedOn w:val="Normal"/>
    <w:pPr>
      <w:jc w:val="center"/>
    </w:pPr>
    <w:rPr>
      <w:b/>
      <w:sz w:val="40"/>
      <w:szCs w:val="20"/>
    </w:rPr>
  </w:style>
  <w:style w:type="paragraph" w:styleId="BlockText">
    <w:name w:val="Block Text"/>
    <w:basedOn w:val="Normal"/>
    <w:uiPriority w:val="99"/>
    <w:pPr>
      <w:spacing w:before="0"/>
      <w:ind w:left="1440" w:righ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  <w:shd w:val="clear" w:color="auto" w:fill="auto"/>
    </w:rPr>
  </w:style>
  <w:style w:type="paragraph" w:customStyle="1" w:styleId="FichedimpactPMEtitre">
    <w:name w:val="Fiche d'impact PME titre"/>
    <w:basedOn w:val="Normal"/>
    <w:next w:val="Normal"/>
    <w:pPr>
      <w:jc w:val="center"/>
    </w:pPr>
    <w:rPr>
      <w:b/>
      <w:szCs w:val="20"/>
    </w:rPr>
  </w:style>
  <w:style w:type="character" w:styleId="Strong">
    <w:name w:val="Strong"/>
    <w:uiPriority w:val="22"/>
    <w:qFormat/>
    <w:rPr>
      <w:b/>
      <w:shd w:val="clear" w:color="auto" w:fill="auto"/>
    </w:rPr>
  </w:style>
  <w:style w:type="character" w:styleId="CommentReference">
    <w:name w:val="annotation reference"/>
    <w:uiPriority w:val="99"/>
    <w:rPr>
      <w:sz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shd w:val="clear" w:color="auto" w:fill="auto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b/>
      <w:bCs/>
      <w:shd w:val="clear" w:color="auto" w:fill="auto"/>
      <w:lang w:eastAsia="fr-FR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shd w:val="clear" w:color="auto" w:fill="auto"/>
      <w:lang w:eastAsia="fr-FR"/>
    </w:rPr>
  </w:style>
  <w:style w:type="paragraph" w:customStyle="1" w:styleId="text20">
    <w:name w:val="text2"/>
    <w:basedOn w:val="Normal"/>
    <w:pPr>
      <w:spacing w:before="100" w:beforeAutospacing="1" w:after="100" w:afterAutospacing="1"/>
      <w:jc w:val="left"/>
    </w:pPr>
    <w:rPr>
      <w:szCs w:val="22"/>
    </w:rPr>
  </w:style>
  <w:style w:type="character" w:customStyle="1" w:styleId="hps">
    <w:name w:val="hps"/>
    <w:rPr>
      <w:rFonts w:cs="Times New Roman"/>
      <w:shd w:val="clear" w:color="auto" w:fill="auto"/>
    </w:rPr>
  </w:style>
  <w:style w:type="character" w:customStyle="1" w:styleId="shorttext">
    <w:name w:val="short_text"/>
    <w:rPr>
      <w:rFonts w:cs="Times New Roman"/>
      <w:shd w:val="clear" w:color="auto" w:fill="auto"/>
    </w:rPr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Pr>
      <w:szCs w:val="22"/>
    </w:rPr>
  </w:style>
  <w:style w:type="character" w:styleId="FollowedHyperlink">
    <w:name w:val="FollowedHyperlink"/>
    <w:uiPriority w:val="99"/>
    <w:rPr>
      <w:color w:val="606420"/>
      <w:u w:val="single"/>
      <w:shd w:val="clear" w:color="auto" w:fill="auto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szCs w:val="22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rPr>
      <w:rFonts w:ascii="Tahoma" w:hAnsi="Tahoma" w:cs="Tahoma"/>
      <w:shd w:val="clear" w:color="auto" w:fill="000080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shd w:val="clear" w:color="auto" w:fill="auto"/>
    </w:rPr>
  </w:style>
  <w:style w:type="character" w:styleId="EndnoteReference">
    <w:name w:val="endnote reference"/>
    <w:rPr>
      <w:vertAlign w:val="superscript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noProof/>
    </w:rPr>
  </w:style>
  <w:style w:type="character" w:customStyle="1" w:styleId="FooterCoverPageChar">
    <w:name w:val="Footer Cover Page Char"/>
    <w:link w:val="FooterCoverPage"/>
    <w:rPr>
      <w:noProof/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  <w:rPr>
      <w:noProof/>
    </w:rPr>
  </w:style>
  <w:style w:type="character" w:customStyle="1" w:styleId="HeaderCoverPageChar">
    <w:name w:val="Header Cover Page Char"/>
    <w:link w:val="HeaderCoverPage"/>
    <w:rPr>
      <w:noProof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shd w:val="clear" w:color="auto" w:fill="auto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E58E-B65E-445B-9498-2686CA4E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1505</Words>
  <Characters>7303</Characters>
  <Application>Microsoft Office Word</Application>
  <DocSecurity>0</DocSecurity>
  <Lines>1043</Lines>
  <Paragraphs>978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BLURIOT-PUEBLA Madeleine (SG)</dc:creator>
  <cp:keywords/>
  <cp:lastModifiedBy>DIGIT/A3</cp:lastModifiedBy>
  <cp:revision>10</cp:revision>
  <cp:lastPrinted>2016-04-18T12:50:00Z</cp:lastPrinted>
  <dcterms:created xsi:type="dcterms:W3CDTF">2016-07-25T12:05:00Z</dcterms:created>
  <dcterms:modified xsi:type="dcterms:W3CDTF">2016-08-23T11:10:00Z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First annex">
    <vt:lpwstr>1</vt:lpwstr>
  </property>
  <property fmtid="{D5CDD505-2E9C-101B-9397-08002B2CF9AE}" pid="6" name="Last annex">
    <vt:lpwstr>1</vt:lpwstr>
  </property>
  <property fmtid="{D5CDD505-2E9C-101B-9397-08002B2CF9AE}" pid="7" name="DocStatus">
    <vt:lpwstr>Green</vt:lpwstr>
  </property>
</Properties>
</file>