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A27DE7FD51B41179E22E9AE4677DFAE" style="width:450.75pt;height:339pt">
            <v:imagedata r:id="rId9" o:title=""/>
          </v:shape>
        </w:pict>
      </w:r>
    </w:p>
    <w:p>
      <w:pPr>
        <w:rPr>
          <w:noProof/>
          <w:color w:val="000000" w:themeColor="text1"/>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color w:val="000000" w:themeColor="text1"/>
        </w:rPr>
      </w:pPr>
      <w:bookmarkStart w:id="0" w:name="_GoBack"/>
      <w:bookmarkEnd w:id="0"/>
      <w:r>
        <w:rPr>
          <w:noProof/>
          <w:color w:val="000000" w:themeColor="text1"/>
        </w:rPr>
        <w:lastRenderedPageBreak/>
        <w:t>ОБЯСНИТЕЛЕН МЕМОРАНДУМ</w:t>
      </w:r>
    </w:p>
    <w:p>
      <w:pPr>
        <w:pStyle w:val="ManualHeading1"/>
        <w:rPr>
          <w:noProof/>
          <w:color w:val="000000" w:themeColor="text1"/>
        </w:rPr>
      </w:pPr>
      <w:r>
        <w:rPr>
          <w:noProof/>
          <w:color w:val="000000" w:themeColor="text1"/>
        </w:rPr>
        <w:t>1.</w:t>
      </w:r>
      <w:r>
        <w:rPr>
          <w:noProof/>
        </w:rPr>
        <w:tab/>
      </w:r>
      <w:r>
        <w:rPr>
          <w:noProof/>
          <w:color w:val="000000" w:themeColor="text1"/>
        </w:rPr>
        <w:t>КОНТЕКСТ НА ПРЕДЛОЖЕНИЕТО</w:t>
      </w:r>
    </w:p>
    <w:p>
      <w:pPr>
        <w:pStyle w:val="ManualHeading2"/>
        <w:rPr>
          <w:rFonts w:eastAsia="Arial Unicode MS"/>
          <w:noProof/>
          <w:color w:val="000000" w:themeColor="text1"/>
        </w:rPr>
      </w:pPr>
      <w:r>
        <w:rPr>
          <w:noProof/>
          <w:color w:val="000000" w:themeColor="text1"/>
          <w:u w:color="000000"/>
          <w:bdr w:val="nil"/>
        </w:rPr>
        <w:t>•</w:t>
      </w:r>
      <w:r>
        <w:rPr>
          <w:noProof/>
        </w:rPr>
        <w:tab/>
      </w:r>
      <w:r>
        <w:rPr>
          <w:noProof/>
          <w:color w:val="000000" w:themeColor="text1"/>
        </w:rPr>
        <w:t>О</w:t>
      </w:r>
      <w:r>
        <w:rPr>
          <w:noProof/>
        </w:rPr>
        <w:t>снования и цели на предложението</w:t>
      </w:r>
    </w:p>
    <w:p>
      <w:pPr>
        <w:rPr>
          <w:noProof/>
        </w:rPr>
      </w:pPr>
      <w:r>
        <w:rPr>
          <w:noProof/>
        </w:rPr>
        <w:t>Идеалите, принципите и ценностите, които са залегнали в европейското културно наследство, представляват за Европа общ източник на историческа памет, разбиране, идентичност, диалог, сближаване и творчество. След приемането на Европейската програма за култура</w:t>
      </w:r>
      <w:r>
        <w:rPr>
          <w:rStyle w:val="FootnoteReference"/>
          <w:rFonts w:eastAsiaTheme="majorEastAsia"/>
          <w:noProof/>
        </w:rPr>
        <w:footnoteReference w:id="1"/>
      </w:r>
      <w:r>
        <w:rPr>
          <w:noProof/>
        </w:rPr>
        <w:t xml:space="preserve"> през 2007 г. културното наследство се счита за приоритет във всички следващи работни планове на Съвета в областта на културата, в това число настоящия план за периода 2015—2018 г.</w:t>
      </w:r>
      <w:r>
        <w:rPr>
          <w:rStyle w:val="FootnoteReference"/>
          <w:noProof/>
        </w:rPr>
        <w:footnoteReference w:id="2"/>
      </w:r>
      <w:r>
        <w:rPr>
          <w:noProof/>
        </w:rPr>
        <w:t xml:space="preserve"> Сътрудничеството на европейско ниво е осъществявано главно чрез отворения метод на координация. През 2014 г. в Заключенията на Съвета относно културното наследство като стратегически ресурс за устойчива Европа</w:t>
      </w:r>
      <w:r>
        <w:rPr>
          <w:rStyle w:val="FootnoteReference"/>
          <w:rFonts w:eastAsiaTheme="majorEastAsia"/>
          <w:noProof/>
        </w:rPr>
        <w:footnoteReference w:id="3"/>
      </w:r>
      <w:r>
        <w:rPr>
          <w:noProof/>
        </w:rPr>
        <w:t xml:space="preserve"> (21 май 2014 г.) и в Съобщението на Комисията „За интегриран подход към културното наследство на Европа“</w:t>
      </w:r>
      <w:r>
        <w:rPr>
          <w:rStyle w:val="FootnoteReference"/>
          <w:rFonts w:eastAsiaTheme="majorEastAsia"/>
          <w:noProof/>
        </w:rPr>
        <w:footnoteReference w:id="4"/>
      </w:r>
      <w:r>
        <w:rPr>
          <w:noProof/>
        </w:rPr>
        <w:t xml:space="preserve"> беше подчертана ролята на политиките в областта на наследството за осигуряването на социални и икономически ползи. Съобщението беше приветствано от Комитета на регионите в неговото Становище от 16 април 2015 г.</w:t>
      </w:r>
      <w:r>
        <w:rPr>
          <w:rStyle w:val="FootnoteReference"/>
          <w:rFonts w:eastAsiaTheme="majorEastAsia"/>
          <w:noProof/>
        </w:rPr>
        <w:footnoteReference w:id="5"/>
      </w:r>
      <w:r>
        <w:rPr>
          <w:noProof/>
        </w:rPr>
        <w:t xml:space="preserve"> и от Европейския парламент, който прие резолюция на 8 септември 2015 г.</w:t>
      </w:r>
      <w:r>
        <w:rPr>
          <w:rStyle w:val="FootnoteReference"/>
          <w:rFonts w:eastAsiaTheme="majorEastAsia"/>
          <w:noProof/>
        </w:rPr>
        <w:footnoteReference w:id="6"/>
      </w:r>
    </w:p>
    <w:p>
      <w:pPr>
        <w:rPr>
          <w:noProof/>
        </w:rPr>
      </w:pPr>
      <w:r>
        <w:rPr>
          <w:noProof/>
        </w:rPr>
        <w:t>По-специално в Заключенията на Съвета относно основано на участието управление на културното наследство, приети на 25 ноември 2014 г.</w:t>
      </w:r>
      <w:r>
        <w:rPr>
          <w:rStyle w:val="FootnoteReference"/>
          <w:noProof/>
        </w:rPr>
        <w:footnoteReference w:id="7"/>
      </w:r>
      <w:r>
        <w:rPr>
          <w:noProof/>
        </w:rPr>
        <w:t>, Комисията се приканва да предложи „Европейска година на културното наследство“. Европейският парламент отправи аналогична покана в своята резолюция и прикани Комисията да „обяви — за предпочитане 2018 г. — за Европейска година на културното наследство“. Комитетът на регионите също се присъедини към този призив в своето Становище и подчерта, че Европейската година на културното наследство би допринесла за осъществяването на общите цели в общоевропейския контекст.</w:t>
      </w:r>
    </w:p>
    <w:p>
      <w:pPr>
        <w:rPr>
          <w:noProof/>
        </w:rPr>
      </w:pPr>
      <w:r>
        <w:rPr>
          <w:noProof/>
        </w:rPr>
        <w:t xml:space="preserve">Както се подчертава в Съобщението на Комисията, приносът на културното наследство към икономическия растеж и социалното сближаване в Европа не е достатъчно добре познат и често е недооценяван. В същото време областта на културното наследство в Европа е изложена на много предизвикателства. Те включват: намаляване на държавния бюджет; намаляване на участието в традиционни културни дейности; увеличаване на натиска върху обектите на културното наследство от заобикалящата среда и на физическия натиск; преобразяване на веригите за създаване на стойност и на </w:t>
      </w:r>
      <w:r>
        <w:rPr>
          <w:noProof/>
        </w:rPr>
        <w:lastRenderedPageBreak/>
        <w:t>очакванията в резултат на преминаването към цифрови технологии; както и незаконния трафик на културни ценности.</w:t>
      </w:r>
    </w:p>
    <w:p>
      <w:pPr>
        <w:rPr>
          <w:noProof/>
        </w:rPr>
      </w:pPr>
      <w:r>
        <w:rPr>
          <w:noProof/>
        </w:rPr>
        <w:t>Основната цел, както при всички тематични европейски години, е да се повиши осведомеността относно предизвикателствата и възможностите и да се подчертае ролята на ЕС в насърчаването на намирането на общи решения. В съответствие с целите на Европейската програма за култура Европейската година на културното наследство следва да има долупосочените общи цели:</w:t>
      </w:r>
    </w:p>
    <w:p>
      <w:pPr>
        <w:pStyle w:val="Tiret0"/>
        <w:numPr>
          <w:ilvl w:val="0"/>
          <w:numId w:val="12"/>
        </w:numPr>
        <w:ind w:left="426" w:hanging="284"/>
        <w:rPr>
          <w:noProof/>
          <w:color w:val="000000" w:themeColor="text1"/>
        </w:rPr>
      </w:pPr>
      <w:r>
        <w:rPr>
          <w:noProof/>
          <w:color w:val="000000" w:themeColor="text1"/>
        </w:rPr>
        <w:t>Тя следва да допринесе за насърчаване на ролята на европейското културно наследство като ключов компонент на културното многообразие и междукултурния диалог. Тя следва да набележи най-добрите средства за неговото съхраняване и опазване, както и за осигуряването на достъп до него за по-широка и по-разнообразна публика. Този аспект включва мерки за подготовка на публиката и обучение в областта на културното наследство при пълно спазване на компетенциите на държавите членки, чрез което ще се насърчават социалното приобщаване и интеграцията;</w:t>
      </w:r>
    </w:p>
    <w:p>
      <w:pPr>
        <w:pStyle w:val="Tiret0"/>
        <w:numPr>
          <w:ilvl w:val="0"/>
          <w:numId w:val="12"/>
        </w:numPr>
        <w:ind w:left="426" w:hanging="284"/>
        <w:rPr>
          <w:noProof/>
          <w:color w:val="000000" w:themeColor="text1"/>
        </w:rPr>
      </w:pPr>
      <w:r>
        <w:rPr>
          <w:noProof/>
          <w:color w:val="000000" w:themeColor="text1"/>
        </w:rPr>
        <w:t>Тя следва да повиши приноса на европейското културно наследство към икономиката и обществото чрез своя пряк и непряк икономически потенциал. Този аспект включва капацитета за подкрепа на културните и творческите индустрии и стимулира творчеството и иновациите, насърчава устойчивия туризъм и създава дългосрочна местна заетост.</w:t>
      </w:r>
    </w:p>
    <w:p>
      <w:pPr>
        <w:pStyle w:val="Tiret0"/>
        <w:numPr>
          <w:ilvl w:val="0"/>
          <w:numId w:val="12"/>
        </w:numPr>
        <w:ind w:left="426" w:hanging="284"/>
        <w:rPr>
          <w:noProof/>
          <w:color w:val="000000" w:themeColor="text1"/>
        </w:rPr>
      </w:pPr>
      <w:r>
        <w:rPr>
          <w:noProof/>
          <w:color w:val="000000" w:themeColor="text1"/>
        </w:rPr>
        <w:t>Тя следва да допринесе за насърчаването на културното наследство като важен елемент на международното измерение на ЕС, като се основава на интереса в партньорските държави към културното наследство и експертните познания на ЕС. Културното наследство играе важна роля в различни програми в областта на външните отношения, главно в Близкия изток, но не само там. Популяризирането на стойността на културното наследство е също така отговор на умишленото унищожаване на културни ценности в зони на конфликти</w:t>
      </w:r>
      <w:r>
        <w:rPr>
          <w:rStyle w:val="FootnoteReference"/>
          <w:rFonts w:eastAsiaTheme="majorEastAsia"/>
          <w:noProof/>
          <w:color w:val="000000" w:themeColor="text1"/>
        </w:rPr>
        <w:footnoteReference w:id="8"/>
      </w:r>
      <w:r>
        <w:rPr>
          <w:noProof/>
          <w:color w:val="000000" w:themeColor="text1"/>
        </w:rPr>
        <w:t>.</w:t>
      </w:r>
    </w:p>
    <w:p>
      <w:pPr>
        <w:rPr>
          <w:noProof/>
        </w:rPr>
      </w:pPr>
      <w:r>
        <w:rPr>
          <w:noProof/>
        </w:rPr>
        <w:t>Европейската година на културното наследство ще предложи възможности за по-добро разбиране на настоящето от европейските граждани чрез по-пълно и съвместно тълкуване на миналото. Тя ще стимулира по-доброто оценяване на социалните и икономическите ползи от културното наследство и на неговия принос към икономическия растеж и социалното сближаване. Този аспект може да се оцени например от гледна точка на насърчаването на устойчивия туризъм и обновяването на градската среда. Европейската година на културното наследство ще подчертае предизвикателствата и възможностите, които се свързват с цифровизацията. Тя ще допринесе също така за работата по установените предизвикателства чрез разпространение на най-добри практики по отношение на опазването, стопанисването, развитието, управлението и научноизследователските и развойни дейности. Ще бъдат откроени последните открития от гледна точка на технологични и социални иновации в областта на културното наследство, както и инициативите на ЕС в тези области.</w:t>
      </w:r>
    </w:p>
    <w:p>
      <w:pPr>
        <w:pBdr>
          <w:top w:val="nil"/>
          <w:left w:val="nil"/>
          <w:bottom w:val="nil"/>
          <w:right w:val="nil"/>
          <w:between w:val="nil"/>
          <w:bar w:val="nil"/>
        </w:pBdr>
        <w:spacing w:before="0" w:after="240"/>
        <w:rPr>
          <w:rFonts w:eastAsia="Arial Unicode MS"/>
          <w:noProof/>
          <w:color w:val="000000" w:themeColor="text1"/>
        </w:rPr>
      </w:pP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t>Съгласуваност със съществуващите разпоредби в тази област на политиката</w:t>
      </w:r>
    </w:p>
    <w:p>
      <w:pPr>
        <w:rPr>
          <w:noProof/>
        </w:rPr>
      </w:pPr>
      <w:r>
        <w:rPr>
          <w:noProof/>
        </w:rPr>
        <w:t>Европейската година на културното наследство ще бъде осъществена чрез действащи програми на ЕС. Понастоящем за културното наследство се предвижда значително финансиране от ЕС по няколко програми за консервация, цифровизация, инфраструктура, научни изследвания и иновации, развитие и умения. Такива програми са „Творческа Европа“; европейските структурни и инвестиционни фондове; „Хоризонт 2020“; „Еразъм +“, както и „Европа за гражданите“. По програма „Творческа Европа“ се финансират три действия на ЕС, които са специално посветени на културното наследство: Дни на европейското наследство, Награда на ЕС за културно наследство и Знак за европейско наследство.</w:t>
      </w:r>
    </w:p>
    <w:p>
      <w:pPr>
        <w:rPr>
          <w:noProof/>
        </w:rPr>
      </w:pPr>
      <w:r>
        <w:rPr>
          <w:noProof/>
        </w:rPr>
        <w:t>Европейската година ще даде възможност за насърчаване на държавите членки и на заинтересованите страни да работят заедно за разработването на по-решителен и по-интегриран подход към културното наследство. Целта на този подход е да се насърчава и защитава културното наследство на Европа и да се увеличи максимално неговата вътрешно присъща и обществена стойност, както и неговият принос за създаването на работни места и за растежа. Този аспект ще се осъществява при пълно спазване на принципа на субсидиарност.</w:t>
      </w:r>
    </w:p>
    <w:p>
      <w:pPr>
        <w:rPr>
          <w:noProof/>
        </w:rPr>
      </w:pPr>
      <w:r>
        <w:rPr>
          <w:noProof/>
        </w:rPr>
        <w:t>Подобно на други тематични европейски години, мерките ще включват кампании, мероприятия и инициативи за информиране и насърчаване на европейско, национално, регионално и местно равнище. Чрез тях ще се предават ключови послания и ще се разпространява информация за примери за добра практика.</w:t>
      </w:r>
    </w:p>
    <w:p>
      <w:pPr>
        <w:rPr>
          <w:noProof/>
          <w:color w:val="000000" w:themeColor="text1"/>
        </w:rPr>
      </w:pPr>
      <w:r>
        <w:rPr>
          <w:noProof/>
        </w:rPr>
        <w:t>Ще бъдат положени всички усилия, за да се гарантира, че дейностите, които се организират през Европейската година, съответстват на нуждите и условията във всяка държава членка. По тази причина държавите членки се приканват да назначат национален координатор, който да отговаря за организирането на тяхното участие в Европейската година на културното наследство</w:t>
      </w:r>
      <w:r>
        <w:rPr>
          <w:noProof/>
          <w:color w:val="000000" w:themeColor="text1"/>
        </w:rPr>
        <w:t>. Ще бъде сформирана европейска ръководна група, включваща представители на националните координатори. Комисията следва да свиква работни срещи на националните координатори с цел координиране на дейностите, свързани с Европейската година, и обмен на информация за изпълнението на национално и европейско равнище.</w:t>
      </w:r>
    </w:p>
    <w:p>
      <w:pPr>
        <w:pBdr>
          <w:top w:val="nil"/>
          <w:left w:val="nil"/>
          <w:bottom w:val="nil"/>
          <w:right w:val="nil"/>
          <w:between w:val="nil"/>
          <w:bar w:val="nil"/>
        </w:pBdr>
        <w:spacing w:before="0" w:after="240"/>
        <w:rPr>
          <w:rFonts w:eastAsia="Arial Unicode MS"/>
          <w:noProof/>
          <w:color w:val="000000" w:themeColor="text1"/>
        </w:rPr>
      </w:pPr>
    </w:p>
    <w:p>
      <w:pPr>
        <w:pStyle w:val="ManualHeading1"/>
        <w:rPr>
          <w:noProof/>
          <w:color w:val="000000" w:themeColor="text1"/>
        </w:rPr>
      </w:pPr>
      <w:r>
        <w:rPr>
          <w:noProof/>
          <w:color w:val="000000" w:themeColor="text1"/>
        </w:rPr>
        <w:t>2.</w:t>
      </w:r>
      <w:r>
        <w:rPr>
          <w:noProof/>
        </w:rPr>
        <w:tab/>
      </w:r>
      <w:r>
        <w:rPr>
          <w:noProof/>
          <w:color w:val="000000" w:themeColor="text1"/>
        </w:rPr>
        <w:t>ПРАВНО ОСНОВАНИЕ, СУБСИДИАРНОСТ И ПРОПОРЦИОНАЛНОСТ</w:t>
      </w: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Правно основание</w:t>
      </w:r>
    </w:p>
    <w:p>
      <w:pPr>
        <w:rPr>
          <w:noProof/>
        </w:rPr>
      </w:pPr>
      <w:r>
        <w:rPr>
          <w:noProof/>
        </w:rPr>
        <w:t>Правното основание на предложението е член 167 от Договора за функционирането на Европейския съюз (ДФЕС). В него се казва, че ЕС „допринася за разцвета на културите на държавите членки, като зачита тяхното национално и регионално многообразие и същевременно извежда на преден план общото културно наследство“. Действията на Съюза са насочени също към „насърчаване на сътрудничеството между държавите членки“ в областта на културата и „ако е необходимо“, към „подкрепа и допълване на техните действия“.</w:t>
      </w:r>
    </w:p>
    <w:p>
      <w:pPr>
        <w:rPr>
          <w:noProof/>
        </w:rPr>
      </w:pP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 xml:space="preserve">Субсидиарност </w:t>
      </w:r>
    </w:p>
    <w:p>
      <w:pPr>
        <w:rPr>
          <w:noProof/>
        </w:rPr>
      </w:pPr>
      <w:r>
        <w:rPr>
          <w:noProof/>
        </w:rPr>
        <w:t>Целите на предложението не могат да бъдат постигнати в достатъчна степен единствено чрез действия, предприемани от държавите членки. Това се дължи на факта, че действията само на национално равнище не биха се възползвали от европейското измерение на обмена на опит и добри практики между държавите членки. В член 3 от Договора за Европейския съюз се казва, че Европейският съюз зачита богатството на културното и езиковото многообразие на своите държави членки и следи за опазването и развитието на европейското културно наследство. Съюзът преследва своите цели чрез подходящи средства, в зависимост от областите на компетентност, които са му предоставени с Договорите. Освен това действията на държавите членки ще се възползват от осведомеността и видимостта, формирани в рамките на ЕС и извън него.</w:t>
      </w:r>
    </w:p>
    <w:p>
      <w:pPr>
        <w:rPr>
          <w:noProof/>
        </w:rPr>
      </w:pP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Пропорционалност</w:t>
      </w:r>
    </w:p>
    <w:p>
      <w:pPr>
        <w:rPr>
          <w:noProof/>
        </w:rPr>
      </w:pPr>
      <w:r>
        <w:rPr>
          <w:noProof/>
        </w:rPr>
        <w:t>Предлага се опростен начин на действие. Той се основава на съществуващите програми и на пренасочване на информационните дейности към темите на Европейската година.Той не налага на изпълняващите предложението административни органи непропорционални ограничения във връзка с управлението.</w:t>
      </w:r>
    </w:p>
    <w:p>
      <w:pPr>
        <w:rPr>
          <w:noProof/>
        </w:rPr>
      </w:pPr>
      <w:r>
        <w:rPr>
          <w:noProof/>
        </w:rPr>
        <w:t>Действията на ЕС ще подкрепят и допълват усилията на държавите членки. Тези действия преди всичко ще повишат ефективността на собствените инструменти на ЕС. Второ, те ще създават възможности, като насърчават синергиите и сътрудничеството между държавите членки, организациите и фондациите в областта на културата и частните и публичните предприятия.</w:t>
      </w:r>
    </w:p>
    <w:p>
      <w:pPr>
        <w:rPr>
          <w:noProof/>
        </w:rPr>
      </w:pPr>
      <w:r>
        <w:rPr>
          <w:noProof/>
        </w:rPr>
        <w:t>Действията на ЕС няма да надхвърлят необходимото за справяне с установените проблеми.</w:t>
      </w:r>
    </w:p>
    <w:p>
      <w:pPr>
        <w:pBdr>
          <w:top w:val="nil"/>
          <w:left w:val="nil"/>
          <w:bottom w:val="nil"/>
          <w:right w:val="nil"/>
          <w:between w:val="nil"/>
          <w:bar w:val="nil"/>
        </w:pBdr>
        <w:spacing w:before="0" w:after="240"/>
        <w:rPr>
          <w:rFonts w:eastAsia="Arial Unicode MS"/>
          <w:noProof/>
          <w:color w:val="000000" w:themeColor="text1"/>
        </w:rPr>
      </w:pP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Избор на инструмент</w:t>
      </w:r>
    </w:p>
    <w:p>
      <w:pPr>
        <w:pStyle w:val="Corpo"/>
        <w:spacing w:before="0" w:after="240"/>
        <w:rPr>
          <w:noProof/>
          <w:color w:val="000000" w:themeColor="text1"/>
        </w:rPr>
      </w:pPr>
      <w:r>
        <w:rPr>
          <w:noProof/>
          <w:color w:val="000000" w:themeColor="text1"/>
        </w:rPr>
        <w:t>Решение на Европейския парламент и на Съвета е най-подходящият инструмент за осигуряване на пълното ангажиране на законодателния орган с обявяването на 2018 година за Европейска година на културното наследство.</w:t>
      </w:r>
    </w:p>
    <w:p>
      <w:pPr>
        <w:pBdr>
          <w:top w:val="nil"/>
          <w:left w:val="nil"/>
          <w:bottom w:val="nil"/>
          <w:right w:val="nil"/>
          <w:between w:val="nil"/>
          <w:bar w:val="nil"/>
        </w:pBdr>
        <w:spacing w:before="0" w:after="240"/>
        <w:rPr>
          <w:rFonts w:eastAsia="Arial Unicode MS"/>
          <w:noProof/>
          <w:color w:val="000000" w:themeColor="text1"/>
        </w:rPr>
      </w:pPr>
    </w:p>
    <w:p>
      <w:pPr>
        <w:pStyle w:val="ManualHeading1"/>
        <w:rPr>
          <w:noProof/>
          <w:color w:val="000000" w:themeColor="text1"/>
        </w:rPr>
      </w:pPr>
      <w:r>
        <w:rPr>
          <w:noProof/>
          <w:color w:val="000000" w:themeColor="text1"/>
        </w:rPr>
        <w:t>3.</w:t>
      </w:r>
      <w:r>
        <w:rPr>
          <w:noProof/>
        </w:rPr>
        <w:tab/>
      </w:r>
      <w:r>
        <w:rPr>
          <w:noProof/>
          <w:color w:val="000000" w:themeColor="text1"/>
        </w:rPr>
        <w:t>РЕЗУЛТАТИ ОТ ПОСЛЕДВАЩИТЕ ОЦЕНКИ, КОНСУЛТАЦИИТЕ СЪС ЗАИНТЕРЕСОВАНИТЕ СТРАНИ И ОЦЕНКИТЕ НА ВЪЗДЕЙСТВИЕТО</w:t>
      </w: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Консултации със заинтересованите страни</w:t>
      </w:r>
    </w:p>
    <w:p>
      <w:pPr>
        <w:rPr>
          <w:noProof/>
        </w:rPr>
      </w:pPr>
      <w:r>
        <w:rPr>
          <w:noProof/>
        </w:rPr>
        <w:t>В хода на изготвянето на своето предложение Комисията проведе поредица от целеви консултации, в които взеха участие широк кръг от заинтересовани страни и които отразяват характера на отрасъла на културното наследство и неговото високо равнище на организация и специализация, компетенциите на държавите членки и ролята на професионалните органи и международните организации. Освен това Комисията специално взе под внимание горепосочените заключения на Съвета, Резолюцията на Европейския парламент и Становището на Комитета на регионите.</w:t>
      </w:r>
    </w:p>
    <w:p>
      <w:pPr>
        <w:rPr>
          <w:noProof/>
        </w:rPr>
      </w:pPr>
      <w:r>
        <w:rPr>
          <w:noProof/>
        </w:rPr>
        <w:t>На равнище ЕС наскоро беше проведен обширен дебат, който оказа благоприятно влияние върху разработването на политиката в областта на културното наследство. Органите, които оказаха съдействие за провеждането на дебата, събраха на едно място институциите, отговарящи за политиките в областта на културното наследство в държавите членки. Сред тях бяха групата за размисъл „ЕС и културното наследство“ и Европейският форум на ръководителите на културното наследство. Други междуправителствени и неправителствени организации, които участваха, бяха Международният съвет на музеите (ICOM), Международният съвет за паметниците на културата и забележителните места (ICOMOS), Международният център за изследване на опазването и възстановяването на културна собственост (ICCROM), Съветът на Европа. Други големи мрежи, които осъществяват активна дейност в тази област, са Europa Nostra, Европейският алианс за културното наследство 3.3</w:t>
      </w:r>
      <w:r>
        <w:rPr>
          <w:rStyle w:val="FootnoteReference"/>
          <w:noProof/>
        </w:rPr>
        <w:footnoteReference w:id="9"/>
      </w:r>
      <w:r>
        <w:rPr>
          <w:noProof/>
        </w:rPr>
        <w:t>, както и Мрежата на европейските музейни организации (NEMO).</w:t>
      </w:r>
    </w:p>
    <w:p>
      <w:pPr>
        <w:rPr>
          <w:noProof/>
          <w:color w:val="000000" w:themeColor="text1"/>
        </w:rPr>
      </w:pPr>
      <w:r>
        <w:rPr>
          <w:noProof/>
          <w:color w:val="000000" w:themeColor="text1"/>
        </w:rPr>
        <w:t>Бяха организирани различни други мероприятия. През април 2015 г. министрите на културата на държавите — членки на Съвета на Европа, приеха Декларацията от Намюр. В нея те приветстваха идеята на Съвета на Европейския съюз да се организира Европейска година на културното наследство. Те призоваха за участие да бъдат поканени Съветът на Европа и всички държави — страни по Европейската културна конвенция.</w:t>
      </w:r>
    </w:p>
    <w:p>
      <w:pPr>
        <w:rPr>
          <w:noProof/>
          <w:color w:val="000000" w:themeColor="text1"/>
        </w:rPr>
      </w:pPr>
      <w:r>
        <w:rPr>
          <w:noProof/>
          <w:color w:val="000000" w:themeColor="text1"/>
        </w:rPr>
        <w:t>На 29 юни 2015 г., в навечерието на 40-та годишнина от провеждането на Европейската година на архитектурното наследство, която беше организирана през 1975 г. под егидата на Съвета на Европа, Германският комитет за културно наследство (</w:t>
      </w:r>
      <w:r>
        <w:rPr>
          <w:i/>
          <w:noProof/>
          <w:color w:val="000000" w:themeColor="text1"/>
        </w:rPr>
        <w:t>Deutsches Nationalkomitee für Denkmalschutz</w:t>
      </w:r>
      <w:r>
        <w:rPr>
          <w:noProof/>
          <w:color w:val="000000" w:themeColor="text1"/>
        </w:rPr>
        <w:t>) проведе в Бон публично обсъждане на предложението за Европейска година заедно със сесията на Комитета за световно наследство.</w:t>
      </w:r>
    </w:p>
    <w:p>
      <w:pPr>
        <w:rPr>
          <w:noProof/>
        </w:rPr>
      </w:pPr>
      <w:r>
        <w:rPr>
          <w:noProof/>
        </w:rPr>
        <w:t>Друго значимо обсъждане беше организирано през месец 2015 г. от офиса на Europa Nostra в Брюксел с избрана група от главни изпълнителни директори на членуващите организации. На своето общо събрание през юни 2015 г. всички членове на Europa Nostra обсъдиха целта на Европейската година на културното наследство и основните действия, които евентуално могат да бъдат осъществени. То беше организирано в Осло в присъствието на представители на Европейската комисия.</w:t>
      </w:r>
    </w:p>
    <w:p>
      <w:pPr>
        <w:rPr>
          <w:noProof/>
        </w:rPr>
      </w:pPr>
      <w:r>
        <w:rPr>
          <w:noProof/>
        </w:rPr>
        <w:t>Консултация със заинтересованите страни беше проведена също така в рамките на отворената работна група EYCH 2018, организирана от Германския комитет за културно наследство и Комисаря за култура и медии на Федералното правителство. Вследствие на консултацията беше приет концептуален документ („Съвместно използване на културното наследство“</w:t>
      </w:r>
      <w:r>
        <w:rPr>
          <w:i/>
          <w:noProof/>
        </w:rPr>
        <w:t xml:space="preserve"> </w:t>
      </w:r>
      <w:r>
        <w:rPr>
          <w:noProof/>
        </w:rPr>
        <w:t>(</w:t>
      </w:r>
      <w:r>
        <w:rPr>
          <w:i/>
          <w:noProof/>
        </w:rPr>
        <w:t>Sharing Heritage</w:t>
      </w:r>
      <w:r>
        <w:rPr>
          <w:rStyle w:val="FootnoteReference"/>
          <w:i/>
          <w:noProof/>
        </w:rPr>
        <w:footnoteReference w:id="10"/>
      </w:r>
      <w:r>
        <w:rPr>
          <w:noProof/>
        </w:rPr>
        <w:t>), който беше взет предвид при изготвянето на настоящото предложение. Обсъждането беше проведено с членове на групата за размисъл „ЕС и културното наследство“, включваща експерти от националните администрации на Белгия, България, Германия, Франция, Гърция, Италия, Люксембург, Латвия, Литва, Нидерландия, Норвегия, Полша, Испания, Швеция, Швейцария и Обединеното кралство. Допълнително участваха експерти от Естония, Австрия, Португалия и Словакия, а също така от различни организации със статут на наблюдатели, включително Европейската мрежа за управление и политика в областта на културата (ENCATC), Europa Nostra, Мрежата на европейските музейни организации и други.</w:t>
      </w:r>
    </w:p>
    <w:p>
      <w:pPr>
        <w:rPr>
          <w:noProof/>
        </w:rPr>
      </w:pPr>
      <w:r>
        <w:rPr>
          <w:noProof/>
        </w:rPr>
        <w:t>На 28 октомври 2015 г. постоянните представителства на Италия и Испания към ЕС организираха в Брюксел семинар на тема „Европейска година на културното наследство: съвместно използване на културното наследство — общо предизвикателство“. Участие взеха организации на заинтересовани страни като Europa Nostra, национални органи и експерти.</w:t>
      </w:r>
    </w:p>
    <w:p>
      <w:pPr>
        <w:rPr>
          <w:noProof/>
        </w:rPr>
      </w:pPr>
      <w:r>
        <w:rPr>
          <w:noProof/>
        </w:rPr>
        <w:t>Предложението беше обсъдено също така на срещи на горепосочената група за размисъл в Люксембург на 23—24 септември 2015 г., в Рим на 30 ноември — 1 декември 2015 г., в Хага на 9 май 2016 г. и на срещата на Европейския форум на ръководителите на културното наследство в Берн на 19—20 май 2016 г.На 19 април 2016 г. се състоя още една дискусия в рамките на Европейския културен форум за 2016 г.</w:t>
      </w:r>
    </w:p>
    <w:p>
      <w:pPr>
        <w:pBdr>
          <w:top w:val="nil"/>
          <w:left w:val="nil"/>
          <w:bottom w:val="nil"/>
          <w:right w:val="nil"/>
          <w:between w:val="nil"/>
          <w:bar w:val="nil"/>
        </w:pBdr>
        <w:spacing w:before="0" w:after="240"/>
        <w:rPr>
          <w:rFonts w:eastAsia="Arial Unicode MS"/>
          <w:noProof/>
          <w:color w:val="000000" w:themeColor="text1"/>
        </w:rPr>
      </w:pP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Събиране и използване на експертни становища</w:t>
      </w:r>
    </w:p>
    <w:p>
      <w:pPr>
        <w:rPr>
          <w:noProof/>
        </w:rPr>
      </w:pPr>
      <w:r>
        <w:rPr>
          <w:noProof/>
        </w:rPr>
        <w:t>Инициативата ще се основава на независими анализи и изследвания, по-специално на доклада „Културното наследство има особено значение за Европа“ (</w:t>
      </w:r>
      <w:r>
        <w:rPr>
          <w:i/>
          <w:noProof/>
        </w:rPr>
        <w:t>Cultural Heritage Counts for Europe</w:t>
      </w:r>
      <w:r>
        <w:rPr>
          <w:noProof/>
        </w:rPr>
        <w:t>)</w:t>
      </w:r>
      <w:r>
        <w:rPr>
          <w:rStyle w:val="FootnoteReference"/>
          <w:rFonts w:eastAsiaTheme="majorEastAsia"/>
          <w:noProof/>
        </w:rPr>
        <w:t xml:space="preserve"> </w:t>
      </w:r>
      <w:r>
        <w:rPr>
          <w:rStyle w:val="FootnoteReference"/>
          <w:rFonts w:eastAsiaTheme="majorEastAsia"/>
          <w:noProof/>
        </w:rPr>
        <w:footnoteReference w:id="11"/>
      </w:r>
      <w:r>
        <w:rPr>
          <w:noProof/>
        </w:rPr>
        <w:t>. Този доклад беше изготвен в резултат на двугодишен мащабен проект, финансиран по програма „Култура“ на ЕС, за събиране на данни за стойността на културното наследство и за неговото въздействие върху икономиката, културата, обществото и околната среда на Европа.</w:t>
      </w:r>
    </w:p>
    <w:p>
      <w:pPr>
        <w:rPr>
          <w:noProof/>
        </w:rPr>
      </w:pPr>
      <w:r>
        <w:rPr>
          <w:noProof/>
        </w:rPr>
        <w:t>Инициативата ще се основава също така на доклада на експертната група по въпросите на културното наследство по програма „Хоризонт 2020“ „Да накараме културното наследство да работи за Европа“ (</w:t>
      </w:r>
      <w:r>
        <w:rPr>
          <w:i/>
          <w:noProof/>
        </w:rPr>
        <w:t>Getting cultural heritage to work for Europe)</w:t>
      </w:r>
      <w:r>
        <w:rPr>
          <w:rStyle w:val="FootnoteReference"/>
          <w:rFonts w:eastAsiaTheme="majorEastAsia"/>
          <w:i/>
          <w:noProof/>
        </w:rPr>
        <w:footnoteReference w:id="12"/>
      </w:r>
      <w:r>
        <w:rPr>
          <w:noProof/>
        </w:rPr>
        <w:t xml:space="preserve"> и на Стратегическия план за научни изследвания, разработен по линия на инициативата за съвместно планиране „Културното наследство и глобалната промяна“</w:t>
      </w:r>
      <w:r>
        <w:rPr>
          <w:rStyle w:val="FootnoteReference"/>
          <w:rFonts w:eastAsiaTheme="majorEastAsia"/>
          <w:noProof/>
        </w:rPr>
        <w:footnoteReference w:id="13"/>
      </w:r>
      <w:r>
        <w:rPr>
          <w:noProof/>
        </w:rPr>
        <w:t>.И накрая, инициативата ще се основава на социалната платформа за културно наследство и европейски идентичности (CULTURALBASE) по програма „Хоризонт 2020“ — многогодишна инициатива за консултация с множество заинтересовани страни</w:t>
      </w:r>
      <w:r>
        <w:rPr>
          <w:rStyle w:val="FootnoteReference"/>
          <w:rFonts w:eastAsiaTheme="majorEastAsia"/>
          <w:noProof/>
        </w:rPr>
        <w:footnoteReference w:id="14"/>
      </w:r>
      <w:r>
        <w:rPr>
          <w:noProof/>
        </w:rPr>
        <w:t>, и ще се ползва от създаването на нови европейски научноизследователски инфраструктури като DARIAH- ERIC (Цифрова научноизследователска инфраструктура за изкуство и хуманитарни науки) и E-RIHS (Европейска научноизследователска инфраструктура за науката, изучаваща културното наследство)</w:t>
      </w:r>
      <w:r>
        <w:rPr>
          <w:rStyle w:val="FootnoteReference"/>
          <w:rFonts w:eastAsiaTheme="majorEastAsia"/>
          <w:noProof/>
        </w:rPr>
        <w:footnoteReference w:id="15"/>
      </w:r>
      <w:r>
        <w:rPr>
          <w:noProof/>
        </w:rPr>
        <w:t>.</w:t>
      </w:r>
    </w:p>
    <w:p>
      <w:pPr>
        <w:rPr>
          <w:noProof/>
        </w:rPr>
      </w:pPr>
      <w:r>
        <w:rPr>
          <w:noProof/>
        </w:rPr>
        <w:t xml:space="preserve">В Работен пакет 9: „Култура и туризъм“ на </w:t>
      </w:r>
      <w:r>
        <w:rPr>
          <w:i/>
          <w:noProof/>
        </w:rPr>
        <w:t>Последващата оценка на програмите на политиката на сближаване за периода 2007—2013 г., съсредоточена върху Европейския фонд за регионално развитие (ЕФРР) и Кохезионния фонд (КФ),</w:t>
      </w:r>
      <w:r>
        <w:rPr>
          <w:noProof/>
        </w:rPr>
        <w:t xml:space="preserve"> беше констатирано, че инвестициите в културата и туризма могат да стимулират икономиката на даден регион и да подобрят социалното приобщаване.</w:t>
      </w:r>
    </w:p>
    <w:p>
      <w:pPr>
        <w:rPr>
          <w:noProof/>
        </w:rPr>
      </w:pPr>
      <w:r>
        <w:rPr>
          <w:noProof/>
        </w:rPr>
        <w:t xml:space="preserve">В </w:t>
      </w:r>
      <w:r>
        <w:rPr>
          <w:i/>
          <w:noProof/>
        </w:rPr>
        <w:t>Последващата оценка на Седмата рамкова програма за периода 2007—2013 г. (7РП)</w:t>
      </w:r>
      <w:r>
        <w:rPr>
          <w:noProof/>
        </w:rPr>
        <w:t xml:space="preserve"> — програмата на ЕС за финансиране на научни изследвания в периода 2007—2013 г. — беше направено заключението, че програмата действително е насърчила високите постижения в научната област и е засилила конкурентоспособността на Европа в сферата на промишлеността. По този начин тя е допринесла за растежа и създаването на работни места в Европа в области, в които обикновено се полагат национални усилия. Подкрепата за научните изследвания по линия на 7РП възлезе на повече от 180 млн. евро и беше насочена към различни аспекти на европейското културно наследство (материално, нематериално и цифрово) по темите „Околна среда“, „Социални и хуманитарни науки“, „Цифрово културно наследство“, „Промишлени технологии“, „Международно сътрудничество“ и „(Е)-инфраструктура“. Тази съществуваща база от знания трябва да се използва по-широко. </w:t>
      </w:r>
    </w:p>
    <w:p>
      <w:pPr>
        <w:pBdr>
          <w:top w:val="nil"/>
          <w:left w:val="nil"/>
          <w:bottom w:val="nil"/>
          <w:right w:val="nil"/>
          <w:between w:val="nil"/>
          <w:bar w:val="nil"/>
        </w:pBdr>
        <w:spacing w:before="0" w:after="240"/>
        <w:rPr>
          <w:rFonts w:eastAsia="Arial Unicode MS"/>
          <w:noProof/>
          <w:color w:val="000000" w:themeColor="text1"/>
        </w:rPr>
      </w:pP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Оценка на въздействието</w:t>
      </w:r>
    </w:p>
    <w:p>
      <w:pPr>
        <w:rPr>
          <w:noProof/>
        </w:rPr>
      </w:pPr>
      <w:r>
        <w:rPr>
          <w:noProof/>
        </w:rPr>
        <w:t>Не е необходима оценка на въздействието, тъй като целите на предложената инициатива попадат в рамките на целите на съществуващи програми на Съюза. Европейската година на културното наследство може да бъде осъществена в рамките на съществуващите бюджетни ограничения, като се използват онези програми, в които е предвидено приоритетите за финансиране да се определят на годишна или многогодишна база. Предложената инициатива няма да задължи Комисията да провежда каквито и да било специални действия от законодателно естество. Тя също така няма да окаже съществено социално или икономическо въздействие или въздействие върху околната среда, надхвърлящо границите на съществуващите инструменти.</w:t>
      </w:r>
    </w:p>
    <w:p>
      <w:pPr>
        <w:rPr>
          <w:rFonts w:eastAsia="Arial Unicode MS"/>
          <w:noProof/>
        </w:rPr>
      </w:pPr>
    </w:p>
    <w:p>
      <w:pPr>
        <w:pStyle w:val="ManualHeading1"/>
        <w:rPr>
          <w:noProof/>
          <w:color w:val="000000" w:themeColor="text1"/>
        </w:rPr>
      </w:pPr>
      <w:r>
        <w:rPr>
          <w:noProof/>
          <w:color w:val="000000" w:themeColor="text1"/>
        </w:rPr>
        <w:t>4.</w:t>
      </w:r>
      <w:r>
        <w:rPr>
          <w:noProof/>
        </w:rPr>
        <w:tab/>
      </w:r>
      <w:r>
        <w:rPr>
          <w:noProof/>
          <w:color w:val="000000" w:themeColor="text1"/>
        </w:rPr>
        <w:t>ОТРАЖЕНИЕ ВЪРХУ БЮДЖЕТА</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Не е необходимо допълнително финансиране за Европейската година. За тази инициатива не е необходим допълнителен бюджет от ЕС. Гъвкавостта, произтичаща от това, че приоритетите в съответните програми се определят на годишна или многогодишна база, е достатъчна, за да се предвиди кампания за повишаване на осведомеността, чийто мащаб ще бъде сходен с този на предходни тематични европейски години.</w:t>
      </w:r>
    </w:p>
    <w:p>
      <w:pPr>
        <w:pBdr>
          <w:top w:val="nil"/>
          <w:left w:val="nil"/>
          <w:bottom w:val="nil"/>
          <w:right w:val="nil"/>
          <w:between w:val="nil"/>
          <w:bar w:val="nil"/>
        </w:pBdr>
        <w:spacing w:before="0" w:after="240"/>
        <w:rPr>
          <w:noProof/>
        </w:rPr>
      </w:pPr>
    </w:p>
    <w:p>
      <w:pPr>
        <w:rPr>
          <w:noProof/>
          <w:color w:val="000000" w:themeColor="text1"/>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2016/0259 (COD)</w:t>
      </w:r>
    </w:p>
    <w:p>
      <w:pPr>
        <w:pStyle w:val="Statut"/>
        <w:rPr>
          <w:noProof/>
        </w:rPr>
      </w:pPr>
      <w:r>
        <w:rPr>
          <w:noProof/>
        </w:rPr>
        <w:t>Предложение за</w:t>
      </w:r>
    </w:p>
    <w:p>
      <w:pPr>
        <w:pStyle w:val="Typedudocument"/>
        <w:rPr>
          <w:noProof/>
        </w:rPr>
      </w:pPr>
      <w:r>
        <w:rPr>
          <w:noProof/>
        </w:rPr>
        <w:t>РЕШЕНИЕ НА ЕВРОПЕЙСКИЯ ПАРЛАМЕНТ И НА СЪВЕТА</w:t>
      </w:r>
    </w:p>
    <w:p>
      <w:pPr>
        <w:pStyle w:val="Titreobjet"/>
        <w:rPr>
          <w:noProof/>
        </w:rPr>
      </w:pPr>
      <w:r>
        <w:rPr>
          <w:noProof/>
        </w:rPr>
        <w:t>относно Европейска година на културното наследство</w:t>
      </w:r>
    </w:p>
    <w:p>
      <w:pPr>
        <w:pStyle w:val="Institutionquiagit"/>
        <w:rPr>
          <w:noProof/>
          <w:color w:val="000000" w:themeColor="text1"/>
        </w:rPr>
      </w:pPr>
      <w:r>
        <w:rPr>
          <w:noProof/>
          <w:color w:val="000000" w:themeColor="text1"/>
        </w:rPr>
        <w:t>ЕВРОПЕЙСКИЯТ ПАРЛАМЕНТ И СЪВЕТЪТ НА ЕВРОПЕЙСКИЯ СЪЮЗ,</w:t>
      </w:r>
    </w:p>
    <w:p>
      <w:pPr>
        <w:rPr>
          <w:noProof/>
          <w:color w:val="000000" w:themeColor="text1"/>
        </w:rPr>
      </w:pPr>
      <w:r>
        <w:rPr>
          <w:noProof/>
          <w:color w:val="000000" w:themeColor="text1"/>
        </w:rPr>
        <w:t>като взеха предвид Договора за функционирането на Европейския съюз (ДФЕС), и по-специално член 167 от него,</w:t>
      </w:r>
    </w:p>
    <w:p>
      <w:pPr>
        <w:rPr>
          <w:noProof/>
          <w:color w:val="000000" w:themeColor="text1"/>
        </w:rPr>
      </w:pPr>
      <w:r>
        <w:rPr>
          <w:noProof/>
          <w:color w:val="000000" w:themeColor="text1"/>
        </w:rPr>
        <w:t>като взеха предвид предложението на Европейската комисия,</w:t>
      </w:r>
    </w:p>
    <w:p>
      <w:pPr>
        <w:rPr>
          <w:noProof/>
          <w:color w:val="000000" w:themeColor="text1"/>
        </w:rPr>
      </w:pPr>
      <w:r>
        <w:rPr>
          <w:noProof/>
          <w:color w:val="000000" w:themeColor="text1"/>
        </w:rPr>
        <w:t>след предаване на проекта на законодателния акт на националните парламенти,</w:t>
      </w:r>
    </w:p>
    <w:p>
      <w:pPr>
        <w:rPr>
          <w:noProof/>
          <w:color w:val="000000" w:themeColor="text1"/>
        </w:rPr>
      </w:pPr>
      <w:r>
        <w:rPr>
          <w:noProof/>
          <w:color w:val="000000" w:themeColor="text1"/>
        </w:rPr>
        <w:t>като взеха предвид становището на Комитета на регионите</w:t>
      </w:r>
      <w:r>
        <w:rPr>
          <w:rStyle w:val="FootnoteReference"/>
          <w:noProof/>
          <w:color w:val="000000" w:themeColor="text1"/>
        </w:rPr>
        <w:footnoteReference w:id="16"/>
      </w:r>
      <w:r>
        <w:rPr>
          <w:noProof/>
          <w:color w:val="000000" w:themeColor="text1"/>
        </w:rPr>
        <w:t xml:space="preserve">, </w:t>
      </w:r>
    </w:p>
    <w:p>
      <w:pPr>
        <w:rPr>
          <w:noProof/>
          <w:color w:val="000000" w:themeColor="text1"/>
        </w:rPr>
      </w:pPr>
      <w:r>
        <w:rPr>
          <w:noProof/>
          <w:color w:val="000000" w:themeColor="text1"/>
        </w:rPr>
        <w:t>в съответствие с обикновената законодателна процедура,</w:t>
      </w:r>
    </w:p>
    <w:p>
      <w:pPr>
        <w:rPr>
          <w:noProof/>
          <w:color w:val="000000" w:themeColor="text1"/>
        </w:rPr>
      </w:pPr>
      <w:r>
        <w:rPr>
          <w:noProof/>
          <w:color w:val="000000" w:themeColor="text1"/>
        </w:rPr>
        <w:t>като имат предвид, че:</w:t>
      </w:r>
    </w:p>
    <w:p>
      <w:pPr>
        <w:pStyle w:val="ManualConsidrant"/>
        <w:rPr>
          <w:noProof/>
        </w:rPr>
      </w:pPr>
      <w:r>
        <w:t>(1)</w:t>
      </w:r>
      <w:r>
        <w:tab/>
      </w:r>
      <w:r>
        <w:rPr>
          <w:noProof/>
        </w:rPr>
        <w:t>Идеалите, принципите и ценностите, които са залегнали в европейското културно наследство, представляват за Европа общ източник на историческа памет, разбиране, идентичност, диалог, сближаване и творчество. Културното наследство играе важна роля в Европейския съюз, както е посочено в преамбюла към Договора за Европейския съюз (ДЕС), където се заявява, че подписалите страни са „вдъхновени от културното, религиозното и хуманистичното наследство на Европа“.</w:t>
      </w:r>
    </w:p>
    <w:p>
      <w:pPr>
        <w:pStyle w:val="ManualConsidrant"/>
        <w:rPr>
          <w:noProof/>
        </w:rPr>
      </w:pPr>
      <w:r>
        <w:t>(2)</w:t>
      </w:r>
      <w:r>
        <w:tab/>
      </w:r>
      <w:r>
        <w:rPr>
          <w:noProof/>
        </w:rPr>
        <w:t>В член 3, параграф 3 от ДЕС се казва, че Европейският съюз зачита богатството на своето културно и езиково многообразие и следи за опазването и развитието на европейското културно наследство.</w:t>
      </w:r>
    </w:p>
    <w:p>
      <w:pPr>
        <w:pStyle w:val="ManualConsidrant"/>
        <w:rPr>
          <w:noProof/>
        </w:rPr>
      </w:pPr>
      <w:r>
        <w:t>(3)</w:t>
      </w:r>
      <w:r>
        <w:tab/>
      </w:r>
      <w:r>
        <w:rPr>
          <w:noProof/>
        </w:rPr>
        <w:t>С член 167, параграф 1 от ДФЕС на Европейския съюз се дава мандатът да „допринася за разцвета на културите на държавите членки, като зачита тяхното национално и регионално многообразие и същевременно извежда на преден план общото културно наследство“. Действията на Съюза следва да бъдат насочени към насърчаване на сътрудничеството между държавите членки и, ако е необходимо — към подкрепа и допълване на техните действия, наред с другото, в областта на подобряването на знанията и разпространяването на културата и историята на европейските народи и в областта на опазването и закрилата на културното наследство от европейско значение (член 167, параграф 2 от ДФЕС).</w:t>
      </w:r>
    </w:p>
    <w:p>
      <w:pPr>
        <w:pStyle w:val="ManualConsidrant"/>
        <w:rPr>
          <w:noProof/>
        </w:rPr>
      </w:pPr>
      <w:r>
        <w:t>(4)</w:t>
      </w:r>
      <w:r>
        <w:tab/>
      </w:r>
      <w:r>
        <w:rPr>
          <w:noProof/>
        </w:rPr>
        <w:t>Както се подчертава от Европейската комисия в нейното съобщение „За интегриран подход към културното наследство на Европа“</w:t>
      </w:r>
      <w:r>
        <w:rPr>
          <w:rStyle w:val="FootnoteReference"/>
          <w:noProof/>
          <w:color w:val="000000" w:themeColor="text1"/>
        </w:rPr>
        <w:footnoteReference w:id="17"/>
      </w:r>
      <w:r>
        <w:rPr>
          <w:noProof/>
        </w:rPr>
        <w:t>, културното наследство трябва да се счита за общ ресурс и общо благо, което се съхранява за бъдещите поколения, като грижите за него са обща отговорност на всички заинтересовани страни.</w:t>
      </w:r>
    </w:p>
    <w:p>
      <w:pPr>
        <w:pStyle w:val="ManualConsidrant"/>
        <w:rPr>
          <w:noProof/>
        </w:rPr>
      </w:pPr>
      <w:r>
        <w:t>(5)</w:t>
      </w:r>
      <w:r>
        <w:tab/>
      </w:r>
      <w:r>
        <w:rPr>
          <w:noProof/>
        </w:rPr>
        <w:t>Културното наследство има голяма стойност за европейското общество от културна, екологична, социална и икономическа гледна точка. Поради това неговото устойчиво управление представлява стратегически избор за 21-ви век, както подчертава Съветът в своите заключения от 21 май 2014 г. относно културното наследство като стратегически ресурс за устойчива Европа</w:t>
      </w:r>
      <w:r>
        <w:rPr>
          <w:rStyle w:val="FootnoteReference"/>
          <w:noProof/>
          <w:color w:val="000000" w:themeColor="text1"/>
        </w:rPr>
        <w:footnoteReference w:id="18"/>
      </w:r>
      <w:r>
        <w:rPr>
          <w:noProof/>
        </w:rPr>
        <w:t>. Неговият принос — от гледна точка на създаването на стойност, уменията и работните места и качеството на живот — е недооценяван.</w:t>
      </w:r>
    </w:p>
    <w:p>
      <w:pPr>
        <w:pStyle w:val="ManualConsidrant"/>
        <w:rPr>
          <w:noProof/>
        </w:rPr>
      </w:pPr>
      <w:r>
        <w:t>(6)</w:t>
      </w:r>
      <w:r>
        <w:tab/>
      </w:r>
      <w:r>
        <w:rPr>
          <w:noProof/>
        </w:rPr>
        <w:t>Културното наследство заема централно място в Европейската програма за култура</w:t>
      </w:r>
      <w:r>
        <w:rPr>
          <w:rStyle w:val="FootnoteReference"/>
          <w:noProof/>
          <w:color w:val="000000" w:themeColor="text1"/>
        </w:rPr>
        <w:footnoteReference w:id="19"/>
      </w:r>
      <w:r>
        <w:rPr>
          <w:noProof/>
        </w:rPr>
        <w:t>. То е един от четирите приоритета за европейско сътрудничество в областта на културата за периода 2015—2018 г., както е посочено в настоящия Работен план за културата, приет от Съвета на 25 ноември 2014 г.</w:t>
      </w:r>
      <w:r>
        <w:rPr>
          <w:rStyle w:val="FootnoteReference"/>
          <w:noProof/>
          <w:color w:val="000000" w:themeColor="text1"/>
        </w:rPr>
        <w:footnoteReference w:id="20"/>
      </w:r>
    </w:p>
    <w:p>
      <w:pPr>
        <w:pStyle w:val="ManualConsidrant"/>
        <w:rPr>
          <w:noProof/>
        </w:rPr>
      </w:pPr>
      <w:r>
        <w:t>(7)</w:t>
      </w:r>
      <w:r>
        <w:tab/>
      </w:r>
      <w:r>
        <w:rPr>
          <w:noProof/>
        </w:rPr>
        <w:t>Културното наследство обхваща широк спектър от „ресурсите, наследени от миналото, във всички форми и аспекти — материални, нематериални и цифрови (създадени като цифрови и цифровизирани), включително паметници, места, пейзажи, умения, практики, познания и изражения на човешкото творчество, както и колекции, съхранени и управлявани от обществени и частни органи като музеи, библиотеки и архиви“, както се казва в горепосочените заключения от 21 май 2014 г.</w:t>
      </w:r>
    </w:p>
    <w:p>
      <w:pPr>
        <w:pStyle w:val="ManualConsidrant"/>
        <w:rPr>
          <w:noProof/>
        </w:rPr>
      </w:pPr>
      <w:r>
        <w:t>(8)</w:t>
      </w:r>
      <w:r>
        <w:tab/>
      </w:r>
      <w:r>
        <w:rPr>
          <w:noProof/>
        </w:rPr>
        <w:t>Културното наследство е създавано с течение на времето чрез сливане и смесване на форми на културно изразяване на различните цивилизации, които са населявали Европа. Европейската година ще спомогне за насърчаване и стимулиране на разбирането за значението на опазването и насърчаването на многообразието от форми на културно изразяване. Един от начините да се постигне това е чрез „програми за образоване и повишаване на съпричастността на обществото“ в съответствие със задълженията по Конвенцията за опазване и насърчаване на многообразието от форми на културно изразяване</w:t>
      </w:r>
      <w:r>
        <w:rPr>
          <w:rStyle w:val="FootnoteReference"/>
          <w:noProof/>
          <w:color w:val="000000" w:themeColor="text1"/>
        </w:rPr>
        <w:footnoteReference w:id="21"/>
      </w:r>
      <w:r>
        <w:rPr>
          <w:noProof/>
        </w:rPr>
        <w:t>, приета от ЮНЕСКО на 20 октомври 2005 г., по която ЕС е страна.</w:t>
      </w:r>
    </w:p>
    <w:p>
      <w:pPr>
        <w:pStyle w:val="ManualConsidrant"/>
        <w:rPr>
          <w:noProof/>
        </w:rPr>
      </w:pPr>
      <w:r>
        <w:t>(9)</w:t>
      </w:r>
      <w:r>
        <w:tab/>
      </w:r>
      <w:r>
        <w:rPr>
          <w:noProof/>
        </w:rPr>
        <w:t>Член 30 („Участие в културния живот, почивка, свободно време и спорт“) от Конвенцията на ООН за правата на хората с увреждания, по която ЕС и повечето от държавите членки са страни, гласи, че държавите — страни по Конвенцията, признават правото на хората с увреждания да участват равноправно с всички останали в културния живот, като предприемат подходящи мерки, за да гарантират, че хората с увреждания имат, наред с другото, достъп до културни представления или услуги, като например театри, музеи, кина, библиотеки и туристически услуги, както и доколкото е възможно, достъп до паметници и обекти от национално културно значение.</w:t>
      </w:r>
    </w:p>
    <w:p>
      <w:pPr>
        <w:pStyle w:val="ManualConsidrant"/>
        <w:rPr>
          <w:noProof/>
          <w:u w:color="000000"/>
        </w:rPr>
      </w:pPr>
      <w:r>
        <w:t>(10)</w:t>
      </w:r>
      <w:r>
        <w:tab/>
      </w:r>
      <w:r>
        <w:rPr>
          <w:noProof/>
        </w:rPr>
        <w:t xml:space="preserve">Европейската награда „Достъпен град“ показа практическата осъществимост и добрите практики в осигуряването на достъп до културното наследство в градовете за хора с увреждания, </w:t>
      </w:r>
      <w:r>
        <w:rPr>
          <w:noProof/>
          <w:color w:val="000000" w:themeColor="text1"/>
          <w:u w:color="000000"/>
        </w:rPr>
        <w:t xml:space="preserve">възрастни хора и хора с ограничена подвижност или други видове временни увреждания </w:t>
      </w:r>
      <w:r>
        <w:rPr>
          <w:noProof/>
        </w:rPr>
        <w:t>по начини, зачитащи същността и ценностите им.</w:t>
      </w:r>
    </w:p>
    <w:p>
      <w:pPr>
        <w:pStyle w:val="ManualConsidrant"/>
        <w:rPr>
          <w:noProof/>
        </w:rPr>
      </w:pPr>
      <w:r>
        <w:t>(11)</w:t>
      </w:r>
      <w:r>
        <w:tab/>
      </w:r>
      <w:r>
        <w:rPr>
          <w:noProof/>
        </w:rPr>
        <w:t>Културното наследство може да изиграе важна роля за сближаването на ниво общност във времена, когато културното многообразие в европейските общества се засилва. Прилагането на нови подходи, при които се стимулира участието, и на нови междукултурни подходи към политиките в областта на културното наследство и образователните инициативи, с които се придава еднакво значение на всяко културно наследство, имат потенциал за засилване на доверието, взаимното признаване и социалното сближаване.</w:t>
      </w:r>
    </w:p>
    <w:p>
      <w:pPr>
        <w:pStyle w:val="ManualConsidrant"/>
        <w:rPr>
          <w:noProof/>
        </w:rPr>
      </w:pPr>
      <w:r>
        <w:t>(12)</w:t>
      </w:r>
      <w:r>
        <w:tab/>
      </w:r>
      <w:r>
        <w:rPr>
          <w:noProof/>
          <w:u w:color="000000"/>
        </w:rPr>
        <w:t>Този аспект се отчита също така в Програмата за устойчиво развитие за периода до 2030 г.</w:t>
      </w:r>
      <w:r>
        <w:rPr>
          <w:rStyle w:val="FootnoteReference"/>
          <w:noProof/>
          <w:color w:val="000000" w:themeColor="text1"/>
          <w:u w:color="000000"/>
        </w:rPr>
        <w:footnoteReference w:id="22"/>
      </w:r>
      <w:r>
        <w:rPr>
          <w:noProof/>
          <w:u w:color="000000"/>
        </w:rPr>
        <w:t>, в която глобалното гражданство, културното многообразие и междукултурният диалог се определят като основните принципи на устойчивото развитие. В нея се признава, че всички култури и цивилизации могат да допринесат за устойчивото развитие и представляват ключови фактори за него. Културата изрично се посочва в някои от целите за устойчиво развитие по Програмата за периода до 2030 г.: например цел 4 (Образование), цел 5 (Равенство между половете), цел 8 и цел 12 във връзка с туризма (Устойчив растеж/Модели на потребление) и по-специално цел 11 (Градове и културно наследство).</w:t>
      </w:r>
    </w:p>
    <w:p>
      <w:pPr>
        <w:pStyle w:val="ManualConsidrant"/>
        <w:rPr>
          <w:noProof/>
        </w:rPr>
      </w:pPr>
      <w:r>
        <w:t>(13)</w:t>
      </w:r>
      <w:r>
        <w:tab/>
      </w:r>
      <w:r>
        <w:rPr>
          <w:noProof/>
        </w:rPr>
        <w:t>Все по-широкото признаване в международен план на необходимостта хората и човешките ценности да бъдат поставени в центъра на едно широко и интердисциплинарно понятие за културното наследство засилва необходимостта от насърчаване на по-широк достъп до културното наследство. Това може да се постигне чрез достигането до различна публика и чрез повишаването на достъпността до места, сгради, продукти и услуги, като се вземат предвид специалните потребности и последиците от демографската промяна.</w:t>
      </w:r>
    </w:p>
    <w:p>
      <w:pPr>
        <w:pStyle w:val="ManualConsidrant"/>
        <w:rPr>
          <w:noProof/>
        </w:rPr>
      </w:pPr>
      <w:r>
        <w:t>(14)</w:t>
      </w:r>
      <w:r>
        <w:tab/>
      </w:r>
      <w:r>
        <w:rPr>
          <w:noProof/>
        </w:rPr>
        <w:t>Политиките за поддържане, възстановяване, консервация, повторно използване, достъпност и популяризиране на културното наследство, както и услугите, свързани с културното наследство, са отговорност предимно на националните, регионалните или местните органи. Въпреки това културното наследство има ясно определено европейско измерение и е засегнато в различни политики на ЕС извън политиките в областта на културата. Сред тези политики са образованието, селското стопанство и развитието на селските райони, регионалното развитие, социалното сближаване, морското дело, околната среда, туризмът, програмата в областта на цифровите технологии, научните изследвания и иновациите, както и комуникацията.</w:t>
      </w:r>
    </w:p>
    <w:p>
      <w:pPr>
        <w:pStyle w:val="ManualConsidrant"/>
        <w:rPr>
          <w:noProof/>
        </w:rPr>
      </w:pPr>
      <w:r>
        <w:t>(15)</w:t>
      </w:r>
      <w:r>
        <w:tab/>
      </w:r>
      <w:r>
        <w:rPr>
          <w:noProof/>
        </w:rPr>
        <w:t>За опазването, развитието и управлението на ресурсите на културното наследство, които засягат различни публични политики, са необходими ефективно многостепенно управление и по-добро междусекторно сътрудничество с оглед на реализирането на техния пълен потенциал за европейските икономики и общества. Това включва всички заинтересовани страни, в това число публични органи, частни лица, организации на гражданското общество, НПО и доброволческия сектор.</w:t>
      </w:r>
    </w:p>
    <w:p>
      <w:pPr>
        <w:pStyle w:val="ManualConsidrant"/>
        <w:rPr>
          <w:noProof/>
        </w:rPr>
      </w:pPr>
      <w:r>
        <w:t>(16)</w:t>
      </w:r>
      <w:r>
        <w:tab/>
      </w:r>
      <w:r>
        <w:rPr>
          <w:noProof/>
        </w:rPr>
        <w:t>В заключенията си от 25 ноември 2014 г.</w:t>
      </w:r>
      <w:r>
        <w:rPr>
          <w:rStyle w:val="FootnoteReference"/>
          <w:noProof/>
          <w:color w:val="000000" w:themeColor="text1"/>
        </w:rPr>
        <w:footnoteReference w:id="23"/>
      </w:r>
      <w:r>
        <w:rPr>
          <w:noProof/>
        </w:rPr>
        <w:t xml:space="preserve"> Съветът прикани Комисията да разгледа възможността за представяне на предложение за Европейска година на културното наследство.</w:t>
      </w:r>
    </w:p>
    <w:p>
      <w:pPr>
        <w:pStyle w:val="ManualConsidrant"/>
        <w:rPr>
          <w:noProof/>
        </w:rPr>
      </w:pPr>
      <w:r>
        <w:t>(17)</w:t>
      </w:r>
      <w:r>
        <w:tab/>
      </w:r>
      <w:r>
        <w:rPr>
          <w:noProof/>
        </w:rPr>
        <w:t>Европейският парламент препоръча в своята резолюция от 8 септември 2015 г. да се обяви — за предпочитане 2018 г. — за Европейска година на културното наследство.</w:t>
      </w:r>
      <w:r>
        <w:rPr>
          <w:rStyle w:val="FootnoteReference"/>
          <w:noProof/>
          <w:color w:val="000000" w:themeColor="text1"/>
        </w:rPr>
        <w:footnoteReference w:id="24"/>
      </w:r>
    </w:p>
    <w:p>
      <w:pPr>
        <w:pStyle w:val="ManualConsidrant"/>
        <w:rPr>
          <w:noProof/>
        </w:rPr>
      </w:pPr>
      <w:r>
        <w:t>(18)</w:t>
      </w:r>
      <w:r>
        <w:tab/>
      </w:r>
      <w:r>
        <w:rPr>
          <w:noProof/>
        </w:rPr>
        <w:t>В становището си от 16 април 2014 г.</w:t>
      </w:r>
      <w:r>
        <w:rPr>
          <w:rStyle w:val="FootnoteReference"/>
          <w:noProof/>
          <w:color w:val="000000" w:themeColor="text1"/>
        </w:rPr>
        <w:footnoteReference w:id="25"/>
      </w:r>
      <w:r>
        <w:rPr>
          <w:noProof/>
        </w:rPr>
        <w:t xml:space="preserve"> Европейският комитет на регионите приветства предложението на Съвета за Европейска година на културното наследство, като подчертава нейния принос за осъществяването на общите цели в общоевропейския контекст.</w:t>
      </w:r>
    </w:p>
    <w:p>
      <w:pPr>
        <w:pStyle w:val="ManualConsidrant"/>
        <w:rPr>
          <w:noProof/>
        </w:rPr>
      </w:pPr>
      <w:r>
        <w:t>(19)</w:t>
      </w:r>
      <w:r>
        <w:tab/>
      </w:r>
      <w:r>
        <w:rPr>
          <w:noProof/>
        </w:rPr>
        <w:t>Обявяването на Европейска година на културното наследство е ефективен начин за повишаването на осведомеността на обществеността, разпространението на информация за добри практики и насърчаването на научните изследвания и иновациите, както и на дебата по политиките. Чрез създаването на среда за едновременно насърчаване на тези цели на равнището на Съюза и на национално, регионално и местно равнище може да се постигнат по-големи синергии и по-добро използване на ресурсите.</w:t>
      </w:r>
    </w:p>
    <w:p>
      <w:pPr>
        <w:pStyle w:val="ManualConsidrant"/>
        <w:rPr>
          <w:noProof/>
        </w:rPr>
      </w:pPr>
      <w:r>
        <w:t>(20)</w:t>
      </w:r>
      <w:r>
        <w:tab/>
      </w:r>
      <w:r>
        <w:rPr>
          <w:noProof/>
        </w:rPr>
        <w:t>Културното наследство е също така една от областите на действие по различни програми в областта на външните отношения главно в Близкия изток, но не само. Популяризирането на стойността на културното наследство е също така отговор на умишленото унищожаване на културни ценности в зони на конфликти</w:t>
      </w:r>
      <w:r>
        <w:rPr>
          <w:rStyle w:val="FootnoteReference"/>
          <w:noProof/>
          <w:color w:val="000000" w:themeColor="text1"/>
        </w:rPr>
        <w:footnoteReference w:id="26"/>
      </w:r>
      <w:r>
        <w:rPr>
          <w:noProof/>
        </w:rPr>
        <w:t>. Ще бъде важно да се постигне допълване между Европейската година на културното наследство и всички инициативи във външните отношения, разработени в подходящите рамки. Действията за защита и насърчаване на културното наследство по линия на съответните инструменти в областта на външните отношения следва, наред с другото, да отразяват взаимния интерес, който се свързва с обмяната на опит и ценности с трети държави. По този начин ще се насърчат взаимното опознаване, зачитането и разбирането на съответните култури.</w:t>
      </w:r>
    </w:p>
    <w:p>
      <w:pPr>
        <w:pStyle w:val="ManualConsidrant"/>
        <w:rPr>
          <w:noProof/>
        </w:rPr>
      </w:pPr>
      <w:r>
        <w:t>(21)</w:t>
      </w:r>
      <w:r>
        <w:tab/>
      </w:r>
      <w:r>
        <w:rPr>
          <w:noProof/>
        </w:rPr>
        <w:t>Макар че адресати на настоящото решение са държавите членки, държавите, обхванати от процеса на разширяване, все пак следва да бъдат тясно свързани с действията в рамките на Европейската година на културното наследство. Също така следва да се положат усилия за включването на държавите, участващи в европейската политика за съседство, както и на други партньорски държави, когато това е целесъобразно. Това може да се осъществи в съответните рамки за сътрудничество и диалог, по-специално в контекста на диалога на гражданското общество между ЕС и въпросните държави.</w:t>
      </w:r>
    </w:p>
    <w:p>
      <w:pPr>
        <w:pStyle w:val="ManualConsidrant"/>
        <w:rPr>
          <w:noProof/>
        </w:rPr>
      </w:pPr>
      <w:r>
        <w:t>(22)</w:t>
      </w:r>
      <w:r>
        <w:tab/>
      </w:r>
      <w:r>
        <w:rPr>
          <w:noProof/>
        </w:rPr>
        <w:t>Аспектите на опазването, консервацията и развитието на европейското културно наследство са включени в целите на съществуващи програми на Съюза. Следователно Европейската година може да бъде осъществена, като се използват тези програми при действащите разпоредби и се определят приоритети за финансиране на годишна или многогодишна база. Програмите и политиките в области като културата, образованието, селското стопанство и развитието на селските райони, регионалното развитие, социалното сближаване, морското дело, околната среда, туризма, стратегията за единен цифров пазар, научните изследвания и иновациите и комуникацията допринасят пряко и непряко за защитата, развитието, иновативното повторно използване и популяризирането на европейското културно наследство и инициативата може да бъде подкрепяна по тях според съответните им правни рамки.</w:t>
      </w:r>
    </w:p>
    <w:p>
      <w:pPr>
        <w:pStyle w:val="ManualConsidrant"/>
        <w:rPr>
          <w:noProof/>
        </w:rPr>
      </w:pPr>
      <w:r>
        <w:t>(23)</w:t>
      </w:r>
      <w:r>
        <w:tab/>
      </w:r>
      <w:r>
        <w:rPr>
          <w:noProof/>
        </w:rPr>
        <w:t>Целта на настоящото решение е да бъдат подкрепени усилията на държавите членки за защита, опазване, развитие, повторно използване и насърчаване на европейското културно наследство. Тъй като това не може да бъде постигнато самостоятелно от държавите членки по задоволителен начин предвид необходимостта от транснационален обмен на информация и разпространението на добри практики в целия Съюз, а може да бъде осъществено в по-голяма степен на ниво Съюз, Европейският съюз може да приеме мерки в съответствие с принципа на субсидиарност, както е посочено в член 5 от Договора за Европейския съюз. В съответствие с принципа на пропорционалност, уреден в същия член, настоящото решение не надхвърля необходимото за постигане на тази цел,</w:t>
      </w:r>
    </w:p>
    <w:p>
      <w:pPr>
        <w:pStyle w:val="Formuledadoption"/>
        <w:rPr>
          <w:noProof/>
          <w:color w:val="000000" w:themeColor="text1"/>
        </w:rPr>
      </w:pPr>
      <w:r>
        <w:rPr>
          <w:noProof/>
          <w:color w:val="000000" w:themeColor="text1"/>
        </w:rPr>
        <w:t>ПРИЕХА НАСТОЯЩОТО РЕШЕНИЕ:</w:t>
      </w:r>
    </w:p>
    <w:p>
      <w:pPr>
        <w:pStyle w:val="Titrearticle"/>
        <w:rPr>
          <w:noProof/>
          <w:color w:val="000000" w:themeColor="text1"/>
        </w:rPr>
      </w:pPr>
      <w:r>
        <w:rPr>
          <w:noProof/>
          <w:color w:val="000000" w:themeColor="text1"/>
        </w:rPr>
        <w:t>Член 1</w:t>
      </w:r>
    </w:p>
    <w:p>
      <w:pPr>
        <w:pStyle w:val="Corpo"/>
        <w:jc w:val="center"/>
        <w:rPr>
          <w:noProof/>
          <w:color w:val="000000" w:themeColor="text1"/>
        </w:rPr>
      </w:pPr>
      <w:r>
        <w:rPr>
          <w:b/>
          <w:noProof/>
          <w:color w:val="000000" w:themeColor="text1"/>
        </w:rPr>
        <w:t>Предмет</w:t>
      </w:r>
    </w:p>
    <w:p>
      <w:pPr>
        <w:pStyle w:val="Corpo"/>
        <w:rPr>
          <w:rFonts w:eastAsia="Arial Unicode MS" w:cs="Arial Unicode MS"/>
          <w:noProof/>
          <w:color w:val="000000" w:themeColor="text1"/>
        </w:rPr>
      </w:pPr>
      <w:r>
        <w:rPr>
          <w:noProof/>
          <w:color w:val="000000" w:themeColor="text1"/>
        </w:rPr>
        <w:t>2018 година се определя за Европейска година на културното наследство (наричана по-долу „Европейската година“).</w:t>
      </w:r>
    </w:p>
    <w:p>
      <w:pPr>
        <w:pStyle w:val="Titrearticle"/>
        <w:rPr>
          <w:i w:val="0"/>
          <w:iCs/>
          <w:noProof/>
          <w:color w:val="000000" w:themeColor="text1"/>
        </w:rPr>
      </w:pPr>
      <w:r>
        <w:rPr>
          <w:noProof/>
          <w:color w:val="000000" w:themeColor="text1"/>
        </w:rPr>
        <w:t>Член 2</w:t>
      </w:r>
    </w:p>
    <w:p>
      <w:pPr>
        <w:pStyle w:val="Corpo"/>
        <w:jc w:val="center"/>
        <w:rPr>
          <w:noProof/>
          <w:color w:val="000000" w:themeColor="text1"/>
        </w:rPr>
      </w:pPr>
      <w:r>
        <w:rPr>
          <w:b/>
          <w:noProof/>
          <w:color w:val="000000" w:themeColor="text1"/>
        </w:rPr>
        <w:t>Цели</w:t>
      </w:r>
    </w:p>
    <w:p>
      <w:pPr>
        <w:pStyle w:val="Corpo"/>
        <w:rPr>
          <w:noProof/>
          <w:color w:val="000000" w:themeColor="text1"/>
        </w:rPr>
      </w:pPr>
      <w:r>
        <w:rPr>
          <w:noProof/>
          <w:color w:val="000000" w:themeColor="text1"/>
        </w:rPr>
        <w:t>1. В съответствие с целите на Европейската програма за култура общите цели на Европейската година са насърчаване и подкрепа — по-специално чрез обмяна на опит и добри практики — на усилията на Съюза, държавите членки и регионалните и местните органи за защита, опазване, повторно използване, развитие, остойностяване и насърчаване на европейското културно наследство в Европейския съюз (ЕС). По-конкретно:</w:t>
      </w:r>
    </w:p>
    <w:p>
      <w:pPr>
        <w:pStyle w:val="Point0"/>
        <w:rPr>
          <w:noProof/>
          <w:color w:val="000000" w:themeColor="text1"/>
        </w:rPr>
      </w:pPr>
      <w:r>
        <w:rPr>
          <w:noProof/>
          <w:color w:val="000000" w:themeColor="text1"/>
        </w:rPr>
        <w:t>а)</w:t>
      </w:r>
      <w:r>
        <w:rPr>
          <w:noProof/>
        </w:rPr>
        <w:tab/>
        <w:t>Тя ще допринесе за насърчаването на ролята на европейското културно наследство като ключов компонент на културното многообразие и междукултурния диалог.</w:t>
      </w:r>
      <w:r>
        <w:rPr>
          <w:noProof/>
          <w:color w:val="000000" w:themeColor="text1"/>
        </w:rPr>
        <w:t xml:space="preserve"> Тя следва да набележи най-добрите средства за неговото съхраняване и опазване, както и за осигуряването на достъп до него за по-широка и по-разнообразна публика. Този аспект включва мерки за увеличаване на публиката и обучение в областта на културното наследство при пълно спазване на компетенциите на държавите членки, чрез което ще се насърчават социалното приобщаване и интеграцията;</w:t>
      </w:r>
    </w:p>
    <w:p>
      <w:pPr>
        <w:pStyle w:val="Point0"/>
        <w:rPr>
          <w:noProof/>
          <w:color w:val="000000" w:themeColor="text1"/>
        </w:rPr>
      </w:pPr>
      <w:r>
        <w:rPr>
          <w:noProof/>
          <w:color w:val="000000" w:themeColor="text1"/>
        </w:rPr>
        <w:t>б)</w:t>
      </w:r>
      <w:r>
        <w:rPr>
          <w:noProof/>
        </w:rPr>
        <w:tab/>
      </w:r>
      <w:r>
        <w:rPr>
          <w:noProof/>
          <w:color w:val="000000" w:themeColor="text1"/>
        </w:rPr>
        <w:t>Тя ще способства за повишаването на приноса на европейското културно наследство към икономиката и обществото чрез своя пряк и непряк икономически потенциал. Този аспект включва капацитета за подкрепа на културните и творческите индустрии и стимулира творчеството и иновациите, насърчава устойчивия туризъм, засилва социалното сближаване и създава дългосрочна заетост;</w:t>
      </w:r>
    </w:p>
    <w:p>
      <w:pPr>
        <w:pStyle w:val="Point0"/>
        <w:rPr>
          <w:noProof/>
          <w:color w:val="000000" w:themeColor="text1"/>
          <w:u w:color="0000FF"/>
        </w:rPr>
      </w:pPr>
      <w:r>
        <w:rPr>
          <w:noProof/>
        </w:rPr>
        <w:t>в)</w:t>
      </w:r>
      <w:r>
        <w:rPr>
          <w:noProof/>
        </w:rPr>
        <w:tab/>
        <w:t>Тя ще допринесе за насърчаване на културното наследство като важен елемент на международното измерение на Съюза, като се основава на интереса в партньорските държави към културното наследство и експертните познания на Европа.</w:t>
      </w:r>
    </w:p>
    <w:p>
      <w:pPr>
        <w:pStyle w:val="Corpo"/>
        <w:rPr>
          <w:noProof/>
          <w:color w:val="000000" w:themeColor="text1"/>
        </w:rPr>
      </w:pPr>
      <w:r>
        <w:rPr>
          <w:noProof/>
          <w:color w:val="000000" w:themeColor="text1"/>
        </w:rPr>
        <w:t>2. Конкретните цели на Европейската година на културното наследство са:</w:t>
      </w:r>
    </w:p>
    <w:p>
      <w:pPr>
        <w:pStyle w:val="Point0"/>
        <w:rPr>
          <w:noProof/>
          <w:color w:val="000000" w:themeColor="text1"/>
        </w:rPr>
      </w:pPr>
      <w:r>
        <w:rPr>
          <w:noProof/>
          <w:color w:val="000000" w:themeColor="text1"/>
        </w:rPr>
        <w:t>а)</w:t>
      </w:r>
      <w:r>
        <w:rPr>
          <w:noProof/>
        </w:rPr>
        <w:tab/>
        <w:t xml:space="preserve">да </w:t>
      </w:r>
      <w:r>
        <w:rPr>
          <w:noProof/>
          <w:color w:val="000000" w:themeColor="text1"/>
        </w:rPr>
        <w:t>насърчава подходи, които са ориентирани към хората, приобщаващи, с поглед в бъдещето, по-интегрирани и междусекторни, за да може културното наследство да бъде достъпно за всички и да се осигурят неговото опазване, консервация, иновативно повторно използване и развитие;</w:t>
      </w:r>
    </w:p>
    <w:p>
      <w:pPr>
        <w:pStyle w:val="Point0"/>
        <w:rPr>
          <w:noProof/>
          <w:color w:val="000000" w:themeColor="text1"/>
        </w:rPr>
      </w:pPr>
      <w:r>
        <w:rPr>
          <w:noProof/>
          <w:color w:val="000000" w:themeColor="text1"/>
        </w:rPr>
        <w:t>б)</w:t>
      </w:r>
      <w:r>
        <w:rPr>
          <w:noProof/>
        </w:rPr>
        <w:tab/>
        <w:t xml:space="preserve">да </w:t>
      </w:r>
      <w:r>
        <w:rPr>
          <w:noProof/>
          <w:color w:val="000000" w:themeColor="text1"/>
        </w:rPr>
        <w:t>насърчава иновативни модели на многостепенно управление и стопанисване на културното наследство, включващи всички заинтересовани страни, в това число публичните органи, частни лица, организации на гражданското общество, НПО и доброволческия сектор;</w:t>
      </w:r>
    </w:p>
    <w:p>
      <w:pPr>
        <w:pStyle w:val="Point0"/>
        <w:rPr>
          <w:noProof/>
          <w:color w:val="000000" w:themeColor="text1"/>
        </w:rPr>
      </w:pPr>
      <w:r>
        <w:rPr>
          <w:noProof/>
          <w:color w:val="000000" w:themeColor="text1"/>
        </w:rPr>
        <w:t>в)</w:t>
      </w:r>
      <w:r>
        <w:rPr>
          <w:noProof/>
        </w:rPr>
        <w:tab/>
        <w:t xml:space="preserve">да </w:t>
      </w:r>
      <w:r>
        <w:rPr>
          <w:noProof/>
          <w:color w:val="000000" w:themeColor="text1"/>
        </w:rPr>
        <w:t>насърчава дебата, научноизследователските и развойни дейности и обмена на добри практики във връзка с качеството на консервацията и опазването на културното наследство и със съвременни интервенции по историческите забележителности, както и да насърчава решения, които са достъпни за всички, включително за хората с увреждания;</w:t>
      </w:r>
    </w:p>
    <w:p>
      <w:pPr>
        <w:pStyle w:val="Point0"/>
        <w:rPr>
          <w:noProof/>
          <w:color w:val="000000" w:themeColor="text1"/>
        </w:rPr>
      </w:pPr>
      <w:r>
        <w:rPr>
          <w:noProof/>
          <w:color w:val="000000" w:themeColor="text1"/>
        </w:rPr>
        <w:t>г)</w:t>
      </w:r>
      <w:r>
        <w:rPr>
          <w:noProof/>
        </w:rPr>
        <w:tab/>
        <w:t xml:space="preserve">да </w:t>
      </w:r>
      <w:r>
        <w:rPr>
          <w:noProof/>
          <w:color w:val="000000" w:themeColor="text1"/>
        </w:rPr>
        <w:t>подчертава и стимулира положителния принос на културното наследство към обществото и икономиката чрез научни изследвания и иновации, включително доказателствена база данни на равнище ЕС, и чрез разработване на показатели и еталони;</w:t>
      </w:r>
    </w:p>
    <w:p>
      <w:pPr>
        <w:pStyle w:val="Point0"/>
        <w:rPr>
          <w:noProof/>
          <w:color w:val="000000" w:themeColor="text1"/>
        </w:rPr>
      </w:pPr>
      <w:r>
        <w:rPr>
          <w:noProof/>
          <w:color w:val="000000" w:themeColor="text1"/>
        </w:rPr>
        <w:t>д)</w:t>
      </w:r>
      <w:r>
        <w:rPr>
          <w:noProof/>
        </w:rPr>
        <w:tab/>
        <w:t xml:space="preserve">да </w:t>
      </w:r>
      <w:r>
        <w:rPr>
          <w:noProof/>
          <w:color w:val="000000" w:themeColor="text1"/>
        </w:rPr>
        <w:t>насърчава стратегии за местно развитие, използващи потенциала на културното наследство, включително чрез насърчаване на устойчивия културен туризъм;</w:t>
      </w:r>
    </w:p>
    <w:p>
      <w:pPr>
        <w:pStyle w:val="Point0"/>
        <w:rPr>
          <w:noProof/>
          <w:color w:val="000000" w:themeColor="text1"/>
        </w:rPr>
      </w:pPr>
      <w:r>
        <w:rPr>
          <w:noProof/>
          <w:color w:val="000000" w:themeColor="text1"/>
        </w:rPr>
        <w:t>е)</w:t>
      </w:r>
      <w:r>
        <w:rPr>
          <w:noProof/>
        </w:rPr>
        <w:tab/>
        <w:t xml:space="preserve">да </w:t>
      </w:r>
      <w:r>
        <w:rPr>
          <w:noProof/>
          <w:color w:val="000000" w:themeColor="text1"/>
        </w:rPr>
        <w:t>подкрепя развитието на специализирани умения и подобряването на управлението на знанията и трансфера на знания в отрасъла на културното наследство, като се вземат предвид последиците от преминаването към цифрови технологии;</w:t>
      </w:r>
    </w:p>
    <w:p>
      <w:pPr>
        <w:pStyle w:val="Point0"/>
        <w:rPr>
          <w:noProof/>
          <w:color w:val="000000" w:themeColor="text1"/>
        </w:rPr>
      </w:pPr>
      <w:r>
        <w:rPr>
          <w:noProof/>
          <w:color w:val="000000" w:themeColor="text1"/>
        </w:rPr>
        <w:t>ж)</w:t>
      </w:r>
      <w:r>
        <w:rPr>
          <w:noProof/>
        </w:rPr>
        <w:tab/>
        <w:t xml:space="preserve">да </w:t>
      </w:r>
      <w:r>
        <w:rPr>
          <w:noProof/>
          <w:color w:val="000000" w:themeColor="text1"/>
        </w:rPr>
        <w:t>насърчава културното наследство като източник на вдъхновение за съвременното творчество и иновации и подчертава потенциала за взаимно черпене от опита и засилено взаимодействие между културните и творческите отрасли и общности и отрасъла на културното наследство;</w:t>
      </w:r>
    </w:p>
    <w:p>
      <w:pPr>
        <w:pStyle w:val="Point0"/>
        <w:rPr>
          <w:noProof/>
          <w:color w:val="000000" w:themeColor="text1"/>
        </w:rPr>
      </w:pPr>
      <w:r>
        <w:rPr>
          <w:noProof/>
          <w:color w:val="000000" w:themeColor="text1"/>
        </w:rPr>
        <w:t>з)</w:t>
      </w:r>
      <w:r>
        <w:rPr>
          <w:noProof/>
        </w:rPr>
        <w:tab/>
        <w:t xml:space="preserve">да </w:t>
      </w:r>
      <w:r>
        <w:rPr>
          <w:noProof/>
          <w:color w:val="000000" w:themeColor="text1"/>
        </w:rPr>
        <w:t>повишава осведомеността за значението на европейското културно наследство чрез образование и учене през целия живот, по-специално чрез насочване към младите хора и местните общности;</w:t>
      </w:r>
    </w:p>
    <w:p>
      <w:pPr>
        <w:pStyle w:val="Point0"/>
        <w:rPr>
          <w:noProof/>
          <w:color w:val="000000" w:themeColor="text1"/>
        </w:rPr>
      </w:pPr>
      <w:r>
        <w:rPr>
          <w:noProof/>
          <w:color w:val="000000" w:themeColor="text1"/>
        </w:rPr>
        <w:t>и)</w:t>
      </w:r>
      <w:r>
        <w:rPr>
          <w:noProof/>
        </w:rPr>
        <w:tab/>
        <w:t xml:space="preserve">да </w:t>
      </w:r>
      <w:r>
        <w:rPr>
          <w:noProof/>
          <w:color w:val="000000" w:themeColor="text1"/>
        </w:rPr>
        <w:t xml:space="preserve">подчертава потенциала на международното сътрудничество по въпроси в областта на културното наследство за създаването на по-силни връзки с държави извън ЕС и да насърчава междукултурния диалог, помиряването след конфликти и предотвратяването на конфликти; </w:t>
      </w:r>
    </w:p>
    <w:p>
      <w:pPr>
        <w:pStyle w:val="Point0"/>
        <w:rPr>
          <w:noProof/>
          <w:color w:val="000000" w:themeColor="text1"/>
          <w:spacing w:val="-4"/>
        </w:rPr>
      </w:pPr>
      <w:r>
        <w:rPr>
          <w:noProof/>
          <w:color w:val="000000" w:themeColor="text1"/>
        </w:rPr>
        <w:t>й)</w:t>
      </w:r>
      <w:r>
        <w:rPr>
          <w:noProof/>
        </w:rPr>
        <w:tab/>
      </w:r>
      <w:r>
        <w:rPr>
          <w:noProof/>
          <w:spacing w:val="-4"/>
        </w:rPr>
        <w:t xml:space="preserve">да </w:t>
      </w:r>
      <w:r>
        <w:rPr>
          <w:noProof/>
          <w:color w:val="000000" w:themeColor="text1"/>
          <w:spacing w:val="-4"/>
        </w:rPr>
        <w:t>насърчава научните изследвания и иновациите в областта на културното наследство; да способства за усвояването и използването на резултатите от научните изследвания от всички заинтересовани страни, по-специално публичните органи и частния сектор, както и да способства за разпространението на резултатите от научните изследвания сред по-широка публика; както и</w:t>
      </w:r>
    </w:p>
    <w:p>
      <w:pPr>
        <w:pStyle w:val="Point0"/>
        <w:rPr>
          <w:noProof/>
          <w:color w:val="000000" w:themeColor="text1"/>
        </w:rPr>
      </w:pPr>
      <w:r>
        <w:rPr>
          <w:noProof/>
          <w:color w:val="000000" w:themeColor="text1"/>
        </w:rPr>
        <w:t>к)</w:t>
      </w:r>
      <w:r>
        <w:rPr>
          <w:noProof/>
        </w:rPr>
        <w:tab/>
        <w:t xml:space="preserve">да </w:t>
      </w:r>
      <w:r>
        <w:rPr>
          <w:noProof/>
          <w:color w:val="000000" w:themeColor="text1"/>
        </w:rPr>
        <w:t>насърчава синергиите между Съюза и държавите членки, в това число засилване на инициативите за предотвратяване на незаконния трафик на културни ценности.</w:t>
      </w:r>
    </w:p>
    <w:p>
      <w:pPr>
        <w:pStyle w:val="Titrearticle"/>
        <w:rPr>
          <w:i w:val="0"/>
          <w:iCs/>
          <w:noProof/>
          <w:color w:val="000000" w:themeColor="text1"/>
        </w:rPr>
      </w:pPr>
      <w:r>
        <w:rPr>
          <w:noProof/>
          <w:color w:val="000000" w:themeColor="text1"/>
        </w:rPr>
        <w:t>Член 3</w:t>
      </w:r>
    </w:p>
    <w:p>
      <w:pPr>
        <w:pStyle w:val="Corpo"/>
        <w:jc w:val="center"/>
        <w:rPr>
          <w:noProof/>
          <w:color w:val="000000" w:themeColor="text1"/>
        </w:rPr>
      </w:pPr>
      <w:r>
        <w:rPr>
          <w:b/>
          <w:noProof/>
          <w:color w:val="000000" w:themeColor="text1"/>
        </w:rPr>
        <w:t>Съдържание на мерките</w:t>
      </w:r>
    </w:p>
    <w:p>
      <w:pPr>
        <w:pStyle w:val="Corpo"/>
        <w:rPr>
          <w:noProof/>
          <w:color w:val="000000" w:themeColor="text1"/>
        </w:rPr>
      </w:pPr>
      <w:r>
        <w:rPr>
          <w:noProof/>
          <w:color w:val="000000" w:themeColor="text1"/>
        </w:rPr>
        <w:t>1. Мерките, които трябва да се вземат за осъществяване на целите, определени в член 2, включват следните дейности на европейско, национално, регионално или местно равнище, свързани с целите на Европейската година:</w:t>
      </w:r>
    </w:p>
    <w:p>
      <w:pPr>
        <w:pStyle w:val="Point0"/>
        <w:rPr>
          <w:noProof/>
          <w:spacing w:val="-4"/>
        </w:rPr>
      </w:pPr>
      <w:r>
        <w:rPr>
          <w:noProof/>
        </w:rPr>
        <w:t>а)</w:t>
      </w:r>
      <w:r>
        <w:rPr>
          <w:noProof/>
        </w:rPr>
        <w:tab/>
      </w:r>
      <w:r>
        <w:rPr>
          <w:noProof/>
          <w:spacing w:val="-4"/>
        </w:rPr>
        <w:t>конференции, мероприятия и инициативи за насърчаване на дебата и повишаване на осведомеността за значението и стойността на културното наследство и за улесняване на комуникацията с гражданите и заинтересованите страни;</w:t>
      </w:r>
    </w:p>
    <w:p>
      <w:pPr>
        <w:pStyle w:val="Point0"/>
        <w:rPr>
          <w:noProof/>
        </w:rPr>
      </w:pPr>
      <w:r>
        <w:rPr>
          <w:noProof/>
        </w:rPr>
        <w:t>б)</w:t>
      </w:r>
      <w:r>
        <w:rPr>
          <w:noProof/>
        </w:rPr>
        <w:tab/>
        <w:t>информационни и образователни кампании и кампании за повишаване на осведомеността, целящи предаването на ценности като многообразието и междукултурния диалог, с използване на доказателства от богатото културно наследство на Европа, и за стимулиране на приноса на широката общественост за защитата и стопанисването на културното наследство и в по-общ план за постигането на целите на Европейската година;</w:t>
      </w:r>
    </w:p>
    <w:p>
      <w:pPr>
        <w:pStyle w:val="Point0"/>
        <w:rPr>
          <w:noProof/>
        </w:rPr>
      </w:pPr>
      <w:r>
        <w:rPr>
          <w:noProof/>
        </w:rPr>
        <w:t>в)</w:t>
      </w:r>
      <w:r>
        <w:rPr>
          <w:noProof/>
        </w:rPr>
        <w:tab/>
        <w:t>споделяне на опита и добрите практики на национални, регионални и местни администрации и други организации във връзка с разпространението на информация за културното наследство; както и</w:t>
      </w:r>
    </w:p>
    <w:p>
      <w:pPr>
        <w:pStyle w:val="Point0"/>
        <w:rPr>
          <w:noProof/>
        </w:rPr>
      </w:pPr>
      <w:r>
        <w:rPr>
          <w:noProof/>
        </w:rPr>
        <w:t>г)</w:t>
      </w:r>
      <w:r>
        <w:rPr>
          <w:noProof/>
        </w:rPr>
        <w:tab/>
        <w:t>провеждане на проучвания и научноизследователски и иновационни дейности и разпространение на техните резултати в европейски и национален мащаб.</w:t>
      </w:r>
    </w:p>
    <w:p>
      <w:pPr>
        <w:pStyle w:val="Corpo"/>
        <w:rPr>
          <w:noProof/>
          <w:color w:val="000000" w:themeColor="text1"/>
        </w:rPr>
      </w:pPr>
      <w:r>
        <w:rPr>
          <w:noProof/>
          <w:color w:val="000000" w:themeColor="text1"/>
        </w:rPr>
        <w:t>2. Комисията и държавите членки могат да определят други дейности, които биха могли да допринесат за целите на Европейската година, определени в член 2, и да позволят наименованието на Европейската година да се използва за тяхното популяризиране, доколкото те допринасят за постигането на тези цели.</w:t>
      </w:r>
    </w:p>
    <w:p>
      <w:pPr>
        <w:pStyle w:val="Titrearticle"/>
        <w:rPr>
          <w:i w:val="0"/>
          <w:iCs/>
          <w:noProof/>
          <w:color w:val="000000" w:themeColor="text1"/>
        </w:rPr>
      </w:pPr>
      <w:r>
        <w:rPr>
          <w:noProof/>
          <w:color w:val="000000" w:themeColor="text1"/>
        </w:rPr>
        <w:t>Член 4</w:t>
      </w:r>
    </w:p>
    <w:p>
      <w:pPr>
        <w:pStyle w:val="Corpo"/>
        <w:jc w:val="center"/>
        <w:rPr>
          <w:noProof/>
          <w:color w:val="000000" w:themeColor="text1"/>
        </w:rPr>
      </w:pPr>
      <w:r>
        <w:rPr>
          <w:b/>
          <w:noProof/>
          <w:color w:val="000000" w:themeColor="text1"/>
        </w:rPr>
        <w:t>Координация на национално равнище</w:t>
      </w:r>
    </w:p>
    <w:p>
      <w:pPr>
        <w:pStyle w:val="Corpo"/>
        <w:rPr>
          <w:noProof/>
          <w:color w:val="000000" w:themeColor="text1"/>
        </w:rPr>
      </w:pPr>
      <w:r>
        <w:rPr>
          <w:noProof/>
          <w:color w:val="000000" w:themeColor="text1"/>
        </w:rPr>
        <w:t>Всяка държава членка назначава национален координатор, натоварен с организирането на нейното участие в Европейската година. Координаторът осигурява координацията на съответните дейности на национално равнище.</w:t>
      </w:r>
    </w:p>
    <w:p>
      <w:pPr>
        <w:pStyle w:val="Titrearticle"/>
        <w:rPr>
          <w:i w:val="0"/>
          <w:iCs/>
          <w:noProof/>
          <w:color w:val="000000" w:themeColor="text1"/>
        </w:rPr>
      </w:pPr>
      <w:r>
        <w:rPr>
          <w:noProof/>
          <w:color w:val="000000" w:themeColor="text1"/>
        </w:rPr>
        <w:t>Член 5</w:t>
      </w:r>
    </w:p>
    <w:p>
      <w:pPr>
        <w:pStyle w:val="Corpo"/>
        <w:jc w:val="center"/>
        <w:rPr>
          <w:noProof/>
          <w:color w:val="000000" w:themeColor="text1"/>
        </w:rPr>
      </w:pPr>
      <w:r>
        <w:rPr>
          <w:b/>
          <w:noProof/>
          <w:color w:val="000000" w:themeColor="text1"/>
        </w:rPr>
        <w:t>Координация на равнището на Съюза</w:t>
      </w:r>
    </w:p>
    <w:p>
      <w:pPr>
        <w:pStyle w:val="Corpo"/>
        <w:rPr>
          <w:noProof/>
          <w:color w:val="000000" w:themeColor="text1"/>
        </w:rPr>
      </w:pPr>
      <w:r>
        <w:rPr>
          <w:noProof/>
          <w:color w:val="000000" w:themeColor="text1"/>
        </w:rPr>
        <w:t>Комисията свиква работни срещи на националните координатори за координиране на дейностите, свързани с Европейската година, и за обмен на информация по изпълнението на национално и европейско равнище.</w:t>
      </w:r>
    </w:p>
    <w:p>
      <w:pPr>
        <w:pStyle w:val="Titrearticle"/>
        <w:rPr>
          <w:i w:val="0"/>
          <w:iCs/>
          <w:noProof/>
          <w:color w:val="000000" w:themeColor="text1"/>
        </w:rPr>
      </w:pPr>
      <w:r>
        <w:rPr>
          <w:noProof/>
          <w:color w:val="000000" w:themeColor="text1"/>
        </w:rPr>
        <w:t>Член 6</w:t>
      </w:r>
    </w:p>
    <w:p>
      <w:pPr>
        <w:pStyle w:val="Corpo"/>
        <w:jc w:val="center"/>
        <w:rPr>
          <w:noProof/>
          <w:color w:val="000000" w:themeColor="text1"/>
        </w:rPr>
      </w:pPr>
      <w:r>
        <w:rPr>
          <w:b/>
          <w:noProof/>
          <w:color w:val="000000" w:themeColor="text1"/>
        </w:rPr>
        <w:t>Международно сътрудничество</w:t>
      </w:r>
    </w:p>
    <w:p>
      <w:pPr>
        <w:pStyle w:val="Corpo"/>
        <w:rPr>
          <w:noProof/>
          <w:color w:val="000000" w:themeColor="text1"/>
        </w:rPr>
      </w:pPr>
      <w:r>
        <w:rPr>
          <w:noProof/>
          <w:color w:val="000000" w:themeColor="text1"/>
        </w:rPr>
        <w:t>За целите на Европейската година Комисията си сътрудничи с компетентни международни организации, по-специално с ЮНЕСКО и Съвета на Европа, като гарантира видимост на участието на ЕС.</w:t>
      </w:r>
    </w:p>
    <w:p>
      <w:pPr>
        <w:pStyle w:val="Titrearticle"/>
        <w:rPr>
          <w:i w:val="0"/>
          <w:iCs/>
          <w:noProof/>
          <w:color w:val="000000" w:themeColor="text1"/>
        </w:rPr>
      </w:pPr>
      <w:r>
        <w:rPr>
          <w:noProof/>
          <w:color w:val="000000" w:themeColor="text1"/>
        </w:rPr>
        <w:t>Член 7</w:t>
      </w:r>
    </w:p>
    <w:p>
      <w:pPr>
        <w:pStyle w:val="Corpo"/>
        <w:jc w:val="center"/>
        <w:rPr>
          <w:noProof/>
          <w:color w:val="000000" w:themeColor="text1"/>
        </w:rPr>
      </w:pPr>
      <w:r>
        <w:rPr>
          <w:b/>
          <w:noProof/>
          <w:color w:val="000000" w:themeColor="text1"/>
        </w:rPr>
        <w:t>Финансиране</w:t>
      </w:r>
    </w:p>
    <w:p>
      <w:pPr>
        <w:pStyle w:val="Corpo"/>
        <w:rPr>
          <w:rFonts w:eastAsia="Arial Unicode MS" w:cs="Arial Unicode MS"/>
          <w:noProof/>
          <w:color w:val="000000" w:themeColor="text1"/>
        </w:rPr>
      </w:pPr>
      <w:r>
        <w:rPr>
          <w:noProof/>
          <w:color w:val="000000" w:themeColor="text1"/>
        </w:rPr>
        <w:t>Съфинансирането на европейско равнище на дейности в подкрепа на Европейската година се извършва в съответствие с приложимите правила и в рамките на съществуващите възможности за определяне на приоритети на годишна или многогодишна база, що се отнася до съществуващи програми, и по-специално програмата „Творческа Европа“. По целесъобразност Европейската година може да се подкрепя също така от други програми и политики в рамките на действащите за тях правни и финансови разпоредби.</w:t>
      </w:r>
    </w:p>
    <w:p>
      <w:pPr>
        <w:pStyle w:val="Titrearticle"/>
        <w:rPr>
          <w:noProof/>
          <w:color w:val="000000" w:themeColor="text1"/>
        </w:rPr>
      </w:pPr>
      <w:r>
        <w:rPr>
          <w:noProof/>
          <w:color w:val="000000" w:themeColor="text1"/>
        </w:rPr>
        <w:t>Член 8</w:t>
      </w:r>
    </w:p>
    <w:p>
      <w:pPr>
        <w:pStyle w:val="Corpo"/>
        <w:jc w:val="center"/>
        <w:rPr>
          <w:b/>
          <w:bCs/>
          <w:noProof/>
          <w:color w:val="000000" w:themeColor="text1"/>
        </w:rPr>
      </w:pPr>
      <w:r>
        <w:rPr>
          <w:b/>
          <w:noProof/>
          <w:color w:val="000000" w:themeColor="text1"/>
        </w:rPr>
        <w:t>Мониторинг и оценка</w:t>
      </w:r>
    </w:p>
    <w:p>
      <w:pPr>
        <w:pStyle w:val="Corpo"/>
        <w:rPr>
          <w:rFonts w:eastAsia="Arial Unicode MS" w:cs="Arial Unicode MS"/>
          <w:noProof/>
          <w:color w:val="000000" w:themeColor="text1"/>
        </w:rPr>
      </w:pPr>
      <w:r>
        <w:rPr>
          <w:noProof/>
          <w:color w:val="000000" w:themeColor="text1"/>
        </w:rPr>
        <w:t xml:space="preserve"> До 31 декември 2019 г. Комисията представя доклад до Европейския парламент, Съвета, Европейския икономически и социален комитет и Комитета на регионите относно изпълнението, резултатите и общата оценка на инициативите, предвидени в настоящото решение.</w:t>
      </w:r>
    </w:p>
    <w:p>
      <w:pPr>
        <w:pStyle w:val="Titrearticle"/>
        <w:rPr>
          <w:noProof/>
          <w:color w:val="000000" w:themeColor="text1"/>
        </w:rPr>
      </w:pPr>
      <w:r>
        <w:rPr>
          <w:noProof/>
          <w:color w:val="000000" w:themeColor="text1"/>
        </w:rPr>
        <w:t>Член 9</w:t>
      </w:r>
    </w:p>
    <w:p>
      <w:pPr>
        <w:rPr>
          <w:noProof/>
          <w:color w:val="000000" w:themeColor="text1"/>
        </w:rPr>
      </w:pPr>
      <w:r>
        <w:rPr>
          <w:noProof/>
          <w:color w:val="000000" w:themeColor="text1"/>
        </w:rPr>
        <w:t xml:space="preserve">Настоящото решение влиза в сила на двадесетия ден след деня на публикуването му в </w:t>
      </w:r>
      <w:r>
        <w:rPr>
          <w:i/>
          <w:noProof/>
          <w:color w:val="000000" w:themeColor="text1"/>
        </w:rPr>
        <w:t>Официален вестник на Европейския съюз</w:t>
      </w:r>
      <w:r>
        <w:rPr>
          <w:noProof/>
          <w:color w:val="000000" w:themeColor="text1"/>
        </w:rPr>
        <w:t>.</w:t>
      </w:r>
    </w:p>
    <w:p>
      <w:pPr>
        <w:pStyle w:val="Titrearticle"/>
        <w:rPr>
          <w:noProof/>
          <w:color w:val="000000" w:themeColor="text1"/>
        </w:rPr>
      </w:pPr>
      <w:r>
        <w:rPr>
          <w:noProof/>
          <w:color w:val="000000" w:themeColor="text1"/>
        </w:rPr>
        <w:t>Член 10</w:t>
      </w:r>
    </w:p>
    <w:p>
      <w:pPr>
        <w:keepNext/>
        <w:keepLines/>
        <w:rPr>
          <w:noProof/>
          <w:color w:val="000000" w:themeColor="text1"/>
        </w:rPr>
      </w:pPr>
      <w:r>
        <w:rPr>
          <w:noProof/>
          <w:color w:val="000000" w:themeColor="text1"/>
        </w:rPr>
        <w:t>Адресати на настоящото решение са държавите членки.</w:t>
      </w:r>
    </w:p>
    <w:p>
      <w:pPr>
        <w:pStyle w:val="Fait"/>
        <w:rPr>
          <w:noProof/>
        </w:rPr>
      </w:pPr>
      <w:r>
        <w:rPr>
          <w:noProof/>
        </w:rPr>
        <w:t>Съставено в Брюксел на  година.</w:t>
      </w:r>
    </w:p>
    <w:p>
      <w:pPr>
        <w:pStyle w:val="Institutionquisigne"/>
        <w:rPr>
          <w:noProof/>
          <w:color w:val="000000" w:themeColor="text1"/>
        </w:rPr>
      </w:pPr>
      <w:r>
        <w:rPr>
          <w:noProof/>
        </w:rPr>
        <w:t xml:space="preserve">За Европейския парламент </w:t>
      </w:r>
      <w:r>
        <w:rPr>
          <w:noProof/>
        </w:rPr>
        <w:tab/>
      </w:r>
      <w:r>
        <w:rPr>
          <w:noProof/>
        </w:rPr>
        <w:tab/>
      </w:r>
      <w:r>
        <w:rPr>
          <w:noProof/>
        </w:rPr>
        <w:tab/>
      </w:r>
      <w:r>
        <w:rPr>
          <w:noProof/>
        </w:rPr>
        <w:tab/>
      </w:r>
      <w:r>
        <w:rPr>
          <w:noProof/>
        </w:rPr>
        <w:tab/>
        <w:t>За Съвета</w:t>
      </w:r>
    </w:p>
    <w:p>
      <w:pPr>
        <w:pStyle w:val="Personnequisigne"/>
        <w:rPr>
          <w:noProof/>
          <w:color w:val="000000" w:themeColor="text1"/>
        </w:rPr>
      </w:pPr>
      <w:r>
        <w:rPr>
          <w:noProof/>
        </w:rPr>
        <w:t xml:space="preserve">Председател </w:t>
      </w:r>
      <w:r>
        <w:rPr>
          <w:noProof/>
        </w:rPr>
        <w:tab/>
      </w:r>
      <w:r>
        <w:rPr>
          <w:noProof/>
        </w:rPr>
        <w:tab/>
      </w:r>
      <w:r>
        <w:rPr>
          <w:noProof/>
        </w:rPr>
        <w:tab/>
      </w:r>
      <w:r>
        <w:rPr>
          <w:noProof/>
        </w:rPr>
        <w:tab/>
      </w:r>
      <w:r>
        <w:rPr>
          <w:noProof/>
        </w:rPr>
        <w:tab/>
        <w:t>Председател</w:t>
      </w:r>
    </w:p>
    <w:p>
      <w:pPr>
        <w:rPr>
          <w:noProof/>
          <w:color w:val="000000" w:themeColor="text1"/>
        </w:rPr>
        <w:sectPr>
          <w:pgSz w:w="11907" w:h="16839"/>
          <w:pgMar w:top="1134" w:right="1417" w:bottom="1134" w:left="1417" w:header="709" w:footer="709" w:gutter="0"/>
          <w:cols w:space="708"/>
          <w:docGrid w:linePitch="360"/>
        </w:sectPr>
      </w:pPr>
    </w:p>
    <w:p>
      <w:pPr>
        <w:pStyle w:val="Fichefinanciretitre"/>
        <w:rPr>
          <w:noProof/>
          <w:color w:val="000000" w:themeColor="text1"/>
        </w:rPr>
      </w:pPr>
      <w:r>
        <w:rPr>
          <w:noProof/>
          <w:color w:val="000000" w:themeColor="text1"/>
        </w:rPr>
        <w:t>ЗАКОНОДАТЕЛНА ФИНАНСОВА ОБОСНОВКА</w:t>
      </w:r>
    </w:p>
    <w:p>
      <w:pPr>
        <w:pStyle w:val="ManualHeading1"/>
        <w:rPr>
          <w:noProof/>
          <w:color w:val="000000" w:themeColor="text1"/>
        </w:rPr>
      </w:pPr>
      <w:r>
        <w:rPr>
          <w:noProof/>
          <w:color w:val="000000" w:themeColor="text1"/>
        </w:rPr>
        <w:t>1.</w:t>
      </w:r>
      <w:r>
        <w:rPr>
          <w:noProof/>
        </w:rPr>
        <w:tab/>
      </w:r>
      <w:r>
        <w:rPr>
          <w:noProof/>
          <w:color w:val="000000" w:themeColor="text1"/>
        </w:rPr>
        <w:t xml:space="preserve">РАМКА НА ПРЕДЛОЖЕНИЕТО/ИНИЦИАТИВАТА </w:t>
      </w:r>
    </w:p>
    <w:p>
      <w:pPr>
        <w:pStyle w:val="ManualHeading2"/>
        <w:rPr>
          <w:b w:val="0"/>
          <w:noProof/>
          <w:color w:val="000000" w:themeColor="text1"/>
        </w:rPr>
      </w:pPr>
      <w:r>
        <w:rPr>
          <w:noProof/>
        </w:rPr>
        <w:tab/>
      </w:r>
      <w:r>
        <w:rPr>
          <w:b w:val="0"/>
          <w:noProof/>
          <w:color w:val="000000" w:themeColor="text1"/>
        </w:rPr>
        <w:t>1.1.</w:t>
      </w:r>
      <w:r>
        <w:rPr>
          <w:noProof/>
        </w:rPr>
        <w:tab/>
      </w:r>
      <w:r>
        <w:rPr>
          <w:b w:val="0"/>
          <w:noProof/>
          <w:color w:val="000000" w:themeColor="text1"/>
        </w:rPr>
        <w:t xml:space="preserve">Наименование на предложението/инициативата </w:t>
      </w:r>
    </w:p>
    <w:p>
      <w:pPr>
        <w:pStyle w:val="ManualHeading2"/>
        <w:rPr>
          <w:b w:val="0"/>
          <w:noProof/>
          <w:color w:val="000000" w:themeColor="text1"/>
        </w:rPr>
      </w:pPr>
      <w:r>
        <w:rPr>
          <w:noProof/>
        </w:rPr>
        <w:tab/>
      </w:r>
      <w:r>
        <w:rPr>
          <w:b w:val="0"/>
          <w:noProof/>
          <w:color w:val="000000" w:themeColor="text1"/>
        </w:rPr>
        <w:t>1.2.</w:t>
      </w:r>
      <w:r>
        <w:rPr>
          <w:noProof/>
        </w:rPr>
        <w:tab/>
      </w:r>
      <w:r>
        <w:rPr>
          <w:b w:val="0"/>
          <w:noProof/>
          <w:color w:val="000000" w:themeColor="text1"/>
        </w:rPr>
        <w:t>Съответни области на политиката в структурата на УД/БД</w:t>
      </w:r>
    </w:p>
    <w:p>
      <w:pPr>
        <w:pStyle w:val="ManualHeading2"/>
        <w:rPr>
          <w:b w:val="0"/>
          <w:noProof/>
          <w:color w:val="000000" w:themeColor="text1"/>
        </w:rPr>
      </w:pPr>
      <w:r>
        <w:rPr>
          <w:noProof/>
        </w:rPr>
        <w:tab/>
      </w:r>
      <w:r>
        <w:rPr>
          <w:b w:val="0"/>
          <w:noProof/>
          <w:color w:val="000000" w:themeColor="text1"/>
        </w:rPr>
        <w:t>1.3.</w:t>
      </w:r>
      <w:r>
        <w:rPr>
          <w:noProof/>
        </w:rPr>
        <w:tab/>
      </w:r>
      <w:r>
        <w:rPr>
          <w:b w:val="0"/>
          <w:noProof/>
          <w:color w:val="000000" w:themeColor="text1"/>
        </w:rPr>
        <w:t xml:space="preserve">Естество на предложението/инициативата </w:t>
      </w:r>
    </w:p>
    <w:p>
      <w:pPr>
        <w:pStyle w:val="ManualHeading2"/>
        <w:rPr>
          <w:b w:val="0"/>
          <w:noProof/>
          <w:color w:val="000000" w:themeColor="text1"/>
        </w:rPr>
      </w:pPr>
      <w:r>
        <w:rPr>
          <w:noProof/>
        </w:rPr>
        <w:tab/>
      </w:r>
      <w:r>
        <w:rPr>
          <w:b w:val="0"/>
          <w:noProof/>
          <w:color w:val="000000" w:themeColor="text1"/>
        </w:rPr>
        <w:t>1.4.</w:t>
      </w:r>
      <w:r>
        <w:rPr>
          <w:noProof/>
        </w:rPr>
        <w:tab/>
      </w:r>
      <w:r>
        <w:rPr>
          <w:b w:val="0"/>
          <w:noProof/>
          <w:color w:val="000000" w:themeColor="text1"/>
        </w:rPr>
        <w:t xml:space="preserve">Цели </w:t>
      </w:r>
    </w:p>
    <w:p>
      <w:pPr>
        <w:pStyle w:val="ManualHeading2"/>
        <w:rPr>
          <w:b w:val="0"/>
          <w:noProof/>
          <w:color w:val="000000" w:themeColor="text1"/>
        </w:rPr>
      </w:pPr>
      <w:r>
        <w:rPr>
          <w:noProof/>
        </w:rPr>
        <w:tab/>
      </w:r>
      <w:r>
        <w:rPr>
          <w:b w:val="0"/>
          <w:noProof/>
          <w:color w:val="000000" w:themeColor="text1"/>
        </w:rPr>
        <w:t>1.5.</w:t>
      </w:r>
      <w:r>
        <w:rPr>
          <w:noProof/>
        </w:rPr>
        <w:tab/>
      </w:r>
      <w:r>
        <w:rPr>
          <w:b w:val="0"/>
          <w:noProof/>
          <w:color w:val="000000" w:themeColor="text1"/>
        </w:rPr>
        <w:t xml:space="preserve">Мотиви за предложението/инициативата </w:t>
      </w:r>
    </w:p>
    <w:p>
      <w:pPr>
        <w:pStyle w:val="ManualHeading2"/>
        <w:rPr>
          <w:b w:val="0"/>
          <w:noProof/>
          <w:color w:val="000000" w:themeColor="text1"/>
        </w:rPr>
      </w:pPr>
      <w:r>
        <w:rPr>
          <w:noProof/>
        </w:rPr>
        <w:tab/>
      </w:r>
      <w:r>
        <w:rPr>
          <w:b w:val="0"/>
          <w:noProof/>
          <w:color w:val="000000" w:themeColor="text1"/>
        </w:rPr>
        <w:t>1.6.</w:t>
      </w:r>
      <w:r>
        <w:rPr>
          <w:noProof/>
        </w:rPr>
        <w:tab/>
      </w:r>
      <w:r>
        <w:rPr>
          <w:b w:val="0"/>
          <w:noProof/>
          <w:color w:val="000000" w:themeColor="text1"/>
        </w:rPr>
        <w:t xml:space="preserve">Срок на действие и финансово отражение </w:t>
      </w:r>
    </w:p>
    <w:p>
      <w:pPr>
        <w:pStyle w:val="ManualHeading2"/>
        <w:rPr>
          <w:b w:val="0"/>
          <w:noProof/>
          <w:color w:val="000000" w:themeColor="text1"/>
        </w:rPr>
      </w:pPr>
      <w:r>
        <w:rPr>
          <w:noProof/>
        </w:rPr>
        <w:tab/>
      </w:r>
      <w:r>
        <w:rPr>
          <w:b w:val="0"/>
          <w:noProof/>
          <w:color w:val="000000" w:themeColor="text1"/>
        </w:rPr>
        <w:t>1.7.</w:t>
      </w:r>
      <w:r>
        <w:rPr>
          <w:noProof/>
        </w:rPr>
        <w:tab/>
      </w:r>
      <w:r>
        <w:rPr>
          <w:b w:val="0"/>
          <w:noProof/>
          <w:color w:val="000000" w:themeColor="text1"/>
        </w:rPr>
        <w:t xml:space="preserve">Предвидени методи на управление </w:t>
      </w:r>
    </w:p>
    <w:p>
      <w:pPr>
        <w:pStyle w:val="ManualHeading1"/>
        <w:rPr>
          <w:noProof/>
          <w:color w:val="000000" w:themeColor="text1"/>
        </w:rPr>
      </w:pPr>
      <w:r>
        <w:rPr>
          <w:noProof/>
          <w:color w:val="000000" w:themeColor="text1"/>
        </w:rPr>
        <w:t>2.</w:t>
      </w:r>
      <w:r>
        <w:rPr>
          <w:noProof/>
        </w:rPr>
        <w:tab/>
      </w:r>
      <w:r>
        <w:rPr>
          <w:noProof/>
          <w:color w:val="000000" w:themeColor="text1"/>
        </w:rPr>
        <w:t xml:space="preserve">МЕРКИ ЗА УПРАВЛЕНИЕ </w:t>
      </w:r>
    </w:p>
    <w:p>
      <w:pPr>
        <w:pStyle w:val="ManualHeading2"/>
        <w:rPr>
          <w:b w:val="0"/>
          <w:noProof/>
          <w:color w:val="000000" w:themeColor="text1"/>
        </w:rPr>
      </w:pPr>
      <w:r>
        <w:rPr>
          <w:noProof/>
        </w:rPr>
        <w:tab/>
      </w:r>
      <w:r>
        <w:rPr>
          <w:b w:val="0"/>
          <w:noProof/>
          <w:color w:val="000000" w:themeColor="text1"/>
        </w:rPr>
        <w:t>2.1.</w:t>
      </w:r>
      <w:r>
        <w:rPr>
          <w:noProof/>
        </w:rPr>
        <w:tab/>
      </w:r>
      <w:r>
        <w:rPr>
          <w:b w:val="0"/>
          <w:noProof/>
          <w:color w:val="000000" w:themeColor="text1"/>
        </w:rPr>
        <w:t xml:space="preserve">Правила за мониторинг и докладване </w:t>
      </w:r>
    </w:p>
    <w:p>
      <w:pPr>
        <w:pStyle w:val="ManualHeading2"/>
        <w:rPr>
          <w:b w:val="0"/>
          <w:noProof/>
          <w:color w:val="000000" w:themeColor="text1"/>
        </w:rPr>
      </w:pPr>
      <w:r>
        <w:rPr>
          <w:noProof/>
        </w:rPr>
        <w:tab/>
      </w:r>
      <w:r>
        <w:rPr>
          <w:b w:val="0"/>
          <w:noProof/>
          <w:color w:val="000000" w:themeColor="text1"/>
        </w:rPr>
        <w:t>2.2.</w:t>
      </w:r>
      <w:r>
        <w:rPr>
          <w:noProof/>
        </w:rPr>
        <w:tab/>
      </w:r>
      <w:r>
        <w:rPr>
          <w:b w:val="0"/>
          <w:noProof/>
          <w:color w:val="000000" w:themeColor="text1"/>
        </w:rPr>
        <w:t xml:space="preserve">Система за управление и контрол </w:t>
      </w:r>
    </w:p>
    <w:p>
      <w:pPr>
        <w:pStyle w:val="ManualHeading2"/>
        <w:rPr>
          <w:b w:val="0"/>
          <w:noProof/>
          <w:color w:val="000000" w:themeColor="text1"/>
        </w:rPr>
      </w:pPr>
      <w:r>
        <w:rPr>
          <w:noProof/>
        </w:rPr>
        <w:tab/>
      </w:r>
      <w:r>
        <w:rPr>
          <w:b w:val="0"/>
          <w:noProof/>
          <w:color w:val="000000" w:themeColor="text1"/>
        </w:rPr>
        <w:t>2.3.</w:t>
      </w:r>
      <w:r>
        <w:rPr>
          <w:noProof/>
        </w:rPr>
        <w:tab/>
      </w:r>
      <w:r>
        <w:rPr>
          <w:b w:val="0"/>
          <w:noProof/>
          <w:color w:val="000000" w:themeColor="text1"/>
        </w:rPr>
        <w:t xml:space="preserve">Мерки за предотвратяване на измами и нередности </w:t>
      </w:r>
    </w:p>
    <w:p>
      <w:pPr>
        <w:pStyle w:val="ManualHeading1"/>
        <w:rPr>
          <w:noProof/>
          <w:color w:val="000000" w:themeColor="text1"/>
        </w:rPr>
      </w:pPr>
      <w:r>
        <w:rPr>
          <w:noProof/>
          <w:color w:val="000000" w:themeColor="text1"/>
        </w:rPr>
        <w:t>3.</w:t>
      </w:r>
      <w:r>
        <w:rPr>
          <w:noProof/>
        </w:rPr>
        <w:tab/>
      </w:r>
      <w:r>
        <w:rPr>
          <w:noProof/>
          <w:color w:val="000000" w:themeColor="text1"/>
        </w:rPr>
        <w:t xml:space="preserve">ОЧАКВАНО ФИНАНСОВО ОТРАЖЕНИЕ НА ПРЕДЛОЖЕНИЕТО/ИНИЦИАТИВАТА </w:t>
      </w:r>
    </w:p>
    <w:p>
      <w:pPr>
        <w:pStyle w:val="ManualHeading2"/>
        <w:rPr>
          <w:b w:val="0"/>
          <w:noProof/>
          <w:color w:val="000000" w:themeColor="text1"/>
        </w:rPr>
      </w:pPr>
      <w:r>
        <w:rPr>
          <w:noProof/>
        </w:rPr>
        <w:tab/>
      </w:r>
      <w:r>
        <w:rPr>
          <w:b w:val="0"/>
          <w:noProof/>
          <w:color w:val="000000" w:themeColor="text1"/>
        </w:rPr>
        <w:t>3.1.</w:t>
      </w:r>
      <w:r>
        <w:rPr>
          <w:noProof/>
        </w:rPr>
        <w:tab/>
      </w:r>
      <w:r>
        <w:rPr>
          <w:b w:val="0"/>
          <w:noProof/>
          <w:color w:val="000000" w:themeColor="text1"/>
        </w:rPr>
        <w:t xml:space="preserve">Съответни функции от многогодишната финансова рамка и разходни бюджетни редове </w:t>
      </w:r>
    </w:p>
    <w:p>
      <w:pPr>
        <w:pStyle w:val="ManualHeading2"/>
        <w:rPr>
          <w:noProof/>
          <w:color w:val="000000" w:themeColor="text1"/>
        </w:rPr>
      </w:pPr>
      <w:r>
        <w:rPr>
          <w:noProof/>
        </w:rPr>
        <w:tab/>
      </w:r>
      <w:r>
        <w:rPr>
          <w:b w:val="0"/>
          <w:noProof/>
          <w:color w:val="000000" w:themeColor="text1"/>
        </w:rPr>
        <w:t>3.2.</w:t>
      </w:r>
      <w:r>
        <w:rPr>
          <w:noProof/>
        </w:rPr>
        <w:tab/>
      </w:r>
      <w:r>
        <w:rPr>
          <w:b w:val="0"/>
          <w:noProof/>
          <w:color w:val="000000" w:themeColor="text1"/>
        </w:rPr>
        <w:t>Очаквано отражение върху разходите</w:t>
      </w:r>
      <w:r>
        <w:rPr>
          <w:noProof/>
          <w:color w:val="000000" w:themeColor="text1"/>
        </w:rPr>
        <w:t xml:space="preserve"> </w:t>
      </w:r>
    </w:p>
    <w:p>
      <w:pPr>
        <w:pStyle w:val="ManualHeading3"/>
        <w:rPr>
          <w:noProof/>
          <w:color w:val="000000" w:themeColor="text1"/>
        </w:rPr>
      </w:pPr>
      <w:r>
        <w:rPr>
          <w:noProof/>
        </w:rPr>
        <w:tab/>
      </w:r>
      <w:r>
        <w:rPr>
          <w:noProof/>
          <w:color w:val="000000" w:themeColor="text1"/>
        </w:rPr>
        <w:t>3.2.1.</w:t>
      </w:r>
      <w:r>
        <w:rPr>
          <w:noProof/>
        </w:rPr>
        <w:tab/>
      </w:r>
      <w:r>
        <w:rPr>
          <w:noProof/>
          <w:color w:val="000000" w:themeColor="text1"/>
        </w:rPr>
        <w:t xml:space="preserve">Обобщение на очакваното отражение върху разходите </w:t>
      </w:r>
    </w:p>
    <w:p>
      <w:pPr>
        <w:pStyle w:val="ManualHeading3"/>
        <w:rPr>
          <w:noProof/>
          <w:color w:val="000000" w:themeColor="text1"/>
        </w:rPr>
      </w:pPr>
      <w:r>
        <w:rPr>
          <w:noProof/>
        </w:rPr>
        <w:tab/>
      </w:r>
      <w:r>
        <w:rPr>
          <w:noProof/>
          <w:color w:val="000000" w:themeColor="text1"/>
        </w:rPr>
        <w:t>3.2.2.</w:t>
      </w:r>
      <w:r>
        <w:rPr>
          <w:noProof/>
        </w:rPr>
        <w:tab/>
      </w:r>
      <w:r>
        <w:rPr>
          <w:noProof/>
          <w:color w:val="000000" w:themeColor="text1"/>
        </w:rPr>
        <w:t xml:space="preserve">Очаквано отражение върху бюджетните кредити за оперативни разходи </w:t>
      </w:r>
    </w:p>
    <w:p>
      <w:pPr>
        <w:pStyle w:val="ManualHeading3"/>
        <w:rPr>
          <w:noProof/>
          <w:color w:val="000000" w:themeColor="text1"/>
        </w:rPr>
      </w:pPr>
      <w:r>
        <w:rPr>
          <w:noProof/>
        </w:rPr>
        <w:tab/>
      </w:r>
      <w:r>
        <w:rPr>
          <w:noProof/>
          <w:color w:val="000000" w:themeColor="text1"/>
        </w:rPr>
        <w:t>3.2.3.</w:t>
      </w:r>
      <w:r>
        <w:rPr>
          <w:noProof/>
        </w:rPr>
        <w:tab/>
      </w:r>
      <w:r>
        <w:rPr>
          <w:noProof/>
          <w:color w:val="000000" w:themeColor="text1"/>
        </w:rPr>
        <w:t>Очаквано отражение върху бюджетните кредити за административни разходи</w:t>
      </w:r>
    </w:p>
    <w:p>
      <w:pPr>
        <w:pStyle w:val="ManualHeading3"/>
        <w:rPr>
          <w:noProof/>
          <w:color w:val="000000" w:themeColor="text1"/>
        </w:rPr>
      </w:pPr>
      <w:r>
        <w:rPr>
          <w:noProof/>
        </w:rPr>
        <w:tab/>
      </w:r>
      <w:r>
        <w:rPr>
          <w:noProof/>
          <w:color w:val="000000" w:themeColor="text1"/>
        </w:rPr>
        <w:t>3.2.4.</w:t>
      </w:r>
      <w:r>
        <w:rPr>
          <w:noProof/>
        </w:rPr>
        <w:tab/>
      </w:r>
      <w:r>
        <w:rPr>
          <w:noProof/>
          <w:color w:val="000000" w:themeColor="text1"/>
        </w:rPr>
        <w:t>Съвместимост с настоящата многогодишна финансова рамка</w:t>
      </w:r>
    </w:p>
    <w:p>
      <w:pPr>
        <w:pStyle w:val="ManualHeading3"/>
        <w:rPr>
          <w:noProof/>
          <w:color w:val="000000" w:themeColor="text1"/>
        </w:rPr>
      </w:pPr>
      <w:r>
        <w:rPr>
          <w:noProof/>
        </w:rPr>
        <w:tab/>
      </w:r>
      <w:r>
        <w:rPr>
          <w:noProof/>
          <w:color w:val="000000" w:themeColor="text1"/>
        </w:rPr>
        <w:t>3.2.5.</w:t>
      </w:r>
      <w:r>
        <w:rPr>
          <w:noProof/>
        </w:rPr>
        <w:tab/>
      </w:r>
      <w:r>
        <w:rPr>
          <w:noProof/>
          <w:color w:val="000000" w:themeColor="text1"/>
        </w:rPr>
        <w:t xml:space="preserve">Участие на трети страни във финансирането </w:t>
      </w:r>
    </w:p>
    <w:p>
      <w:pPr>
        <w:pStyle w:val="ManualHeading2"/>
        <w:jc w:val="left"/>
        <w:rPr>
          <w:b w:val="0"/>
          <w:noProof/>
          <w:color w:val="000000" w:themeColor="text1"/>
        </w:rPr>
        <w:sectPr>
          <w:pgSz w:w="11907" w:h="16840" w:code="9"/>
          <w:pgMar w:top="1134" w:right="1418" w:bottom="1134" w:left="1418" w:header="709" w:footer="709" w:gutter="0"/>
          <w:cols w:space="708"/>
          <w:docGrid w:linePitch="360"/>
        </w:sectPr>
      </w:pPr>
      <w:r>
        <w:rPr>
          <w:noProof/>
        </w:rPr>
        <w:tab/>
      </w:r>
      <w:r>
        <w:rPr>
          <w:b w:val="0"/>
          <w:noProof/>
          <w:color w:val="000000" w:themeColor="text1"/>
        </w:rPr>
        <w:t>3.3.</w:t>
      </w:r>
      <w:r>
        <w:rPr>
          <w:noProof/>
        </w:rPr>
        <w:tab/>
      </w:r>
      <w:r>
        <w:rPr>
          <w:b w:val="0"/>
          <w:noProof/>
          <w:color w:val="000000" w:themeColor="text1"/>
        </w:rPr>
        <w:t>Очаквано отражение върху приходите</w:t>
      </w:r>
    </w:p>
    <w:p>
      <w:pPr>
        <w:jc w:val="center"/>
        <w:rPr>
          <w:noProof/>
          <w:color w:val="000000" w:themeColor="text1"/>
        </w:rPr>
      </w:pPr>
      <w:r>
        <w:rPr>
          <w:b/>
          <w:noProof/>
          <w:color w:val="000000" w:themeColor="text1"/>
          <w:u w:val="single"/>
        </w:rPr>
        <w:t>ЗАКОНОДАТЕЛНА ФИНАНСОВА ОБОСНОВКА</w:t>
      </w:r>
    </w:p>
    <w:p>
      <w:pPr>
        <w:pStyle w:val="ManualHeading1"/>
        <w:rPr>
          <w:noProof/>
        </w:rPr>
      </w:pPr>
      <w:r>
        <w:t>1.</w:t>
      </w:r>
      <w:r>
        <w:tab/>
      </w:r>
      <w:r>
        <w:rPr>
          <w:noProof/>
        </w:rPr>
        <w:t xml:space="preserve">РАМКА НА ПРЕДЛОЖЕНИЕТО/ИНИЦИАТИВАТА </w:t>
      </w:r>
    </w:p>
    <w:p>
      <w:pPr>
        <w:pStyle w:val="ManualHeading2"/>
        <w:rPr>
          <w:noProof/>
        </w:rPr>
      </w:pPr>
      <w:r>
        <w:t>1.1.</w:t>
      </w:r>
      <w:r>
        <w:tab/>
      </w:r>
      <w:r>
        <w:rPr>
          <w:noProof/>
        </w:rPr>
        <w:t xml:space="preserve">Наименование на предложението/инициативата </w:t>
      </w:r>
    </w:p>
    <w:p>
      <w:pPr>
        <w:pStyle w:val="Text1"/>
        <w:pBdr>
          <w:top w:val="single" w:sz="4" w:space="1" w:color="auto"/>
          <w:left w:val="single" w:sz="4" w:space="4" w:color="auto"/>
          <w:bottom w:val="single" w:sz="4" w:space="1" w:color="auto"/>
          <w:right w:val="single" w:sz="4" w:space="4" w:color="auto"/>
        </w:pBdr>
        <w:rPr>
          <w:noProof/>
        </w:rPr>
      </w:pPr>
      <w:r>
        <w:rPr>
          <w:noProof/>
        </w:rPr>
        <w:t>Европейска година на културното наследство</w:t>
      </w:r>
    </w:p>
    <w:p>
      <w:pPr>
        <w:pStyle w:val="ManualHeading2"/>
        <w:rPr>
          <w:noProof/>
          <w:szCs w:val="24"/>
        </w:rPr>
      </w:pPr>
      <w:r>
        <w:t>1.2.</w:t>
      </w:r>
      <w:r>
        <w:tab/>
      </w:r>
      <w:r>
        <w:rPr>
          <w:noProof/>
        </w:rPr>
        <w:t>Съответни области на политиката в структурата на УД/БД</w:t>
      </w:r>
      <w:r>
        <w:rPr>
          <w:rStyle w:val="FootnoteReference"/>
          <w:noProof/>
          <w:color w:val="000000" w:themeColor="text1"/>
        </w:rPr>
        <w:footnoteReference w:id="27"/>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ОБЛАСТИ НА ПОЛИТИКАТА: ОБРАЗОВАТЕЛНИ И КУЛТУРНИ ДЕЙНОСТИ: „ТВОРЧЕСКА ЕВРОПА“</w:t>
      </w:r>
    </w:p>
    <w:p>
      <w:pPr>
        <w:pStyle w:val="ManualHeading2"/>
        <w:rPr>
          <w:bCs/>
          <w:noProof/>
          <w:szCs w:val="24"/>
        </w:rPr>
      </w:pPr>
      <w:r>
        <w:t>1.3.</w:t>
      </w:r>
      <w:r>
        <w:tab/>
      </w:r>
      <w:r>
        <w:rPr>
          <w:noProof/>
        </w:rPr>
        <w:t xml:space="preserve">Естество на предложението/инициативата </w:t>
      </w:r>
    </w:p>
    <w:p>
      <w:pPr>
        <w:pStyle w:val="Text1"/>
        <w:rPr>
          <w:b/>
          <w:noProof/>
          <w:color w:val="000000" w:themeColor="text1"/>
          <w:sz w:val="22"/>
        </w:rPr>
      </w:pPr>
      <w:r>
        <w:rPr>
          <w:b/>
          <w:noProof/>
        </w:rPr>
        <w:t>X</w:t>
      </w:r>
      <w:r>
        <w:rPr>
          <w:noProof/>
        </w:rPr>
        <w:t xml:space="preserve"> Предложението/инициативата е във връзка с </w:t>
      </w:r>
      <w:r>
        <w:rPr>
          <w:b/>
          <w:noProof/>
        </w:rPr>
        <w:t>нова дейност</w:t>
      </w:r>
      <w:r>
        <w:rPr>
          <w:b/>
          <w:noProof/>
          <w:color w:val="000000" w:themeColor="text1"/>
          <w:sz w:val="22"/>
        </w:rPr>
        <w:t xml:space="preserve"> </w:t>
      </w:r>
    </w:p>
    <w:p>
      <w:pPr>
        <w:pStyle w:val="Text1"/>
        <w:rPr>
          <w:noProof/>
          <w:color w:val="000000" w:themeColor="text1"/>
          <w:sz w:val="22"/>
        </w:rPr>
      </w:pPr>
      <w:r>
        <w:rPr>
          <w:noProof/>
          <w:color w:val="000000" w:themeColor="text1"/>
          <w:sz w:val="22"/>
        </w:rPr>
        <w:sym w:font="Wingdings" w:char="F0A8"/>
      </w:r>
      <w:r>
        <w:rPr>
          <w:i/>
          <w:noProof/>
          <w:color w:val="000000" w:themeColor="text1"/>
          <w:sz w:val="22"/>
        </w:rPr>
        <w:t xml:space="preserve"> </w:t>
      </w:r>
      <w:r>
        <w:rPr>
          <w:noProof/>
          <w:color w:val="000000" w:themeColor="text1"/>
        </w:rPr>
        <w:t xml:space="preserve">Предложението/инициативата е във връзка с </w:t>
      </w:r>
      <w:r>
        <w:rPr>
          <w:b/>
          <w:noProof/>
          <w:color w:val="000000" w:themeColor="text1"/>
        </w:rPr>
        <w:t>нова дейност след пилотен проект/подготвителна дейност</w:t>
      </w:r>
      <w:r>
        <w:rPr>
          <w:rStyle w:val="FootnoteReference"/>
          <w:b/>
          <w:noProof/>
          <w:color w:val="000000" w:themeColor="text1"/>
        </w:rPr>
        <w:footnoteReference w:id="28"/>
      </w:r>
      <w:r>
        <w:rPr>
          <w:noProof/>
          <w:color w:val="000000" w:themeColor="text1"/>
          <w:sz w:val="22"/>
        </w:rPr>
        <w:t xml:space="preserve"> </w:t>
      </w:r>
    </w:p>
    <w:p>
      <w:pPr>
        <w:pStyle w:val="Text1"/>
        <w:rPr>
          <w:noProof/>
          <w:color w:val="000000" w:themeColor="text1"/>
          <w:sz w:val="22"/>
        </w:rPr>
      </w:pPr>
      <w:r>
        <w:rPr>
          <w:noProof/>
          <w:color w:val="000000" w:themeColor="text1"/>
          <w:sz w:val="22"/>
        </w:rPr>
        <w:sym w:font="Wingdings" w:char="F0A8"/>
      </w:r>
      <w:r>
        <w:rPr>
          <w:i/>
          <w:noProof/>
          <w:color w:val="000000" w:themeColor="text1"/>
          <w:sz w:val="22"/>
        </w:rPr>
        <w:t xml:space="preserve"> </w:t>
      </w:r>
      <w:r>
        <w:rPr>
          <w:noProof/>
        </w:rPr>
        <w:t xml:space="preserve">Предложението/инициативата е във връзка с </w:t>
      </w:r>
      <w:r>
        <w:rPr>
          <w:b/>
          <w:noProof/>
        </w:rPr>
        <w:t>продължаване на съществуваща дейност</w:t>
      </w:r>
      <w:r>
        <w:rPr>
          <w:noProof/>
          <w:color w:val="000000" w:themeColor="text1"/>
          <w:sz w:val="22"/>
        </w:rPr>
        <w:t xml:space="preserve"> </w:t>
      </w:r>
    </w:p>
    <w:p>
      <w:pPr>
        <w:pStyle w:val="Text1"/>
        <w:rPr>
          <w:noProof/>
          <w:color w:val="000000" w:themeColor="text1"/>
        </w:rPr>
      </w:pPr>
      <w:r>
        <w:rPr>
          <w:noProof/>
          <w:color w:val="000000" w:themeColor="text1"/>
          <w:sz w:val="22"/>
        </w:rPr>
        <w:sym w:font="Wingdings" w:char="F0A8"/>
      </w:r>
      <w:r>
        <w:rPr>
          <w:i/>
          <w:noProof/>
          <w:color w:val="000000" w:themeColor="text1"/>
          <w:sz w:val="22"/>
        </w:rPr>
        <w:t xml:space="preserve"> </w:t>
      </w:r>
      <w:r>
        <w:rPr>
          <w:noProof/>
        </w:rPr>
        <w:t xml:space="preserve">Предложението/инициативата е във връзка с </w:t>
      </w:r>
      <w:r>
        <w:rPr>
          <w:b/>
          <w:noProof/>
        </w:rPr>
        <w:t>дейност, пренасочена към нова дейност</w:t>
      </w:r>
      <w:r>
        <w:rPr>
          <w:noProof/>
          <w:color w:val="000000" w:themeColor="text1"/>
        </w:rPr>
        <w:t xml:space="preserve"> </w:t>
      </w:r>
    </w:p>
    <w:p>
      <w:pPr>
        <w:pStyle w:val="ManualHeading2"/>
        <w:rPr>
          <w:bCs/>
          <w:noProof/>
          <w:color w:val="000000" w:themeColor="text1"/>
          <w:szCs w:val="24"/>
        </w:rPr>
      </w:pPr>
      <w:r>
        <w:t>1.4.</w:t>
      </w:r>
      <w:r>
        <w:tab/>
      </w:r>
      <w:r>
        <w:rPr>
          <w:noProof/>
          <w:color w:val="000000" w:themeColor="text1"/>
        </w:rPr>
        <w:t>Цели</w:t>
      </w:r>
    </w:p>
    <w:p>
      <w:pPr>
        <w:pStyle w:val="ManualHeading3"/>
        <w:rPr>
          <w:noProof/>
        </w:rPr>
      </w:pPr>
      <w:r>
        <w:t>1.4.1.</w:t>
      </w:r>
      <w:r>
        <w:tab/>
      </w:r>
      <w:r>
        <w:rPr>
          <w:noProof/>
        </w:rPr>
        <w:t xml:space="preserve">Многогодишни стратегически цели на Комисията, за чието изпълнение е предназначено предложението/инициативата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Като се има предвид спецификата на инициативата, а именно Европейска година, многогодишна стратегическа цел няма. </w:t>
      </w:r>
    </w:p>
    <w:p>
      <w:pPr>
        <w:pStyle w:val="ManualHeading3"/>
        <w:rPr>
          <w:bCs/>
          <w:noProof/>
          <w:szCs w:val="24"/>
        </w:rPr>
      </w:pPr>
      <w:r>
        <w:t>1.4.2.</w:t>
      </w:r>
      <w:r>
        <w:tab/>
      </w:r>
      <w:r>
        <w:rPr>
          <w:noProof/>
        </w:rPr>
        <w:t xml:space="preserve">Конкретни цели и съответни дейности във връзка с УД/БД </w:t>
      </w:r>
    </w:p>
    <w:p>
      <w:pPr>
        <w:pStyle w:val="Text1"/>
        <w:pBdr>
          <w:top w:val="single" w:sz="4" w:space="1" w:color="auto"/>
          <w:left w:val="single" w:sz="4" w:space="4" w:color="auto"/>
          <w:bottom w:val="single" w:sz="4" w:space="1" w:color="auto"/>
          <w:right w:val="single" w:sz="4" w:space="4" w:color="auto"/>
        </w:pBdr>
        <w:rPr>
          <w:noProof/>
          <w:color w:val="000000" w:themeColor="text1"/>
          <w:u w:val="single"/>
        </w:rPr>
      </w:pPr>
      <w:r>
        <w:rPr>
          <w:noProof/>
          <w:color w:val="000000" w:themeColor="text1"/>
          <w:u w:val="single"/>
        </w:rPr>
        <w:t>Конкретна цел №</w:t>
      </w:r>
    </w:p>
    <w:p>
      <w:pPr>
        <w:pStyle w:val="Text1"/>
        <w:pBdr>
          <w:top w:val="single" w:sz="4" w:space="1" w:color="auto"/>
          <w:left w:val="single" w:sz="4" w:space="4" w:color="auto"/>
          <w:bottom w:val="single" w:sz="4" w:space="1" w:color="auto"/>
          <w:right w:val="single" w:sz="4" w:space="4" w:color="auto"/>
        </w:pBdr>
        <w:rPr>
          <w:noProof/>
        </w:rPr>
      </w:pPr>
      <w:r>
        <w:rPr>
          <w:noProof/>
        </w:rPr>
        <w:t>а) Тя ще да допринесе за насърчаването на ролята на европейското културно наследство като ключов компонент на културното многообразие и междукултурния диалог. Тя следва да набележи най-добрите средства за неговото съхраняване и опазване, както и за осигуряването на достъп до него за по-широка и по-разнообразна публика. Този аспект включва мерки за увеличаване на публиката и обучение в областта на културното наследство при пълно спазване на компетенциите на държавите членки, чрез което ще се насърчават социалното приобщаване и интеграцията;</w:t>
      </w:r>
    </w:p>
    <w:p>
      <w:pPr>
        <w:pStyle w:val="Text1"/>
        <w:pBdr>
          <w:top w:val="single" w:sz="4" w:space="1" w:color="auto"/>
          <w:left w:val="single" w:sz="4" w:space="4" w:color="auto"/>
          <w:bottom w:val="single" w:sz="4" w:space="1" w:color="auto"/>
          <w:right w:val="single" w:sz="4" w:space="4" w:color="auto"/>
        </w:pBdr>
        <w:rPr>
          <w:noProof/>
        </w:rPr>
      </w:pPr>
      <w:r>
        <w:rPr>
          <w:noProof/>
        </w:rPr>
        <w:t>б)</w:t>
      </w:r>
      <w:r>
        <w:rPr>
          <w:noProof/>
        </w:rPr>
        <w:tab/>
        <w:t>Тя ще способства за повишаването на приноса на европейското културно наследство към икономиката и обществото чрез своя пряк и непряк икономически потенциал. Този аспект включва капацитета за подкрепа на културните и творческите индустрии и стимулира творчеството и иновациите, насърчава устойчивия туризъм, засилва социалното сближаване и създава дългосрочна заетост;</w:t>
      </w:r>
    </w:p>
    <w:p>
      <w:pPr>
        <w:pStyle w:val="Text1"/>
        <w:pBdr>
          <w:top w:val="single" w:sz="4" w:space="1" w:color="auto"/>
          <w:left w:val="single" w:sz="4" w:space="4" w:color="auto"/>
          <w:bottom w:val="single" w:sz="4" w:space="1" w:color="auto"/>
          <w:right w:val="single" w:sz="4" w:space="4" w:color="auto"/>
        </w:pBdr>
        <w:rPr>
          <w:noProof/>
        </w:rPr>
      </w:pPr>
      <w:r>
        <w:rPr>
          <w:noProof/>
        </w:rPr>
        <w:t>в)</w:t>
      </w:r>
      <w:r>
        <w:rPr>
          <w:noProof/>
        </w:rPr>
        <w:tab/>
        <w:t>Тя ще допринесе за насърчаването на културното наследство като важен елемент на международното измерение на Съюза, като се основава на интереса в партньорските държави към културното наследство и експертните познания на Европа.</w:t>
      </w:r>
    </w:p>
    <w:p>
      <w:pPr>
        <w:pStyle w:val="Text1"/>
        <w:pBdr>
          <w:top w:val="single" w:sz="4" w:space="1" w:color="auto"/>
          <w:left w:val="single" w:sz="4" w:space="4" w:color="auto"/>
          <w:bottom w:val="single" w:sz="4" w:space="1" w:color="auto"/>
          <w:right w:val="single" w:sz="4" w:space="4" w:color="auto"/>
        </w:pBdr>
        <w:rPr>
          <w:noProof/>
          <w:color w:val="000000" w:themeColor="text1"/>
          <w:u w:val="single"/>
        </w:rPr>
      </w:pPr>
      <w:r>
        <w:rPr>
          <w:noProof/>
          <w:color w:val="000000" w:themeColor="text1"/>
          <w:u w:val="single"/>
        </w:rPr>
        <w:t>Съответни дейности във връзка с УД/БД</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15.04 – „Творческа Европа“</w:t>
      </w:r>
    </w:p>
    <w:p>
      <w:pPr>
        <w:pStyle w:val="ManualHeading3"/>
        <w:rPr>
          <w:bCs/>
          <w:noProof/>
          <w:szCs w:val="24"/>
        </w:rPr>
      </w:pPr>
      <w:r>
        <w:t>1.4.3.</w:t>
      </w:r>
      <w:r>
        <w:tab/>
      </w:r>
      <w:r>
        <w:rPr>
          <w:noProof/>
        </w:rPr>
        <w:t>Очаквани резултати и отражение</w:t>
      </w:r>
    </w:p>
    <w:p>
      <w:pPr>
        <w:pStyle w:val="Text1"/>
        <w:rPr>
          <w:i/>
          <w:noProof/>
          <w:color w:val="000000" w:themeColor="text1"/>
          <w:sz w:val="20"/>
        </w:rPr>
      </w:pPr>
      <w:r>
        <w:rPr>
          <w:i/>
          <w:noProof/>
          <w:color w:val="000000" w:themeColor="text1"/>
          <w:sz w:val="20"/>
        </w:rPr>
        <w:t>Да се посочи въздействието, което предложението/инициативата следва да окаже по отношение на бенефициерите/целевите групи.</w:t>
      </w:r>
    </w:p>
    <w:p>
      <w:pPr>
        <w:pStyle w:val="Text1"/>
        <w:pBdr>
          <w:top w:val="single" w:sz="4" w:space="1" w:color="auto"/>
          <w:left w:val="single" w:sz="4" w:space="4" w:color="auto"/>
          <w:bottom w:val="single" w:sz="4" w:space="1" w:color="auto"/>
          <w:right w:val="single" w:sz="4" w:space="4" w:color="auto"/>
        </w:pBdr>
        <w:rPr>
          <w:noProof/>
        </w:rPr>
      </w:pPr>
      <w:r>
        <w:rPr>
          <w:noProof/>
        </w:rPr>
        <w:t>- Кампании за информиране и насърчаване, мероприятия и инициативи на европейско, национално, регионално и местно равнище за предаване на ключови послания и за разпространяване на информация за примери за добра практика, включително за ролята на ЕС в насърчаването на общи решения.</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 Повишаване на осведомеността за значението на културното наследство за гражданите на ЕС и засилване на неговия принос към растежа и създаването на работни места и социалното приобщаване на национално и европейско равнище.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Подчертаване на предизвикателствата и повишаване на възможностите за опазване, консервация и стопанисване на културното наследство, включително свързаните с цифровизацията.</w:t>
      </w:r>
    </w:p>
    <w:p>
      <w:pPr>
        <w:pStyle w:val="ManualHeading3"/>
        <w:rPr>
          <w:bCs/>
          <w:noProof/>
          <w:szCs w:val="24"/>
        </w:rPr>
      </w:pPr>
      <w:r>
        <w:t>1.4.4.</w:t>
      </w:r>
      <w:r>
        <w:tab/>
      </w:r>
      <w:r>
        <w:rPr>
          <w:noProof/>
        </w:rPr>
        <w:t xml:space="preserve">Показатели за резултатите и за отражението </w:t>
      </w:r>
    </w:p>
    <w:p>
      <w:pPr>
        <w:pStyle w:val="Text1"/>
        <w:rPr>
          <w:i/>
          <w:noProof/>
          <w:color w:val="000000" w:themeColor="text1"/>
          <w:sz w:val="20"/>
        </w:rPr>
      </w:pPr>
      <w:r>
        <w:rPr>
          <w:i/>
          <w:noProof/>
          <w:color w:val="000000" w:themeColor="text1"/>
          <w:sz w:val="20"/>
        </w:rPr>
        <w:t>Да се посочат показателите, които позволяват да се проследи изпълнението на предложението/инициативата.</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Брой на продуктите в рамките на информационната кампания </w:t>
      </w:r>
    </w:p>
    <w:p>
      <w:pPr>
        <w:pStyle w:val="ManualHeading2"/>
        <w:rPr>
          <w:bCs/>
          <w:noProof/>
          <w:szCs w:val="24"/>
        </w:rPr>
      </w:pPr>
      <w:r>
        <w:t>1.5.</w:t>
      </w:r>
      <w:r>
        <w:tab/>
      </w:r>
      <w:r>
        <w:rPr>
          <w:noProof/>
        </w:rPr>
        <w:t xml:space="preserve">Мотиви за предложението/инициативата </w:t>
      </w:r>
    </w:p>
    <w:p>
      <w:pPr>
        <w:pStyle w:val="ManualHeading3"/>
        <w:rPr>
          <w:noProof/>
        </w:rPr>
      </w:pPr>
      <w:r>
        <w:t>1.5.1.</w:t>
      </w:r>
      <w:r>
        <w:tab/>
      </w:r>
      <w:r>
        <w:rPr>
          <w:noProof/>
        </w:rPr>
        <w:t xml:space="preserve">Нужди, които трябва да бъдат задоволени в краткосрочен или дългосрочен план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Краткосрочни: По-добра информация относно значението на културното наследство в качеството му на актив за ЕС, както и за ролята на ЕС в опазването му</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Дългосрочни: По-голяма осведоменост на гражданите за значението на културното наследство и по-широко признаване на положителната роля на ЕС </w:t>
      </w:r>
    </w:p>
    <w:p>
      <w:pPr>
        <w:pStyle w:val="ManualHeading3"/>
        <w:rPr>
          <w:bCs/>
          <w:noProof/>
          <w:szCs w:val="24"/>
        </w:rPr>
      </w:pPr>
      <w:r>
        <w:t>1.5.2.</w:t>
      </w:r>
      <w:r>
        <w:tab/>
      </w:r>
      <w:r>
        <w:rPr>
          <w:noProof/>
        </w:rPr>
        <w:t>Добавена стойност от намесата на ЕС</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Засилване на осведомеността за значението на европейското културно наследство от гледна точка на икономическия растеж и социалното сближаване</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Повишаване на осведомеността за предизвикателствата и възможностите и подчертаване на ролята на ЕС в насърчаването на общи решения</w:t>
      </w:r>
    </w:p>
    <w:p>
      <w:pPr>
        <w:pStyle w:val="ManualHeading3"/>
        <w:rPr>
          <w:bCs/>
          <w:noProof/>
          <w:szCs w:val="24"/>
        </w:rPr>
      </w:pPr>
      <w:r>
        <w:t>1.5.3.</w:t>
      </w:r>
      <w:r>
        <w:tab/>
      </w:r>
      <w:r>
        <w:rPr>
          <w:noProof/>
        </w:rPr>
        <w:t>Изводи от подобен опит в миналото</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Тематичните европейски години, организирани през изминалите 10 години, са се доказали като ефективни инструменти за повишаване на осведомеността, като са оказали въздействие както върху широката общественост, така и върху разпространителите, и са създали синергии между различни области на действие на равнище ЕС и държави членки.</w:t>
      </w:r>
    </w:p>
    <w:p>
      <w:pPr>
        <w:pStyle w:val="ManualHeading3"/>
        <w:rPr>
          <w:bCs/>
          <w:noProof/>
          <w:szCs w:val="24"/>
        </w:rPr>
      </w:pPr>
      <w:r>
        <w:t>1.5.4.</w:t>
      </w:r>
      <w:r>
        <w:tab/>
      </w:r>
      <w:r>
        <w:rPr>
          <w:noProof/>
        </w:rPr>
        <w:t>Съвместимост и евентуална синергия с други подходящи инструменти</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Европейската година на културното наследство ще послужи за отправна точка за няколко програми на Съюза като програма „Творческа Европа“,</w:t>
      </w:r>
      <w:r>
        <w:rPr>
          <w:noProof/>
          <w:color w:val="000000" w:themeColor="text1"/>
        </w:rPr>
        <w:t xml:space="preserve"> </w:t>
      </w:r>
      <w:r>
        <w:rPr>
          <w:noProof/>
        </w:rPr>
        <w:t>европейските структурни и инвестиционни фондове, „Хоризонт 2020“ (включително цифровите елементи на опазването и остойностяването на културното наследство), „Еразъм+“ и „Европа за гражданите“. По линия на „Творческа Европа“ се финансират също така три действия на ЕС, които са специално посветени на културното наследство: Дни на европейското наследство, Награда на ЕС за културно наследство и Знак за европейско наследство.</w:t>
      </w:r>
      <w:r>
        <w:rPr>
          <w:noProof/>
          <w:color w:val="000000" w:themeColor="text1"/>
        </w:rPr>
        <w:t xml:space="preserve"> </w:t>
      </w:r>
    </w:p>
    <w:p>
      <w:pPr>
        <w:pStyle w:val="ManualHeading2"/>
        <w:rPr>
          <w:bCs/>
          <w:noProof/>
          <w:szCs w:val="24"/>
        </w:rPr>
      </w:pPr>
      <w:r>
        <w:t>1.6.</w:t>
      </w:r>
      <w:r>
        <w:tab/>
      </w:r>
      <w:r>
        <w:rPr>
          <w:noProof/>
        </w:rPr>
        <w:t xml:space="preserve">Срок на действие и финансово отражение </w:t>
      </w:r>
    </w:p>
    <w:p>
      <w:pPr>
        <w:pStyle w:val="Text1"/>
        <w:rPr>
          <w:noProof/>
          <w:color w:val="000000" w:themeColor="text1"/>
        </w:rPr>
      </w:pPr>
      <w:r>
        <w:rPr>
          <w:noProof/>
          <w:color w:val="000000" w:themeColor="text1"/>
        </w:rPr>
        <w:t xml:space="preserve">Х Предложение/инициатива с </w:t>
      </w:r>
      <w:r>
        <w:rPr>
          <w:b/>
          <w:noProof/>
          <w:color w:val="000000" w:themeColor="text1"/>
        </w:rPr>
        <w:t xml:space="preserve">ограничен срок на действие </w:t>
      </w:r>
    </w:p>
    <w:p>
      <w:pPr>
        <w:pStyle w:val="ListDash2"/>
        <w:rPr>
          <w:noProof/>
          <w:color w:val="000000" w:themeColor="text1"/>
        </w:rPr>
      </w:pPr>
      <w:r>
        <w:rPr>
          <w:noProof/>
        </w:rPr>
        <w:t>Х Предложение/инициатива в сила от 1.1.2018 г. до 31.12.2018 г.</w:t>
      </w:r>
    </w:p>
    <w:p>
      <w:pPr>
        <w:pStyle w:val="ListDash2"/>
        <w:rPr>
          <w:noProof/>
          <w:color w:val="000000" w:themeColor="text1"/>
        </w:rPr>
      </w:pPr>
      <w:r>
        <w:rPr>
          <w:noProof/>
        </w:rPr>
        <w:t>Х Финансово отражение от 2017 г. до 2018 г.</w:t>
      </w:r>
    </w:p>
    <w:p>
      <w:pPr>
        <w:pStyle w:val="Text1"/>
        <w:rPr>
          <w:noProof/>
          <w:color w:val="000000" w:themeColor="text1"/>
        </w:rPr>
      </w:pPr>
      <w:r>
        <w:rPr>
          <w:noProof/>
          <w:color w:val="000000" w:themeColor="text1"/>
        </w:rPr>
        <w:sym w:font="Wingdings" w:char="F0A8"/>
      </w:r>
      <w:r>
        <w:rPr>
          <w:b/>
          <w:i/>
          <w:noProof/>
          <w:color w:val="000000" w:themeColor="text1"/>
        </w:rPr>
        <w:t xml:space="preserve"> </w:t>
      </w:r>
      <w:r>
        <w:rPr>
          <w:noProof/>
        </w:rPr>
        <w:t xml:space="preserve">Предложение/инициатива с </w:t>
      </w:r>
      <w:r>
        <w:rPr>
          <w:b/>
          <w:noProof/>
        </w:rPr>
        <w:t>неограничен срок на действие</w:t>
      </w:r>
    </w:p>
    <w:p>
      <w:pPr>
        <w:pStyle w:val="ListDash1"/>
        <w:rPr>
          <w:noProof/>
          <w:color w:val="000000" w:themeColor="text1"/>
        </w:rPr>
      </w:pPr>
      <w:r>
        <w:rPr>
          <w:noProof/>
          <w:color w:val="000000" w:themeColor="text1"/>
        </w:rPr>
        <w:t>Осъществяване с период на започване на дейност от ГГГГ до ГГГГ,</w:t>
      </w:r>
    </w:p>
    <w:p>
      <w:pPr>
        <w:pStyle w:val="ListDash1"/>
        <w:rPr>
          <w:noProof/>
          <w:color w:val="000000" w:themeColor="text1"/>
        </w:rPr>
      </w:pPr>
      <w:r>
        <w:rPr>
          <w:noProof/>
          <w:color w:val="000000" w:themeColor="text1"/>
        </w:rPr>
        <w:t>последван от функциониране с пълен капацитет.</w:t>
      </w:r>
    </w:p>
    <w:p>
      <w:pPr>
        <w:pStyle w:val="ManualHeading2"/>
        <w:rPr>
          <w:bCs/>
          <w:noProof/>
          <w:szCs w:val="24"/>
        </w:rPr>
      </w:pPr>
      <w:r>
        <w:t>1.7.</w:t>
      </w:r>
      <w:r>
        <w:tab/>
      </w:r>
      <w:r>
        <w:rPr>
          <w:noProof/>
        </w:rPr>
        <w:t>Предвидени методи на управление</w:t>
      </w:r>
      <w:r>
        <w:rPr>
          <w:rStyle w:val="FootnoteReference"/>
          <w:noProof/>
          <w:color w:val="000000" w:themeColor="text1"/>
        </w:rPr>
        <w:footnoteReference w:id="29"/>
      </w:r>
      <w:r>
        <w:rPr>
          <w:rStyle w:val="FootnoteReference"/>
          <w:noProof/>
          <w:color w:val="000000" w:themeColor="text1"/>
        </w:rPr>
        <w:t xml:space="preserve"> </w:t>
      </w:r>
    </w:p>
    <w:p>
      <w:pPr>
        <w:pStyle w:val="Text1"/>
        <w:rPr>
          <w:noProof/>
          <w:color w:val="000000" w:themeColor="text1"/>
        </w:rPr>
      </w:pPr>
      <w:r>
        <w:rPr>
          <w:noProof/>
        </w:rPr>
        <w:t xml:space="preserve">X </w:t>
      </w:r>
      <w:r>
        <w:rPr>
          <w:b/>
          <w:noProof/>
        </w:rPr>
        <w:t>Пряко управление</w:t>
      </w:r>
      <w:r>
        <w:rPr>
          <w:noProof/>
        </w:rPr>
        <w:t xml:space="preserve"> от Комисията</w:t>
      </w:r>
    </w:p>
    <w:p>
      <w:pPr>
        <w:pStyle w:val="ListDash2"/>
        <w:rPr>
          <w:rFonts w:cs="EUAlbertina"/>
          <w:noProof/>
          <w:color w:val="000000" w:themeColor="text1"/>
        </w:rPr>
      </w:pPr>
      <w:r>
        <w:rPr>
          <w:noProof/>
          <w:color w:val="000000" w:themeColor="text1"/>
        </w:rPr>
        <w:sym w:font="Wingdings" w:char="F0A8"/>
      </w:r>
      <w:r>
        <w:rPr>
          <w:noProof/>
          <w:color w:val="000000" w:themeColor="text1"/>
        </w:rPr>
        <w:t xml:space="preserve"> от нейните служби, включително от нейния персонал в делегациите на Съюза; </w:t>
      </w:r>
    </w:p>
    <w:p>
      <w:pPr>
        <w:pStyle w:val="ListDash2"/>
        <w:rPr>
          <w:noProof/>
          <w:color w:val="000000" w:themeColor="text1"/>
        </w:rPr>
      </w:pPr>
      <w:r>
        <w:rPr>
          <w:noProof/>
          <w:color w:val="000000" w:themeColor="text1"/>
        </w:rPr>
        <w:sym w:font="Wingdings" w:char="F0A8"/>
      </w:r>
      <w:r>
        <w:rPr>
          <w:noProof/>
        </w:rPr>
        <w:tab/>
        <w:t>от изпълнителните агенции</w:t>
      </w:r>
      <w:r>
        <w:rPr>
          <w:noProof/>
          <w:color w:val="000000" w:themeColor="text1"/>
        </w:rPr>
        <w:t xml:space="preserve"> </w:t>
      </w:r>
    </w:p>
    <w:p>
      <w:pPr>
        <w:pStyle w:val="Text1"/>
        <w:rPr>
          <w:noProof/>
          <w:color w:val="000000" w:themeColor="text1"/>
        </w:rPr>
      </w:pPr>
      <w:r>
        <w:rPr>
          <w:noProof/>
          <w:color w:val="000000" w:themeColor="text1"/>
        </w:rPr>
        <w:sym w:font="Wingdings" w:char="F0A8"/>
      </w:r>
      <w:r>
        <w:rPr>
          <w:b/>
          <w:i/>
          <w:noProof/>
          <w:color w:val="000000" w:themeColor="text1"/>
        </w:rPr>
        <w:t xml:space="preserve"> </w:t>
      </w:r>
      <w:r>
        <w:rPr>
          <w:b/>
          <w:noProof/>
        </w:rPr>
        <w:t>Споделено управление</w:t>
      </w:r>
      <w:r>
        <w:rPr>
          <w:noProof/>
        </w:rPr>
        <w:t xml:space="preserve"> с държавите членки</w:t>
      </w:r>
      <w:r>
        <w:rPr>
          <w:noProof/>
          <w:color w:val="000000" w:themeColor="text1"/>
        </w:rPr>
        <w:t xml:space="preserve"> </w:t>
      </w:r>
    </w:p>
    <w:p>
      <w:pPr>
        <w:pStyle w:val="Text1"/>
        <w:rPr>
          <w:noProof/>
          <w:color w:val="000000" w:themeColor="text1"/>
        </w:rPr>
      </w:pPr>
      <w:r>
        <w:rPr>
          <w:noProof/>
          <w:color w:val="000000" w:themeColor="text1"/>
        </w:rPr>
        <w:sym w:font="Wingdings" w:char="F0A8"/>
      </w:r>
      <w:r>
        <w:rPr>
          <w:i/>
          <w:noProof/>
          <w:color w:val="000000" w:themeColor="text1"/>
        </w:rPr>
        <w:t xml:space="preserve"> </w:t>
      </w:r>
      <w:r>
        <w:rPr>
          <w:b/>
          <w:noProof/>
        </w:rPr>
        <w:t>Непряко управление</w:t>
      </w:r>
      <w:r>
        <w:rPr>
          <w:noProof/>
        </w:rPr>
        <w:t xml:space="preserve"> чрез възлагане на задачи по изпълнението на бюджета на</w:t>
      </w:r>
      <w:r>
        <w:rPr>
          <w:noProof/>
          <w:color w:val="000000" w:themeColor="text1"/>
        </w:rPr>
        <w:t>:</w:t>
      </w:r>
    </w:p>
    <w:p>
      <w:pPr>
        <w:pStyle w:val="ListDash2"/>
        <w:rPr>
          <w:noProof/>
          <w:color w:val="000000" w:themeColor="text1"/>
        </w:rPr>
      </w:pPr>
      <w:r>
        <w:rPr>
          <w:noProof/>
          <w:color w:val="000000" w:themeColor="text1"/>
        </w:rPr>
        <w:sym w:font="Wingdings" w:char="F0A8"/>
      </w:r>
      <w:r>
        <w:rPr>
          <w:noProof/>
          <w:color w:val="000000" w:themeColor="text1"/>
        </w:rPr>
        <w:t xml:space="preserve"> трети държави или органите, определени от тях;</w:t>
      </w:r>
    </w:p>
    <w:p>
      <w:pPr>
        <w:pStyle w:val="ListDash2"/>
        <w:rPr>
          <w:noProof/>
          <w:color w:val="000000" w:themeColor="text1"/>
        </w:rPr>
      </w:pPr>
      <w:r>
        <w:rPr>
          <w:noProof/>
          <w:color w:val="000000" w:themeColor="text1"/>
        </w:rPr>
        <w:sym w:font="Wingdings" w:char="F0A8"/>
      </w:r>
      <w:r>
        <w:rPr>
          <w:noProof/>
          <w:color w:val="000000" w:themeColor="text1"/>
        </w:rPr>
        <w:t xml:space="preserve"> международни организации и техните агенции (да се уточни);</w:t>
      </w:r>
    </w:p>
    <w:p>
      <w:pPr>
        <w:pStyle w:val="ListDash2"/>
        <w:rPr>
          <w:noProof/>
          <w:color w:val="000000" w:themeColor="text1"/>
        </w:rPr>
      </w:pPr>
      <w:r>
        <w:rPr>
          <w:noProof/>
          <w:color w:val="000000" w:themeColor="text1"/>
        </w:rPr>
        <w:sym w:font="Wingdings" w:char="F0A8"/>
      </w:r>
      <w:r>
        <w:rPr>
          <w:noProof/>
        </w:rPr>
        <w:t xml:space="preserve"> ЕИБ и Европейския инвестиционен фонд</w:t>
      </w:r>
      <w:r>
        <w:rPr>
          <w:noProof/>
          <w:color w:val="000000" w:themeColor="text1"/>
        </w:rPr>
        <w:t>;</w:t>
      </w:r>
    </w:p>
    <w:p>
      <w:pPr>
        <w:pStyle w:val="ListDash2"/>
        <w:rPr>
          <w:noProof/>
          <w:color w:val="000000" w:themeColor="text1"/>
        </w:rPr>
      </w:pPr>
      <w:r>
        <w:rPr>
          <w:noProof/>
          <w:color w:val="000000" w:themeColor="text1"/>
        </w:rPr>
        <w:sym w:font="Wingdings" w:char="F0A8"/>
      </w:r>
      <w:r>
        <w:rPr>
          <w:noProof/>
          <w:color w:val="000000" w:themeColor="text1"/>
        </w:rPr>
        <w:t xml:space="preserve"> органите, посочени в членове 208 и 209 от Финансовия регламент;</w:t>
      </w:r>
    </w:p>
    <w:p>
      <w:pPr>
        <w:pStyle w:val="ListDash2"/>
        <w:rPr>
          <w:noProof/>
          <w:color w:val="000000" w:themeColor="text1"/>
        </w:rPr>
      </w:pPr>
      <w:r>
        <w:rPr>
          <w:noProof/>
          <w:color w:val="000000" w:themeColor="text1"/>
        </w:rPr>
        <w:sym w:font="Wingdings" w:char="F0A8"/>
      </w:r>
      <w:r>
        <w:rPr>
          <w:noProof/>
          <w:color w:val="000000" w:themeColor="text1"/>
        </w:rPr>
        <w:t xml:space="preserve"> публичноправни органи;</w:t>
      </w:r>
    </w:p>
    <w:p>
      <w:pPr>
        <w:pStyle w:val="ListDash2"/>
        <w:rPr>
          <w:noProof/>
          <w:color w:val="000000" w:themeColor="text1"/>
        </w:rPr>
      </w:pPr>
      <w:r>
        <w:rPr>
          <w:noProof/>
          <w:color w:val="000000" w:themeColor="text1"/>
        </w:rPr>
        <w:sym w:font="Wingdings" w:char="F0A8"/>
      </w:r>
      <w:r>
        <w:rPr>
          <w:noProof/>
          <w:color w:val="000000" w:themeColor="text1"/>
        </w:rPr>
        <w:t xml:space="preserve"> частноправни органи със задължение за обществена услуга, доколкото предоставят подходящи финансови гаранции;</w:t>
      </w:r>
    </w:p>
    <w:p>
      <w:pPr>
        <w:pStyle w:val="ListDash2"/>
        <w:rPr>
          <w:noProof/>
          <w:color w:val="000000" w:themeColor="text1"/>
        </w:rPr>
      </w:pPr>
      <w:r>
        <w:rPr>
          <w:noProof/>
          <w:color w:val="000000" w:themeColor="text1"/>
        </w:rPr>
        <w:sym w:font="Wingdings" w:char="F0A8"/>
      </w:r>
      <w:r>
        <w:rPr>
          <w:noProof/>
          <w:color w:val="000000" w:themeColor="text1"/>
        </w:rPr>
        <w:t xml:space="preserve"> органи, уредени в частното право на държава членка, на които е възложено осъществяването на публично-частно партньорство и които предоставят подходящи финансови гаранции;</w:t>
      </w:r>
    </w:p>
    <w:p>
      <w:pPr>
        <w:pStyle w:val="ListDash2"/>
        <w:rPr>
          <w:noProof/>
          <w:color w:val="000000" w:themeColor="text1"/>
        </w:rPr>
      </w:pPr>
      <w:r>
        <w:rPr>
          <w:noProof/>
          <w:color w:val="000000" w:themeColor="text1"/>
        </w:rPr>
        <w:sym w:font="Wingdings" w:char="F0A8"/>
      </w:r>
      <w:r>
        <w:rPr>
          <w:noProof/>
          <w:color w:val="000000" w:themeColor="text1"/>
        </w:rPr>
        <w:t xml:space="preserve"> лица, на които е възложено изпълнението на специфични дейности в областта на ОВППС съгласно дял V от ДЕС и които са посочени в съответния основен акт.</w:t>
      </w:r>
    </w:p>
    <w:p>
      <w:pPr>
        <w:pStyle w:val="ListDash2"/>
        <w:rPr>
          <w:i/>
          <w:noProof/>
          <w:color w:val="000000" w:themeColor="text1"/>
          <w:sz w:val="18"/>
          <w:u w:val="single"/>
        </w:rPr>
      </w:pPr>
      <w:r>
        <w:rPr>
          <w:i/>
          <w:noProof/>
          <w:color w:val="000000" w:themeColor="text1"/>
          <w:sz w:val="18"/>
        </w:rPr>
        <w:t>Ако е посочен повече от един метод на управление, пояснете в частта „Забележки“.</w:t>
      </w:r>
    </w:p>
    <w:p>
      <w:pPr>
        <w:rPr>
          <w:noProof/>
          <w:color w:val="000000" w:themeColor="text1"/>
        </w:rPr>
      </w:pPr>
      <w:r>
        <w:rPr>
          <w:noProof/>
          <w:color w:val="000000" w:themeColor="text1"/>
        </w:rPr>
        <w:t xml:space="preserve">Забележки </w:t>
      </w:r>
    </w:p>
    <w:p>
      <w:pPr>
        <w:pBdr>
          <w:top w:val="single" w:sz="4" w:space="1" w:color="auto"/>
          <w:left w:val="single" w:sz="4" w:space="4" w:color="auto"/>
          <w:bottom w:val="single" w:sz="4" w:space="1" w:color="auto"/>
          <w:right w:val="single" w:sz="4" w:space="4" w:color="auto"/>
        </w:pBdr>
        <w:rPr>
          <w:noProof/>
          <w:color w:val="000000" w:themeColor="text1"/>
        </w:rPr>
      </w:pPr>
      <w:r>
        <w:rPr>
          <w:noProof/>
        </w:rPr>
        <w:t>[…]</w:t>
      </w:r>
    </w:p>
    <w:p>
      <w:pPr>
        <w:pBdr>
          <w:top w:val="single" w:sz="4" w:space="1" w:color="auto"/>
          <w:left w:val="single" w:sz="4" w:space="4" w:color="auto"/>
          <w:bottom w:val="single" w:sz="4" w:space="1" w:color="auto"/>
          <w:right w:val="single" w:sz="4" w:space="4" w:color="auto"/>
        </w:pBdr>
        <w:rPr>
          <w:noProof/>
          <w:color w:val="000000" w:themeColor="text1"/>
        </w:rPr>
      </w:pPr>
      <w:r>
        <w:rPr>
          <w:noProof/>
        </w:rPr>
        <w:t>[…]</w:t>
      </w:r>
    </w:p>
    <w:p>
      <w:pPr>
        <w:rPr>
          <w:noProof/>
          <w:color w:val="000000" w:themeColor="text1"/>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МЕРКИ ЗА УПРАВЛЕНИЕ </w:t>
      </w:r>
    </w:p>
    <w:p>
      <w:pPr>
        <w:pStyle w:val="ManualHeading2"/>
        <w:rPr>
          <w:noProof/>
        </w:rPr>
      </w:pPr>
      <w:r>
        <w:t>2.1.</w:t>
      </w:r>
      <w:r>
        <w:tab/>
      </w:r>
      <w:r>
        <w:rPr>
          <w:noProof/>
        </w:rPr>
        <w:t xml:space="preserve">Правила за мониторинг и докладване </w:t>
      </w:r>
    </w:p>
    <w:p>
      <w:pPr>
        <w:pStyle w:val="Text1"/>
        <w:rPr>
          <w:i/>
          <w:noProof/>
          <w:color w:val="000000" w:themeColor="text1"/>
          <w:sz w:val="20"/>
          <w:u w:val="single"/>
        </w:rPr>
      </w:pPr>
      <w:r>
        <w:rPr>
          <w:i/>
          <w:noProof/>
          <w:color w:val="000000" w:themeColor="text1"/>
          <w:sz w:val="20"/>
        </w:rPr>
        <w:t>Да се посочат честотата и условията.</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Работна програма на Европейската година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Сформиране на управителен комитет </w:t>
      </w:r>
    </w:p>
    <w:p>
      <w:pPr>
        <w:pStyle w:val="ManualHeading2"/>
        <w:rPr>
          <w:bCs/>
          <w:noProof/>
          <w:szCs w:val="24"/>
        </w:rPr>
      </w:pPr>
      <w:r>
        <w:t>2.2.</w:t>
      </w:r>
      <w:r>
        <w:tab/>
      </w:r>
      <w:r>
        <w:rPr>
          <w:noProof/>
        </w:rPr>
        <w:t xml:space="preserve">Система за управление и контрол </w:t>
      </w:r>
    </w:p>
    <w:p>
      <w:pPr>
        <w:pStyle w:val="ManualHeading3"/>
        <w:rPr>
          <w:noProof/>
        </w:rPr>
      </w:pPr>
      <w:r>
        <w:t>2.2.1.</w:t>
      </w:r>
      <w:r>
        <w:tab/>
      </w:r>
      <w:r>
        <w:rPr>
          <w:noProof/>
        </w:rPr>
        <w:t xml:space="preserve">Установени рискове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Липса на видимост на инициативите</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 Твърде големи очаквания с оглед на ограничения бюджет </w:t>
      </w:r>
    </w:p>
    <w:p>
      <w:pPr>
        <w:pStyle w:val="ManualHeading3"/>
        <w:rPr>
          <w:bCs/>
          <w:noProof/>
          <w:szCs w:val="24"/>
        </w:rPr>
      </w:pPr>
      <w:r>
        <w:t>2.2.2.</w:t>
      </w:r>
      <w:r>
        <w:tab/>
      </w:r>
      <w:r>
        <w:rPr>
          <w:noProof/>
        </w:rPr>
        <w:t>Информация за изградената система за вътрешен контрол</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Редовна оценка на риска в рамките на управителния комитет  </w:t>
      </w:r>
    </w:p>
    <w:p>
      <w:pPr>
        <w:pStyle w:val="ManualHeading3"/>
        <w:rPr>
          <w:noProof/>
        </w:rPr>
      </w:pPr>
      <w:r>
        <w:t>2.2.3.</w:t>
      </w:r>
      <w:r>
        <w:tab/>
      </w:r>
      <w:r>
        <w:rPr>
          <w:noProof/>
        </w:rPr>
        <w:t xml:space="preserve">Оценка на разходите и ползите от проверките и на очаквания риск от грешка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w:t>
      </w:r>
      <w:r>
        <w:rPr>
          <w:noProof/>
          <w:color w:val="1F497D"/>
        </w:rPr>
        <w:t>Pour mémoire</w:t>
      </w:r>
      <w:r>
        <w:rPr>
          <w:noProof/>
        </w:rPr>
        <w:t>]</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w:t>
      </w:r>
      <w:r>
        <w:rPr>
          <w:noProof/>
          <w:color w:val="1F497D"/>
        </w:rPr>
        <w:t>Pour mémoire</w:t>
      </w:r>
      <w:r>
        <w:rPr>
          <w:noProof/>
        </w:rPr>
        <w:t>]</w:t>
      </w:r>
    </w:p>
    <w:p>
      <w:pPr>
        <w:pStyle w:val="ManualHeading2"/>
        <w:rPr>
          <w:bCs/>
          <w:noProof/>
          <w:szCs w:val="24"/>
        </w:rPr>
      </w:pPr>
      <w:r>
        <w:t>2.3.</w:t>
      </w:r>
      <w:r>
        <w:tab/>
      </w:r>
      <w:r>
        <w:rPr>
          <w:noProof/>
        </w:rPr>
        <w:t xml:space="preserve">Мерки за предотвратяване на измами и нередности </w:t>
      </w:r>
    </w:p>
    <w:p>
      <w:pPr>
        <w:pStyle w:val="Text1"/>
        <w:rPr>
          <w:i/>
          <w:noProof/>
          <w:color w:val="000000" w:themeColor="text1"/>
          <w:sz w:val="20"/>
        </w:rPr>
      </w:pPr>
      <w:r>
        <w:rPr>
          <w:i/>
          <w:noProof/>
          <w:color w:val="000000" w:themeColor="text1"/>
          <w:sz w:val="20"/>
        </w:rPr>
        <w:t>Да се посочат съществуващите или планираните мерки за превенция и защита.</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Комисията гарантира, че когато се изпълняват действия, финансирани съгласно настоящото решение, финансовите интереси на Съюза са защитени чрез прилагането на мерки за предотвратяване на измами, корупция и всякакви други незаконни действия чрез ефикасен контрол и чрез възстановяване на неправомерно изплатените суми, а при откриването на нередности ― посредством ефикасни, пропорционални и възпиращи санкции. Комисията е оправомощена да извършва контрол и проверки на място съгласно настоящото решение в съответствие с Регламент (Евратом, ЕО) № 2185/96 на Съвета от 11 ноември 1996 г. относно контрола и проверките на място, извършвани от Комисията за защита на финансовите интереси на Европейските общности срещу измами и други нередности. Ако е необходимо, се извършват разследвания от Европейската служба за борба с измамите съгласно Регламент (ЕО) № 1073/1999 на Европейския парламент и на Съвета от 25 май 1999 г. относно разследванията, провеждани от Европейската служба за борба с измамите (OLAF).</w:t>
      </w:r>
      <w:r>
        <w:rPr>
          <w:noProof/>
          <w:color w:val="000000" w:themeColor="text1"/>
        </w:rPr>
        <w:t xml:space="preserve"> </w:t>
      </w:r>
    </w:p>
    <w:p>
      <w:pPr>
        <w:rPr>
          <w:noProof/>
          <w:color w:val="000000" w:themeColor="text1"/>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ОЧАКВАНО ФИНАНСОВО ОТРАЖЕНИЕ НА ПРЕДЛОЖЕНИЕТО/ИНИЦИАТИВАТА </w:t>
      </w:r>
    </w:p>
    <w:p>
      <w:pPr>
        <w:pStyle w:val="ManualHeading2"/>
        <w:rPr>
          <w:noProof/>
        </w:rPr>
      </w:pPr>
      <w:r>
        <w:t>3.1.</w:t>
      </w:r>
      <w:r>
        <w:tab/>
      </w:r>
      <w:r>
        <w:rPr>
          <w:noProof/>
        </w:rPr>
        <w:t xml:space="preserve">Съответни функции от многогодишната финансова рамка и разходни бюджетни редове </w:t>
      </w:r>
    </w:p>
    <w:p>
      <w:pPr>
        <w:pStyle w:val="ListBullet1"/>
        <w:rPr>
          <w:noProof/>
          <w:color w:val="000000" w:themeColor="text1"/>
        </w:rPr>
      </w:pPr>
      <w:r>
        <w:rPr>
          <w:noProof/>
          <w:color w:val="000000" w:themeColor="text1"/>
        </w:rPr>
        <w:t xml:space="preserve">Съществуващи бюджетни редове </w:t>
      </w:r>
    </w:p>
    <w:p>
      <w:pPr>
        <w:pStyle w:val="Text1"/>
        <w:rPr>
          <w:noProof/>
          <w:color w:val="000000" w:themeColor="text1"/>
        </w:rPr>
      </w:pPr>
      <w:r>
        <w:rPr>
          <w:noProof/>
          <w:u w:val="single"/>
        </w:rPr>
        <w:t>По реда</w:t>
      </w:r>
      <w:r>
        <w:rPr>
          <w:noProof/>
        </w:rPr>
        <w:t xml:space="preserve">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color w:val="000000" w:themeColor="text1"/>
                <w:sz w:val="22"/>
              </w:rPr>
            </w:pPr>
            <w:r>
              <w:rPr>
                <w:noProof/>
                <w:color w:val="000000" w:themeColor="text1"/>
                <w:sz w:val="18"/>
              </w:rPr>
              <w:t>Функция от многогодишната финансова рамка</w:t>
            </w:r>
          </w:p>
        </w:tc>
        <w:tc>
          <w:tcPr>
            <w:tcW w:w="3960" w:type="dxa"/>
            <w:vAlign w:val="center"/>
          </w:tcPr>
          <w:p>
            <w:pPr>
              <w:spacing w:before="60" w:after="60"/>
              <w:jc w:val="center"/>
              <w:rPr>
                <w:noProof/>
                <w:color w:val="000000" w:themeColor="text1"/>
                <w:sz w:val="22"/>
              </w:rPr>
            </w:pPr>
            <w:r>
              <w:rPr>
                <w:noProof/>
                <w:color w:val="000000" w:themeColor="text1"/>
                <w:sz w:val="20"/>
              </w:rPr>
              <w:t>Бюджетен ред</w:t>
            </w:r>
          </w:p>
        </w:tc>
        <w:tc>
          <w:tcPr>
            <w:tcW w:w="1080" w:type="dxa"/>
            <w:vAlign w:val="center"/>
          </w:tcPr>
          <w:p>
            <w:pPr>
              <w:spacing w:before="60" w:after="60"/>
              <w:jc w:val="center"/>
              <w:rPr>
                <w:noProof/>
                <w:color w:val="000000" w:themeColor="text1"/>
                <w:sz w:val="20"/>
                <w:szCs w:val="20"/>
              </w:rPr>
            </w:pPr>
            <w:r>
              <w:rPr>
                <w:noProof/>
                <w:sz w:val="20"/>
                <w:szCs w:val="20"/>
              </w:rPr>
              <w:t>Вид на разхода</w:t>
            </w:r>
          </w:p>
        </w:tc>
        <w:tc>
          <w:tcPr>
            <w:tcW w:w="4440" w:type="dxa"/>
            <w:gridSpan w:val="4"/>
            <w:vAlign w:val="center"/>
          </w:tcPr>
          <w:p>
            <w:pPr>
              <w:spacing w:before="60" w:after="60"/>
              <w:jc w:val="center"/>
              <w:rPr>
                <w:noProof/>
                <w:color w:val="000000" w:themeColor="text1"/>
                <w:sz w:val="22"/>
              </w:rPr>
            </w:pPr>
            <w:r>
              <w:rPr>
                <w:noProof/>
                <w:color w:val="000000" w:themeColor="text1"/>
                <w:sz w:val="20"/>
              </w:rPr>
              <w:t xml:space="preserve">Вноска </w:t>
            </w:r>
          </w:p>
        </w:tc>
      </w:tr>
      <w:tr>
        <w:tc>
          <w:tcPr>
            <w:tcW w:w="1080" w:type="dxa"/>
            <w:vMerge/>
            <w:vAlign w:val="center"/>
          </w:tcPr>
          <w:p>
            <w:pPr>
              <w:jc w:val="center"/>
              <w:rPr>
                <w:noProof/>
                <w:color w:val="000000" w:themeColor="text1"/>
                <w:sz w:val="22"/>
              </w:rPr>
            </w:pPr>
          </w:p>
        </w:tc>
        <w:tc>
          <w:tcPr>
            <w:tcW w:w="3960" w:type="dxa"/>
            <w:vAlign w:val="center"/>
          </w:tcPr>
          <w:p>
            <w:pPr>
              <w:rPr>
                <w:noProof/>
                <w:color w:val="000000" w:themeColor="text1"/>
                <w:sz w:val="22"/>
              </w:rPr>
            </w:pPr>
            <w:r>
              <w:rPr>
                <w:noProof/>
                <w:color w:val="000000" w:themeColor="text1"/>
                <w:sz w:val="20"/>
              </w:rPr>
              <w:t>Функция 3: Сигурност и гражданство</w:t>
            </w:r>
          </w:p>
        </w:tc>
        <w:tc>
          <w:tcPr>
            <w:tcW w:w="1080" w:type="dxa"/>
            <w:vAlign w:val="center"/>
          </w:tcPr>
          <w:p>
            <w:pPr>
              <w:jc w:val="center"/>
              <w:rPr>
                <w:noProof/>
                <w:color w:val="000000" w:themeColor="text1"/>
                <w:sz w:val="22"/>
              </w:rPr>
            </w:pPr>
            <w:r>
              <w:rPr>
                <w:noProof/>
                <w:color w:val="000000" w:themeColor="text1"/>
                <w:sz w:val="18"/>
              </w:rPr>
              <w:t>Многогод./едногод.</w:t>
            </w:r>
            <w:r>
              <w:rPr>
                <w:rStyle w:val="FootnoteReference"/>
                <w:noProof/>
                <w:color w:val="000000" w:themeColor="text1"/>
                <w:sz w:val="18"/>
              </w:rPr>
              <w:footnoteReference w:id="30"/>
            </w:r>
          </w:p>
        </w:tc>
        <w:tc>
          <w:tcPr>
            <w:tcW w:w="956" w:type="dxa"/>
            <w:vAlign w:val="center"/>
          </w:tcPr>
          <w:p>
            <w:pPr>
              <w:jc w:val="center"/>
              <w:rPr>
                <w:noProof/>
                <w:color w:val="000000" w:themeColor="text1"/>
                <w:sz w:val="22"/>
              </w:rPr>
            </w:pPr>
            <w:r>
              <w:rPr>
                <w:noProof/>
                <w:color w:val="000000" w:themeColor="text1"/>
                <w:sz w:val="18"/>
              </w:rPr>
              <w:t>от държави от ЕАСТ</w:t>
            </w:r>
            <w:r>
              <w:rPr>
                <w:rStyle w:val="FootnoteReference"/>
                <w:noProof/>
                <w:color w:val="000000" w:themeColor="text1"/>
                <w:sz w:val="18"/>
              </w:rPr>
              <w:footnoteReference w:id="31"/>
            </w:r>
          </w:p>
          <w:p>
            <w:pPr>
              <w:spacing w:before="0" w:after="0"/>
              <w:jc w:val="center"/>
              <w:rPr>
                <w:b/>
                <w:noProof/>
                <w:color w:val="000000" w:themeColor="text1"/>
                <w:sz w:val="18"/>
              </w:rPr>
            </w:pPr>
          </w:p>
        </w:tc>
        <w:tc>
          <w:tcPr>
            <w:tcW w:w="1080" w:type="dxa"/>
            <w:vAlign w:val="center"/>
          </w:tcPr>
          <w:p>
            <w:pPr>
              <w:jc w:val="center"/>
              <w:rPr>
                <w:noProof/>
                <w:color w:val="000000" w:themeColor="text1"/>
                <w:spacing w:val="-6"/>
                <w:sz w:val="22"/>
              </w:rPr>
            </w:pPr>
            <w:r>
              <w:rPr>
                <w:noProof/>
                <w:color w:val="000000" w:themeColor="text1"/>
                <w:spacing w:val="-6"/>
                <w:sz w:val="18"/>
              </w:rPr>
              <w:t>от държави кандидатки</w:t>
            </w:r>
            <w:r>
              <w:rPr>
                <w:rStyle w:val="FootnoteReference"/>
                <w:noProof/>
                <w:color w:val="000000" w:themeColor="text1"/>
                <w:spacing w:val="-6"/>
                <w:sz w:val="18"/>
              </w:rPr>
              <w:footnoteReference w:id="32"/>
            </w:r>
          </w:p>
          <w:p>
            <w:pPr>
              <w:spacing w:before="0" w:after="0"/>
              <w:jc w:val="center"/>
              <w:rPr>
                <w:noProof/>
                <w:color w:val="000000" w:themeColor="text1"/>
                <w:sz w:val="18"/>
              </w:rPr>
            </w:pPr>
          </w:p>
        </w:tc>
        <w:tc>
          <w:tcPr>
            <w:tcW w:w="956" w:type="dxa"/>
            <w:vAlign w:val="center"/>
          </w:tcPr>
          <w:p>
            <w:pPr>
              <w:jc w:val="center"/>
              <w:rPr>
                <w:noProof/>
                <w:color w:val="000000" w:themeColor="text1"/>
                <w:sz w:val="18"/>
              </w:rPr>
            </w:pPr>
            <w:r>
              <w:rPr>
                <w:noProof/>
                <w:color w:val="000000" w:themeColor="text1"/>
                <w:sz w:val="18"/>
              </w:rPr>
              <w:t>от трети държави</w:t>
            </w:r>
          </w:p>
        </w:tc>
        <w:tc>
          <w:tcPr>
            <w:tcW w:w="1448" w:type="dxa"/>
            <w:vAlign w:val="center"/>
          </w:tcPr>
          <w:p>
            <w:pPr>
              <w:jc w:val="center"/>
              <w:rPr>
                <w:noProof/>
                <w:color w:val="000000" w:themeColor="text1"/>
                <w:sz w:val="22"/>
              </w:rPr>
            </w:pPr>
            <w:r>
              <w:rPr>
                <w:noProof/>
                <w:color w:val="000000" w:themeColor="text1"/>
                <w:sz w:val="16"/>
              </w:rPr>
              <w:t xml:space="preserve">по смисъла на член 21, параграф 2, буква б) от Финансовия регламент </w:t>
            </w:r>
          </w:p>
        </w:tc>
      </w:tr>
      <w:tr>
        <w:tc>
          <w:tcPr>
            <w:tcW w:w="1080" w:type="dxa"/>
            <w:vAlign w:val="center"/>
          </w:tcPr>
          <w:p>
            <w:pPr>
              <w:jc w:val="center"/>
              <w:rPr>
                <w:noProof/>
                <w:color w:val="000000" w:themeColor="text1"/>
                <w:sz w:val="22"/>
              </w:rPr>
            </w:pPr>
            <w:r>
              <w:rPr>
                <w:noProof/>
                <w:color w:val="000000" w:themeColor="text1"/>
                <w:sz w:val="22"/>
              </w:rPr>
              <w:t>3</w:t>
            </w:r>
          </w:p>
        </w:tc>
        <w:tc>
          <w:tcPr>
            <w:tcW w:w="3960" w:type="dxa"/>
            <w:vAlign w:val="center"/>
          </w:tcPr>
          <w:p>
            <w:pPr>
              <w:spacing w:after="60"/>
              <w:rPr>
                <w:noProof/>
                <w:color w:val="000000" w:themeColor="text1"/>
                <w:sz w:val="22"/>
              </w:rPr>
            </w:pPr>
            <w:r>
              <w:rPr>
                <w:noProof/>
                <w:color w:val="000000" w:themeColor="text1"/>
                <w:sz w:val="22"/>
              </w:rPr>
              <w:t xml:space="preserve">15 04 02 — Подпрограма „Култура“ — подкрепа за трансгранични мерки и насърчаване на транснационалното разпространение и мобилност </w:t>
            </w:r>
          </w:p>
        </w:tc>
        <w:tc>
          <w:tcPr>
            <w:tcW w:w="1080" w:type="dxa"/>
            <w:vAlign w:val="center"/>
          </w:tcPr>
          <w:p>
            <w:pPr>
              <w:jc w:val="center"/>
              <w:rPr>
                <w:noProof/>
                <w:color w:val="000000" w:themeColor="text1"/>
                <w:sz w:val="18"/>
                <w:szCs w:val="18"/>
              </w:rPr>
            </w:pPr>
            <w:r>
              <w:rPr>
                <w:noProof/>
                <w:color w:val="000000" w:themeColor="text1"/>
                <w:sz w:val="18"/>
                <w:szCs w:val="18"/>
              </w:rPr>
              <w:t>Многогод.</w:t>
            </w:r>
          </w:p>
        </w:tc>
        <w:tc>
          <w:tcPr>
            <w:tcW w:w="956" w:type="dxa"/>
            <w:vAlign w:val="center"/>
          </w:tcPr>
          <w:p>
            <w:pPr>
              <w:jc w:val="center"/>
              <w:rPr>
                <w:noProof/>
                <w:color w:val="000000" w:themeColor="text1"/>
                <w:sz w:val="22"/>
              </w:rPr>
            </w:pPr>
            <w:r>
              <w:rPr>
                <w:noProof/>
                <w:color w:val="000000" w:themeColor="text1"/>
                <w:sz w:val="22"/>
              </w:rPr>
              <w:t>НЕ</w:t>
            </w:r>
          </w:p>
        </w:tc>
        <w:tc>
          <w:tcPr>
            <w:tcW w:w="1080" w:type="dxa"/>
            <w:vAlign w:val="center"/>
          </w:tcPr>
          <w:p>
            <w:pPr>
              <w:jc w:val="center"/>
              <w:rPr>
                <w:noProof/>
                <w:color w:val="000000" w:themeColor="text1"/>
                <w:sz w:val="22"/>
              </w:rPr>
            </w:pPr>
            <w:r>
              <w:rPr>
                <w:noProof/>
                <w:color w:val="000000" w:themeColor="text1"/>
                <w:sz w:val="22"/>
              </w:rPr>
              <w:t>НЕ</w:t>
            </w:r>
          </w:p>
        </w:tc>
        <w:tc>
          <w:tcPr>
            <w:tcW w:w="956" w:type="dxa"/>
            <w:vAlign w:val="center"/>
          </w:tcPr>
          <w:p>
            <w:pPr>
              <w:jc w:val="center"/>
              <w:rPr>
                <w:noProof/>
                <w:color w:val="000000" w:themeColor="text1"/>
                <w:sz w:val="22"/>
              </w:rPr>
            </w:pPr>
            <w:r>
              <w:rPr>
                <w:noProof/>
                <w:color w:val="000000" w:themeColor="text1"/>
                <w:sz w:val="22"/>
              </w:rPr>
              <w:t>НЕ</w:t>
            </w:r>
          </w:p>
        </w:tc>
        <w:tc>
          <w:tcPr>
            <w:tcW w:w="1448" w:type="dxa"/>
            <w:vAlign w:val="center"/>
          </w:tcPr>
          <w:p>
            <w:pPr>
              <w:jc w:val="center"/>
              <w:rPr>
                <w:noProof/>
                <w:color w:val="000000" w:themeColor="text1"/>
                <w:sz w:val="22"/>
              </w:rPr>
            </w:pPr>
            <w:r>
              <w:rPr>
                <w:noProof/>
                <w:color w:val="000000" w:themeColor="text1"/>
                <w:sz w:val="22"/>
              </w:rPr>
              <w:t>НЕ</w:t>
            </w:r>
          </w:p>
        </w:tc>
      </w:tr>
    </w:tbl>
    <w:p>
      <w:pPr>
        <w:pStyle w:val="ListBullet1"/>
        <w:rPr>
          <w:noProof/>
          <w:color w:val="000000" w:themeColor="text1"/>
        </w:rPr>
      </w:pPr>
      <w:r>
        <w:rPr>
          <w:noProof/>
          <w:color w:val="000000" w:themeColor="text1"/>
        </w:rPr>
        <w:t xml:space="preserve">Поискани нови бюджетни редове </w:t>
      </w:r>
    </w:p>
    <w:p>
      <w:pPr>
        <w:pStyle w:val="Text1"/>
        <w:rPr>
          <w:i/>
          <w:noProof/>
          <w:color w:val="000000" w:themeColor="text1"/>
          <w:sz w:val="20"/>
        </w:rPr>
      </w:pPr>
      <w:r>
        <w:rPr>
          <w:i/>
          <w:noProof/>
          <w:u w:val="single"/>
        </w:rPr>
        <w:t>По реда</w:t>
      </w:r>
      <w:r>
        <w:rPr>
          <w:i/>
          <w:noProof/>
        </w:rPr>
        <w:t xml:space="preserve">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color w:val="000000" w:themeColor="text1"/>
                <w:sz w:val="18"/>
                <w:szCs w:val="18"/>
              </w:rPr>
            </w:pPr>
            <w:r>
              <w:rPr>
                <w:noProof/>
                <w:color w:val="000000" w:themeColor="text1"/>
                <w:sz w:val="18"/>
              </w:rPr>
              <w:t>Функция от многогодишната финансова рамка</w:t>
            </w:r>
          </w:p>
        </w:tc>
        <w:tc>
          <w:tcPr>
            <w:tcW w:w="3960" w:type="dxa"/>
            <w:vAlign w:val="center"/>
          </w:tcPr>
          <w:p>
            <w:pPr>
              <w:spacing w:before="60" w:after="60"/>
              <w:jc w:val="center"/>
              <w:rPr>
                <w:noProof/>
                <w:color w:val="000000" w:themeColor="text1"/>
                <w:sz w:val="22"/>
              </w:rPr>
            </w:pPr>
            <w:r>
              <w:rPr>
                <w:noProof/>
                <w:color w:val="000000" w:themeColor="text1"/>
                <w:sz w:val="20"/>
              </w:rPr>
              <w:t>Бюджетен ред</w:t>
            </w:r>
          </w:p>
        </w:tc>
        <w:tc>
          <w:tcPr>
            <w:tcW w:w="1080" w:type="dxa"/>
            <w:vAlign w:val="center"/>
          </w:tcPr>
          <w:p>
            <w:pPr>
              <w:spacing w:before="60" w:after="60"/>
              <w:jc w:val="center"/>
              <w:rPr>
                <w:noProof/>
                <w:color w:val="000000" w:themeColor="text1"/>
                <w:sz w:val="20"/>
                <w:szCs w:val="20"/>
              </w:rPr>
            </w:pPr>
            <w:r>
              <w:rPr>
                <w:noProof/>
                <w:sz w:val="20"/>
                <w:szCs w:val="20"/>
              </w:rPr>
              <w:t>Вид на разхода</w:t>
            </w:r>
          </w:p>
        </w:tc>
        <w:tc>
          <w:tcPr>
            <w:tcW w:w="4440" w:type="dxa"/>
            <w:gridSpan w:val="4"/>
            <w:vAlign w:val="center"/>
          </w:tcPr>
          <w:p>
            <w:pPr>
              <w:spacing w:before="60" w:after="60"/>
              <w:jc w:val="center"/>
              <w:rPr>
                <w:noProof/>
                <w:color w:val="000000" w:themeColor="text1"/>
                <w:sz w:val="22"/>
              </w:rPr>
            </w:pPr>
            <w:r>
              <w:rPr>
                <w:noProof/>
                <w:color w:val="000000" w:themeColor="text1"/>
                <w:sz w:val="20"/>
              </w:rPr>
              <w:t xml:space="preserve">Вноска </w:t>
            </w:r>
          </w:p>
        </w:tc>
      </w:tr>
      <w:tr>
        <w:tc>
          <w:tcPr>
            <w:tcW w:w="1080" w:type="dxa"/>
            <w:vMerge/>
            <w:vAlign w:val="center"/>
          </w:tcPr>
          <w:p>
            <w:pPr>
              <w:jc w:val="center"/>
              <w:rPr>
                <w:noProof/>
                <w:color w:val="000000" w:themeColor="text1"/>
                <w:sz w:val="22"/>
              </w:rPr>
            </w:pPr>
          </w:p>
        </w:tc>
        <w:tc>
          <w:tcPr>
            <w:tcW w:w="3960" w:type="dxa"/>
            <w:vAlign w:val="center"/>
          </w:tcPr>
          <w:p>
            <w:pPr>
              <w:rPr>
                <w:noProof/>
                <w:color w:val="000000" w:themeColor="text1"/>
                <w:sz w:val="22"/>
              </w:rPr>
            </w:pPr>
          </w:p>
        </w:tc>
        <w:tc>
          <w:tcPr>
            <w:tcW w:w="1080" w:type="dxa"/>
            <w:vAlign w:val="center"/>
          </w:tcPr>
          <w:p>
            <w:pPr>
              <w:jc w:val="center"/>
              <w:rPr>
                <w:noProof/>
                <w:color w:val="000000" w:themeColor="text1"/>
                <w:sz w:val="22"/>
              </w:rPr>
            </w:pPr>
            <w:r>
              <w:rPr>
                <w:noProof/>
                <w:color w:val="000000" w:themeColor="text1"/>
                <w:sz w:val="18"/>
              </w:rPr>
              <w:t>Многогод./едногод.</w:t>
            </w:r>
          </w:p>
        </w:tc>
        <w:tc>
          <w:tcPr>
            <w:tcW w:w="956" w:type="dxa"/>
            <w:vAlign w:val="center"/>
          </w:tcPr>
          <w:p>
            <w:pPr>
              <w:jc w:val="center"/>
              <w:rPr>
                <w:noProof/>
                <w:color w:val="000000" w:themeColor="text1"/>
                <w:sz w:val="18"/>
              </w:rPr>
            </w:pPr>
            <w:r>
              <w:rPr>
                <w:noProof/>
                <w:color w:val="000000" w:themeColor="text1"/>
                <w:sz w:val="18"/>
              </w:rPr>
              <w:t>от държави от ЕАСТ</w:t>
            </w:r>
          </w:p>
        </w:tc>
        <w:tc>
          <w:tcPr>
            <w:tcW w:w="1080" w:type="dxa"/>
            <w:vAlign w:val="center"/>
          </w:tcPr>
          <w:p>
            <w:pPr>
              <w:jc w:val="center"/>
              <w:rPr>
                <w:noProof/>
                <w:color w:val="000000" w:themeColor="text1"/>
                <w:spacing w:val="-6"/>
                <w:sz w:val="18"/>
              </w:rPr>
            </w:pPr>
            <w:r>
              <w:rPr>
                <w:noProof/>
                <w:color w:val="000000" w:themeColor="text1"/>
                <w:spacing w:val="-6"/>
                <w:sz w:val="18"/>
              </w:rPr>
              <w:t>от държави кандидатки</w:t>
            </w:r>
          </w:p>
        </w:tc>
        <w:tc>
          <w:tcPr>
            <w:tcW w:w="956" w:type="dxa"/>
            <w:vAlign w:val="center"/>
          </w:tcPr>
          <w:p>
            <w:pPr>
              <w:jc w:val="center"/>
              <w:rPr>
                <w:noProof/>
                <w:color w:val="000000" w:themeColor="text1"/>
                <w:sz w:val="18"/>
              </w:rPr>
            </w:pPr>
            <w:r>
              <w:rPr>
                <w:noProof/>
                <w:color w:val="000000" w:themeColor="text1"/>
                <w:sz w:val="18"/>
              </w:rPr>
              <w:t>от трети държави</w:t>
            </w:r>
          </w:p>
        </w:tc>
        <w:tc>
          <w:tcPr>
            <w:tcW w:w="1448" w:type="dxa"/>
            <w:vAlign w:val="center"/>
          </w:tcPr>
          <w:p>
            <w:pPr>
              <w:jc w:val="center"/>
              <w:rPr>
                <w:noProof/>
                <w:color w:val="000000" w:themeColor="text1"/>
                <w:sz w:val="22"/>
              </w:rPr>
            </w:pPr>
            <w:r>
              <w:rPr>
                <w:noProof/>
                <w:color w:val="000000" w:themeColor="text1"/>
                <w:sz w:val="16"/>
              </w:rPr>
              <w:t xml:space="preserve">по смисъла на член 21, параграф 2, буква б) от Финансовия регламент </w:t>
            </w:r>
          </w:p>
        </w:tc>
      </w:tr>
      <w:tr>
        <w:tc>
          <w:tcPr>
            <w:tcW w:w="1080" w:type="dxa"/>
            <w:vAlign w:val="center"/>
          </w:tcPr>
          <w:p>
            <w:pPr>
              <w:jc w:val="center"/>
              <w:rPr>
                <w:noProof/>
                <w:color w:val="000000" w:themeColor="text1"/>
                <w:sz w:val="22"/>
              </w:rPr>
            </w:pPr>
          </w:p>
        </w:tc>
        <w:tc>
          <w:tcPr>
            <w:tcW w:w="3960" w:type="dxa"/>
            <w:vAlign w:val="center"/>
          </w:tcPr>
          <w:p>
            <w:pPr>
              <w:spacing w:before="60"/>
              <w:rPr>
                <w:noProof/>
                <w:color w:val="000000" w:themeColor="text1"/>
                <w:sz w:val="22"/>
              </w:rPr>
            </w:pPr>
          </w:p>
        </w:tc>
        <w:tc>
          <w:tcPr>
            <w:tcW w:w="1080" w:type="dxa"/>
            <w:vAlign w:val="center"/>
          </w:tcPr>
          <w:p>
            <w:pPr>
              <w:jc w:val="center"/>
              <w:rPr>
                <w:noProof/>
                <w:color w:val="000000" w:themeColor="text1"/>
                <w:sz w:val="22"/>
              </w:rPr>
            </w:pPr>
          </w:p>
        </w:tc>
        <w:tc>
          <w:tcPr>
            <w:tcW w:w="956" w:type="dxa"/>
            <w:vAlign w:val="center"/>
          </w:tcPr>
          <w:p>
            <w:pPr>
              <w:jc w:val="center"/>
              <w:rPr>
                <w:noProof/>
                <w:color w:val="000000" w:themeColor="text1"/>
                <w:sz w:val="22"/>
              </w:rPr>
            </w:pPr>
          </w:p>
        </w:tc>
        <w:tc>
          <w:tcPr>
            <w:tcW w:w="1080" w:type="dxa"/>
            <w:vAlign w:val="center"/>
          </w:tcPr>
          <w:p>
            <w:pPr>
              <w:jc w:val="center"/>
              <w:rPr>
                <w:noProof/>
                <w:color w:val="000000" w:themeColor="text1"/>
                <w:sz w:val="18"/>
              </w:rPr>
            </w:pPr>
          </w:p>
        </w:tc>
        <w:tc>
          <w:tcPr>
            <w:tcW w:w="956" w:type="dxa"/>
            <w:vAlign w:val="center"/>
          </w:tcPr>
          <w:p>
            <w:pPr>
              <w:jc w:val="center"/>
              <w:rPr>
                <w:noProof/>
                <w:color w:val="000000" w:themeColor="text1"/>
                <w:sz w:val="18"/>
              </w:rPr>
            </w:pPr>
          </w:p>
        </w:tc>
        <w:tc>
          <w:tcPr>
            <w:tcW w:w="1448" w:type="dxa"/>
            <w:vAlign w:val="center"/>
          </w:tcPr>
          <w:p>
            <w:pPr>
              <w:jc w:val="center"/>
              <w:rPr>
                <w:noProof/>
                <w:color w:val="000000" w:themeColor="text1"/>
                <w:sz w:val="22"/>
              </w:rPr>
            </w:pPr>
          </w:p>
          <w:p>
            <w:pPr>
              <w:jc w:val="center"/>
              <w:rPr>
                <w:noProof/>
                <w:color w:val="000000" w:themeColor="text1"/>
                <w:sz w:val="22"/>
              </w:rPr>
            </w:pPr>
          </w:p>
        </w:tc>
      </w:tr>
    </w:tbl>
    <w:p>
      <w:pPr>
        <w:rPr>
          <w:noProof/>
          <w:color w:val="000000" w:themeColor="text1"/>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Очаквано отражение върху разходите </w:t>
      </w:r>
    </w:p>
    <w:p>
      <w:pPr>
        <w:pStyle w:val="Text1"/>
        <w:rPr>
          <w:noProof/>
          <w:color w:val="000000" w:themeColor="text1"/>
        </w:rPr>
      </w:pPr>
      <w:r>
        <w:rPr>
          <w:noProof/>
        </w:rPr>
        <w:t>[</w:t>
      </w:r>
      <w:r>
        <w:rPr>
          <w:noProof/>
          <w:color w:val="000000" w:themeColor="text1"/>
          <w:highlight w:val="lightGray"/>
        </w:rPr>
        <w:t xml:space="preserve">Тази част следва да бъде попълнена, използвайки за целта </w:t>
      </w:r>
      <w:hyperlink r:id="rId13">
        <w:r>
          <w:rPr>
            <w:rStyle w:val="Hyperlink"/>
            <w:noProof/>
            <w:color w:val="000000" w:themeColor="text1"/>
            <w:highlight w:val="lightGray"/>
          </w:rPr>
          <w:t>таблицата за бюджетни данни от административно естество</w:t>
        </w:r>
      </w:hyperlink>
      <w:r>
        <w:rPr>
          <w:noProof/>
          <w:color w:val="000000" w:themeColor="text1"/>
          <w:highlight w:val="lightGray"/>
        </w:rPr>
        <w:t xml:space="preserve"> (втория документ в приложението към настоящата финансова обосновка), и качена в CISNET за провеждането на вътрешни консултации между службите.</w:t>
      </w:r>
      <w:r>
        <w:rPr>
          <w:noProof/>
        </w:rPr>
        <w:t>]</w:t>
      </w:r>
    </w:p>
    <w:p>
      <w:pPr>
        <w:pStyle w:val="ManualHeading3"/>
        <w:rPr>
          <w:noProof/>
          <w:u w:val="single"/>
        </w:rPr>
      </w:pPr>
      <w:r>
        <w:t>3.2.1.</w:t>
      </w:r>
      <w:r>
        <w:tab/>
      </w:r>
      <w:r>
        <w:rPr>
          <w:noProof/>
        </w:rPr>
        <w:t xml:space="preserve">Обобщение на очакваното отражение върху разходите </w:t>
      </w:r>
    </w:p>
    <w:p>
      <w:pPr>
        <w:jc w:val="right"/>
        <w:rPr>
          <w:noProof/>
          <w:color w:val="000000" w:themeColor="text1"/>
          <w:sz w:val="20"/>
        </w:rPr>
      </w:pPr>
      <w:r>
        <w:rPr>
          <w:noProof/>
          <w:color w:val="000000" w:themeColor="text1"/>
          <w:sz w:val="20"/>
        </w:rPr>
        <w:t>милиони евро (до третия знак след десетичната запетая)</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color w:val="000000" w:themeColor="text1"/>
                <w:sz w:val="22"/>
              </w:rPr>
            </w:pPr>
            <w:r>
              <w:rPr>
                <w:b/>
                <w:noProof/>
                <w:sz w:val="22"/>
              </w:rPr>
              <w:t>Функция от многогодишната финансова рамка</w:t>
            </w:r>
            <w:r>
              <w:rPr>
                <w:b/>
                <w:noProof/>
                <w:color w:val="000000" w:themeColor="text1"/>
                <w:sz w:val="22"/>
              </w:rPr>
              <w:t xml:space="preserve"> </w:t>
            </w:r>
          </w:p>
        </w:tc>
        <w:tc>
          <w:tcPr>
            <w:tcW w:w="1080" w:type="dxa"/>
            <w:vAlign w:val="center"/>
          </w:tcPr>
          <w:p>
            <w:pPr>
              <w:spacing w:before="60" w:after="60"/>
              <w:jc w:val="center"/>
              <w:rPr>
                <w:noProof/>
                <w:color w:val="000000" w:themeColor="text1"/>
                <w:sz w:val="22"/>
              </w:rPr>
            </w:pPr>
            <w:r>
              <w:rPr>
                <w:noProof/>
                <w:color w:val="000000" w:themeColor="text1"/>
                <w:sz w:val="22"/>
              </w:rPr>
              <w:t>Номер</w:t>
            </w:r>
          </w:p>
        </w:tc>
        <w:tc>
          <w:tcPr>
            <w:tcW w:w="7817" w:type="dxa"/>
            <w:vAlign w:val="center"/>
          </w:tcPr>
          <w:p>
            <w:pPr>
              <w:spacing w:before="60" w:after="60"/>
              <w:rPr>
                <w:noProof/>
                <w:color w:val="000000" w:themeColor="text1"/>
                <w:sz w:val="22"/>
              </w:rPr>
            </w:pPr>
            <w:r>
              <w:rPr>
                <w:noProof/>
                <w:sz w:val="22"/>
              </w:rPr>
              <w:t>[3</w:t>
            </w:r>
            <w:r>
              <w:rPr>
                <w:noProof/>
                <w:color w:val="000000" w:themeColor="text1"/>
                <w:sz w:val="22"/>
              </w:rPr>
              <w:t xml:space="preserve">] </w:t>
            </w:r>
            <w:r>
              <w:rPr>
                <w:noProof/>
                <w:sz w:val="22"/>
              </w:rPr>
              <w:t>Функция „Сигурност и гражданство“</w:t>
            </w:r>
          </w:p>
        </w:tc>
      </w:tr>
    </w:tbl>
    <w:p>
      <w:pPr>
        <w:spacing w:before="0"/>
        <w:rPr>
          <w:noProof/>
          <w:color w:val="000000" w:themeColor="text1"/>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vAlign w:val="center"/>
          </w:tcPr>
          <w:p>
            <w:pPr>
              <w:jc w:val="center"/>
              <w:rPr>
                <w:noProof/>
                <w:color w:val="000000" w:themeColor="text1"/>
                <w:sz w:val="22"/>
              </w:rPr>
            </w:pPr>
            <w:r>
              <w:rPr>
                <w:noProof/>
                <w:color w:val="000000" w:themeColor="text1"/>
                <w:sz w:val="22"/>
              </w:rPr>
              <w:t>ГД „Образование и култура“</w:t>
            </w:r>
          </w:p>
        </w:tc>
        <w:tc>
          <w:tcPr>
            <w:tcW w:w="1560" w:type="dxa"/>
            <w:gridSpan w:val="2"/>
          </w:tcPr>
          <w:p>
            <w:pPr>
              <w:rPr>
                <w:noProof/>
                <w:color w:val="000000" w:themeColor="text1"/>
                <w:sz w:val="20"/>
              </w:rPr>
            </w:pPr>
          </w:p>
        </w:tc>
        <w:tc>
          <w:tcPr>
            <w:tcW w:w="534" w:type="dxa"/>
          </w:tcPr>
          <w:p>
            <w:pPr>
              <w:jc w:val="center"/>
              <w:rPr>
                <w:noProof/>
                <w:color w:val="000000" w:themeColor="text1"/>
                <w:sz w:val="20"/>
              </w:rPr>
            </w:pPr>
          </w:p>
        </w:tc>
        <w:tc>
          <w:tcPr>
            <w:tcW w:w="868" w:type="dxa"/>
            <w:vAlign w:val="center"/>
          </w:tcPr>
          <w:p>
            <w:pPr>
              <w:jc w:val="center"/>
              <w:rPr>
                <w:noProof/>
                <w:color w:val="000000" w:themeColor="text1"/>
                <w:sz w:val="20"/>
                <w:szCs w:val="20"/>
              </w:rPr>
            </w:pPr>
            <w:r>
              <w:rPr>
                <w:noProof/>
                <w:color w:val="000000" w:themeColor="text1"/>
                <w:sz w:val="20"/>
                <w:szCs w:val="20"/>
              </w:rPr>
              <w:t>Година</w:t>
            </w:r>
            <w:r>
              <w:rPr>
                <w:noProof/>
                <w:color w:val="000000" w:themeColor="text1"/>
                <w:sz w:val="20"/>
                <w:szCs w:val="20"/>
              </w:rPr>
              <w:br/>
            </w:r>
            <w:r>
              <w:rPr>
                <w:b/>
                <w:noProof/>
                <w:color w:val="000000" w:themeColor="text1"/>
                <w:sz w:val="20"/>
                <w:szCs w:val="20"/>
              </w:rPr>
              <w:t>N</w:t>
            </w:r>
            <w:r>
              <w:rPr>
                <w:rStyle w:val="FootnoteReference"/>
                <w:b/>
                <w:noProof/>
                <w:color w:val="000000" w:themeColor="text1"/>
                <w:sz w:val="20"/>
                <w:szCs w:val="20"/>
              </w:rPr>
              <w:footnoteReference w:id="33"/>
            </w:r>
          </w:p>
        </w:tc>
        <w:tc>
          <w:tcPr>
            <w:tcW w:w="868" w:type="dxa"/>
            <w:vAlign w:val="center"/>
          </w:tcPr>
          <w:p>
            <w:pPr>
              <w:jc w:val="center"/>
              <w:rPr>
                <w:noProof/>
                <w:color w:val="000000" w:themeColor="text1"/>
                <w:sz w:val="20"/>
              </w:rPr>
            </w:pPr>
            <w:r>
              <w:rPr>
                <w:noProof/>
                <w:color w:val="000000" w:themeColor="text1"/>
                <w:sz w:val="20"/>
              </w:rPr>
              <w:t>Година</w:t>
            </w:r>
            <w:r>
              <w:rPr>
                <w:noProof/>
                <w:color w:val="000000" w:themeColor="text1"/>
                <w:sz w:val="22"/>
              </w:rPr>
              <w:br/>
            </w:r>
            <w:r>
              <w:rPr>
                <w:b/>
                <w:noProof/>
                <w:color w:val="000000" w:themeColor="text1"/>
                <w:sz w:val="20"/>
              </w:rPr>
              <w:t>N+1</w:t>
            </w:r>
          </w:p>
        </w:tc>
        <w:tc>
          <w:tcPr>
            <w:tcW w:w="868" w:type="dxa"/>
            <w:vAlign w:val="center"/>
          </w:tcPr>
          <w:p>
            <w:pPr>
              <w:jc w:val="center"/>
              <w:rPr>
                <w:noProof/>
                <w:color w:val="000000" w:themeColor="text1"/>
                <w:sz w:val="20"/>
              </w:rPr>
            </w:pPr>
            <w:r>
              <w:rPr>
                <w:noProof/>
                <w:color w:val="000000" w:themeColor="text1"/>
                <w:sz w:val="20"/>
              </w:rPr>
              <w:t>Година</w:t>
            </w:r>
            <w:r>
              <w:rPr>
                <w:noProof/>
                <w:color w:val="000000" w:themeColor="text1"/>
                <w:sz w:val="22"/>
              </w:rPr>
              <w:br/>
            </w:r>
            <w:r>
              <w:rPr>
                <w:b/>
                <w:noProof/>
                <w:color w:val="000000" w:themeColor="text1"/>
                <w:sz w:val="20"/>
              </w:rPr>
              <w:t>N+2</w:t>
            </w:r>
          </w:p>
        </w:tc>
        <w:tc>
          <w:tcPr>
            <w:tcW w:w="868" w:type="dxa"/>
            <w:vAlign w:val="center"/>
          </w:tcPr>
          <w:p>
            <w:pPr>
              <w:jc w:val="center"/>
              <w:rPr>
                <w:noProof/>
                <w:color w:val="000000" w:themeColor="text1"/>
                <w:sz w:val="20"/>
              </w:rPr>
            </w:pPr>
            <w:r>
              <w:rPr>
                <w:noProof/>
                <w:color w:val="000000" w:themeColor="text1"/>
                <w:sz w:val="20"/>
              </w:rPr>
              <w:t>Година</w:t>
            </w:r>
            <w:r>
              <w:rPr>
                <w:noProof/>
                <w:color w:val="000000" w:themeColor="text1"/>
                <w:sz w:val="22"/>
              </w:rPr>
              <w:br/>
            </w:r>
            <w:r>
              <w:rPr>
                <w:b/>
                <w:noProof/>
                <w:color w:val="000000" w:themeColor="text1"/>
                <w:sz w:val="20"/>
              </w:rPr>
              <w:t>N+3</w:t>
            </w:r>
          </w:p>
        </w:tc>
        <w:tc>
          <w:tcPr>
            <w:tcW w:w="2604" w:type="dxa"/>
            <w:gridSpan w:val="3"/>
            <w:vAlign w:val="center"/>
          </w:tcPr>
          <w:p>
            <w:pPr>
              <w:jc w:val="center"/>
              <w:rPr>
                <w:b/>
                <w:noProof/>
                <w:color w:val="000000" w:themeColor="text1"/>
                <w:sz w:val="18"/>
              </w:rPr>
            </w:pPr>
            <w:r>
              <w:rPr>
                <w:noProof/>
                <w:color w:val="000000" w:themeColor="text1"/>
                <w:sz w:val="18"/>
              </w:rPr>
              <w:t>Да се добавят толкова години, колкото е необходимо, за да се обхване продължителността на отражението (вж. точка 1.6)</w:t>
            </w:r>
          </w:p>
        </w:tc>
        <w:tc>
          <w:tcPr>
            <w:tcW w:w="1777" w:type="dxa"/>
            <w:vAlign w:val="center"/>
          </w:tcPr>
          <w:p>
            <w:pPr>
              <w:jc w:val="center"/>
              <w:rPr>
                <w:b/>
                <w:noProof/>
                <w:color w:val="000000" w:themeColor="text1"/>
                <w:sz w:val="20"/>
              </w:rPr>
            </w:pPr>
            <w:r>
              <w:rPr>
                <w:b/>
                <w:noProof/>
                <w:color w:val="000000" w:themeColor="text1"/>
                <w:sz w:val="20"/>
              </w:rPr>
              <w:t>ОБЩО</w:t>
            </w:r>
          </w:p>
        </w:tc>
      </w:tr>
      <w:tr>
        <w:trPr>
          <w:trHeight w:val="213"/>
        </w:trPr>
        <w:tc>
          <w:tcPr>
            <w:tcW w:w="6054" w:type="dxa"/>
            <w:gridSpan w:val="4"/>
            <w:vAlign w:val="center"/>
          </w:tcPr>
          <w:p>
            <w:pPr>
              <w:spacing w:before="20" w:after="20"/>
              <w:rPr>
                <w:noProof/>
                <w:color w:val="000000" w:themeColor="text1"/>
                <w:sz w:val="21"/>
              </w:rPr>
            </w:pPr>
            <w:r>
              <w:rPr>
                <w:noProof/>
                <w:color w:val="000000" w:themeColor="text1"/>
                <w:sz w:val="21"/>
              </w:rPr>
              <w:sym w:font="Wingdings" w:char="F09F"/>
            </w:r>
            <w:r>
              <w:rPr>
                <w:noProof/>
                <w:color w:val="000000" w:themeColor="text1"/>
                <w:sz w:val="21"/>
              </w:rPr>
              <w:t xml:space="preserve"> Бюджетни кредити за оперативни разходи </w:t>
            </w:r>
          </w:p>
        </w:tc>
        <w:tc>
          <w:tcPr>
            <w:tcW w:w="868" w:type="dxa"/>
            <w:vAlign w:val="center"/>
          </w:tcPr>
          <w:p>
            <w:pPr>
              <w:rPr>
                <w:noProof/>
                <w:color w:val="000000" w:themeColor="text1"/>
                <w:sz w:val="20"/>
              </w:rPr>
            </w:pPr>
          </w:p>
        </w:tc>
        <w:tc>
          <w:tcPr>
            <w:tcW w:w="868" w:type="dxa"/>
            <w:vAlign w:val="center"/>
          </w:tcPr>
          <w:p>
            <w:pPr>
              <w:rPr>
                <w:noProof/>
                <w:color w:val="000000" w:themeColor="text1"/>
                <w:sz w:val="20"/>
              </w:rPr>
            </w:pPr>
          </w:p>
        </w:tc>
        <w:tc>
          <w:tcPr>
            <w:tcW w:w="868" w:type="dxa"/>
            <w:vAlign w:val="center"/>
          </w:tcPr>
          <w:p>
            <w:pPr>
              <w:rPr>
                <w:noProof/>
                <w:color w:val="000000" w:themeColor="text1"/>
                <w:sz w:val="20"/>
              </w:rPr>
            </w:pPr>
          </w:p>
        </w:tc>
        <w:tc>
          <w:tcPr>
            <w:tcW w:w="868" w:type="dxa"/>
            <w:vAlign w:val="center"/>
          </w:tcPr>
          <w:p>
            <w:pPr>
              <w:rPr>
                <w:noProof/>
                <w:color w:val="000000" w:themeColor="text1"/>
                <w:sz w:val="20"/>
              </w:rPr>
            </w:pPr>
          </w:p>
        </w:tc>
        <w:tc>
          <w:tcPr>
            <w:tcW w:w="868" w:type="dxa"/>
            <w:vAlign w:val="center"/>
          </w:tcPr>
          <w:p>
            <w:pPr>
              <w:rPr>
                <w:noProof/>
                <w:color w:val="000000" w:themeColor="text1"/>
                <w:sz w:val="20"/>
              </w:rPr>
            </w:pPr>
          </w:p>
        </w:tc>
        <w:tc>
          <w:tcPr>
            <w:tcW w:w="868" w:type="dxa"/>
            <w:vAlign w:val="center"/>
          </w:tcPr>
          <w:p>
            <w:pPr>
              <w:rPr>
                <w:noProof/>
                <w:color w:val="000000" w:themeColor="text1"/>
                <w:sz w:val="20"/>
              </w:rPr>
            </w:pPr>
          </w:p>
        </w:tc>
        <w:tc>
          <w:tcPr>
            <w:tcW w:w="868" w:type="dxa"/>
            <w:vAlign w:val="center"/>
          </w:tcPr>
          <w:p>
            <w:pPr>
              <w:rPr>
                <w:b/>
                <w:noProof/>
                <w:color w:val="000000" w:themeColor="text1"/>
                <w:sz w:val="20"/>
              </w:rPr>
            </w:pPr>
          </w:p>
        </w:tc>
        <w:tc>
          <w:tcPr>
            <w:tcW w:w="1777" w:type="dxa"/>
            <w:vAlign w:val="center"/>
          </w:tcPr>
          <w:p>
            <w:pPr>
              <w:rPr>
                <w:b/>
                <w:noProof/>
                <w:color w:val="000000" w:themeColor="text1"/>
                <w:sz w:val="20"/>
              </w:rPr>
            </w:pPr>
          </w:p>
        </w:tc>
      </w:tr>
      <w:tr>
        <w:trPr>
          <w:trHeight w:val="277"/>
        </w:trPr>
        <w:tc>
          <w:tcPr>
            <w:tcW w:w="3960" w:type="dxa"/>
            <w:vMerge w:val="restart"/>
            <w:vAlign w:val="center"/>
          </w:tcPr>
          <w:p>
            <w:pPr>
              <w:rPr>
                <w:noProof/>
                <w:color w:val="000000" w:themeColor="text1"/>
                <w:sz w:val="22"/>
              </w:rPr>
            </w:pPr>
          </w:p>
        </w:tc>
        <w:tc>
          <w:tcPr>
            <w:tcW w:w="1440" w:type="dxa"/>
            <w:vAlign w:val="center"/>
          </w:tcPr>
          <w:p>
            <w:pPr>
              <w:spacing w:before="20" w:after="20"/>
              <w:rPr>
                <w:noProof/>
                <w:color w:val="000000" w:themeColor="text1"/>
                <w:sz w:val="18"/>
              </w:rPr>
            </w:pPr>
          </w:p>
        </w:tc>
        <w:tc>
          <w:tcPr>
            <w:tcW w:w="654" w:type="dxa"/>
            <w:gridSpan w:val="2"/>
            <w:vAlign w:val="center"/>
          </w:tcPr>
          <w:p>
            <w:pPr>
              <w:spacing w:before="20" w:after="20"/>
              <w:jc w:val="center"/>
              <w:rPr>
                <w:noProof/>
                <w:color w:val="000000" w:themeColor="text1"/>
                <w:sz w:val="14"/>
              </w:rPr>
            </w:pPr>
            <w:r>
              <w:rPr>
                <w:noProof/>
                <w:color w:val="000000" w:themeColor="text1"/>
                <w:sz w:val="14"/>
              </w:rPr>
              <w:t>(1)</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tcPr>
          <w:p>
            <w:pPr>
              <w:jc w:val="center"/>
              <w:rPr>
                <w:noProof/>
                <w:color w:val="000000" w:themeColor="text1"/>
                <w:sz w:val="20"/>
              </w:rPr>
            </w:pPr>
          </w:p>
        </w:tc>
        <w:tc>
          <w:tcPr>
            <w:tcW w:w="1440" w:type="dxa"/>
            <w:vAlign w:val="center"/>
          </w:tcPr>
          <w:p>
            <w:pPr>
              <w:spacing w:before="20" w:after="20"/>
              <w:rPr>
                <w:noProof/>
                <w:color w:val="000000" w:themeColor="text1"/>
                <w:sz w:val="18"/>
              </w:rPr>
            </w:pPr>
          </w:p>
        </w:tc>
        <w:tc>
          <w:tcPr>
            <w:tcW w:w="654" w:type="dxa"/>
            <w:gridSpan w:val="2"/>
            <w:vAlign w:val="center"/>
          </w:tcPr>
          <w:p>
            <w:pPr>
              <w:spacing w:before="20" w:after="20"/>
              <w:jc w:val="center"/>
              <w:rPr>
                <w:noProof/>
                <w:color w:val="000000" w:themeColor="text1"/>
                <w:sz w:val="14"/>
              </w:rPr>
            </w:pPr>
            <w:r>
              <w:rPr>
                <w:noProof/>
                <w:color w:val="000000" w:themeColor="text1"/>
                <w:sz w:val="14"/>
              </w:rPr>
              <w:t>(2)</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val="restart"/>
            <w:vAlign w:val="center"/>
          </w:tcPr>
          <w:p>
            <w:pPr>
              <w:rPr>
                <w:noProof/>
                <w:color w:val="000000" w:themeColor="text1"/>
                <w:sz w:val="22"/>
              </w:rPr>
            </w:pPr>
            <w:r>
              <w:rPr>
                <w:noProof/>
                <w:color w:val="000000" w:themeColor="text1"/>
                <w:sz w:val="20"/>
              </w:rPr>
              <w:t>15 04 02 — „Творческа Европа“ — Подпрограма „Култура“</w:t>
            </w:r>
          </w:p>
        </w:tc>
        <w:tc>
          <w:tcPr>
            <w:tcW w:w="1440" w:type="dxa"/>
            <w:vAlign w:val="center"/>
          </w:tcPr>
          <w:p>
            <w:pPr>
              <w:spacing w:before="20" w:after="20"/>
              <w:rPr>
                <w:noProof/>
                <w:color w:val="000000" w:themeColor="text1"/>
                <w:sz w:val="18"/>
              </w:rPr>
            </w:pPr>
            <w:r>
              <w:rPr>
                <w:noProof/>
                <w:color w:val="000000" w:themeColor="text1"/>
                <w:sz w:val="18"/>
              </w:rPr>
              <w:t>Поети задължения</w:t>
            </w:r>
          </w:p>
        </w:tc>
        <w:tc>
          <w:tcPr>
            <w:tcW w:w="654" w:type="dxa"/>
            <w:gridSpan w:val="2"/>
            <w:vAlign w:val="center"/>
          </w:tcPr>
          <w:p>
            <w:pPr>
              <w:spacing w:before="20" w:after="20"/>
              <w:jc w:val="center"/>
              <w:rPr>
                <w:noProof/>
                <w:color w:val="000000" w:themeColor="text1"/>
                <w:sz w:val="14"/>
              </w:rPr>
            </w:pPr>
            <w:r>
              <w:rPr>
                <w:noProof/>
                <w:color w:val="000000" w:themeColor="text1"/>
                <w:sz w:val="14"/>
              </w:rPr>
              <w:t>(1a)</w:t>
            </w:r>
          </w:p>
        </w:tc>
        <w:tc>
          <w:tcPr>
            <w:tcW w:w="868" w:type="dxa"/>
            <w:vAlign w:val="center"/>
          </w:tcPr>
          <w:p>
            <w:pPr>
              <w:spacing w:before="20" w:after="20"/>
              <w:jc w:val="right"/>
              <w:rPr>
                <w:noProof/>
                <w:color w:val="000000" w:themeColor="text1"/>
                <w:sz w:val="20"/>
              </w:rPr>
            </w:pPr>
            <w:r>
              <w:rPr>
                <w:noProof/>
                <w:color w:val="000000" w:themeColor="text1"/>
                <w:sz w:val="20"/>
              </w:rPr>
              <w:t>1,000</w:t>
            </w:r>
          </w:p>
        </w:tc>
        <w:tc>
          <w:tcPr>
            <w:tcW w:w="868" w:type="dxa"/>
            <w:vAlign w:val="center"/>
          </w:tcPr>
          <w:p>
            <w:pPr>
              <w:spacing w:before="20" w:after="20"/>
              <w:jc w:val="right"/>
              <w:rPr>
                <w:noProof/>
                <w:color w:val="000000" w:themeColor="text1"/>
                <w:sz w:val="20"/>
              </w:rPr>
            </w:pPr>
            <w:r>
              <w:rPr>
                <w:noProof/>
                <w:color w:val="000000" w:themeColor="text1"/>
                <w:sz w:val="20"/>
              </w:rPr>
              <w:t>3,000</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4,000</w:t>
            </w:r>
          </w:p>
        </w:tc>
      </w:tr>
      <w:tr>
        <w:tc>
          <w:tcPr>
            <w:tcW w:w="3960" w:type="dxa"/>
            <w:vMerge/>
          </w:tcPr>
          <w:p>
            <w:pPr>
              <w:jc w:val="center"/>
              <w:rPr>
                <w:noProof/>
                <w:color w:val="000000" w:themeColor="text1"/>
                <w:sz w:val="20"/>
              </w:rPr>
            </w:pPr>
          </w:p>
        </w:tc>
        <w:tc>
          <w:tcPr>
            <w:tcW w:w="1440" w:type="dxa"/>
            <w:vAlign w:val="center"/>
          </w:tcPr>
          <w:p>
            <w:pPr>
              <w:spacing w:before="20" w:after="20"/>
              <w:rPr>
                <w:noProof/>
                <w:color w:val="000000" w:themeColor="text1"/>
                <w:sz w:val="18"/>
              </w:rPr>
            </w:pPr>
            <w:r>
              <w:rPr>
                <w:noProof/>
                <w:color w:val="000000" w:themeColor="text1"/>
                <w:sz w:val="18"/>
              </w:rPr>
              <w:t>Плащания</w:t>
            </w:r>
          </w:p>
        </w:tc>
        <w:tc>
          <w:tcPr>
            <w:tcW w:w="654" w:type="dxa"/>
            <w:gridSpan w:val="2"/>
            <w:vAlign w:val="center"/>
          </w:tcPr>
          <w:p>
            <w:pPr>
              <w:spacing w:before="20" w:after="20"/>
              <w:jc w:val="center"/>
              <w:rPr>
                <w:noProof/>
                <w:color w:val="000000" w:themeColor="text1"/>
                <w:sz w:val="14"/>
              </w:rPr>
            </w:pPr>
            <w:r>
              <w:rPr>
                <w:noProof/>
                <w:color w:val="000000" w:themeColor="text1"/>
                <w:sz w:val="14"/>
              </w:rPr>
              <w:t>(2a)</w:t>
            </w:r>
          </w:p>
        </w:tc>
        <w:tc>
          <w:tcPr>
            <w:tcW w:w="868" w:type="dxa"/>
            <w:vAlign w:val="center"/>
          </w:tcPr>
          <w:p>
            <w:pPr>
              <w:spacing w:before="20" w:after="20"/>
              <w:jc w:val="right"/>
              <w:rPr>
                <w:noProof/>
                <w:color w:val="000000" w:themeColor="text1"/>
                <w:sz w:val="20"/>
              </w:rPr>
            </w:pPr>
            <w:r>
              <w:rPr>
                <w:noProof/>
                <w:color w:val="000000" w:themeColor="text1"/>
                <w:sz w:val="20"/>
              </w:rPr>
              <w:t>0,500</w:t>
            </w:r>
          </w:p>
        </w:tc>
        <w:tc>
          <w:tcPr>
            <w:tcW w:w="868" w:type="dxa"/>
            <w:vAlign w:val="center"/>
          </w:tcPr>
          <w:p>
            <w:pPr>
              <w:spacing w:before="20" w:after="20"/>
              <w:jc w:val="right"/>
              <w:rPr>
                <w:noProof/>
                <w:color w:val="000000" w:themeColor="text1"/>
                <w:sz w:val="20"/>
              </w:rPr>
            </w:pPr>
            <w:r>
              <w:rPr>
                <w:noProof/>
                <w:color w:val="000000" w:themeColor="text1"/>
                <w:sz w:val="20"/>
              </w:rPr>
              <w:t>1,900</w:t>
            </w:r>
          </w:p>
        </w:tc>
        <w:tc>
          <w:tcPr>
            <w:tcW w:w="868" w:type="dxa"/>
            <w:vAlign w:val="center"/>
          </w:tcPr>
          <w:p>
            <w:pPr>
              <w:spacing w:before="20" w:after="20"/>
              <w:jc w:val="right"/>
              <w:rPr>
                <w:noProof/>
                <w:color w:val="000000" w:themeColor="text1"/>
                <w:sz w:val="20"/>
              </w:rPr>
            </w:pPr>
            <w:r>
              <w:rPr>
                <w:noProof/>
                <w:color w:val="000000" w:themeColor="text1"/>
                <w:sz w:val="20"/>
              </w:rPr>
              <w:t>1,100</w:t>
            </w:r>
          </w:p>
        </w:tc>
        <w:tc>
          <w:tcPr>
            <w:tcW w:w="868" w:type="dxa"/>
            <w:vAlign w:val="center"/>
          </w:tcPr>
          <w:p>
            <w:pPr>
              <w:spacing w:before="20" w:after="20"/>
              <w:jc w:val="right"/>
              <w:rPr>
                <w:noProof/>
                <w:color w:val="000000" w:themeColor="text1"/>
                <w:sz w:val="20"/>
              </w:rPr>
            </w:pPr>
            <w:r>
              <w:rPr>
                <w:noProof/>
                <w:color w:val="000000" w:themeColor="text1"/>
                <w:sz w:val="20"/>
              </w:rPr>
              <w:t>0,500</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4,000</w:t>
            </w:r>
          </w:p>
        </w:tc>
      </w:tr>
      <w:tr>
        <w:trPr>
          <w:trHeight w:val="231"/>
        </w:trPr>
        <w:tc>
          <w:tcPr>
            <w:tcW w:w="6054" w:type="dxa"/>
            <w:gridSpan w:val="4"/>
            <w:vAlign w:val="center"/>
          </w:tcPr>
          <w:p>
            <w:pPr>
              <w:spacing w:before="20" w:after="20"/>
              <w:rPr>
                <w:noProof/>
                <w:color w:val="000000" w:themeColor="text1"/>
                <w:sz w:val="22"/>
              </w:rPr>
            </w:pPr>
            <w:r>
              <w:rPr>
                <w:noProof/>
                <w:color w:val="000000" w:themeColor="text1"/>
                <w:sz w:val="21"/>
              </w:rPr>
              <w:t>Бюджетни кредити за административни разходи, финансирани от пакета за определени програми</w:t>
            </w:r>
            <w:r>
              <w:rPr>
                <w:rStyle w:val="FootnoteReference"/>
                <w:noProof/>
                <w:color w:val="000000" w:themeColor="text1"/>
                <w:sz w:val="21"/>
              </w:rPr>
              <w:footnoteReference w:id="34"/>
            </w:r>
            <w:r>
              <w:rPr>
                <w:noProof/>
                <w:color w:val="000000" w:themeColor="text1"/>
                <w:sz w:val="21"/>
              </w:rPr>
              <w:t xml:space="preserve"> </w:t>
            </w: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1777" w:type="dxa"/>
            <w:vAlign w:val="center"/>
          </w:tcPr>
          <w:p>
            <w:pPr>
              <w:rPr>
                <w:b/>
                <w:noProof/>
                <w:color w:val="000000" w:themeColor="text1"/>
                <w:sz w:val="20"/>
              </w:rPr>
            </w:pPr>
          </w:p>
        </w:tc>
      </w:tr>
      <w:tr>
        <w:trPr>
          <w:trHeight w:val="319"/>
        </w:trPr>
        <w:tc>
          <w:tcPr>
            <w:tcW w:w="3960" w:type="dxa"/>
            <w:vAlign w:val="center"/>
          </w:tcPr>
          <w:p>
            <w:pPr>
              <w:spacing w:before="60" w:after="60"/>
              <w:rPr>
                <w:noProof/>
                <w:color w:val="000000" w:themeColor="text1"/>
                <w:sz w:val="22"/>
              </w:rPr>
            </w:pPr>
            <w:r>
              <w:rPr>
                <w:noProof/>
                <w:color w:val="000000" w:themeColor="text1"/>
                <w:sz w:val="20"/>
              </w:rPr>
              <w:t>Номер на бюджетния ред</w:t>
            </w:r>
          </w:p>
        </w:tc>
        <w:tc>
          <w:tcPr>
            <w:tcW w:w="1440" w:type="dxa"/>
            <w:vAlign w:val="center"/>
          </w:tcPr>
          <w:p>
            <w:pPr>
              <w:spacing w:before="40" w:after="40"/>
              <w:jc w:val="right"/>
              <w:rPr>
                <w:noProof/>
                <w:color w:val="000000" w:themeColor="text1"/>
                <w:sz w:val="18"/>
              </w:rPr>
            </w:pPr>
          </w:p>
        </w:tc>
        <w:tc>
          <w:tcPr>
            <w:tcW w:w="654" w:type="dxa"/>
            <w:gridSpan w:val="2"/>
            <w:vAlign w:val="center"/>
          </w:tcPr>
          <w:p>
            <w:pPr>
              <w:spacing w:before="40" w:after="40"/>
              <w:jc w:val="center"/>
              <w:rPr>
                <w:noProof/>
                <w:color w:val="000000" w:themeColor="text1"/>
                <w:sz w:val="14"/>
              </w:rPr>
            </w:pPr>
            <w:r>
              <w:rPr>
                <w:noProof/>
                <w:color w:val="000000" w:themeColor="text1"/>
                <w:sz w:val="14"/>
              </w:rPr>
              <w:t>(3)</w:t>
            </w: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1777" w:type="dxa"/>
            <w:vAlign w:val="center"/>
          </w:tcPr>
          <w:p>
            <w:pPr>
              <w:spacing w:before="40" w:after="40"/>
              <w:jc w:val="right"/>
              <w:rPr>
                <w:b/>
                <w:noProof/>
                <w:color w:val="000000" w:themeColor="text1"/>
                <w:sz w:val="20"/>
              </w:rPr>
            </w:pPr>
          </w:p>
        </w:tc>
      </w:tr>
      <w:tr>
        <w:tc>
          <w:tcPr>
            <w:tcW w:w="3960" w:type="dxa"/>
            <w:vMerge w:val="restart"/>
            <w:vAlign w:val="center"/>
          </w:tcPr>
          <w:p>
            <w:pPr>
              <w:jc w:val="center"/>
              <w:rPr>
                <w:b/>
                <w:noProof/>
                <w:color w:val="000000" w:themeColor="text1"/>
                <w:sz w:val="22"/>
              </w:rPr>
            </w:pPr>
            <w:r>
              <w:rPr>
                <w:b/>
                <w:noProof/>
                <w:color w:val="000000" w:themeColor="text1"/>
                <w:sz w:val="22"/>
              </w:rPr>
              <w:t>ОБЩО бюджетни кредити</w:t>
            </w:r>
            <w:r>
              <w:rPr>
                <w:noProof/>
                <w:color w:val="000000" w:themeColor="text1"/>
                <w:sz w:val="22"/>
              </w:rPr>
              <w:br/>
            </w:r>
            <w:r>
              <w:rPr>
                <w:b/>
                <w:noProof/>
                <w:color w:val="000000" w:themeColor="text1"/>
                <w:sz w:val="22"/>
              </w:rPr>
              <w:t>за ГД „Образование и култура“</w:t>
            </w:r>
            <w:r>
              <w:rPr>
                <w:noProof/>
                <w:color w:val="000000" w:themeColor="text1"/>
                <w:sz w:val="22"/>
              </w:rPr>
              <w:t>*</w:t>
            </w:r>
          </w:p>
        </w:tc>
        <w:tc>
          <w:tcPr>
            <w:tcW w:w="1440" w:type="dxa"/>
            <w:vAlign w:val="center"/>
          </w:tcPr>
          <w:p>
            <w:pPr>
              <w:rPr>
                <w:noProof/>
                <w:color w:val="000000" w:themeColor="text1"/>
                <w:sz w:val="18"/>
              </w:rPr>
            </w:pPr>
            <w:r>
              <w:rPr>
                <w:noProof/>
                <w:color w:val="000000" w:themeColor="text1"/>
                <w:sz w:val="18"/>
              </w:rPr>
              <w:t>Поети задължения</w:t>
            </w:r>
          </w:p>
        </w:tc>
        <w:tc>
          <w:tcPr>
            <w:tcW w:w="654" w:type="dxa"/>
            <w:gridSpan w:val="2"/>
            <w:vAlign w:val="center"/>
          </w:tcPr>
          <w:p>
            <w:pPr>
              <w:jc w:val="center"/>
              <w:rPr>
                <w:noProof/>
                <w:color w:val="000000" w:themeColor="text1"/>
                <w:sz w:val="14"/>
              </w:rPr>
            </w:pPr>
            <w:r>
              <w:rPr>
                <w:noProof/>
                <w:color w:val="000000" w:themeColor="text1"/>
                <w:sz w:val="14"/>
              </w:rPr>
              <w:t>=1+1a +3</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tcPr>
          <w:p>
            <w:pPr>
              <w:rPr>
                <w:noProof/>
                <w:color w:val="000000" w:themeColor="text1"/>
                <w:sz w:val="20"/>
              </w:rPr>
            </w:pPr>
          </w:p>
        </w:tc>
        <w:tc>
          <w:tcPr>
            <w:tcW w:w="1440" w:type="dxa"/>
            <w:vAlign w:val="center"/>
          </w:tcPr>
          <w:p>
            <w:pPr>
              <w:rPr>
                <w:noProof/>
                <w:color w:val="000000" w:themeColor="text1"/>
                <w:sz w:val="18"/>
              </w:rPr>
            </w:pPr>
            <w:r>
              <w:rPr>
                <w:noProof/>
                <w:color w:val="000000" w:themeColor="text1"/>
                <w:sz w:val="18"/>
              </w:rPr>
              <w:t>Плащания</w:t>
            </w:r>
          </w:p>
        </w:tc>
        <w:tc>
          <w:tcPr>
            <w:tcW w:w="654" w:type="dxa"/>
            <w:gridSpan w:val="2"/>
            <w:vAlign w:val="center"/>
          </w:tcPr>
          <w:p>
            <w:pPr>
              <w:jc w:val="center"/>
              <w:rPr>
                <w:noProof/>
                <w:color w:val="000000" w:themeColor="text1"/>
                <w:sz w:val="14"/>
              </w:rPr>
            </w:pPr>
            <w:r>
              <w:rPr>
                <w:noProof/>
                <w:color w:val="000000" w:themeColor="text1"/>
                <w:sz w:val="14"/>
              </w:rPr>
              <w:t>=2+2a</w:t>
            </w:r>
          </w:p>
          <w:p>
            <w:pPr>
              <w:jc w:val="center"/>
              <w:rPr>
                <w:noProof/>
                <w:color w:val="000000" w:themeColor="text1"/>
                <w:sz w:val="14"/>
              </w:rPr>
            </w:pPr>
            <w:r>
              <w:rPr>
                <w:noProof/>
                <w:color w:val="000000" w:themeColor="text1"/>
                <w:sz w:val="14"/>
              </w:rPr>
              <w:t>+3</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bl>
    <w:p>
      <w:pPr>
        <w:rPr>
          <w:noProof/>
          <w:color w:val="000000" w:themeColor="text1"/>
        </w:rPr>
      </w:pPr>
      <w:r>
        <w:rPr>
          <w:noProof/>
          <w:color w:val="000000" w:themeColor="text1"/>
        </w:rPr>
        <w:br/>
      </w:r>
      <w:r>
        <w:rPr>
          <w:noProof/>
          <w:color w:val="000000" w:themeColor="text1"/>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vAlign w:val="center"/>
          </w:tcPr>
          <w:p>
            <w:pPr>
              <w:spacing w:before="20" w:after="20"/>
              <w:rPr>
                <w:noProof/>
                <w:color w:val="000000" w:themeColor="text1"/>
                <w:sz w:val="22"/>
              </w:rPr>
            </w:pPr>
            <w:r>
              <w:rPr>
                <w:noProof/>
              </w:rPr>
              <w:br w:type="page"/>
            </w:r>
            <w:r>
              <w:rPr>
                <w:noProof/>
                <w:color w:val="000000" w:themeColor="text1"/>
                <w:sz w:val="21"/>
              </w:rPr>
              <w:sym w:font="Wingdings" w:char="F09F"/>
            </w:r>
            <w:r>
              <w:rPr>
                <w:noProof/>
                <w:color w:val="000000" w:themeColor="text1"/>
                <w:sz w:val="21"/>
              </w:rPr>
              <w:t xml:space="preserve"> ОБЩО бюджетни кредити за оперативни разходи </w:t>
            </w:r>
          </w:p>
        </w:tc>
        <w:tc>
          <w:tcPr>
            <w:tcW w:w="1440" w:type="dxa"/>
            <w:vAlign w:val="center"/>
          </w:tcPr>
          <w:p>
            <w:pPr>
              <w:spacing w:beforeLines="20" w:before="48" w:afterLines="20" w:after="48"/>
              <w:rPr>
                <w:noProof/>
                <w:color w:val="000000" w:themeColor="text1"/>
                <w:sz w:val="18"/>
              </w:rPr>
            </w:pPr>
            <w:r>
              <w:rPr>
                <w:noProof/>
                <w:color w:val="000000" w:themeColor="text1"/>
                <w:sz w:val="18"/>
              </w:rPr>
              <w:t>Поети задължения</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(4)</w:t>
            </w:r>
          </w:p>
        </w:tc>
        <w:tc>
          <w:tcPr>
            <w:tcW w:w="868" w:type="dxa"/>
            <w:vAlign w:val="center"/>
          </w:tcPr>
          <w:p>
            <w:pPr>
              <w:spacing w:before="20" w:after="20"/>
              <w:jc w:val="right"/>
              <w:rPr>
                <w:noProof/>
                <w:color w:val="000000" w:themeColor="text1"/>
                <w:sz w:val="20"/>
              </w:rPr>
            </w:pPr>
            <w:r>
              <w:rPr>
                <w:noProof/>
                <w:color w:val="000000" w:themeColor="text1"/>
                <w:sz w:val="20"/>
              </w:rPr>
              <w:t>1,000</w:t>
            </w:r>
          </w:p>
        </w:tc>
        <w:tc>
          <w:tcPr>
            <w:tcW w:w="868" w:type="dxa"/>
            <w:vAlign w:val="center"/>
          </w:tcPr>
          <w:p>
            <w:pPr>
              <w:spacing w:before="20" w:after="20"/>
              <w:jc w:val="right"/>
              <w:rPr>
                <w:noProof/>
                <w:color w:val="000000" w:themeColor="text1"/>
                <w:sz w:val="20"/>
              </w:rPr>
            </w:pPr>
            <w:r>
              <w:rPr>
                <w:noProof/>
                <w:color w:val="000000" w:themeColor="text1"/>
                <w:sz w:val="20"/>
              </w:rPr>
              <w:t>3,000</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4,000</w:t>
            </w:r>
          </w:p>
        </w:tc>
      </w:tr>
      <w:tr>
        <w:tc>
          <w:tcPr>
            <w:tcW w:w="3960" w:type="dxa"/>
            <w:vMerge/>
          </w:tcPr>
          <w:p>
            <w:pPr>
              <w:jc w:val="center"/>
              <w:rPr>
                <w:noProof/>
                <w:color w:val="000000" w:themeColor="text1"/>
                <w:sz w:val="20"/>
              </w:rPr>
            </w:pPr>
          </w:p>
        </w:tc>
        <w:tc>
          <w:tcPr>
            <w:tcW w:w="1440" w:type="dxa"/>
            <w:vAlign w:val="center"/>
          </w:tcPr>
          <w:p>
            <w:pPr>
              <w:spacing w:beforeLines="20" w:before="48" w:afterLines="20" w:after="48"/>
              <w:rPr>
                <w:noProof/>
                <w:color w:val="000000" w:themeColor="text1"/>
                <w:sz w:val="18"/>
              </w:rPr>
            </w:pPr>
            <w:r>
              <w:rPr>
                <w:noProof/>
                <w:color w:val="000000" w:themeColor="text1"/>
                <w:sz w:val="18"/>
              </w:rPr>
              <w:t>Плащания</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(5)</w:t>
            </w:r>
          </w:p>
        </w:tc>
        <w:tc>
          <w:tcPr>
            <w:tcW w:w="868" w:type="dxa"/>
            <w:vAlign w:val="center"/>
          </w:tcPr>
          <w:p>
            <w:pPr>
              <w:spacing w:before="20" w:after="20"/>
              <w:jc w:val="right"/>
              <w:rPr>
                <w:noProof/>
                <w:color w:val="000000" w:themeColor="text1"/>
                <w:sz w:val="20"/>
              </w:rPr>
            </w:pPr>
            <w:r>
              <w:rPr>
                <w:noProof/>
                <w:color w:val="000000" w:themeColor="text1"/>
                <w:sz w:val="20"/>
              </w:rPr>
              <w:t>0,500</w:t>
            </w:r>
          </w:p>
        </w:tc>
        <w:tc>
          <w:tcPr>
            <w:tcW w:w="868" w:type="dxa"/>
            <w:vAlign w:val="center"/>
          </w:tcPr>
          <w:p>
            <w:pPr>
              <w:spacing w:before="20" w:after="20"/>
              <w:jc w:val="right"/>
              <w:rPr>
                <w:noProof/>
                <w:color w:val="000000" w:themeColor="text1"/>
                <w:sz w:val="20"/>
              </w:rPr>
            </w:pPr>
            <w:r>
              <w:rPr>
                <w:noProof/>
                <w:color w:val="000000" w:themeColor="text1"/>
                <w:sz w:val="20"/>
              </w:rPr>
              <w:t>1,900</w:t>
            </w:r>
          </w:p>
        </w:tc>
        <w:tc>
          <w:tcPr>
            <w:tcW w:w="868" w:type="dxa"/>
            <w:vAlign w:val="center"/>
          </w:tcPr>
          <w:p>
            <w:pPr>
              <w:spacing w:before="20" w:after="20"/>
              <w:jc w:val="right"/>
              <w:rPr>
                <w:noProof/>
                <w:color w:val="000000" w:themeColor="text1"/>
                <w:sz w:val="20"/>
              </w:rPr>
            </w:pPr>
            <w:r>
              <w:rPr>
                <w:noProof/>
                <w:color w:val="000000" w:themeColor="text1"/>
                <w:sz w:val="20"/>
              </w:rPr>
              <w:t>1,100</w:t>
            </w:r>
          </w:p>
        </w:tc>
        <w:tc>
          <w:tcPr>
            <w:tcW w:w="868" w:type="dxa"/>
            <w:vAlign w:val="center"/>
          </w:tcPr>
          <w:p>
            <w:pPr>
              <w:spacing w:before="20" w:after="20"/>
              <w:jc w:val="right"/>
              <w:rPr>
                <w:noProof/>
                <w:color w:val="000000" w:themeColor="text1"/>
                <w:sz w:val="20"/>
              </w:rPr>
            </w:pPr>
            <w:r>
              <w:rPr>
                <w:noProof/>
                <w:color w:val="000000" w:themeColor="text1"/>
                <w:sz w:val="20"/>
              </w:rPr>
              <w:t>0,500</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4,000</w:t>
            </w:r>
          </w:p>
        </w:tc>
      </w:tr>
      <w:tr>
        <w:trPr>
          <w:trHeight w:val="533"/>
        </w:trPr>
        <w:tc>
          <w:tcPr>
            <w:tcW w:w="5400" w:type="dxa"/>
            <w:gridSpan w:val="2"/>
            <w:vAlign w:val="center"/>
          </w:tcPr>
          <w:p>
            <w:pPr>
              <w:spacing w:beforeLines="20" w:before="48" w:afterLines="20" w:after="48"/>
              <w:rPr>
                <w:noProof/>
                <w:color w:val="000000" w:themeColor="text1"/>
                <w:sz w:val="22"/>
              </w:rPr>
            </w:pPr>
            <w:r>
              <w:rPr>
                <w:noProof/>
                <w:color w:val="000000" w:themeColor="text1"/>
                <w:sz w:val="21"/>
              </w:rPr>
              <w:sym w:font="Wingdings" w:char="F09F"/>
            </w:r>
            <w:r>
              <w:rPr>
                <w:noProof/>
                <w:color w:val="000000" w:themeColor="text1"/>
                <w:sz w:val="21"/>
              </w:rPr>
              <w:t xml:space="preserve"> ОБЩО бюджетни кредити за административни разходи, финансирани от пакета за определени програми </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(6)</w:t>
            </w: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val="restart"/>
            <w:shd w:val="thinDiagStripe" w:color="C0C0C0" w:fill="auto"/>
            <w:vAlign w:val="center"/>
          </w:tcPr>
          <w:p>
            <w:pPr>
              <w:jc w:val="center"/>
              <w:rPr>
                <w:b/>
                <w:noProof/>
                <w:color w:val="000000" w:themeColor="text1"/>
                <w:sz w:val="22"/>
              </w:rPr>
            </w:pPr>
            <w:r>
              <w:rPr>
                <w:b/>
                <w:noProof/>
                <w:color w:val="000000" w:themeColor="text1"/>
                <w:sz w:val="22"/>
              </w:rPr>
              <w:t xml:space="preserve">ОБЩО бюджетни кредити </w:t>
            </w:r>
            <w:r>
              <w:rPr>
                <w:noProof/>
                <w:color w:val="000000" w:themeColor="text1"/>
                <w:sz w:val="22"/>
              </w:rPr>
              <w:br/>
            </w:r>
            <w:r>
              <w:rPr>
                <w:b/>
                <w:noProof/>
                <w:color w:val="000000" w:themeColor="text1"/>
                <w:sz w:val="22"/>
              </w:rPr>
              <w:t>за ФУНКЦИЯ &lt;….&gt;</w:t>
            </w:r>
            <w:r>
              <w:rPr>
                <w:noProof/>
                <w:color w:val="000000" w:themeColor="text1"/>
                <w:sz w:val="22"/>
              </w:rPr>
              <w:br/>
              <w:t>от многогодишната финансова рамка</w:t>
            </w:r>
          </w:p>
        </w:tc>
        <w:tc>
          <w:tcPr>
            <w:tcW w:w="1440" w:type="dxa"/>
            <w:vAlign w:val="center"/>
          </w:tcPr>
          <w:p>
            <w:pPr>
              <w:rPr>
                <w:noProof/>
                <w:color w:val="000000" w:themeColor="text1"/>
                <w:sz w:val="18"/>
              </w:rPr>
            </w:pPr>
            <w:r>
              <w:rPr>
                <w:noProof/>
                <w:color w:val="000000" w:themeColor="text1"/>
                <w:sz w:val="18"/>
              </w:rPr>
              <w:t>Поети задължения</w:t>
            </w:r>
          </w:p>
        </w:tc>
        <w:tc>
          <w:tcPr>
            <w:tcW w:w="654" w:type="dxa"/>
            <w:vAlign w:val="center"/>
          </w:tcPr>
          <w:p>
            <w:pPr>
              <w:jc w:val="center"/>
              <w:rPr>
                <w:noProof/>
                <w:color w:val="000000" w:themeColor="text1"/>
                <w:sz w:val="14"/>
              </w:rPr>
            </w:pPr>
            <w:r>
              <w:rPr>
                <w:noProof/>
                <w:color w:val="000000" w:themeColor="text1"/>
                <w:sz w:val="14"/>
              </w:rPr>
              <w:t>=4+ 6</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shd w:val="thinDiagStripe" w:color="C0C0C0" w:fill="auto"/>
          </w:tcPr>
          <w:p>
            <w:pPr>
              <w:rPr>
                <w:noProof/>
                <w:color w:val="000000" w:themeColor="text1"/>
                <w:sz w:val="20"/>
              </w:rPr>
            </w:pPr>
          </w:p>
        </w:tc>
        <w:tc>
          <w:tcPr>
            <w:tcW w:w="1440" w:type="dxa"/>
            <w:vAlign w:val="center"/>
          </w:tcPr>
          <w:p>
            <w:pPr>
              <w:rPr>
                <w:noProof/>
                <w:color w:val="000000" w:themeColor="text1"/>
                <w:sz w:val="18"/>
              </w:rPr>
            </w:pPr>
            <w:r>
              <w:rPr>
                <w:noProof/>
                <w:color w:val="000000" w:themeColor="text1"/>
                <w:sz w:val="18"/>
              </w:rPr>
              <w:t>Плащания</w:t>
            </w:r>
          </w:p>
        </w:tc>
        <w:tc>
          <w:tcPr>
            <w:tcW w:w="654" w:type="dxa"/>
            <w:vAlign w:val="center"/>
          </w:tcPr>
          <w:p>
            <w:pPr>
              <w:jc w:val="center"/>
              <w:rPr>
                <w:noProof/>
                <w:color w:val="000000" w:themeColor="text1"/>
                <w:sz w:val="14"/>
              </w:rPr>
            </w:pPr>
            <w:r>
              <w:rPr>
                <w:noProof/>
                <w:color w:val="000000" w:themeColor="text1"/>
                <w:sz w:val="14"/>
              </w:rPr>
              <w:t>=5+ 6</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bl>
    <w:p>
      <w:pPr>
        <w:spacing w:after="40"/>
        <w:rPr>
          <w:b/>
          <w:noProof/>
          <w:color w:val="000000" w:themeColor="text1"/>
          <w:sz w:val="22"/>
          <w:u w:val="single"/>
        </w:rPr>
      </w:pPr>
      <w:r>
        <w:rPr>
          <w:b/>
          <w:noProof/>
          <w:color w:val="000000" w:themeColor="text1"/>
          <w:sz w:val="22"/>
          <w:u w:val="single"/>
        </w:rPr>
        <w:t>Ако предложението/инициативата има отражение върху повече от една функция:</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FF0000"/>
              <w:left w:val="single" w:sz="4" w:space="0" w:color="auto"/>
              <w:bottom w:val="single" w:sz="4" w:space="0" w:color="FF0000"/>
            </w:tcBorders>
            <w:vAlign w:val="center"/>
          </w:tcPr>
          <w:p>
            <w:pPr>
              <w:spacing w:before="20" w:after="20"/>
              <w:rPr>
                <w:noProof/>
                <w:color w:val="000000" w:themeColor="text1"/>
                <w:sz w:val="22"/>
              </w:rPr>
            </w:pPr>
            <w:r>
              <w:rPr>
                <w:noProof/>
                <w:color w:val="000000" w:themeColor="text1"/>
                <w:sz w:val="21"/>
              </w:rPr>
              <w:sym w:font="Wingdings" w:char="F09F"/>
            </w:r>
            <w:r>
              <w:rPr>
                <w:noProof/>
                <w:color w:val="000000" w:themeColor="text1"/>
                <w:sz w:val="21"/>
              </w:rPr>
              <w:t xml:space="preserve"> ОБЩО бюджетни кредити за оперативни разходи </w:t>
            </w:r>
          </w:p>
        </w:tc>
        <w:tc>
          <w:tcPr>
            <w:tcW w:w="1440" w:type="dxa"/>
            <w:tcBorders>
              <w:top w:val="single" w:sz="4" w:space="0" w:color="FF0000"/>
            </w:tcBorders>
            <w:vAlign w:val="center"/>
          </w:tcPr>
          <w:p>
            <w:pPr>
              <w:spacing w:beforeLines="20" w:before="48" w:afterLines="20" w:after="48"/>
              <w:rPr>
                <w:noProof/>
                <w:color w:val="000000" w:themeColor="text1"/>
                <w:sz w:val="18"/>
              </w:rPr>
            </w:pPr>
            <w:r>
              <w:rPr>
                <w:noProof/>
                <w:color w:val="000000" w:themeColor="text1"/>
                <w:sz w:val="18"/>
              </w:rPr>
              <w:t>Поети задължения</w:t>
            </w:r>
          </w:p>
        </w:tc>
        <w:tc>
          <w:tcPr>
            <w:tcW w:w="654" w:type="dxa"/>
            <w:tcBorders>
              <w:top w:val="single" w:sz="4" w:space="0" w:color="FF0000"/>
            </w:tcBorders>
            <w:vAlign w:val="center"/>
          </w:tcPr>
          <w:p>
            <w:pPr>
              <w:spacing w:beforeLines="20" w:before="48" w:afterLines="20" w:after="48"/>
              <w:jc w:val="center"/>
              <w:rPr>
                <w:noProof/>
                <w:color w:val="000000" w:themeColor="text1"/>
                <w:sz w:val="14"/>
              </w:rPr>
            </w:pPr>
            <w:r>
              <w:rPr>
                <w:noProof/>
                <w:color w:val="000000" w:themeColor="text1"/>
                <w:sz w:val="14"/>
              </w:rPr>
              <w:t>(4)</w:t>
            </w: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b/>
                <w:noProof/>
                <w:color w:val="000000" w:themeColor="text1"/>
                <w:sz w:val="20"/>
              </w:rPr>
            </w:pPr>
          </w:p>
        </w:tc>
        <w:tc>
          <w:tcPr>
            <w:tcW w:w="1777" w:type="dxa"/>
            <w:tcBorders>
              <w:top w:val="single" w:sz="4" w:space="0" w:color="FF0000"/>
              <w:right w:val="single" w:sz="4" w:space="0" w:color="auto"/>
            </w:tcBorders>
            <w:vAlign w:val="center"/>
          </w:tcPr>
          <w:p>
            <w:pPr>
              <w:spacing w:before="20" w:after="20"/>
              <w:jc w:val="right"/>
              <w:rPr>
                <w:b/>
                <w:noProof/>
                <w:color w:val="000000" w:themeColor="text1"/>
                <w:sz w:val="20"/>
              </w:rPr>
            </w:pPr>
          </w:p>
        </w:tc>
      </w:tr>
      <w:tr>
        <w:tc>
          <w:tcPr>
            <w:tcW w:w="3960" w:type="dxa"/>
            <w:vMerge/>
            <w:tcBorders>
              <w:top w:val="single" w:sz="4" w:space="0" w:color="FF0000"/>
              <w:left w:val="single" w:sz="4" w:space="0" w:color="auto"/>
              <w:bottom w:val="single" w:sz="4" w:space="0" w:color="FF0000"/>
            </w:tcBorders>
          </w:tcPr>
          <w:p>
            <w:pPr>
              <w:jc w:val="center"/>
              <w:rPr>
                <w:noProof/>
                <w:color w:val="000000" w:themeColor="text1"/>
                <w:sz w:val="20"/>
              </w:rPr>
            </w:pPr>
          </w:p>
        </w:tc>
        <w:tc>
          <w:tcPr>
            <w:tcW w:w="1440" w:type="dxa"/>
            <w:vAlign w:val="center"/>
          </w:tcPr>
          <w:p>
            <w:pPr>
              <w:spacing w:beforeLines="20" w:before="48" w:afterLines="20" w:after="48"/>
              <w:rPr>
                <w:noProof/>
                <w:color w:val="000000" w:themeColor="text1"/>
                <w:sz w:val="18"/>
              </w:rPr>
            </w:pPr>
            <w:r>
              <w:rPr>
                <w:noProof/>
                <w:color w:val="000000" w:themeColor="text1"/>
                <w:sz w:val="18"/>
              </w:rPr>
              <w:t>Плащания</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(5)</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tcBorders>
              <w:right w:val="single" w:sz="4" w:space="0" w:color="auto"/>
            </w:tcBorders>
            <w:vAlign w:val="center"/>
          </w:tcPr>
          <w:p>
            <w:pPr>
              <w:spacing w:before="20" w:after="20"/>
              <w:jc w:val="right"/>
              <w:rPr>
                <w:b/>
                <w:noProof/>
                <w:color w:val="000000" w:themeColor="text1"/>
                <w:sz w:val="20"/>
              </w:rPr>
            </w:pP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noProof/>
                <w:color w:val="000000" w:themeColor="text1"/>
                <w:sz w:val="22"/>
              </w:rPr>
            </w:pPr>
            <w:r>
              <w:rPr>
                <w:noProof/>
                <w:color w:val="000000" w:themeColor="text1"/>
                <w:sz w:val="21"/>
              </w:rPr>
              <w:sym w:font="Wingdings" w:char="F09F"/>
            </w:r>
            <w:r>
              <w:rPr>
                <w:noProof/>
                <w:color w:val="000000" w:themeColor="text1"/>
                <w:sz w:val="21"/>
              </w:rPr>
              <w:t xml:space="preserve"> ОБЩО бюджетни кредити за административни разходи, финансирани от пакета за определени програми </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(6)</w:t>
            </w: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color w:val="000000" w:themeColor="text1"/>
                <w:sz w:val="22"/>
              </w:rPr>
            </w:pPr>
            <w:r>
              <w:rPr>
                <w:b/>
                <w:noProof/>
                <w:color w:val="000000" w:themeColor="text1"/>
                <w:sz w:val="22"/>
              </w:rPr>
              <w:t xml:space="preserve">ОБЩО бюджетни кредити </w:t>
            </w:r>
            <w:r>
              <w:rPr>
                <w:noProof/>
                <w:color w:val="000000" w:themeColor="text1"/>
                <w:sz w:val="22"/>
              </w:rPr>
              <w:br/>
            </w:r>
            <w:r>
              <w:rPr>
                <w:b/>
                <w:noProof/>
                <w:color w:val="000000" w:themeColor="text1"/>
                <w:sz w:val="22"/>
              </w:rPr>
              <w:t>за ФУНКЦИИ 1—4</w:t>
            </w:r>
            <w:r>
              <w:rPr>
                <w:noProof/>
                <w:color w:val="000000" w:themeColor="text1"/>
                <w:sz w:val="22"/>
              </w:rPr>
              <w:br/>
              <w:t>от многогодишната финансова рамка</w:t>
            </w:r>
            <w:r>
              <w:rPr>
                <w:noProof/>
                <w:color w:val="000000" w:themeColor="text1"/>
                <w:sz w:val="22"/>
              </w:rPr>
              <w:br/>
            </w:r>
            <w:r>
              <w:rPr>
                <w:noProof/>
                <w:color w:val="000000" w:themeColor="text1"/>
                <w:sz w:val="20"/>
              </w:rPr>
              <w:t>(Референтна стойност)</w:t>
            </w:r>
          </w:p>
        </w:tc>
        <w:tc>
          <w:tcPr>
            <w:tcW w:w="1440" w:type="dxa"/>
            <w:vAlign w:val="center"/>
          </w:tcPr>
          <w:p>
            <w:pPr>
              <w:rPr>
                <w:noProof/>
                <w:color w:val="000000" w:themeColor="text1"/>
                <w:sz w:val="18"/>
              </w:rPr>
            </w:pPr>
            <w:r>
              <w:rPr>
                <w:noProof/>
                <w:color w:val="000000" w:themeColor="text1"/>
                <w:sz w:val="18"/>
              </w:rPr>
              <w:t>Поети задължения</w:t>
            </w:r>
          </w:p>
        </w:tc>
        <w:tc>
          <w:tcPr>
            <w:tcW w:w="654" w:type="dxa"/>
            <w:vAlign w:val="center"/>
          </w:tcPr>
          <w:p>
            <w:pPr>
              <w:jc w:val="center"/>
              <w:rPr>
                <w:noProof/>
                <w:color w:val="000000" w:themeColor="text1"/>
                <w:sz w:val="14"/>
              </w:rPr>
            </w:pPr>
            <w:r>
              <w:rPr>
                <w:noProof/>
                <w:color w:val="000000" w:themeColor="text1"/>
                <w:sz w:val="14"/>
              </w:rPr>
              <w:t>=4+ 6</w:t>
            </w:r>
          </w:p>
        </w:tc>
        <w:tc>
          <w:tcPr>
            <w:tcW w:w="868" w:type="dxa"/>
            <w:vAlign w:val="center"/>
          </w:tcPr>
          <w:p>
            <w:pPr>
              <w:spacing w:before="20" w:after="20"/>
              <w:jc w:val="right"/>
              <w:rPr>
                <w:noProof/>
                <w:color w:val="000000" w:themeColor="text1"/>
                <w:sz w:val="20"/>
              </w:rPr>
            </w:pPr>
            <w:r>
              <w:rPr>
                <w:noProof/>
                <w:color w:val="000000" w:themeColor="text1"/>
                <w:sz w:val="20"/>
              </w:rPr>
              <w:t>1,000</w:t>
            </w:r>
          </w:p>
        </w:tc>
        <w:tc>
          <w:tcPr>
            <w:tcW w:w="868" w:type="dxa"/>
            <w:vAlign w:val="center"/>
          </w:tcPr>
          <w:p>
            <w:pPr>
              <w:spacing w:before="20" w:after="20"/>
              <w:jc w:val="right"/>
              <w:rPr>
                <w:noProof/>
                <w:color w:val="000000" w:themeColor="text1"/>
                <w:sz w:val="20"/>
              </w:rPr>
            </w:pPr>
            <w:r>
              <w:rPr>
                <w:noProof/>
                <w:color w:val="000000" w:themeColor="text1"/>
                <w:sz w:val="20"/>
              </w:rPr>
              <w:t>3,000</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tcBorders>
              <w:right w:val="single" w:sz="4" w:space="0" w:color="auto"/>
            </w:tcBorders>
            <w:vAlign w:val="center"/>
          </w:tcPr>
          <w:p>
            <w:pPr>
              <w:spacing w:before="20" w:after="20"/>
              <w:jc w:val="right"/>
              <w:rPr>
                <w:b/>
                <w:noProof/>
                <w:color w:val="000000" w:themeColor="text1"/>
                <w:sz w:val="20"/>
              </w:rPr>
            </w:pPr>
            <w:r>
              <w:rPr>
                <w:b/>
                <w:noProof/>
                <w:color w:val="000000" w:themeColor="text1"/>
                <w:sz w:val="20"/>
              </w:rPr>
              <w:t>4,000</w:t>
            </w:r>
          </w:p>
        </w:tc>
      </w:tr>
      <w:tr>
        <w:tc>
          <w:tcPr>
            <w:tcW w:w="3960" w:type="dxa"/>
            <w:vMerge/>
            <w:tcBorders>
              <w:top w:val="single" w:sz="4" w:space="0" w:color="FF0000"/>
              <w:left w:val="single" w:sz="4" w:space="0" w:color="auto"/>
              <w:bottom w:val="single" w:sz="4" w:space="0" w:color="FF0000"/>
            </w:tcBorders>
            <w:shd w:val="thinDiagStripe" w:color="C0C0C0" w:fill="auto"/>
          </w:tcPr>
          <w:p>
            <w:pPr>
              <w:rPr>
                <w:noProof/>
                <w:color w:val="000000" w:themeColor="text1"/>
                <w:sz w:val="20"/>
              </w:rPr>
            </w:pPr>
          </w:p>
        </w:tc>
        <w:tc>
          <w:tcPr>
            <w:tcW w:w="1440" w:type="dxa"/>
            <w:tcBorders>
              <w:bottom w:val="single" w:sz="4" w:space="0" w:color="FF0000"/>
            </w:tcBorders>
            <w:vAlign w:val="center"/>
          </w:tcPr>
          <w:p>
            <w:pPr>
              <w:rPr>
                <w:noProof/>
                <w:color w:val="000000" w:themeColor="text1"/>
                <w:sz w:val="18"/>
              </w:rPr>
            </w:pPr>
            <w:r>
              <w:rPr>
                <w:noProof/>
                <w:color w:val="000000" w:themeColor="text1"/>
                <w:sz w:val="18"/>
              </w:rPr>
              <w:t>Плащания</w:t>
            </w:r>
          </w:p>
        </w:tc>
        <w:tc>
          <w:tcPr>
            <w:tcW w:w="654" w:type="dxa"/>
            <w:tcBorders>
              <w:bottom w:val="single" w:sz="4" w:space="0" w:color="FF0000"/>
            </w:tcBorders>
            <w:vAlign w:val="center"/>
          </w:tcPr>
          <w:p>
            <w:pPr>
              <w:jc w:val="center"/>
              <w:rPr>
                <w:noProof/>
                <w:color w:val="000000" w:themeColor="text1"/>
                <w:sz w:val="14"/>
              </w:rPr>
            </w:pPr>
            <w:r>
              <w:rPr>
                <w:noProof/>
                <w:color w:val="000000" w:themeColor="text1"/>
                <w:sz w:val="14"/>
              </w:rPr>
              <w:t>=5+ 6</w:t>
            </w:r>
          </w:p>
        </w:tc>
        <w:tc>
          <w:tcPr>
            <w:tcW w:w="868" w:type="dxa"/>
            <w:tcBorders>
              <w:bottom w:val="single" w:sz="4" w:space="0" w:color="FF0000"/>
            </w:tcBorders>
            <w:vAlign w:val="center"/>
          </w:tcPr>
          <w:p>
            <w:pPr>
              <w:spacing w:before="20" w:after="20"/>
              <w:jc w:val="right"/>
              <w:rPr>
                <w:noProof/>
                <w:color w:val="000000" w:themeColor="text1"/>
                <w:sz w:val="20"/>
              </w:rPr>
            </w:pPr>
            <w:r>
              <w:rPr>
                <w:noProof/>
                <w:color w:val="000000" w:themeColor="text1"/>
                <w:sz w:val="20"/>
              </w:rPr>
              <w:t>0,500</w:t>
            </w:r>
          </w:p>
        </w:tc>
        <w:tc>
          <w:tcPr>
            <w:tcW w:w="868" w:type="dxa"/>
            <w:tcBorders>
              <w:bottom w:val="single" w:sz="4" w:space="0" w:color="FF0000"/>
            </w:tcBorders>
            <w:vAlign w:val="center"/>
          </w:tcPr>
          <w:p>
            <w:pPr>
              <w:spacing w:before="20" w:after="20"/>
              <w:jc w:val="right"/>
              <w:rPr>
                <w:noProof/>
                <w:color w:val="000000" w:themeColor="text1"/>
                <w:sz w:val="20"/>
              </w:rPr>
            </w:pPr>
            <w:r>
              <w:rPr>
                <w:noProof/>
                <w:color w:val="000000" w:themeColor="text1"/>
                <w:sz w:val="20"/>
              </w:rPr>
              <w:t>1,900</w:t>
            </w:r>
          </w:p>
        </w:tc>
        <w:tc>
          <w:tcPr>
            <w:tcW w:w="868" w:type="dxa"/>
            <w:tcBorders>
              <w:bottom w:val="single" w:sz="4" w:space="0" w:color="FF0000"/>
            </w:tcBorders>
            <w:vAlign w:val="center"/>
          </w:tcPr>
          <w:p>
            <w:pPr>
              <w:spacing w:before="20" w:after="20"/>
              <w:jc w:val="right"/>
              <w:rPr>
                <w:noProof/>
                <w:color w:val="000000" w:themeColor="text1"/>
                <w:sz w:val="20"/>
              </w:rPr>
            </w:pPr>
            <w:r>
              <w:rPr>
                <w:noProof/>
                <w:color w:val="000000" w:themeColor="text1"/>
                <w:sz w:val="20"/>
              </w:rPr>
              <w:t>1,100</w:t>
            </w:r>
          </w:p>
        </w:tc>
        <w:tc>
          <w:tcPr>
            <w:tcW w:w="868" w:type="dxa"/>
            <w:tcBorders>
              <w:bottom w:val="single" w:sz="4" w:space="0" w:color="FF0000"/>
            </w:tcBorders>
            <w:vAlign w:val="center"/>
          </w:tcPr>
          <w:p>
            <w:pPr>
              <w:spacing w:before="20" w:after="20"/>
              <w:jc w:val="right"/>
              <w:rPr>
                <w:noProof/>
                <w:color w:val="000000" w:themeColor="text1"/>
                <w:sz w:val="20"/>
              </w:rPr>
            </w:pPr>
            <w:r>
              <w:rPr>
                <w:noProof/>
                <w:color w:val="000000" w:themeColor="text1"/>
                <w:sz w:val="20"/>
              </w:rPr>
              <w:t>0,500</w:t>
            </w:r>
          </w:p>
        </w:tc>
        <w:tc>
          <w:tcPr>
            <w:tcW w:w="868" w:type="dxa"/>
            <w:tcBorders>
              <w:bottom w:val="single" w:sz="4" w:space="0" w:color="FF0000"/>
            </w:tcBorders>
            <w:vAlign w:val="center"/>
          </w:tcPr>
          <w:p>
            <w:pPr>
              <w:spacing w:before="20" w:after="20"/>
              <w:jc w:val="right"/>
              <w:rPr>
                <w:noProof/>
                <w:color w:val="000000" w:themeColor="text1"/>
                <w:sz w:val="20"/>
              </w:rPr>
            </w:pPr>
          </w:p>
        </w:tc>
        <w:tc>
          <w:tcPr>
            <w:tcW w:w="868" w:type="dxa"/>
            <w:tcBorders>
              <w:bottom w:val="single" w:sz="4" w:space="0" w:color="FF0000"/>
            </w:tcBorders>
            <w:vAlign w:val="center"/>
          </w:tcPr>
          <w:p>
            <w:pPr>
              <w:spacing w:before="20" w:after="20"/>
              <w:jc w:val="right"/>
              <w:rPr>
                <w:noProof/>
                <w:color w:val="000000" w:themeColor="text1"/>
                <w:sz w:val="20"/>
              </w:rPr>
            </w:pPr>
          </w:p>
        </w:tc>
        <w:tc>
          <w:tcPr>
            <w:tcW w:w="868" w:type="dxa"/>
            <w:tcBorders>
              <w:bottom w:val="single" w:sz="4" w:space="0" w:color="FF0000"/>
            </w:tcBorders>
            <w:vAlign w:val="center"/>
          </w:tcPr>
          <w:p>
            <w:pPr>
              <w:spacing w:before="20" w:after="20"/>
              <w:jc w:val="right"/>
              <w:rPr>
                <w:b/>
                <w:noProof/>
                <w:color w:val="000000" w:themeColor="text1"/>
                <w:sz w:val="20"/>
              </w:rPr>
            </w:pPr>
          </w:p>
        </w:tc>
        <w:tc>
          <w:tcPr>
            <w:tcW w:w="1777" w:type="dxa"/>
            <w:tcBorders>
              <w:bottom w:val="single" w:sz="4" w:space="0" w:color="FF0000"/>
              <w:right w:val="single" w:sz="4" w:space="0" w:color="auto"/>
            </w:tcBorders>
            <w:vAlign w:val="center"/>
          </w:tcPr>
          <w:p>
            <w:pPr>
              <w:spacing w:before="20" w:after="20"/>
              <w:jc w:val="right"/>
              <w:rPr>
                <w:b/>
                <w:noProof/>
                <w:color w:val="000000" w:themeColor="text1"/>
                <w:sz w:val="20"/>
              </w:rPr>
            </w:pPr>
            <w:r>
              <w:rPr>
                <w:b/>
                <w:noProof/>
                <w:color w:val="000000" w:themeColor="text1"/>
                <w:sz w:val="20"/>
              </w:rPr>
              <w:t>4,000</w:t>
            </w:r>
          </w:p>
        </w:tc>
      </w:tr>
    </w:tbl>
    <w:p>
      <w:pPr>
        <w:rPr>
          <w:noProof/>
          <w:color w:val="000000" w:themeColor="text1"/>
        </w:rPr>
      </w:pPr>
    </w:p>
    <w:p>
      <w:pPr>
        <w:rPr>
          <w:noProof/>
          <w:color w:val="000000" w:themeColor="text1"/>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color w:val="000000" w:themeColor="text1"/>
                <w:sz w:val="22"/>
              </w:rPr>
            </w:pPr>
            <w:r>
              <w:rPr>
                <w:noProof/>
              </w:rPr>
              <w:br w:type="page"/>
            </w:r>
            <w:r>
              <w:rPr>
                <w:b/>
                <w:noProof/>
              </w:rPr>
              <w:t>Функция от многогодишната финансова рамка</w:t>
            </w:r>
            <w:r>
              <w:rPr>
                <w:b/>
                <w:noProof/>
                <w:color w:val="000000" w:themeColor="text1"/>
                <w:sz w:val="22"/>
              </w:rPr>
              <w:t xml:space="preserve"> </w:t>
            </w:r>
          </w:p>
        </w:tc>
        <w:tc>
          <w:tcPr>
            <w:tcW w:w="1080" w:type="dxa"/>
            <w:shd w:val="thinDiagStripe" w:color="C0C0C0" w:fill="auto"/>
            <w:vAlign w:val="center"/>
          </w:tcPr>
          <w:p>
            <w:pPr>
              <w:spacing w:before="60" w:after="60"/>
              <w:jc w:val="center"/>
              <w:rPr>
                <w:noProof/>
                <w:color w:val="000000" w:themeColor="text1"/>
                <w:sz w:val="22"/>
              </w:rPr>
            </w:pPr>
            <w:r>
              <w:rPr>
                <w:b/>
                <w:noProof/>
                <w:color w:val="000000" w:themeColor="text1"/>
                <w:sz w:val="22"/>
              </w:rPr>
              <w:t>5</w:t>
            </w:r>
          </w:p>
        </w:tc>
        <w:tc>
          <w:tcPr>
            <w:tcW w:w="7817" w:type="dxa"/>
            <w:vAlign w:val="center"/>
          </w:tcPr>
          <w:p>
            <w:pPr>
              <w:spacing w:before="60" w:after="60"/>
              <w:rPr>
                <w:noProof/>
                <w:color w:val="000000" w:themeColor="text1"/>
                <w:sz w:val="22"/>
              </w:rPr>
            </w:pPr>
            <w:r>
              <w:rPr>
                <w:noProof/>
                <w:color w:val="000000" w:themeColor="text1"/>
                <w:sz w:val="22"/>
              </w:rPr>
              <w:t>„Административни разходи“</w:t>
            </w:r>
          </w:p>
        </w:tc>
      </w:tr>
    </w:tbl>
    <w:p>
      <w:pPr>
        <w:jc w:val="right"/>
        <w:rPr>
          <w:noProof/>
          <w:color w:val="000000" w:themeColor="text1"/>
          <w:sz w:val="20"/>
        </w:rPr>
      </w:pPr>
      <w:r>
        <w:rPr>
          <w:noProof/>
          <w:color w:val="000000" w:themeColor="text1"/>
          <w:sz w:val="20"/>
        </w:rPr>
        <w:t>милиони евро (до третия знак след десетичната запетая)</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color w:val="000000" w:themeColor="text1"/>
                <w:sz w:val="22"/>
              </w:rPr>
            </w:pPr>
          </w:p>
        </w:tc>
        <w:tc>
          <w:tcPr>
            <w:tcW w:w="1560" w:type="dxa"/>
            <w:tcBorders>
              <w:top w:val="nil"/>
              <w:left w:val="nil"/>
              <w:right w:val="nil"/>
            </w:tcBorders>
          </w:tcPr>
          <w:p>
            <w:pPr>
              <w:rPr>
                <w:noProof/>
                <w:color w:val="000000" w:themeColor="text1"/>
                <w:sz w:val="20"/>
              </w:rPr>
            </w:pPr>
          </w:p>
        </w:tc>
        <w:tc>
          <w:tcPr>
            <w:tcW w:w="534" w:type="dxa"/>
            <w:tcBorders>
              <w:top w:val="nil"/>
              <w:left w:val="nil"/>
            </w:tcBorders>
          </w:tcPr>
          <w:p>
            <w:pPr>
              <w:jc w:val="center"/>
              <w:rPr>
                <w:noProof/>
                <w:color w:val="000000" w:themeColor="text1"/>
                <w:sz w:val="20"/>
              </w:rPr>
            </w:pPr>
          </w:p>
        </w:tc>
        <w:tc>
          <w:tcPr>
            <w:tcW w:w="868" w:type="dxa"/>
            <w:vAlign w:val="center"/>
          </w:tcPr>
          <w:p>
            <w:pPr>
              <w:jc w:val="center"/>
              <w:rPr>
                <w:noProof/>
                <w:color w:val="000000" w:themeColor="text1"/>
                <w:sz w:val="20"/>
                <w:szCs w:val="20"/>
              </w:rPr>
            </w:pPr>
            <w:r>
              <w:rPr>
                <w:noProof/>
                <w:color w:val="000000" w:themeColor="text1"/>
                <w:sz w:val="20"/>
                <w:szCs w:val="20"/>
              </w:rPr>
              <w:t>Година</w:t>
            </w:r>
            <w:r>
              <w:rPr>
                <w:noProof/>
                <w:color w:val="000000" w:themeColor="text1"/>
                <w:sz w:val="20"/>
                <w:szCs w:val="20"/>
              </w:rPr>
              <w:br/>
            </w:r>
            <w:r>
              <w:rPr>
                <w:b/>
                <w:noProof/>
                <w:color w:val="000000" w:themeColor="text1"/>
                <w:sz w:val="20"/>
                <w:szCs w:val="20"/>
              </w:rPr>
              <w:t>N</w:t>
            </w:r>
          </w:p>
        </w:tc>
        <w:tc>
          <w:tcPr>
            <w:tcW w:w="868" w:type="dxa"/>
            <w:vAlign w:val="center"/>
          </w:tcPr>
          <w:p>
            <w:pPr>
              <w:jc w:val="center"/>
              <w:rPr>
                <w:noProof/>
                <w:color w:val="000000" w:themeColor="text1"/>
                <w:sz w:val="20"/>
                <w:szCs w:val="20"/>
              </w:rPr>
            </w:pPr>
            <w:r>
              <w:rPr>
                <w:noProof/>
                <w:color w:val="000000" w:themeColor="text1"/>
                <w:sz w:val="20"/>
                <w:szCs w:val="20"/>
              </w:rPr>
              <w:t>Година</w:t>
            </w:r>
            <w:r>
              <w:rPr>
                <w:noProof/>
                <w:color w:val="000000" w:themeColor="text1"/>
                <w:sz w:val="20"/>
                <w:szCs w:val="20"/>
              </w:rPr>
              <w:br/>
            </w:r>
            <w:r>
              <w:rPr>
                <w:b/>
                <w:noProof/>
                <w:color w:val="000000" w:themeColor="text1"/>
                <w:sz w:val="20"/>
                <w:szCs w:val="20"/>
              </w:rPr>
              <w:t>N+1</w:t>
            </w:r>
          </w:p>
        </w:tc>
        <w:tc>
          <w:tcPr>
            <w:tcW w:w="868" w:type="dxa"/>
            <w:vAlign w:val="center"/>
          </w:tcPr>
          <w:p>
            <w:pPr>
              <w:jc w:val="center"/>
              <w:rPr>
                <w:noProof/>
                <w:color w:val="000000" w:themeColor="text1"/>
                <w:sz w:val="20"/>
                <w:szCs w:val="20"/>
              </w:rPr>
            </w:pPr>
            <w:r>
              <w:rPr>
                <w:noProof/>
                <w:color w:val="000000" w:themeColor="text1"/>
                <w:sz w:val="20"/>
                <w:szCs w:val="20"/>
              </w:rPr>
              <w:t>Година</w:t>
            </w:r>
            <w:r>
              <w:rPr>
                <w:noProof/>
                <w:color w:val="000000" w:themeColor="text1"/>
                <w:sz w:val="20"/>
                <w:szCs w:val="20"/>
              </w:rPr>
              <w:br/>
            </w:r>
            <w:r>
              <w:rPr>
                <w:b/>
                <w:noProof/>
                <w:color w:val="000000" w:themeColor="text1"/>
                <w:sz w:val="20"/>
                <w:szCs w:val="20"/>
              </w:rPr>
              <w:t>N+2</w:t>
            </w:r>
          </w:p>
        </w:tc>
        <w:tc>
          <w:tcPr>
            <w:tcW w:w="868" w:type="dxa"/>
            <w:vAlign w:val="center"/>
          </w:tcPr>
          <w:p>
            <w:pPr>
              <w:jc w:val="center"/>
              <w:rPr>
                <w:noProof/>
                <w:color w:val="000000" w:themeColor="text1"/>
                <w:sz w:val="20"/>
                <w:szCs w:val="20"/>
              </w:rPr>
            </w:pPr>
            <w:r>
              <w:rPr>
                <w:noProof/>
                <w:color w:val="000000" w:themeColor="text1"/>
                <w:sz w:val="20"/>
                <w:szCs w:val="20"/>
              </w:rPr>
              <w:t>Година</w:t>
            </w:r>
            <w:r>
              <w:rPr>
                <w:noProof/>
                <w:color w:val="000000" w:themeColor="text1"/>
                <w:sz w:val="20"/>
                <w:szCs w:val="20"/>
              </w:rPr>
              <w:br/>
            </w:r>
            <w:r>
              <w:rPr>
                <w:b/>
                <w:noProof/>
                <w:color w:val="000000" w:themeColor="text1"/>
                <w:sz w:val="20"/>
                <w:szCs w:val="20"/>
              </w:rPr>
              <w:t>N+3</w:t>
            </w:r>
          </w:p>
        </w:tc>
        <w:tc>
          <w:tcPr>
            <w:tcW w:w="2604" w:type="dxa"/>
            <w:gridSpan w:val="3"/>
            <w:vAlign w:val="center"/>
          </w:tcPr>
          <w:p>
            <w:pPr>
              <w:jc w:val="center"/>
              <w:rPr>
                <w:b/>
                <w:noProof/>
                <w:color w:val="000000" w:themeColor="text1"/>
                <w:sz w:val="18"/>
              </w:rPr>
            </w:pPr>
            <w:r>
              <w:rPr>
                <w:noProof/>
                <w:color w:val="000000" w:themeColor="text1"/>
                <w:sz w:val="18"/>
              </w:rPr>
              <w:t xml:space="preserve">Да се добавят толкова години, колкото е необходимо, за да се обхване продължителността на отражението (вж. точка 1.6) </w:t>
            </w:r>
          </w:p>
        </w:tc>
        <w:tc>
          <w:tcPr>
            <w:tcW w:w="1777" w:type="dxa"/>
            <w:vAlign w:val="center"/>
          </w:tcPr>
          <w:p>
            <w:pPr>
              <w:jc w:val="center"/>
              <w:rPr>
                <w:b/>
                <w:noProof/>
                <w:color w:val="000000" w:themeColor="text1"/>
                <w:sz w:val="20"/>
              </w:rPr>
            </w:pPr>
            <w:r>
              <w:rPr>
                <w:b/>
                <w:noProof/>
                <w:color w:val="000000" w:themeColor="text1"/>
                <w:sz w:val="20"/>
              </w:rPr>
              <w:t>ОБЩО</w:t>
            </w:r>
          </w:p>
        </w:tc>
      </w:tr>
      <w:tr>
        <w:trPr>
          <w:gridAfter w:val="10"/>
          <w:wAfter w:w="9947" w:type="dxa"/>
        </w:trPr>
        <w:tc>
          <w:tcPr>
            <w:tcW w:w="3960" w:type="dxa"/>
            <w:vAlign w:val="center"/>
          </w:tcPr>
          <w:p>
            <w:pPr>
              <w:spacing w:before="60" w:after="60"/>
              <w:jc w:val="center"/>
              <w:rPr>
                <w:noProof/>
                <w:color w:val="000000" w:themeColor="text1"/>
                <w:sz w:val="22"/>
              </w:rPr>
            </w:pPr>
            <w:r>
              <w:rPr>
                <w:noProof/>
                <w:color w:val="000000" w:themeColor="text1"/>
                <w:sz w:val="22"/>
              </w:rPr>
              <w:t>ГД „Образование и култура“</w:t>
            </w:r>
          </w:p>
        </w:tc>
      </w:tr>
      <w:tr>
        <w:trPr>
          <w:trHeight w:val="313"/>
        </w:trPr>
        <w:tc>
          <w:tcPr>
            <w:tcW w:w="6054" w:type="dxa"/>
            <w:gridSpan w:val="3"/>
            <w:vAlign w:val="center"/>
          </w:tcPr>
          <w:p>
            <w:pPr>
              <w:spacing w:before="20" w:after="20"/>
              <w:rPr>
                <w:noProof/>
                <w:color w:val="000000" w:themeColor="text1"/>
                <w:sz w:val="22"/>
              </w:rPr>
            </w:pPr>
            <w:r>
              <w:rPr>
                <w:noProof/>
                <w:color w:val="000000" w:themeColor="text1"/>
                <w:sz w:val="22"/>
              </w:rPr>
              <w:sym w:font="Wingdings" w:char="F09F"/>
            </w:r>
            <w:r>
              <w:rPr>
                <w:noProof/>
                <w:color w:val="000000" w:themeColor="text1"/>
                <w:sz w:val="22"/>
              </w:rPr>
              <w:t xml:space="preserve"> Човешки ресурси </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p.m.</w:t>
            </w:r>
          </w:p>
        </w:tc>
      </w:tr>
      <w:tr>
        <w:trPr>
          <w:trHeight w:val="351"/>
        </w:trPr>
        <w:tc>
          <w:tcPr>
            <w:tcW w:w="6054" w:type="dxa"/>
            <w:gridSpan w:val="3"/>
            <w:vAlign w:val="center"/>
          </w:tcPr>
          <w:p>
            <w:pPr>
              <w:spacing w:before="20" w:after="20"/>
              <w:rPr>
                <w:noProof/>
                <w:color w:val="000000" w:themeColor="text1"/>
                <w:sz w:val="22"/>
              </w:rPr>
            </w:pPr>
            <w:r>
              <w:rPr>
                <w:noProof/>
                <w:color w:val="000000" w:themeColor="text1"/>
                <w:sz w:val="22"/>
              </w:rPr>
              <w:sym w:font="Wingdings" w:char="F09F"/>
            </w:r>
            <w:r>
              <w:rPr>
                <w:noProof/>
                <w:color w:val="000000" w:themeColor="text1"/>
                <w:sz w:val="22"/>
              </w:rPr>
              <w:t xml:space="preserve"> Други административни разходи </w:t>
            </w:r>
          </w:p>
        </w:tc>
        <w:tc>
          <w:tcPr>
            <w:tcW w:w="868" w:type="dxa"/>
            <w:vAlign w:val="center"/>
          </w:tcPr>
          <w:p>
            <w:pPr>
              <w:spacing w:before="20" w:after="20"/>
              <w:jc w:val="right"/>
              <w:rPr>
                <w:b/>
                <w:noProof/>
                <w:color w:val="000000" w:themeColor="text1"/>
                <w:sz w:val="20"/>
              </w:rPr>
            </w:pPr>
            <w:r>
              <w:rPr>
                <w:b/>
                <w:noProof/>
                <w:color w:val="000000" w:themeColor="text1"/>
                <w:sz w:val="20"/>
              </w:rPr>
              <w:t>p.m.</w:t>
            </w:r>
          </w:p>
        </w:tc>
        <w:tc>
          <w:tcPr>
            <w:tcW w:w="868" w:type="dxa"/>
            <w:vAlign w:val="center"/>
          </w:tcPr>
          <w:p>
            <w:pPr>
              <w:spacing w:before="20" w:after="20"/>
              <w:jc w:val="right"/>
              <w:rPr>
                <w:b/>
                <w:noProof/>
                <w:color w:val="000000" w:themeColor="text1"/>
                <w:sz w:val="20"/>
              </w:rPr>
            </w:pPr>
            <w:r>
              <w:rPr>
                <w:b/>
                <w:noProof/>
                <w:color w:val="000000" w:themeColor="text1"/>
                <w:sz w:val="20"/>
              </w:rPr>
              <w:t>p.m.</w:t>
            </w:r>
          </w:p>
        </w:tc>
        <w:tc>
          <w:tcPr>
            <w:tcW w:w="868" w:type="dxa"/>
            <w:vAlign w:val="center"/>
          </w:tcPr>
          <w:p>
            <w:pPr>
              <w:spacing w:before="20" w:after="20"/>
              <w:jc w:val="right"/>
              <w:rPr>
                <w:b/>
                <w:noProof/>
                <w:color w:val="000000" w:themeColor="text1"/>
                <w:sz w:val="20"/>
              </w:rPr>
            </w:pPr>
            <w:r>
              <w:rPr>
                <w:b/>
                <w:noProof/>
                <w:color w:val="000000" w:themeColor="text1"/>
                <w:sz w:val="20"/>
              </w:rPr>
              <w:t>p.m.</w:t>
            </w:r>
          </w:p>
        </w:tc>
        <w:tc>
          <w:tcPr>
            <w:tcW w:w="868" w:type="dxa"/>
            <w:vAlign w:val="center"/>
          </w:tcPr>
          <w:p>
            <w:pPr>
              <w:spacing w:before="20" w:after="20"/>
              <w:jc w:val="right"/>
              <w:rPr>
                <w:b/>
                <w:noProof/>
                <w:color w:val="000000" w:themeColor="text1"/>
                <w:sz w:val="20"/>
              </w:rPr>
            </w:pPr>
            <w:r>
              <w:rPr>
                <w:b/>
                <w:noProof/>
                <w:color w:val="000000" w:themeColor="text1"/>
                <w:sz w:val="20"/>
              </w:rPr>
              <w:t>p.m.</w:t>
            </w: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p.m.</w:t>
            </w:r>
          </w:p>
        </w:tc>
      </w:tr>
      <w:tr>
        <w:tc>
          <w:tcPr>
            <w:tcW w:w="3960" w:type="dxa"/>
            <w:vAlign w:val="center"/>
          </w:tcPr>
          <w:p>
            <w:pPr>
              <w:jc w:val="center"/>
              <w:rPr>
                <w:b/>
                <w:noProof/>
                <w:color w:val="000000" w:themeColor="text1"/>
                <w:sz w:val="22"/>
              </w:rPr>
            </w:pPr>
            <w:r>
              <w:rPr>
                <w:b/>
                <w:noProof/>
                <w:sz w:val="22"/>
              </w:rPr>
              <w:t>ОБЩО ГД</w:t>
            </w:r>
            <w:r>
              <w:rPr>
                <w:noProof/>
                <w:sz w:val="22"/>
              </w:rPr>
              <w:t xml:space="preserve"> „Образование и култура</w:t>
            </w:r>
            <w:r>
              <w:rPr>
                <w:noProof/>
              </w:rPr>
              <w:t>“</w:t>
            </w:r>
          </w:p>
        </w:tc>
        <w:tc>
          <w:tcPr>
            <w:tcW w:w="2094" w:type="dxa"/>
            <w:gridSpan w:val="2"/>
            <w:vAlign w:val="center"/>
          </w:tcPr>
          <w:p>
            <w:pPr>
              <w:rPr>
                <w:noProof/>
                <w:color w:val="000000" w:themeColor="text1"/>
                <w:sz w:val="14"/>
              </w:rPr>
            </w:pPr>
            <w:r>
              <w:rPr>
                <w:noProof/>
                <w:color w:val="000000" w:themeColor="text1"/>
                <w:sz w:val="18"/>
              </w:rPr>
              <w:t xml:space="preserve">Бюджетни кредити </w:t>
            </w:r>
          </w:p>
        </w:tc>
        <w:tc>
          <w:tcPr>
            <w:tcW w:w="868" w:type="dxa"/>
            <w:vAlign w:val="center"/>
          </w:tcPr>
          <w:p>
            <w:pPr>
              <w:spacing w:before="60" w:after="6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p.m.</w:t>
            </w:r>
          </w:p>
        </w:tc>
      </w:tr>
    </w:tbl>
    <w:p>
      <w:pPr>
        <w:rPr>
          <w:noProof/>
          <w:color w:val="000000" w:themeColor="text1"/>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color w:val="000000" w:themeColor="text1"/>
                <w:sz w:val="22"/>
              </w:rPr>
            </w:pPr>
            <w:r>
              <w:rPr>
                <w:b/>
                <w:noProof/>
                <w:color w:val="000000" w:themeColor="text1"/>
                <w:sz w:val="22"/>
              </w:rPr>
              <w:t>ОБЩО бюджетни кредити</w:t>
            </w:r>
            <w:r>
              <w:rPr>
                <w:noProof/>
                <w:color w:val="000000" w:themeColor="text1"/>
                <w:sz w:val="22"/>
              </w:rPr>
              <w:br/>
            </w:r>
            <w:r>
              <w:rPr>
                <w:b/>
                <w:noProof/>
                <w:color w:val="000000" w:themeColor="text1"/>
                <w:sz w:val="22"/>
              </w:rPr>
              <w:t>за ФУНКЦИЯ 5</w:t>
            </w:r>
            <w:r>
              <w:rPr>
                <w:noProof/>
                <w:color w:val="000000" w:themeColor="text1"/>
                <w:sz w:val="22"/>
              </w:rPr>
              <w:br/>
              <w:t>от многогодишната финансова рамка</w:t>
            </w:r>
            <w:r>
              <w:rPr>
                <w:b/>
                <w:noProof/>
                <w:color w:val="000000" w:themeColor="text1"/>
                <w:sz w:val="22"/>
              </w:rPr>
              <w:t xml:space="preserve"> </w:t>
            </w:r>
          </w:p>
        </w:tc>
        <w:tc>
          <w:tcPr>
            <w:tcW w:w="2094" w:type="dxa"/>
            <w:vAlign w:val="center"/>
          </w:tcPr>
          <w:p>
            <w:pPr>
              <w:spacing w:before="40" w:after="40"/>
              <w:rPr>
                <w:noProof/>
                <w:color w:val="000000" w:themeColor="text1"/>
                <w:sz w:val="22"/>
              </w:rPr>
            </w:pPr>
            <w:r>
              <w:rPr>
                <w:noProof/>
                <w:color w:val="000000" w:themeColor="text1"/>
                <w:sz w:val="18"/>
              </w:rPr>
              <w:t>(Общо поети задължения = Общо плащания)</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p.m.</w:t>
            </w:r>
          </w:p>
        </w:tc>
      </w:tr>
    </w:tbl>
    <w:p>
      <w:pPr>
        <w:jc w:val="right"/>
        <w:rPr>
          <w:noProof/>
          <w:color w:val="000000" w:themeColor="text1"/>
          <w:sz w:val="20"/>
        </w:rPr>
      </w:pPr>
      <w:r>
        <w:rPr>
          <w:noProof/>
          <w:color w:val="000000" w:themeColor="text1"/>
          <w:sz w:val="20"/>
        </w:rPr>
        <w:t>милиони евро (до третия знак след десетичната запетая)</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color w:val="000000" w:themeColor="text1"/>
                <w:sz w:val="22"/>
              </w:rPr>
            </w:pPr>
          </w:p>
        </w:tc>
        <w:tc>
          <w:tcPr>
            <w:tcW w:w="1560" w:type="dxa"/>
            <w:tcBorders>
              <w:top w:val="nil"/>
              <w:left w:val="nil"/>
              <w:right w:val="nil"/>
            </w:tcBorders>
          </w:tcPr>
          <w:p>
            <w:pPr>
              <w:rPr>
                <w:noProof/>
                <w:color w:val="000000" w:themeColor="text1"/>
                <w:sz w:val="20"/>
              </w:rPr>
            </w:pPr>
          </w:p>
        </w:tc>
        <w:tc>
          <w:tcPr>
            <w:tcW w:w="534" w:type="dxa"/>
            <w:tcBorders>
              <w:top w:val="nil"/>
              <w:left w:val="nil"/>
            </w:tcBorders>
          </w:tcPr>
          <w:p>
            <w:pPr>
              <w:jc w:val="center"/>
              <w:rPr>
                <w:noProof/>
                <w:color w:val="000000" w:themeColor="text1"/>
                <w:sz w:val="20"/>
              </w:rPr>
            </w:pPr>
          </w:p>
        </w:tc>
        <w:tc>
          <w:tcPr>
            <w:tcW w:w="868" w:type="dxa"/>
            <w:vAlign w:val="center"/>
          </w:tcPr>
          <w:p>
            <w:pPr>
              <w:jc w:val="center"/>
              <w:rPr>
                <w:noProof/>
                <w:color w:val="000000" w:themeColor="text1"/>
                <w:sz w:val="20"/>
                <w:szCs w:val="20"/>
              </w:rPr>
            </w:pPr>
            <w:r>
              <w:rPr>
                <w:noProof/>
                <w:color w:val="000000" w:themeColor="text1"/>
                <w:sz w:val="20"/>
                <w:szCs w:val="20"/>
              </w:rPr>
              <w:t>Година</w:t>
            </w:r>
            <w:r>
              <w:rPr>
                <w:noProof/>
                <w:color w:val="000000" w:themeColor="text1"/>
                <w:sz w:val="20"/>
                <w:szCs w:val="20"/>
              </w:rPr>
              <w:br/>
            </w:r>
            <w:r>
              <w:rPr>
                <w:b/>
                <w:noProof/>
                <w:color w:val="000000" w:themeColor="text1"/>
                <w:sz w:val="20"/>
                <w:szCs w:val="20"/>
              </w:rPr>
              <w:t>N</w:t>
            </w:r>
            <w:r>
              <w:rPr>
                <w:rStyle w:val="FootnoteReference"/>
                <w:b/>
                <w:noProof/>
                <w:color w:val="000000" w:themeColor="text1"/>
                <w:sz w:val="20"/>
                <w:szCs w:val="20"/>
              </w:rPr>
              <w:footnoteReference w:id="35"/>
            </w:r>
          </w:p>
        </w:tc>
        <w:tc>
          <w:tcPr>
            <w:tcW w:w="868" w:type="dxa"/>
            <w:vAlign w:val="center"/>
          </w:tcPr>
          <w:p>
            <w:pPr>
              <w:jc w:val="center"/>
              <w:rPr>
                <w:noProof/>
                <w:color w:val="000000" w:themeColor="text1"/>
                <w:sz w:val="20"/>
                <w:szCs w:val="20"/>
              </w:rPr>
            </w:pPr>
            <w:r>
              <w:rPr>
                <w:noProof/>
                <w:color w:val="000000" w:themeColor="text1"/>
                <w:sz w:val="20"/>
                <w:szCs w:val="20"/>
              </w:rPr>
              <w:t>Година</w:t>
            </w:r>
            <w:r>
              <w:rPr>
                <w:noProof/>
                <w:color w:val="000000" w:themeColor="text1"/>
                <w:sz w:val="20"/>
                <w:szCs w:val="20"/>
              </w:rPr>
              <w:br/>
            </w:r>
            <w:r>
              <w:rPr>
                <w:b/>
                <w:noProof/>
                <w:color w:val="000000" w:themeColor="text1"/>
                <w:sz w:val="20"/>
                <w:szCs w:val="20"/>
              </w:rPr>
              <w:t>N+1</w:t>
            </w:r>
          </w:p>
        </w:tc>
        <w:tc>
          <w:tcPr>
            <w:tcW w:w="868" w:type="dxa"/>
            <w:vAlign w:val="center"/>
          </w:tcPr>
          <w:p>
            <w:pPr>
              <w:jc w:val="center"/>
              <w:rPr>
                <w:noProof/>
                <w:color w:val="000000" w:themeColor="text1"/>
                <w:sz w:val="20"/>
                <w:szCs w:val="20"/>
              </w:rPr>
            </w:pPr>
            <w:r>
              <w:rPr>
                <w:noProof/>
                <w:color w:val="000000" w:themeColor="text1"/>
                <w:sz w:val="20"/>
                <w:szCs w:val="20"/>
              </w:rPr>
              <w:t>Година</w:t>
            </w:r>
            <w:r>
              <w:rPr>
                <w:noProof/>
                <w:color w:val="000000" w:themeColor="text1"/>
                <w:sz w:val="20"/>
                <w:szCs w:val="20"/>
              </w:rPr>
              <w:br/>
            </w:r>
            <w:r>
              <w:rPr>
                <w:b/>
                <w:noProof/>
                <w:color w:val="000000" w:themeColor="text1"/>
                <w:sz w:val="20"/>
                <w:szCs w:val="20"/>
              </w:rPr>
              <w:t>N+2</w:t>
            </w:r>
          </w:p>
        </w:tc>
        <w:tc>
          <w:tcPr>
            <w:tcW w:w="868" w:type="dxa"/>
            <w:vAlign w:val="center"/>
          </w:tcPr>
          <w:p>
            <w:pPr>
              <w:jc w:val="center"/>
              <w:rPr>
                <w:noProof/>
                <w:color w:val="000000" w:themeColor="text1"/>
                <w:sz w:val="20"/>
                <w:szCs w:val="20"/>
              </w:rPr>
            </w:pPr>
            <w:r>
              <w:rPr>
                <w:noProof/>
                <w:color w:val="000000" w:themeColor="text1"/>
                <w:sz w:val="20"/>
                <w:szCs w:val="20"/>
              </w:rPr>
              <w:t>Година</w:t>
            </w:r>
            <w:r>
              <w:rPr>
                <w:noProof/>
                <w:color w:val="000000" w:themeColor="text1"/>
                <w:sz w:val="20"/>
                <w:szCs w:val="20"/>
              </w:rPr>
              <w:br/>
            </w:r>
            <w:r>
              <w:rPr>
                <w:b/>
                <w:noProof/>
                <w:color w:val="000000" w:themeColor="text1"/>
                <w:sz w:val="20"/>
                <w:szCs w:val="20"/>
              </w:rPr>
              <w:t>N+3</w:t>
            </w:r>
          </w:p>
        </w:tc>
        <w:tc>
          <w:tcPr>
            <w:tcW w:w="2604" w:type="dxa"/>
            <w:gridSpan w:val="3"/>
            <w:vAlign w:val="center"/>
          </w:tcPr>
          <w:p>
            <w:pPr>
              <w:jc w:val="center"/>
              <w:rPr>
                <w:b/>
                <w:noProof/>
                <w:color w:val="000000" w:themeColor="text1"/>
                <w:sz w:val="18"/>
              </w:rPr>
            </w:pPr>
            <w:r>
              <w:rPr>
                <w:noProof/>
                <w:color w:val="000000" w:themeColor="text1"/>
                <w:sz w:val="18"/>
              </w:rPr>
              <w:t>Да се добавят толкова години, колкото е необходимо, за да се обхване продължителността на отражението (вж. точка 1.6)</w:t>
            </w:r>
          </w:p>
        </w:tc>
        <w:tc>
          <w:tcPr>
            <w:tcW w:w="1777" w:type="dxa"/>
            <w:vAlign w:val="center"/>
          </w:tcPr>
          <w:p>
            <w:pPr>
              <w:jc w:val="center"/>
              <w:rPr>
                <w:b/>
                <w:noProof/>
                <w:color w:val="000000" w:themeColor="text1"/>
                <w:sz w:val="20"/>
              </w:rPr>
            </w:pPr>
            <w:r>
              <w:rPr>
                <w:b/>
                <w:noProof/>
                <w:color w:val="000000" w:themeColor="text1"/>
                <w:sz w:val="20"/>
              </w:rPr>
              <w:t>ОБЩО</w:t>
            </w:r>
          </w:p>
        </w:tc>
      </w:tr>
      <w:tr>
        <w:tc>
          <w:tcPr>
            <w:tcW w:w="3960" w:type="dxa"/>
            <w:vMerge w:val="restart"/>
            <w:shd w:val="clear" w:color="auto" w:fill="C0C0C0"/>
            <w:vAlign w:val="center"/>
          </w:tcPr>
          <w:p>
            <w:pPr>
              <w:jc w:val="center"/>
              <w:rPr>
                <w:b/>
                <w:noProof/>
                <w:color w:val="000000" w:themeColor="text1"/>
                <w:sz w:val="22"/>
              </w:rPr>
            </w:pPr>
            <w:r>
              <w:rPr>
                <w:b/>
                <w:noProof/>
                <w:color w:val="000000" w:themeColor="text1"/>
                <w:sz w:val="22"/>
              </w:rPr>
              <w:t xml:space="preserve">ОБЩО бюджетни кредити </w:t>
            </w:r>
            <w:r>
              <w:rPr>
                <w:noProof/>
                <w:color w:val="000000" w:themeColor="text1"/>
                <w:sz w:val="22"/>
              </w:rPr>
              <w:br/>
            </w:r>
            <w:r>
              <w:rPr>
                <w:b/>
                <w:noProof/>
                <w:color w:val="000000" w:themeColor="text1"/>
                <w:sz w:val="22"/>
              </w:rPr>
              <w:t>за ФУНКЦИИ 1—5*</w:t>
            </w:r>
            <w:r>
              <w:rPr>
                <w:noProof/>
                <w:color w:val="000000" w:themeColor="text1"/>
                <w:sz w:val="22"/>
              </w:rPr>
              <w:br/>
              <w:t>от многогодишната финансова рамка</w:t>
            </w:r>
            <w:r>
              <w:rPr>
                <w:b/>
                <w:noProof/>
                <w:color w:val="000000" w:themeColor="text1"/>
                <w:sz w:val="22"/>
              </w:rPr>
              <w:t xml:space="preserve"> </w:t>
            </w:r>
          </w:p>
        </w:tc>
        <w:tc>
          <w:tcPr>
            <w:tcW w:w="2094" w:type="dxa"/>
            <w:gridSpan w:val="2"/>
            <w:vAlign w:val="center"/>
          </w:tcPr>
          <w:p>
            <w:pPr>
              <w:rPr>
                <w:noProof/>
                <w:color w:val="000000" w:themeColor="text1"/>
                <w:sz w:val="14"/>
              </w:rPr>
            </w:pPr>
            <w:r>
              <w:rPr>
                <w:noProof/>
                <w:color w:val="000000" w:themeColor="text1"/>
                <w:sz w:val="18"/>
              </w:rPr>
              <w:t>Поети задължения</w:t>
            </w: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b/>
                <w:noProof/>
                <w:color w:val="000000" w:themeColor="text1"/>
                <w:sz w:val="20"/>
              </w:rPr>
            </w:pPr>
          </w:p>
        </w:tc>
        <w:tc>
          <w:tcPr>
            <w:tcW w:w="1777" w:type="dxa"/>
            <w:vAlign w:val="center"/>
          </w:tcPr>
          <w:p>
            <w:pPr>
              <w:spacing w:before="60" w:after="60"/>
              <w:jc w:val="right"/>
              <w:rPr>
                <w:b/>
                <w:noProof/>
                <w:color w:val="000000" w:themeColor="text1"/>
                <w:sz w:val="20"/>
              </w:rPr>
            </w:pPr>
          </w:p>
        </w:tc>
      </w:tr>
      <w:tr>
        <w:tc>
          <w:tcPr>
            <w:tcW w:w="3960" w:type="dxa"/>
            <w:vMerge/>
            <w:shd w:val="clear" w:color="auto" w:fill="C0C0C0"/>
          </w:tcPr>
          <w:p>
            <w:pPr>
              <w:rPr>
                <w:noProof/>
                <w:color w:val="000000" w:themeColor="text1"/>
                <w:sz w:val="20"/>
              </w:rPr>
            </w:pPr>
          </w:p>
        </w:tc>
        <w:tc>
          <w:tcPr>
            <w:tcW w:w="2094" w:type="dxa"/>
            <w:gridSpan w:val="2"/>
            <w:vAlign w:val="center"/>
          </w:tcPr>
          <w:p>
            <w:pPr>
              <w:rPr>
                <w:noProof/>
                <w:color w:val="000000" w:themeColor="text1"/>
                <w:sz w:val="14"/>
              </w:rPr>
            </w:pPr>
            <w:r>
              <w:rPr>
                <w:noProof/>
                <w:color w:val="000000" w:themeColor="text1"/>
                <w:sz w:val="18"/>
              </w:rPr>
              <w:t>Плащания</w:t>
            </w: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b/>
                <w:noProof/>
                <w:color w:val="000000" w:themeColor="text1"/>
                <w:sz w:val="20"/>
              </w:rPr>
            </w:pPr>
          </w:p>
        </w:tc>
        <w:tc>
          <w:tcPr>
            <w:tcW w:w="1777" w:type="dxa"/>
            <w:vAlign w:val="center"/>
          </w:tcPr>
          <w:p>
            <w:pPr>
              <w:spacing w:before="60" w:after="60"/>
              <w:jc w:val="right"/>
              <w:rPr>
                <w:b/>
                <w:noProof/>
                <w:color w:val="000000" w:themeColor="text1"/>
                <w:sz w:val="20"/>
              </w:rPr>
            </w:pPr>
          </w:p>
        </w:tc>
      </w:tr>
    </w:tbl>
    <w:p>
      <w:pPr>
        <w:rPr>
          <w:noProof/>
          <w:color w:val="000000" w:themeColor="text1"/>
          <w:spacing w:val="-6"/>
        </w:rPr>
        <w:sectPr>
          <w:headerReference w:type="default" r:id="rId14"/>
          <w:footerReference w:type="default" r:id="rId15"/>
          <w:headerReference w:type="first" r:id="rId16"/>
          <w:footerReference w:type="first" r:id="rId17"/>
          <w:pgSz w:w="16840" w:h="11907" w:orient="landscape" w:code="9"/>
          <w:pgMar w:top="1134" w:right="1418" w:bottom="1134" w:left="1418" w:header="709" w:footer="709" w:gutter="0"/>
          <w:cols w:space="708"/>
          <w:docGrid w:linePitch="360"/>
        </w:sectPr>
      </w:pPr>
      <w:r>
        <w:rPr>
          <w:noProof/>
          <w:color w:val="000000" w:themeColor="text1"/>
          <w:spacing w:val="-6"/>
        </w:rPr>
        <w:t xml:space="preserve">*Функция 5: </w:t>
      </w:r>
      <w:r>
        <w:rPr>
          <w:noProof/>
          <w:color w:val="000000" w:themeColor="text1"/>
          <w:spacing w:val="-6"/>
          <w:sz w:val="22"/>
        </w:rPr>
        <w:t>Разходите за администрация, включително човешки ресурси, ще бъдат осигурени чрез вътрешно преразпределяне в ГД „Образование и култура“.</w:t>
      </w:r>
    </w:p>
    <w:p>
      <w:pPr>
        <w:pStyle w:val="ManualHeading3"/>
        <w:rPr>
          <w:bCs/>
          <w:noProof/>
          <w:szCs w:val="24"/>
        </w:rPr>
      </w:pPr>
      <w:r>
        <w:t>3.2.2.</w:t>
      </w:r>
      <w:r>
        <w:tab/>
      </w:r>
      <w:r>
        <w:rPr>
          <w:noProof/>
        </w:rPr>
        <w:t xml:space="preserve">Очаквано отражение върху бюджетните кредити за оперативни разходи </w:t>
      </w:r>
    </w:p>
    <w:p>
      <w:pPr>
        <w:pStyle w:val="ListDash1"/>
        <w:rPr>
          <w:noProof/>
          <w:color w:val="000000" w:themeColor="text1"/>
        </w:rPr>
      </w:pPr>
      <w:r>
        <w:rPr>
          <w:noProof/>
          <w:color w:val="000000" w:themeColor="text1"/>
        </w:rPr>
        <w:sym w:font="Wingdings" w:char="F0A8"/>
      </w:r>
      <w:r>
        <w:rPr>
          <w:noProof/>
        </w:rPr>
        <w:tab/>
        <w:t>Предложението/инициативата не налага използване на бюджетни кредити за оперативни разходи</w:t>
      </w:r>
      <w:r>
        <w:rPr>
          <w:noProof/>
          <w:color w:val="000000" w:themeColor="text1"/>
        </w:rPr>
        <w:t xml:space="preserve"> </w:t>
      </w:r>
    </w:p>
    <w:p>
      <w:pPr>
        <w:pStyle w:val="ListDash1"/>
        <w:rPr>
          <w:noProof/>
          <w:color w:val="000000" w:themeColor="text1"/>
        </w:rPr>
      </w:pPr>
      <w:r>
        <w:rPr>
          <w:noProof/>
        </w:rPr>
        <w:t>Х</w:t>
      </w:r>
      <w:r>
        <w:rPr>
          <w:noProof/>
        </w:rPr>
        <w:tab/>
        <w:t>Предложението/инициативата налага използване на бюджетни кредити за оперативни разходи съгласно обяснението по-долу:</w:t>
      </w:r>
    </w:p>
    <w:p>
      <w:pPr>
        <w:jc w:val="right"/>
        <w:rPr>
          <w:noProof/>
          <w:color w:val="000000" w:themeColor="text1"/>
          <w:sz w:val="20"/>
        </w:rPr>
      </w:pPr>
      <w:r>
        <w:rPr>
          <w:noProof/>
          <w:color w:val="000000" w:themeColor="text1"/>
          <w:sz w:val="20"/>
        </w:rPr>
        <w:t>Бюджетни кредити за поети задължения в милиони евро (до третия знак след десетичната запетая)</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1080"/>
        <w:gridCol w:w="621"/>
        <w:gridCol w:w="425"/>
        <w:gridCol w:w="850"/>
        <w:gridCol w:w="270"/>
        <w:gridCol w:w="720"/>
        <w:gridCol w:w="720"/>
        <w:gridCol w:w="720"/>
        <w:gridCol w:w="859"/>
        <w:gridCol w:w="41"/>
        <w:gridCol w:w="720"/>
        <w:gridCol w:w="540"/>
        <w:gridCol w:w="648"/>
        <w:gridCol w:w="432"/>
        <w:gridCol w:w="720"/>
        <w:gridCol w:w="540"/>
        <w:gridCol w:w="720"/>
        <w:gridCol w:w="720"/>
        <w:gridCol w:w="900"/>
      </w:tblGrid>
      <w:tr>
        <w:trPr>
          <w:jc w:val="center"/>
        </w:trPr>
        <w:tc>
          <w:tcPr>
            <w:tcW w:w="1362" w:type="dxa"/>
            <w:vMerge w:val="restart"/>
            <w:vAlign w:val="center"/>
          </w:tcPr>
          <w:p>
            <w:pPr>
              <w:ind w:right="-29"/>
              <w:jc w:val="center"/>
              <w:rPr>
                <w:b/>
                <w:noProof/>
                <w:color w:val="000000" w:themeColor="text1"/>
                <w:sz w:val="18"/>
                <w:szCs w:val="18"/>
              </w:rPr>
            </w:pPr>
            <w:r>
              <w:rPr>
                <w:b/>
                <w:noProof/>
                <w:color w:val="000000" w:themeColor="text1"/>
                <w:sz w:val="18"/>
              </w:rPr>
              <w:t>Да се посочат целите и резултатите</w:t>
            </w:r>
          </w:p>
          <w:p>
            <w:pPr>
              <w:ind w:right="-29"/>
              <w:jc w:val="center"/>
              <w:rPr>
                <w:b/>
                <w:noProof/>
                <w:color w:val="000000" w:themeColor="text1"/>
                <w:sz w:val="18"/>
                <w:szCs w:val="18"/>
              </w:rPr>
            </w:pPr>
          </w:p>
          <w:p>
            <w:pPr>
              <w:ind w:right="-29"/>
              <w:jc w:val="center"/>
              <w:rPr>
                <w:noProof/>
                <w:color w:val="000000" w:themeColor="text1"/>
                <w:sz w:val="18"/>
                <w:szCs w:val="18"/>
              </w:rPr>
            </w:pPr>
            <w:r>
              <w:rPr>
                <w:noProof/>
                <w:color w:val="000000" w:themeColor="text1"/>
                <w:sz w:val="18"/>
              </w:rPr>
              <w:sym w:font="Wingdings" w:char="F0F2"/>
            </w:r>
          </w:p>
        </w:tc>
        <w:tc>
          <w:tcPr>
            <w:tcW w:w="1080" w:type="dxa"/>
            <w:vAlign w:val="center"/>
          </w:tcPr>
          <w:p>
            <w:pPr>
              <w:ind w:right="-29"/>
              <w:jc w:val="center"/>
              <w:rPr>
                <w:noProof/>
                <w:color w:val="000000" w:themeColor="text1"/>
                <w:sz w:val="18"/>
                <w:szCs w:val="18"/>
              </w:rPr>
            </w:pPr>
          </w:p>
        </w:tc>
        <w:tc>
          <w:tcPr>
            <w:tcW w:w="621" w:type="dxa"/>
            <w:vAlign w:val="center"/>
          </w:tcPr>
          <w:p>
            <w:pPr>
              <w:ind w:right="-29"/>
              <w:jc w:val="center"/>
              <w:rPr>
                <w:noProof/>
                <w:color w:val="000000" w:themeColor="text1"/>
                <w:sz w:val="18"/>
                <w:szCs w:val="18"/>
              </w:rPr>
            </w:pPr>
          </w:p>
        </w:tc>
        <w:tc>
          <w:tcPr>
            <w:tcW w:w="1275" w:type="dxa"/>
            <w:gridSpan w:val="2"/>
            <w:tcBorders>
              <w:left w:val="nil"/>
            </w:tcBorders>
            <w:vAlign w:val="center"/>
          </w:tcPr>
          <w:p>
            <w:pPr>
              <w:ind w:right="-29"/>
              <w:jc w:val="center"/>
              <w:rPr>
                <w:noProof/>
                <w:color w:val="000000" w:themeColor="text1"/>
                <w:sz w:val="18"/>
                <w:szCs w:val="18"/>
              </w:rPr>
            </w:pPr>
            <w:r>
              <w:rPr>
                <w:noProof/>
                <w:color w:val="000000" w:themeColor="text1"/>
                <w:sz w:val="18"/>
                <w:szCs w:val="18"/>
              </w:rPr>
              <w:t>Година</w:t>
            </w:r>
            <w:r>
              <w:rPr>
                <w:noProof/>
                <w:color w:val="000000" w:themeColor="text1"/>
                <w:sz w:val="18"/>
                <w:szCs w:val="18"/>
              </w:rPr>
              <w:br/>
            </w:r>
            <w:r>
              <w:rPr>
                <w:b/>
                <w:noProof/>
                <w:color w:val="000000" w:themeColor="text1"/>
                <w:sz w:val="18"/>
                <w:szCs w:val="18"/>
              </w:rPr>
              <w:t>N</w:t>
            </w:r>
          </w:p>
        </w:tc>
        <w:tc>
          <w:tcPr>
            <w:tcW w:w="990" w:type="dxa"/>
            <w:gridSpan w:val="2"/>
            <w:vAlign w:val="center"/>
          </w:tcPr>
          <w:p>
            <w:pPr>
              <w:ind w:right="-29"/>
              <w:jc w:val="center"/>
              <w:rPr>
                <w:noProof/>
                <w:color w:val="000000" w:themeColor="text1"/>
                <w:sz w:val="18"/>
                <w:szCs w:val="18"/>
              </w:rPr>
            </w:pPr>
            <w:r>
              <w:rPr>
                <w:noProof/>
                <w:color w:val="000000" w:themeColor="text1"/>
                <w:sz w:val="18"/>
                <w:szCs w:val="18"/>
              </w:rPr>
              <w:t>Година</w:t>
            </w:r>
            <w:r>
              <w:rPr>
                <w:noProof/>
                <w:color w:val="000000" w:themeColor="text1"/>
                <w:sz w:val="18"/>
                <w:szCs w:val="18"/>
              </w:rPr>
              <w:br/>
            </w:r>
            <w:r>
              <w:rPr>
                <w:b/>
                <w:noProof/>
                <w:color w:val="000000" w:themeColor="text1"/>
                <w:sz w:val="18"/>
                <w:szCs w:val="18"/>
              </w:rPr>
              <w:t>N+1</w:t>
            </w:r>
          </w:p>
        </w:tc>
        <w:tc>
          <w:tcPr>
            <w:tcW w:w="1440" w:type="dxa"/>
            <w:gridSpan w:val="2"/>
            <w:vAlign w:val="center"/>
          </w:tcPr>
          <w:p>
            <w:pPr>
              <w:ind w:right="-29"/>
              <w:jc w:val="center"/>
              <w:rPr>
                <w:noProof/>
                <w:color w:val="000000" w:themeColor="text1"/>
                <w:sz w:val="18"/>
                <w:szCs w:val="18"/>
              </w:rPr>
            </w:pPr>
            <w:r>
              <w:rPr>
                <w:noProof/>
                <w:color w:val="000000" w:themeColor="text1"/>
                <w:sz w:val="18"/>
                <w:szCs w:val="18"/>
              </w:rPr>
              <w:t>Година</w:t>
            </w:r>
            <w:r>
              <w:rPr>
                <w:noProof/>
                <w:color w:val="000000" w:themeColor="text1"/>
                <w:sz w:val="18"/>
                <w:szCs w:val="18"/>
              </w:rPr>
              <w:br/>
            </w:r>
            <w:r>
              <w:rPr>
                <w:b/>
                <w:noProof/>
                <w:color w:val="000000" w:themeColor="text1"/>
                <w:sz w:val="18"/>
                <w:szCs w:val="18"/>
              </w:rPr>
              <w:t>N+2</w:t>
            </w:r>
          </w:p>
        </w:tc>
        <w:tc>
          <w:tcPr>
            <w:tcW w:w="1620" w:type="dxa"/>
            <w:gridSpan w:val="3"/>
            <w:vAlign w:val="center"/>
          </w:tcPr>
          <w:p>
            <w:pPr>
              <w:ind w:right="-29"/>
              <w:jc w:val="center"/>
              <w:rPr>
                <w:noProof/>
                <w:color w:val="000000" w:themeColor="text1"/>
                <w:sz w:val="18"/>
                <w:szCs w:val="18"/>
              </w:rPr>
            </w:pPr>
            <w:r>
              <w:rPr>
                <w:noProof/>
                <w:color w:val="000000" w:themeColor="text1"/>
                <w:sz w:val="18"/>
                <w:szCs w:val="18"/>
              </w:rPr>
              <w:t>Година</w:t>
            </w:r>
            <w:r>
              <w:rPr>
                <w:noProof/>
                <w:color w:val="000000" w:themeColor="text1"/>
                <w:sz w:val="18"/>
                <w:szCs w:val="18"/>
              </w:rPr>
              <w:br/>
            </w:r>
            <w:r>
              <w:rPr>
                <w:b/>
                <w:noProof/>
                <w:color w:val="000000" w:themeColor="text1"/>
                <w:sz w:val="18"/>
                <w:szCs w:val="18"/>
              </w:rPr>
              <w:t>N+3</w:t>
            </w:r>
          </w:p>
        </w:tc>
        <w:tc>
          <w:tcPr>
            <w:tcW w:w="3600" w:type="dxa"/>
            <w:gridSpan w:val="6"/>
            <w:vAlign w:val="center"/>
          </w:tcPr>
          <w:p>
            <w:pPr>
              <w:jc w:val="center"/>
              <w:rPr>
                <w:noProof/>
                <w:color w:val="000000" w:themeColor="text1"/>
                <w:sz w:val="18"/>
                <w:szCs w:val="18"/>
              </w:rPr>
            </w:pPr>
            <w:r>
              <w:rPr>
                <w:noProof/>
                <w:color w:val="000000" w:themeColor="text1"/>
                <w:sz w:val="18"/>
              </w:rPr>
              <w:t>Да се добавят толкова години, колкото е необходимо, за да се обхване продължителността на отражението (вж. точка 1.6)</w:t>
            </w:r>
          </w:p>
        </w:tc>
        <w:tc>
          <w:tcPr>
            <w:tcW w:w="1620" w:type="dxa"/>
            <w:gridSpan w:val="2"/>
            <w:tcBorders>
              <w:left w:val="nil"/>
              <w:bottom w:val="nil"/>
            </w:tcBorders>
            <w:vAlign w:val="center"/>
          </w:tcPr>
          <w:p>
            <w:pPr>
              <w:ind w:right="-29"/>
              <w:jc w:val="center"/>
              <w:rPr>
                <w:noProof/>
                <w:color w:val="000000" w:themeColor="text1"/>
                <w:sz w:val="18"/>
                <w:szCs w:val="18"/>
              </w:rPr>
            </w:pPr>
            <w:r>
              <w:rPr>
                <w:b/>
                <w:noProof/>
                <w:color w:val="000000" w:themeColor="text1"/>
                <w:sz w:val="18"/>
              </w:rPr>
              <w:t>ОБЩО</w:t>
            </w:r>
          </w:p>
        </w:tc>
      </w:tr>
      <w:tr>
        <w:trPr>
          <w:jc w:val="center"/>
        </w:trPr>
        <w:tc>
          <w:tcPr>
            <w:tcW w:w="1362" w:type="dxa"/>
            <w:vMerge/>
            <w:vAlign w:val="center"/>
          </w:tcPr>
          <w:p>
            <w:pPr>
              <w:ind w:right="-29"/>
              <w:jc w:val="center"/>
              <w:rPr>
                <w:noProof/>
                <w:color w:val="000000" w:themeColor="text1"/>
                <w:sz w:val="18"/>
                <w:szCs w:val="18"/>
              </w:rPr>
            </w:pPr>
          </w:p>
        </w:tc>
        <w:tc>
          <w:tcPr>
            <w:tcW w:w="12246" w:type="dxa"/>
            <w:gridSpan w:val="19"/>
            <w:vAlign w:val="center"/>
          </w:tcPr>
          <w:p>
            <w:pPr>
              <w:spacing w:before="60" w:after="60"/>
              <w:ind w:right="-29"/>
              <w:jc w:val="center"/>
              <w:rPr>
                <w:noProof/>
                <w:color w:val="000000" w:themeColor="text1"/>
                <w:sz w:val="18"/>
                <w:szCs w:val="18"/>
              </w:rPr>
            </w:pPr>
            <w:r>
              <w:rPr>
                <w:b/>
                <w:noProof/>
                <w:color w:val="000000" w:themeColor="text1"/>
                <w:sz w:val="18"/>
              </w:rPr>
              <w:t>РЕЗУЛТАТИ</w:t>
            </w:r>
          </w:p>
        </w:tc>
      </w:tr>
      <w:tr>
        <w:trPr>
          <w:cantSplit/>
          <w:trHeight w:val="1134"/>
          <w:jc w:val="center"/>
        </w:trPr>
        <w:tc>
          <w:tcPr>
            <w:tcW w:w="1362" w:type="dxa"/>
            <w:vMerge/>
            <w:vAlign w:val="center"/>
          </w:tcPr>
          <w:p>
            <w:pPr>
              <w:rPr>
                <w:noProof/>
                <w:color w:val="000000" w:themeColor="text1"/>
                <w:sz w:val="18"/>
                <w:szCs w:val="18"/>
              </w:rPr>
            </w:pPr>
          </w:p>
        </w:tc>
        <w:tc>
          <w:tcPr>
            <w:tcW w:w="1080" w:type="dxa"/>
            <w:vAlign w:val="center"/>
          </w:tcPr>
          <w:p>
            <w:pPr>
              <w:jc w:val="center"/>
              <w:rPr>
                <w:noProof/>
                <w:color w:val="000000" w:themeColor="text1"/>
                <w:sz w:val="18"/>
                <w:szCs w:val="18"/>
              </w:rPr>
            </w:pPr>
            <w:r>
              <w:rPr>
                <w:noProof/>
                <w:color w:val="000000" w:themeColor="text1"/>
                <w:sz w:val="18"/>
              </w:rPr>
              <w:t>Вид</w:t>
            </w:r>
            <w:r>
              <w:rPr>
                <w:rStyle w:val="FootnoteReference"/>
                <w:noProof/>
                <w:color w:val="000000" w:themeColor="text1"/>
                <w:sz w:val="18"/>
              </w:rPr>
              <w:footnoteReference w:id="36"/>
            </w:r>
          </w:p>
          <w:p>
            <w:pPr>
              <w:spacing w:before="0" w:after="0"/>
              <w:jc w:val="center"/>
              <w:rPr>
                <w:noProof/>
                <w:color w:val="000000" w:themeColor="text1"/>
                <w:sz w:val="18"/>
                <w:szCs w:val="18"/>
              </w:rPr>
            </w:pPr>
          </w:p>
        </w:tc>
        <w:tc>
          <w:tcPr>
            <w:tcW w:w="621" w:type="dxa"/>
            <w:vAlign w:val="center"/>
          </w:tcPr>
          <w:p>
            <w:pPr>
              <w:jc w:val="center"/>
              <w:rPr>
                <w:noProof/>
                <w:color w:val="000000" w:themeColor="text1"/>
                <w:sz w:val="18"/>
                <w:szCs w:val="18"/>
              </w:rPr>
            </w:pPr>
            <w:r>
              <w:rPr>
                <w:noProof/>
                <w:color w:val="000000" w:themeColor="text1"/>
                <w:sz w:val="18"/>
              </w:rPr>
              <w:t>Среден разход</w:t>
            </w:r>
          </w:p>
        </w:tc>
        <w:tc>
          <w:tcPr>
            <w:tcW w:w="425" w:type="dxa"/>
            <w:tcBorders>
              <w:left w:val="nil"/>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Брой</w:t>
            </w:r>
          </w:p>
        </w:tc>
        <w:tc>
          <w:tcPr>
            <w:tcW w:w="85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Разходи</w:t>
            </w:r>
          </w:p>
        </w:tc>
        <w:tc>
          <w:tcPr>
            <w:tcW w:w="270" w:type="dxa"/>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Брой</w:t>
            </w:r>
          </w:p>
        </w:tc>
        <w:tc>
          <w:tcPr>
            <w:tcW w:w="72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Разходи</w:t>
            </w:r>
          </w:p>
        </w:tc>
        <w:tc>
          <w:tcPr>
            <w:tcW w:w="720" w:type="dxa"/>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Брой</w:t>
            </w:r>
          </w:p>
        </w:tc>
        <w:tc>
          <w:tcPr>
            <w:tcW w:w="72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Разходи</w:t>
            </w:r>
          </w:p>
        </w:tc>
        <w:tc>
          <w:tcPr>
            <w:tcW w:w="900" w:type="dxa"/>
            <w:gridSpan w:val="2"/>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Брой</w:t>
            </w:r>
          </w:p>
        </w:tc>
        <w:tc>
          <w:tcPr>
            <w:tcW w:w="72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Разходи</w:t>
            </w:r>
          </w:p>
        </w:tc>
        <w:tc>
          <w:tcPr>
            <w:tcW w:w="540" w:type="dxa"/>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Брой</w:t>
            </w:r>
          </w:p>
        </w:tc>
        <w:tc>
          <w:tcPr>
            <w:tcW w:w="648"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Разходи</w:t>
            </w:r>
          </w:p>
        </w:tc>
        <w:tc>
          <w:tcPr>
            <w:tcW w:w="432" w:type="dxa"/>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Брой</w:t>
            </w:r>
          </w:p>
        </w:tc>
        <w:tc>
          <w:tcPr>
            <w:tcW w:w="72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Разходи</w:t>
            </w:r>
          </w:p>
        </w:tc>
        <w:tc>
          <w:tcPr>
            <w:tcW w:w="540" w:type="dxa"/>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Брой</w:t>
            </w:r>
          </w:p>
        </w:tc>
        <w:tc>
          <w:tcPr>
            <w:tcW w:w="72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Разходи</w:t>
            </w:r>
          </w:p>
        </w:tc>
        <w:tc>
          <w:tcPr>
            <w:tcW w:w="720" w:type="dxa"/>
            <w:tcBorders>
              <w:righ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Общ брой</w:t>
            </w:r>
          </w:p>
        </w:tc>
        <w:tc>
          <w:tcPr>
            <w:tcW w:w="90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Общо разходи</w:t>
            </w:r>
          </w:p>
        </w:tc>
      </w:tr>
      <w:tr>
        <w:trPr>
          <w:jc w:val="center"/>
        </w:trPr>
        <w:tc>
          <w:tcPr>
            <w:tcW w:w="3063" w:type="dxa"/>
            <w:gridSpan w:val="3"/>
            <w:vAlign w:val="center"/>
          </w:tcPr>
          <w:p>
            <w:pPr>
              <w:spacing w:before="60" w:after="60"/>
              <w:ind w:right="-29"/>
              <w:jc w:val="center"/>
              <w:rPr>
                <w:noProof/>
                <w:color w:val="000000" w:themeColor="text1"/>
                <w:sz w:val="18"/>
                <w:szCs w:val="18"/>
              </w:rPr>
            </w:pPr>
            <w:r>
              <w:rPr>
                <w:noProof/>
                <w:color w:val="000000" w:themeColor="text1"/>
                <w:sz w:val="18"/>
              </w:rPr>
              <w:t>КОНКРЕТНА ЦЕЛ № 1</w:t>
            </w:r>
            <w:r>
              <w:rPr>
                <w:rStyle w:val="FootnoteReference"/>
                <w:noProof/>
                <w:color w:val="000000" w:themeColor="text1"/>
                <w:sz w:val="18"/>
              </w:rPr>
              <w:footnoteReference w:id="37"/>
            </w:r>
            <w:r>
              <w:rPr>
                <w:noProof/>
                <w:color w:val="000000" w:themeColor="text1"/>
                <w:sz w:val="18"/>
              </w:rPr>
              <w:t>…</w:t>
            </w:r>
          </w:p>
        </w:tc>
        <w:tc>
          <w:tcPr>
            <w:tcW w:w="425" w:type="dxa"/>
            <w:tcBorders>
              <w:top w:val="nil"/>
              <w:left w:val="nil"/>
              <w:bottom w:val="nil"/>
              <w:right w:val="nil"/>
            </w:tcBorders>
          </w:tcPr>
          <w:p>
            <w:pPr>
              <w:spacing w:before="60" w:after="60"/>
              <w:ind w:right="-29"/>
              <w:jc w:val="center"/>
              <w:rPr>
                <w:noProof/>
                <w:color w:val="000000" w:themeColor="text1"/>
                <w:sz w:val="18"/>
                <w:szCs w:val="18"/>
              </w:rPr>
            </w:pPr>
          </w:p>
        </w:tc>
        <w:tc>
          <w:tcPr>
            <w:tcW w:w="850" w:type="dxa"/>
            <w:tcBorders>
              <w:top w:val="nil"/>
              <w:left w:val="nil"/>
              <w:bottom w:val="nil"/>
              <w:right w:val="nil"/>
            </w:tcBorders>
          </w:tcPr>
          <w:p>
            <w:pPr>
              <w:spacing w:before="60" w:after="60"/>
              <w:ind w:right="-29"/>
              <w:jc w:val="center"/>
              <w:rPr>
                <w:noProof/>
                <w:color w:val="000000" w:themeColor="text1"/>
                <w:sz w:val="18"/>
                <w:szCs w:val="18"/>
              </w:rPr>
            </w:pPr>
          </w:p>
        </w:tc>
        <w:tc>
          <w:tcPr>
            <w:tcW w:w="27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gridSpan w:val="2"/>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648" w:type="dxa"/>
            <w:tcBorders>
              <w:top w:val="nil"/>
              <w:left w:val="nil"/>
              <w:bottom w:val="nil"/>
              <w:right w:val="nil"/>
            </w:tcBorders>
          </w:tcPr>
          <w:p>
            <w:pPr>
              <w:spacing w:before="60" w:after="60"/>
              <w:ind w:right="-29"/>
              <w:jc w:val="center"/>
              <w:rPr>
                <w:noProof/>
                <w:color w:val="000000" w:themeColor="text1"/>
                <w:sz w:val="18"/>
                <w:szCs w:val="18"/>
              </w:rPr>
            </w:pPr>
          </w:p>
        </w:tc>
        <w:tc>
          <w:tcPr>
            <w:tcW w:w="432"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tcBorders>
              <w:top w:val="nil"/>
              <w:left w:val="nil"/>
              <w:bottom w:val="nil"/>
              <w:right w:val="nil"/>
            </w:tcBorders>
          </w:tcPr>
          <w:p>
            <w:pPr>
              <w:spacing w:before="60" w:after="60"/>
              <w:ind w:right="-29"/>
              <w:jc w:val="center"/>
              <w:rPr>
                <w:noProof/>
                <w:color w:val="000000" w:themeColor="text1"/>
                <w:sz w:val="18"/>
                <w:szCs w:val="18"/>
              </w:rPr>
            </w:pPr>
          </w:p>
        </w:tc>
      </w:tr>
      <w:tr>
        <w:trPr>
          <w:trHeight w:hRule="exact" w:val="580"/>
          <w:jc w:val="center"/>
        </w:trPr>
        <w:tc>
          <w:tcPr>
            <w:tcW w:w="1362" w:type="dxa"/>
          </w:tcPr>
          <w:p>
            <w:pPr>
              <w:ind w:right="-29"/>
              <w:jc w:val="center"/>
              <w:rPr>
                <w:noProof/>
                <w:color w:val="000000" w:themeColor="text1"/>
                <w:sz w:val="18"/>
                <w:szCs w:val="18"/>
              </w:rPr>
            </w:pPr>
            <w:r>
              <w:rPr>
                <w:noProof/>
                <w:color w:val="000000" w:themeColor="text1"/>
                <w:sz w:val="18"/>
              </w:rPr>
              <w:t>- Резултат</w:t>
            </w:r>
          </w:p>
        </w:tc>
        <w:tc>
          <w:tcPr>
            <w:tcW w:w="1080" w:type="dxa"/>
          </w:tcPr>
          <w:p>
            <w:pPr>
              <w:ind w:right="-29"/>
              <w:jc w:val="center"/>
              <w:rPr>
                <w:noProof/>
                <w:color w:val="000000" w:themeColor="text1"/>
                <w:sz w:val="18"/>
                <w:szCs w:val="18"/>
              </w:rPr>
            </w:pPr>
            <w:r>
              <w:rPr>
                <w:noProof/>
                <w:color w:val="000000" w:themeColor="text1"/>
                <w:sz w:val="18"/>
              </w:rPr>
              <w:t>Комуникация</w:t>
            </w:r>
          </w:p>
        </w:tc>
        <w:tc>
          <w:tcPr>
            <w:tcW w:w="621" w:type="dxa"/>
          </w:tcPr>
          <w:p>
            <w:pPr>
              <w:ind w:right="-29"/>
              <w:jc w:val="center"/>
              <w:rPr>
                <w:noProof/>
                <w:color w:val="000000" w:themeColor="text1"/>
                <w:sz w:val="18"/>
                <w:szCs w:val="18"/>
              </w:rPr>
            </w:pPr>
            <w:r>
              <w:rPr>
                <w:noProof/>
                <w:color w:val="000000" w:themeColor="text1"/>
                <w:sz w:val="18"/>
              </w:rPr>
              <w:t>0,3</w:t>
            </w:r>
          </w:p>
        </w:tc>
        <w:tc>
          <w:tcPr>
            <w:tcW w:w="425" w:type="dxa"/>
            <w:tcBorders>
              <w:right w:val="dashSmallGap" w:sz="4" w:space="0" w:color="auto"/>
            </w:tcBorders>
          </w:tcPr>
          <w:p>
            <w:pPr>
              <w:ind w:right="-29"/>
              <w:jc w:val="center"/>
              <w:rPr>
                <w:noProof/>
                <w:color w:val="000000" w:themeColor="text1"/>
                <w:sz w:val="18"/>
                <w:szCs w:val="18"/>
              </w:rPr>
            </w:pPr>
            <w:r>
              <w:rPr>
                <w:noProof/>
                <w:color w:val="000000" w:themeColor="text1"/>
                <w:sz w:val="18"/>
              </w:rPr>
              <w:t>2</w:t>
            </w:r>
          </w:p>
        </w:tc>
        <w:tc>
          <w:tcPr>
            <w:tcW w:w="850" w:type="dxa"/>
            <w:tcBorders>
              <w:left w:val="dashSmallGap" w:sz="4" w:space="0" w:color="auto"/>
            </w:tcBorders>
          </w:tcPr>
          <w:p>
            <w:pPr>
              <w:ind w:right="-29"/>
              <w:jc w:val="center"/>
              <w:rPr>
                <w:noProof/>
                <w:color w:val="000000" w:themeColor="text1"/>
                <w:sz w:val="18"/>
                <w:szCs w:val="18"/>
              </w:rPr>
            </w:pPr>
            <w:r>
              <w:rPr>
                <w:noProof/>
                <w:color w:val="000000" w:themeColor="text1"/>
                <w:sz w:val="18"/>
              </w:rPr>
              <w:t>0,600</w:t>
            </w:r>
          </w:p>
        </w:tc>
        <w:tc>
          <w:tcPr>
            <w:tcW w:w="270" w:type="dxa"/>
            <w:tcBorders>
              <w:right w:val="dashSmallGap" w:sz="4"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left w:val="dashSmallGap" w:sz="4"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900" w:type="dxa"/>
            <w:gridSpan w:val="2"/>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540" w:type="dxa"/>
            <w:tcBorders>
              <w:right w:val="dashSmallGap" w:sz="4" w:space="0" w:color="auto"/>
            </w:tcBorders>
          </w:tcPr>
          <w:p>
            <w:pPr>
              <w:ind w:right="-29"/>
              <w:jc w:val="center"/>
              <w:rPr>
                <w:noProof/>
                <w:color w:val="000000" w:themeColor="text1"/>
                <w:sz w:val="18"/>
                <w:szCs w:val="18"/>
              </w:rPr>
            </w:pPr>
          </w:p>
        </w:tc>
        <w:tc>
          <w:tcPr>
            <w:tcW w:w="648" w:type="dxa"/>
            <w:tcBorders>
              <w:left w:val="dashSmallGap" w:sz="4" w:space="0" w:color="auto"/>
            </w:tcBorders>
          </w:tcPr>
          <w:p>
            <w:pPr>
              <w:ind w:right="-29"/>
              <w:jc w:val="center"/>
              <w:rPr>
                <w:noProof/>
                <w:color w:val="000000" w:themeColor="text1"/>
                <w:sz w:val="18"/>
                <w:szCs w:val="18"/>
              </w:rPr>
            </w:pPr>
          </w:p>
        </w:tc>
        <w:tc>
          <w:tcPr>
            <w:tcW w:w="432"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540"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rPr>
              <w:t>0,600</w:t>
            </w:r>
          </w:p>
        </w:tc>
      </w:tr>
      <w:tr>
        <w:trPr>
          <w:trHeight w:hRule="exact" w:val="472"/>
          <w:jc w:val="center"/>
        </w:trPr>
        <w:tc>
          <w:tcPr>
            <w:tcW w:w="1362" w:type="dxa"/>
          </w:tcPr>
          <w:p>
            <w:pPr>
              <w:ind w:right="-29"/>
              <w:jc w:val="center"/>
              <w:rPr>
                <w:noProof/>
                <w:color w:val="000000" w:themeColor="text1"/>
                <w:sz w:val="18"/>
                <w:szCs w:val="18"/>
              </w:rPr>
            </w:pPr>
            <w:r>
              <w:rPr>
                <w:noProof/>
                <w:color w:val="000000" w:themeColor="text1"/>
                <w:sz w:val="18"/>
              </w:rPr>
              <w:t>- Резултат</w:t>
            </w:r>
          </w:p>
        </w:tc>
        <w:tc>
          <w:tcPr>
            <w:tcW w:w="1080" w:type="dxa"/>
          </w:tcPr>
          <w:p>
            <w:pPr>
              <w:ind w:right="-29"/>
              <w:jc w:val="center"/>
              <w:rPr>
                <w:noProof/>
                <w:color w:val="000000" w:themeColor="text1"/>
                <w:sz w:val="18"/>
                <w:szCs w:val="18"/>
              </w:rPr>
            </w:pPr>
            <w:r>
              <w:rPr>
                <w:noProof/>
                <w:color w:val="000000" w:themeColor="text1"/>
                <w:sz w:val="18"/>
              </w:rPr>
              <w:t>Семинари</w:t>
            </w:r>
          </w:p>
        </w:tc>
        <w:tc>
          <w:tcPr>
            <w:tcW w:w="621" w:type="dxa"/>
          </w:tcPr>
          <w:p>
            <w:pPr>
              <w:ind w:right="-29"/>
              <w:jc w:val="center"/>
              <w:rPr>
                <w:noProof/>
                <w:color w:val="000000" w:themeColor="text1"/>
                <w:sz w:val="18"/>
                <w:szCs w:val="18"/>
              </w:rPr>
            </w:pPr>
            <w:r>
              <w:rPr>
                <w:noProof/>
                <w:color w:val="000000" w:themeColor="text1"/>
                <w:sz w:val="18"/>
              </w:rPr>
              <w:t>0,25</w:t>
            </w:r>
          </w:p>
        </w:tc>
        <w:tc>
          <w:tcPr>
            <w:tcW w:w="425" w:type="dxa"/>
            <w:tcBorders>
              <w:right w:val="dashSmallGap" w:sz="4" w:space="0" w:color="auto"/>
            </w:tcBorders>
          </w:tcPr>
          <w:p>
            <w:pPr>
              <w:ind w:right="-29"/>
              <w:jc w:val="center"/>
              <w:rPr>
                <w:noProof/>
                <w:color w:val="000000" w:themeColor="text1"/>
                <w:sz w:val="18"/>
                <w:szCs w:val="18"/>
              </w:rPr>
            </w:pPr>
            <w:r>
              <w:rPr>
                <w:noProof/>
                <w:color w:val="000000" w:themeColor="text1"/>
                <w:sz w:val="18"/>
              </w:rPr>
              <w:t>4</w:t>
            </w:r>
          </w:p>
        </w:tc>
        <w:tc>
          <w:tcPr>
            <w:tcW w:w="850" w:type="dxa"/>
            <w:tcBorders>
              <w:left w:val="dashSmallGap" w:sz="4" w:space="0" w:color="auto"/>
            </w:tcBorders>
          </w:tcPr>
          <w:p>
            <w:pPr>
              <w:ind w:right="-29"/>
              <w:jc w:val="center"/>
              <w:rPr>
                <w:noProof/>
                <w:color w:val="000000" w:themeColor="text1"/>
                <w:sz w:val="18"/>
                <w:szCs w:val="18"/>
              </w:rPr>
            </w:pPr>
            <w:r>
              <w:rPr>
                <w:noProof/>
                <w:color w:val="000000" w:themeColor="text1"/>
                <w:sz w:val="18"/>
              </w:rPr>
              <w:t>1,000</w:t>
            </w:r>
          </w:p>
        </w:tc>
        <w:tc>
          <w:tcPr>
            <w:tcW w:w="270" w:type="dxa"/>
            <w:tcBorders>
              <w:right w:val="dashSmallGap" w:sz="4"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left w:val="dashSmallGap" w:sz="4"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900" w:type="dxa"/>
            <w:gridSpan w:val="2"/>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540" w:type="dxa"/>
            <w:tcBorders>
              <w:right w:val="dashSmallGap" w:sz="4" w:space="0" w:color="auto"/>
            </w:tcBorders>
          </w:tcPr>
          <w:p>
            <w:pPr>
              <w:ind w:right="-29"/>
              <w:jc w:val="center"/>
              <w:rPr>
                <w:noProof/>
                <w:color w:val="000000" w:themeColor="text1"/>
                <w:sz w:val="18"/>
                <w:szCs w:val="18"/>
              </w:rPr>
            </w:pPr>
          </w:p>
        </w:tc>
        <w:tc>
          <w:tcPr>
            <w:tcW w:w="648" w:type="dxa"/>
            <w:tcBorders>
              <w:left w:val="dashSmallGap" w:sz="4" w:space="0" w:color="auto"/>
            </w:tcBorders>
          </w:tcPr>
          <w:p>
            <w:pPr>
              <w:ind w:right="-29"/>
              <w:jc w:val="center"/>
              <w:rPr>
                <w:noProof/>
                <w:color w:val="000000" w:themeColor="text1"/>
                <w:sz w:val="18"/>
                <w:szCs w:val="18"/>
              </w:rPr>
            </w:pPr>
          </w:p>
        </w:tc>
        <w:tc>
          <w:tcPr>
            <w:tcW w:w="432"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540"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rPr>
              <w:t>1,000</w:t>
            </w:r>
          </w:p>
        </w:tc>
      </w:tr>
      <w:tr>
        <w:trPr>
          <w:trHeight w:hRule="exact" w:val="369"/>
          <w:jc w:val="center"/>
        </w:trPr>
        <w:tc>
          <w:tcPr>
            <w:tcW w:w="1362" w:type="dxa"/>
          </w:tcPr>
          <w:p>
            <w:pPr>
              <w:ind w:right="-29"/>
              <w:jc w:val="center"/>
              <w:rPr>
                <w:noProof/>
                <w:color w:val="000000" w:themeColor="text1"/>
                <w:sz w:val="18"/>
                <w:szCs w:val="18"/>
              </w:rPr>
            </w:pPr>
            <w:r>
              <w:rPr>
                <w:noProof/>
                <w:color w:val="000000" w:themeColor="text1"/>
                <w:sz w:val="18"/>
              </w:rPr>
              <w:t>- Резултат</w:t>
            </w:r>
          </w:p>
        </w:tc>
        <w:tc>
          <w:tcPr>
            <w:tcW w:w="1080" w:type="dxa"/>
          </w:tcPr>
          <w:p>
            <w:pPr>
              <w:ind w:right="-29"/>
              <w:jc w:val="center"/>
              <w:rPr>
                <w:noProof/>
                <w:color w:val="000000" w:themeColor="text1"/>
                <w:sz w:val="18"/>
                <w:szCs w:val="18"/>
              </w:rPr>
            </w:pPr>
          </w:p>
        </w:tc>
        <w:tc>
          <w:tcPr>
            <w:tcW w:w="621" w:type="dxa"/>
          </w:tcPr>
          <w:p>
            <w:pPr>
              <w:ind w:right="-29"/>
              <w:jc w:val="center"/>
              <w:rPr>
                <w:noProof/>
                <w:color w:val="000000" w:themeColor="text1"/>
                <w:sz w:val="18"/>
                <w:szCs w:val="18"/>
              </w:rPr>
            </w:pPr>
          </w:p>
        </w:tc>
        <w:tc>
          <w:tcPr>
            <w:tcW w:w="425" w:type="dxa"/>
          </w:tcPr>
          <w:p>
            <w:pPr>
              <w:ind w:right="-29"/>
              <w:jc w:val="center"/>
              <w:rPr>
                <w:noProof/>
                <w:color w:val="000000" w:themeColor="text1"/>
                <w:sz w:val="18"/>
                <w:szCs w:val="18"/>
              </w:rPr>
            </w:pPr>
          </w:p>
        </w:tc>
        <w:tc>
          <w:tcPr>
            <w:tcW w:w="850" w:type="dxa"/>
          </w:tcPr>
          <w:p>
            <w:pPr>
              <w:ind w:right="-29"/>
              <w:jc w:val="center"/>
              <w:rPr>
                <w:noProof/>
                <w:color w:val="000000" w:themeColor="text1"/>
                <w:sz w:val="18"/>
                <w:szCs w:val="18"/>
              </w:rPr>
            </w:pPr>
          </w:p>
        </w:tc>
        <w:tc>
          <w:tcPr>
            <w:tcW w:w="27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gridSpan w:val="2"/>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648" w:type="dxa"/>
          </w:tcPr>
          <w:p>
            <w:pPr>
              <w:ind w:right="-29"/>
              <w:jc w:val="center"/>
              <w:rPr>
                <w:noProof/>
                <w:color w:val="000000" w:themeColor="text1"/>
                <w:sz w:val="18"/>
                <w:szCs w:val="18"/>
              </w:rPr>
            </w:pPr>
          </w:p>
        </w:tc>
        <w:tc>
          <w:tcPr>
            <w:tcW w:w="432"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p>
        </w:tc>
      </w:tr>
      <w:tr>
        <w:trPr>
          <w:jc w:val="center"/>
        </w:trPr>
        <w:tc>
          <w:tcPr>
            <w:tcW w:w="3063" w:type="dxa"/>
            <w:gridSpan w:val="3"/>
            <w:tcBorders>
              <w:bottom w:val="single" w:sz="12" w:space="0" w:color="auto"/>
            </w:tcBorders>
            <w:vAlign w:val="center"/>
          </w:tcPr>
          <w:p>
            <w:pPr>
              <w:ind w:right="-29"/>
              <w:jc w:val="center"/>
              <w:rPr>
                <w:noProof/>
                <w:color w:val="000000" w:themeColor="text1"/>
                <w:spacing w:val="-6"/>
                <w:sz w:val="18"/>
                <w:szCs w:val="18"/>
              </w:rPr>
            </w:pPr>
            <w:r>
              <w:rPr>
                <w:noProof/>
                <w:color w:val="000000" w:themeColor="text1"/>
                <w:spacing w:val="-6"/>
                <w:sz w:val="18"/>
              </w:rPr>
              <w:t>Междинен сбор за конкретна цел № 1</w:t>
            </w:r>
          </w:p>
        </w:tc>
        <w:tc>
          <w:tcPr>
            <w:tcW w:w="425" w:type="dxa"/>
            <w:tcBorders>
              <w:bottom w:val="single" w:sz="12" w:space="0" w:color="auto"/>
            </w:tcBorders>
          </w:tcPr>
          <w:p>
            <w:pPr>
              <w:ind w:right="-29"/>
              <w:jc w:val="center"/>
              <w:rPr>
                <w:noProof/>
                <w:color w:val="000000" w:themeColor="text1"/>
                <w:sz w:val="18"/>
                <w:szCs w:val="18"/>
              </w:rPr>
            </w:pPr>
            <w:r>
              <w:rPr>
                <w:noProof/>
                <w:color w:val="000000" w:themeColor="text1"/>
                <w:sz w:val="18"/>
              </w:rPr>
              <w:t>6</w:t>
            </w:r>
          </w:p>
        </w:tc>
        <w:tc>
          <w:tcPr>
            <w:tcW w:w="850" w:type="dxa"/>
            <w:tcBorders>
              <w:bottom w:val="single" w:sz="12" w:space="0" w:color="auto"/>
            </w:tcBorders>
          </w:tcPr>
          <w:p>
            <w:pPr>
              <w:ind w:right="-29"/>
              <w:jc w:val="center"/>
              <w:rPr>
                <w:noProof/>
                <w:color w:val="000000" w:themeColor="text1"/>
                <w:sz w:val="18"/>
                <w:szCs w:val="18"/>
              </w:rPr>
            </w:pPr>
            <w:r>
              <w:rPr>
                <w:noProof/>
                <w:color w:val="000000" w:themeColor="text1"/>
                <w:sz w:val="18"/>
              </w:rPr>
              <w:t>1,600</w:t>
            </w:r>
          </w:p>
        </w:tc>
        <w:tc>
          <w:tcPr>
            <w:tcW w:w="270" w:type="dxa"/>
            <w:tcBorders>
              <w:bottom w:val="single" w:sz="12"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bottom w:val="single" w:sz="12"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900" w:type="dxa"/>
            <w:gridSpan w:val="2"/>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648" w:type="dxa"/>
            <w:tcBorders>
              <w:bottom w:val="single" w:sz="12" w:space="0" w:color="auto"/>
            </w:tcBorders>
          </w:tcPr>
          <w:p>
            <w:pPr>
              <w:ind w:right="-29"/>
              <w:jc w:val="center"/>
              <w:rPr>
                <w:noProof/>
                <w:color w:val="000000" w:themeColor="text1"/>
                <w:sz w:val="18"/>
                <w:szCs w:val="18"/>
              </w:rPr>
            </w:pPr>
          </w:p>
        </w:tc>
        <w:tc>
          <w:tcPr>
            <w:tcW w:w="432"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900" w:type="dxa"/>
            <w:tcBorders>
              <w:bottom w:val="single" w:sz="12" w:space="0" w:color="auto"/>
            </w:tcBorders>
          </w:tcPr>
          <w:p>
            <w:pPr>
              <w:ind w:right="-29"/>
              <w:jc w:val="center"/>
              <w:rPr>
                <w:noProof/>
                <w:color w:val="000000" w:themeColor="text1"/>
                <w:sz w:val="18"/>
                <w:szCs w:val="18"/>
              </w:rPr>
            </w:pPr>
            <w:r>
              <w:rPr>
                <w:noProof/>
                <w:color w:val="000000" w:themeColor="text1"/>
                <w:sz w:val="18"/>
              </w:rPr>
              <w:t>1,600</w:t>
            </w:r>
          </w:p>
        </w:tc>
      </w:tr>
      <w:tr>
        <w:trPr>
          <w:jc w:val="center"/>
        </w:trPr>
        <w:tc>
          <w:tcPr>
            <w:tcW w:w="3063" w:type="dxa"/>
            <w:gridSpan w:val="3"/>
            <w:vAlign w:val="center"/>
          </w:tcPr>
          <w:p>
            <w:pPr>
              <w:spacing w:before="60" w:after="60"/>
              <w:ind w:right="-29"/>
              <w:jc w:val="center"/>
              <w:rPr>
                <w:noProof/>
                <w:color w:val="000000" w:themeColor="text1"/>
                <w:sz w:val="18"/>
                <w:szCs w:val="18"/>
              </w:rPr>
            </w:pPr>
            <w:r>
              <w:rPr>
                <w:noProof/>
                <w:color w:val="000000" w:themeColor="text1"/>
                <w:sz w:val="18"/>
              </w:rPr>
              <w:t>КОНКРЕТНА ЦЕЛ № 2 …</w:t>
            </w:r>
          </w:p>
        </w:tc>
        <w:tc>
          <w:tcPr>
            <w:tcW w:w="425" w:type="dxa"/>
            <w:tcBorders>
              <w:top w:val="nil"/>
              <w:left w:val="nil"/>
              <w:bottom w:val="nil"/>
              <w:right w:val="nil"/>
            </w:tcBorders>
          </w:tcPr>
          <w:p>
            <w:pPr>
              <w:spacing w:before="60" w:after="60"/>
              <w:ind w:right="-29"/>
              <w:jc w:val="center"/>
              <w:rPr>
                <w:noProof/>
                <w:color w:val="000000" w:themeColor="text1"/>
                <w:sz w:val="18"/>
                <w:szCs w:val="18"/>
              </w:rPr>
            </w:pPr>
          </w:p>
        </w:tc>
        <w:tc>
          <w:tcPr>
            <w:tcW w:w="850" w:type="dxa"/>
            <w:tcBorders>
              <w:top w:val="nil"/>
              <w:left w:val="nil"/>
              <w:bottom w:val="nil"/>
              <w:right w:val="nil"/>
            </w:tcBorders>
          </w:tcPr>
          <w:p>
            <w:pPr>
              <w:spacing w:before="60" w:after="60"/>
              <w:ind w:right="-29"/>
              <w:jc w:val="center"/>
              <w:rPr>
                <w:noProof/>
                <w:color w:val="000000" w:themeColor="text1"/>
                <w:sz w:val="18"/>
                <w:szCs w:val="18"/>
              </w:rPr>
            </w:pPr>
          </w:p>
        </w:tc>
        <w:tc>
          <w:tcPr>
            <w:tcW w:w="27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gridSpan w:val="2"/>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648" w:type="dxa"/>
            <w:tcBorders>
              <w:top w:val="nil"/>
              <w:left w:val="nil"/>
              <w:bottom w:val="nil"/>
              <w:right w:val="nil"/>
            </w:tcBorders>
          </w:tcPr>
          <w:p>
            <w:pPr>
              <w:spacing w:before="60" w:after="60"/>
              <w:ind w:right="-29"/>
              <w:jc w:val="center"/>
              <w:rPr>
                <w:noProof/>
                <w:color w:val="000000" w:themeColor="text1"/>
                <w:sz w:val="18"/>
                <w:szCs w:val="18"/>
              </w:rPr>
            </w:pPr>
          </w:p>
        </w:tc>
        <w:tc>
          <w:tcPr>
            <w:tcW w:w="432"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tcBorders>
              <w:top w:val="nil"/>
              <w:left w:val="nil"/>
              <w:bottom w:val="nil"/>
              <w:right w:val="nil"/>
            </w:tcBorders>
          </w:tcPr>
          <w:p>
            <w:pPr>
              <w:spacing w:before="60" w:after="60"/>
              <w:ind w:right="-29"/>
              <w:jc w:val="center"/>
              <w:rPr>
                <w:noProof/>
                <w:color w:val="000000" w:themeColor="text1"/>
                <w:sz w:val="18"/>
                <w:szCs w:val="18"/>
              </w:rPr>
            </w:pPr>
          </w:p>
        </w:tc>
      </w:tr>
      <w:tr>
        <w:trPr>
          <w:trHeight w:hRule="exact" w:val="851"/>
          <w:jc w:val="center"/>
        </w:trPr>
        <w:tc>
          <w:tcPr>
            <w:tcW w:w="1362" w:type="dxa"/>
          </w:tcPr>
          <w:p>
            <w:pPr>
              <w:ind w:right="-29"/>
              <w:jc w:val="center"/>
              <w:rPr>
                <w:noProof/>
                <w:color w:val="000000" w:themeColor="text1"/>
                <w:sz w:val="18"/>
                <w:szCs w:val="18"/>
              </w:rPr>
            </w:pPr>
            <w:r>
              <w:rPr>
                <w:noProof/>
                <w:color w:val="000000" w:themeColor="text1"/>
                <w:sz w:val="18"/>
              </w:rPr>
              <w:t>- Резултат</w:t>
            </w:r>
          </w:p>
        </w:tc>
        <w:tc>
          <w:tcPr>
            <w:tcW w:w="1080" w:type="dxa"/>
          </w:tcPr>
          <w:p>
            <w:pPr>
              <w:ind w:right="-29"/>
              <w:jc w:val="center"/>
              <w:rPr>
                <w:noProof/>
                <w:color w:val="000000" w:themeColor="text1"/>
                <w:sz w:val="18"/>
                <w:szCs w:val="18"/>
              </w:rPr>
            </w:pPr>
            <w:r>
              <w:rPr>
                <w:noProof/>
                <w:color w:val="000000" w:themeColor="text1"/>
                <w:sz w:val="18"/>
              </w:rPr>
              <w:t>Комуникация</w:t>
            </w:r>
          </w:p>
        </w:tc>
        <w:tc>
          <w:tcPr>
            <w:tcW w:w="621" w:type="dxa"/>
          </w:tcPr>
          <w:p>
            <w:pPr>
              <w:ind w:right="-29"/>
              <w:jc w:val="center"/>
              <w:rPr>
                <w:noProof/>
                <w:color w:val="000000" w:themeColor="text1"/>
                <w:sz w:val="18"/>
                <w:szCs w:val="18"/>
              </w:rPr>
            </w:pPr>
            <w:r>
              <w:rPr>
                <w:noProof/>
                <w:color w:val="000000" w:themeColor="text1"/>
                <w:sz w:val="18"/>
              </w:rPr>
              <w:t>0,3</w:t>
            </w:r>
          </w:p>
        </w:tc>
        <w:tc>
          <w:tcPr>
            <w:tcW w:w="425" w:type="dxa"/>
          </w:tcPr>
          <w:p>
            <w:pPr>
              <w:ind w:right="-29"/>
              <w:jc w:val="center"/>
              <w:rPr>
                <w:noProof/>
                <w:color w:val="000000" w:themeColor="text1"/>
                <w:sz w:val="18"/>
                <w:szCs w:val="18"/>
              </w:rPr>
            </w:pPr>
            <w:r>
              <w:rPr>
                <w:noProof/>
                <w:color w:val="000000" w:themeColor="text1"/>
                <w:sz w:val="18"/>
              </w:rPr>
              <w:t>2</w:t>
            </w:r>
          </w:p>
        </w:tc>
        <w:tc>
          <w:tcPr>
            <w:tcW w:w="850" w:type="dxa"/>
          </w:tcPr>
          <w:p>
            <w:pPr>
              <w:ind w:right="-29"/>
              <w:jc w:val="center"/>
              <w:rPr>
                <w:noProof/>
                <w:color w:val="000000" w:themeColor="text1"/>
                <w:sz w:val="18"/>
                <w:szCs w:val="18"/>
              </w:rPr>
            </w:pPr>
            <w:r>
              <w:rPr>
                <w:noProof/>
                <w:color w:val="000000" w:themeColor="text1"/>
                <w:sz w:val="18"/>
              </w:rPr>
              <w:t>0,600</w:t>
            </w:r>
          </w:p>
        </w:tc>
        <w:tc>
          <w:tcPr>
            <w:tcW w:w="27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gridSpan w:val="2"/>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648" w:type="dxa"/>
          </w:tcPr>
          <w:p>
            <w:pPr>
              <w:ind w:right="-29"/>
              <w:jc w:val="center"/>
              <w:rPr>
                <w:noProof/>
                <w:color w:val="000000" w:themeColor="text1"/>
                <w:sz w:val="18"/>
                <w:szCs w:val="18"/>
              </w:rPr>
            </w:pPr>
          </w:p>
        </w:tc>
        <w:tc>
          <w:tcPr>
            <w:tcW w:w="432"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rPr>
              <w:t>0,600</w:t>
            </w:r>
          </w:p>
          <w:p>
            <w:pPr>
              <w:ind w:right="-29"/>
              <w:jc w:val="center"/>
              <w:rPr>
                <w:noProof/>
                <w:color w:val="000000" w:themeColor="text1"/>
                <w:sz w:val="18"/>
                <w:szCs w:val="18"/>
              </w:rPr>
            </w:pPr>
          </w:p>
          <w:p>
            <w:pPr>
              <w:ind w:right="-29"/>
              <w:jc w:val="center"/>
              <w:rPr>
                <w:noProof/>
                <w:color w:val="000000" w:themeColor="text1"/>
                <w:sz w:val="18"/>
                <w:szCs w:val="18"/>
              </w:rPr>
            </w:pPr>
          </w:p>
        </w:tc>
      </w:tr>
      <w:tr>
        <w:trPr>
          <w:trHeight w:hRule="exact" w:val="976"/>
          <w:jc w:val="center"/>
        </w:trPr>
        <w:tc>
          <w:tcPr>
            <w:tcW w:w="1362" w:type="dxa"/>
          </w:tcPr>
          <w:p>
            <w:pPr>
              <w:ind w:right="-29"/>
              <w:jc w:val="center"/>
              <w:rPr>
                <w:noProof/>
                <w:color w:val="000000" w:themeColor="text1"/>
                <w:sz w:val="18"/>
                <w:szCs w:val="18"/>
              </w:rPr>
            </w:pPr>
            <w:r>
              <w:rPr>
                <w:noProof/>
                <w:color w:val="000000" w:themeColor="text1"/>
                <w:sz w:val="18"/>
              </w:rPr>
              <w:t>- Резултат</w:t>
            </w:r>
          </w:p>
        </w:tc>
        <w:tc>
          <w:tcPr>
            <w:tcW w:w="1080" w:type="dxa"/>
          </w:tcPr>
          <w:p>
            <w:pPr>
              <w:ind w:right="-29"/>
              <w:jc w:val="center"/>
              <w:rPr>
                <w:noProof/>
                <w:color w:val="000000" w:themeColor="text1"/>
                <w:sz w:val="18"/>
                <w:szCs w:val="18"/>
              </w:rPr>
            </w:pPr>
            <w:r>
              <w:rPr>
                <w:noProof/>
                <w:color w:val="000000" w:themeColor="text1"/>
                <w:sz w:val="18"/>
              </w:rPr>
              <w:t>Семинари и конференции</w:t>
            </w:r>
          </w:p>
        </w:tc>
        <w:tc>
          <w:tcPr>
            <w:tcW w:w="621" w:type="dxa"/>
          </w:tcPr>
          <w:p>
            <w:pPr>
              <w:ind w:right="-29"/>
              <w:jc w:val="center"/>
              <w:rPr>
                <w:noProof/>
                <w:color w:val="000000" w:themeColor="text1"/>
                <w:sz w:val="18"/>
                <w:szCs w:val="18"/>
              </w:rPr>
            </w:pPr>
            <w:r>
              <w:rPr>
                <w:noProof/>
                <w:color w:val="000000" w:themeColor="text1"/>
                <w:sz w:val="18"/>
              </w:rPr>
              <w:t>0,25</w:t>
            </w:r>
          </w:p>
        </w:tc>
        <w:tc>
          <w:tcPr>
            <w:tcW w:w="425" w:type="dxa"/>
          </w:tcPr>
          <w:p>
            <w:pPr>
              <w:ind w:right="-29"/>
              <w:jc w:val="center"/>
              <w:rPr>
                <w:noProof/>
                <w:color w:val="000000" w:themeColor="text1"/>
                <w:sz w:val="18"/>
                <w:szCs w:val="18"/>
              </w:rPr>
            </w:pPr>
            <w:r>
              <w:rPr>
                <w:noProof/>
                <w:color w:val="000000" w:themeColor="text1"/>
                <w:sz w:val="18"/>
              </w:rPr>
              <w:t>3</w:t>
            </w:r>
          </w:p>
        </w:tc>
        <w:tc>
          <w:tcPr>
            <w:tcW w:w="850" w:type="dxa"/>
          </w:tcPr>
          <w:p>
            <w:pPr>
              <w:ind w:right="-29"/>
              <w:jc w:val="center"/>
              <w:rPr>
                <w:noProof/>
                <w:color w:val="000000" w:themeColor="text1"/>
                <w:sz w:val="18"/>
                <w:szCs w:val="18"/>
              </w:rPr>
            </w:pPr>
            <w:r>
              <w:rPr>
                <w:noProof/>
                <w:color w:val="000000" w:themeColor="text1"/>
                <w:sz w:val="18"/>
              </w:rPr>
              <w:t>0,750</w:t>
            </w:r>
          </w:p>
        </w:tc>
        <w:tc>
          <w:tcPr>
            <w:tcW w:w="27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gridSpan w:val="2"/>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648" w:type="dxa"/>
          </w:tcPr>
          <w:p>
            <w:pPr>
              <w:ind w:right="-29"/>
              <w:jc w:val="center"/>
              <w:rPr>
                <w:noProof/>
                <w:color w:val="000000" w:themeColor="text1"/>
                <w:sz w:val="18"/>
                <w:szCs w:val="18"/>
              </w:rPr>
            </w:pPr>
          </w:p>
        </w:tc>
        <w:tc>
          <w:tcPr>
            <w:tcW w:w="432"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rPr>
              <w:t>0,750</w:t>
            </w:r>
          </w:p>
        </w:tc>
      </w:tr>
      <w:tr>
        <w:trPr>
          <w:jc w:val="center"/>
        </w:trPr>
        <w:tc>
          <w:tcPr>
            <w:tcW w:w="3063" w:type="dxa"/>
            <w:gridSpan w:val="3"/>
            <w:tcBorders>
              <w:bottom w:val="single" w:sz="12" w:space="0" w:color="auto"/>
            </w:tcBorders>
            <w:vAlign w:val="center"/>
          </w:tcPr>
          <w:p>
            <w:pPr>
              <w:jc w:val="center"/>
              <w:rPr>
                <w:noProof/>
                <w:color w:val="000000" w:themeColor="text1"/>
                <w:spacing w:val="-6"/>
                <w:sz w:val="18"/>
                <w:szCs w:val="18"/>
              </w:rPr>
            </w:pPr>
            <w:r>
              <w:rPr>
                <w:noProof/>
                <w:color w:val="000000" w:themeColor="text1"/>
                <w:spacing w:val="-6"/>
                <w:sz w:val="18"/>
              </w:rPr>
              <w:t>Междинен сбор за конкретна цел № 2</w:t>
            </w:r>
          </w:p>
        </w:tc>
        <w:tc>
          <w:tcPr>
            <w:tcW w:w="425" w:type="dxa"/>
            <w:tcBorders>
              <w:bottom w:val="single" w:sz="12" w:space="0" w:color="auto"/>
            </w:tcBorders>
          </w:tcPr>
          <w:p>
            <w:pPr>
              <w:ind w:right="-29"/>
              <w:jc w:val="center"/>
              <w:rPr>
                <w:noProof/>
                <w:color w:val="000000" w:themeColor="text1"/>
                <w:sz w:val="18"/>
                <w:szCs w:val="18"/>
              </w:rPr>
            </w:pPr>
            <w:r>
              <w:rPr>
                <w:noProof/>
                <w:color w:val="000000" w:themeColor="text1"/>
                <w:sz w:val="18"/>
              </w:rPr>
              <w:t>5</w:t>
            </w:r>
          </w:p>
        </w:tc>
        <w:tc>
          <w:tcPr>
            <w:tcW w:w="850" w:type="dxa"/>
            <w:tcBorders>
              <w:bottom w:val="single" w:sz="12" w:space="0" w:color="auto"/>
            </w:tcBorders>
          </w:tcPr>
          <w:p>
            <w:pPr>
              <w:ind w:right="-29"/>
              <w:jc w:val="center"/>
              <w:rPr>
                <w:noProof/>
                <w:color w:val="000000" w:themeColor="text1"/>
                <w:sz w:val="18"/>
                <w:szCs w:val="18"/>
              </w:rPr>
            </w:pPr>
            <w:r>
              <w:rPr>
                <w:noProof/>
                <w:color w:val="000000" w:themeColor="text1"/>
                <w:sz w:val="18"/>
              </w:rPr>
              <w:t>1,350</w:t>
            </w:r>
          </w:p>
        </w:tc>
        <w:tc>
          <w:tcPr>
            <w:tcW w:w="270" w:type="dxa"/>
            <w:tcBorders>
              <w:bottom w:val="single" w:sz="12"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bottom w:val="single" w:sz="12"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859" w:type="dxa"/>
            <w:tcBorders>
              <w:bottom w:val="single" w:sz="12" w:space="0" w:color="auto"/>
            </w:tcBorders>
          </w:tcPr>
          <w:p>
            <w:pPr>
              <w:ind w:right="-29"/>
              <w:jc w:val="center"/>
              <w:rPr>
                <w:noProof/>
                <w:color w:val="000000" w:themeColor="text1"/>
                <w:sz w:val="18"/>
                <w:szCs w:val="18"/>
              </w:rPr>
            </w:pPr>
          </w:p>
        </w:tc>
        <w:tc>
          <w:tcPr>
            <w:tcW w:w="761" w:type="dxa"/>
            <w:gridSpan w:val="2"/>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648" w:type="dxa"/>
            <w:tcBorders>
              <w:bottom w:val="single" w:sz="12" w:space="0" w:color="auto"/>
            </w:tcBorders>
          </w:tcPr>
          <w:p>
            <w:pPr>
              <w:ind w:right="-29"/>
              <w:jc w:val="center"/>
              <w:rPr>
                <w:noProof/>
                <w:color w:val="000000" w:themeColor="text1"/>
                <w:sz w:val="18"/>
                <w:szCs w:val="18"/>
              </w:rPr>
            </w:pPr>
          </w:p>
        </w:tc>
        <w:tc>
          <w:tcPr>
            <w:tcW w:w="432"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900" w:type="dxa"/>
            <w:tcBorders>
              <w:bottom w:val="single" w:sz="12" w:space="0" w:color="auto"/>
            </w:tcBorders>
          </w:tcPr>
          <w:p>
            <w:pPr>
              <w:ind w:right="-29"/>
              <w:jc w:val="center"/>
              <w:rPr>
                <w:noProof/>
                <w:color w:val="000000" w:themeColor="text1"/>
                <w:sz w:val="18"/>
                <w:szCs w:val="18"/>
              </w:rPr>
            </w:pPr>
            <w:r>
              <w:rPr>
                <w:noProof/>
                <w:color w:val="000000" w:themeColor="text1"/>
                <w:sz w:val="18"/>
              </w:rPr>
              <w:t>1,350</w:t>
            </w:r>
          </w:p>
        </w:tc>
      </w:tr>
      <w:tr>
        <w:trPr>
          <w:jc w:val="center"/>
        </w:trPr>
        <w:tc>
          <w:tcPr>
            <w:tcW w:w="3063" w:type="dxa"/>
            <w:gridSpan w:val="3"/>
            <w:vAlign w:val="center"/>
          </w:tcPr>
          <w:p>
            <w:pPr>
              <w:spacing w:before="60" w:after="60"/>
              <w:ind w:right="-29"/>
              <w:jc w:val="center"/>
              <w:rPr>
                <w:noProof/>
                <w:color w:val="000000" w:themeColor="text1"/>
                <w:sz w:val="18"/>
                <w:szCs w:val="18"/>
              </w:rPr>
            </w:pPr>
            <w:r>
              <w:rPr>
                <w:noProof/>
                <w:color w:val="000000" w:themeColor="text1"/>
                <w:sz w:val="18"/>
              </w:rPr>
              <w:t>КОНКРЕТНА ЦЕЛ № 3 …</w:t>
            </w:r>
          </w:p>
        </w:tc>
        <w:tc>
          <w:tcPr>
            <w:tcW w:w="425" w:type="dxa"/>
            <w:tcBorders>
              <w:top w:val="nil"/>
              <w:left w:val="nil"/>
              <w:bottom w:val="nil"/>
              <w:right w:val="nil"/>
            </w:tcBorders>
          </w:tcPr>
          <w:p>
            <w:pPr>
              <w:spacing w:before="60" w:after="60"/>
              <w:ind w:right="-29"/>
              <w:jc w:val="center"/>
              <w:rPr>
                <w:noProof/>
                <w:color w:val="000000" w:themeColor="text1"/>
                <w:sz w:val="18"/>
                <w:szCs w:val="18"/>
              </w:rPr>
            </w:pPr>
          </w:p>
        </w:tc>
        <w:tc>
          <w:tcPr>
            <w:tcW w:w="850" w:type="dxa"/>
            <w:tcBorders>
              <w:top w:val="nil"/>
              <w:left w:val="nil"/>
              <w:bottom w:val="nil"/>
              <w:right w:val="nil"/>
            </w:tcBorders>
          </w:tcPr>
          <w:p>
            <w:pPr>
              <w:spacing w:before="60" w:after="60"/>
              <w:ind w:right="-29"/>
              <w:jc w:val="center"/>
              <w:rPr>
                <w:noProof/>
                <w:color w:val="000000" w:themeColor="text1"/>
                <w:sz w:val="18"/>
                <w:szCs w:val="18"/>
              </w:rPr>
            </w:pPr>
          </w:p>
        </w:tc>
        <w:tc>
          <w:tcPr>
            <w:tcW w:w="27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gridSpan w:val="2"/>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648" w:type="dxa"/>
            <w:tcBorders>
              <w:top w:val="nil"/>
              <w:left w:val="nil"/>
              <w:bottom w:val="nil"/>
              <w:right w:val="nil"/>
            </w:tcBorders>
          </w:tcPr>
          <w:p>
            <w:pPr>
              <w:spacing w:before="60" w:after="60"/>
              <w:ind w:right="-29"/>
              <w:jc w:val="center"/>
              <w:rPr>
                <w:noProof/>
                <w:color w:val="000000" w:themeColor="text1"/>
                <w:sz w:val="18"/>
                <w:szCs w:val="18"/>
              </w:rPr>
            </w:pPr>
          </w:p>
        </w:tc>
        <w:tc>
          <w:tcPr>
            <w:tcW w:w="432"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tcBorders>
              <w:top w:val="nil"/>
              <w:left w:val="nil"/>
              <w:bottom w:val="nil"/>
              <w:right w:val="nil"/>
            </w:tcBorders>
          </w:tcPr>
          <w:p>
            <w:pPr>
              <w:spacing w:before="60" w:after="60"/>
              <w:ind w:right="-29"/>
              <w:jc w:val="center"/>
              <w:rPr>
                <w:noProof/>
                <w:color w:val="000000" w:themeColor="text1"/>
                <w:sz w:val="18"/>
                <w:szCs w:val="18"/>
              </w:rPr>
            </w:pPr>
          </w:p>
        </w:tc>
      </w:tr>
      <w:tr>
        <w:trPr>
          <w:trHeight w:hRule="exact" w:val="851"/>
          <w:jc w:val="center"/>
        </w:trPr>
        <w:tc>
          <w:tcPr>
            <w:tcW w:w="1362" w:type="dxa"/>
          </w:tcPr>
          <w:p>
            <w:pPr>
              <w:ind w:right="-29"/>
              <w:jc w:val="center"/>
              <w:rPr>
                <w:noProof/>
                <w:color w:val="000000" w:themeColor="text1"/>
                <w:sz w:val="18"/>
                <w:szCs w:val="18"/>
              </w:rPr>
            </w:pPr>
            <w:r>
              <w:rPr>
                <w:noProof/>
                <w:color w:val="000000" w:themeColor="text1"/>
                <w:sz w:val="18"/>
              </w:rPr>
              <w:t>- Резултат</w:t>
            </w:r>
          </w:p>
        </w:tc>
        <w:tc>
          <w:tcPr>
            <w:tcW w:w="1080" w:type="dxa"/>
          </w:tcPr>
          <w:p>
            <w:pPr>
              <w:ind w:right="-29"/>
              <w:jc w:val="center"/>
              <w:rPr>
                <w:noProof/>
                <w:color w:val="000000" w:themeColor="text1"/>
                <w:sz w:val="18"/>
                <w:szCs w:val="18"/>
              </w:rPr>
            </w:pPr>
            <w:r>
              <w:rPr>
                <w:noProof/>
                <w:color w:val="000000" w:themeColor="text1"/>
                <w:sz w:val="18"/>
              </w:rPr>
              <w:t>Комуникация</w:t>
            </w:r>
          </w:p>
        </w:tc>
        <w:tc>
          <w:tcPr>
            <w:tcW w:w="621" w:type="dxa"/>
          </w:tcPr>
          <w:p>
            <w:pPr>
              <w:ind w:right="-29"/>
              <w:jc w:val="center"/>
              <w:rPr>
                <w:noProof/>
                <w:color w:val="000000" w:themeColor="text1"/>
                <w:sz w:val="18"/>
                <w:szCs w:val="18"/>
              </w:rPr>
            </w:pPr>
            <w:r>
              <w:rPr>
                <w:noProof/>
                <w:color w:val="000000" w:themeColor="text1"/>
                <w:sz w:val="18"/>
              </w:rPr>
              <w:t>0,3</w:t>
            </w:r>
          </w:p>
        </w:tc>
        <w:tc>
          <w:tcPr>
            <w:tcW w:w="425" w:type="dxa"/>
          </w:tcPr>
          <w:p>
            <w:pPr>
              <w:ind w:right="-29"/>
              <w:jc w:val="center"/>
              <w:rPr>
                <w:noProof/>
                <w:color w:val="000000" w:themeColor="text1"/>
                <w:sz w:val="18"/>
                <w:szCs w:val="18"/>
              </w:rPr>
            </w:pPr>
            <w:r>
              <w:rPr>
                <w:noProof/>
                <w:color w:val="000000" w:themeColor="text1"/>
                <w:sz w:val="18"/>
              </w:rPr>
              <w:t>1</w:t>
            </w:r>
          </w:p>
        </w:tc>
        <w:tc>
          <w:tcPr>
            <w:tcW w:w="850" w:type="dxa"/>
          </w:tcPr>
          <w:p>
            <w:pPr>
              <w:ind w:right="-29"/>
              <w:jc w:val="center"/>
              <w:rPr>
                <w:noProof/>
                <w:color w:val="000000" w:themeColor="text1"/>
                <w:sz w:val="18"/>
                <w:szCs w:val="18"/>
              </w:rPr>
            </w:pPr>
            <w:r>
              <w:rPr>
                <w:noProof/>
                <w:color w:val="000000" w:themeColor="text1"/>
                <w:sz w:val="18"/>
              </w:rPr>
              <w:t>0,300</w:t>
            </w:r>
          </w:p>
        </w:tc>
        <w:tc>
          <w:tcPr>
            <w:tcW w:w="27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gridSpan w:val="2"/>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648" w:type="dxa"/>
          </w:tcPr>
          <w:p>
            <w:pPr>
              <w:ind w:right="-29"/>
              <w:jc w:val="center"/>
              <w:rPr>
                <w:noProof/>
                <w:color w:val="000000" w:themeColor="text1"/>
                <w:sz w:val="18"/>
                <w:szCs w:val="18"/>
              </w:rPr>
            </w:pPr>
          </w:p>
        </w:tc>
        <w:tc>
          <w:tcPr>
            <w:tcW w:w="432"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rPr>
              <w:t>0,300</w:t>
            </w:r>
          </w:p>
          <w:p>
            <w:pPr>
              <w:ind w:right="-29"/>
              <w:jc w:val="center"/>
              <w:rPr>
                <w:noProof/>
                <w:color w:val="000000" w:themeColor="text1"/>
                <w:sz w:val="18"/>
                <w:szCs w:val="18"/>
              </w:rPr>
            </w:pPr>
          </w:p>
          <w:p>
            <w:pPr>
              <w:ind w:right="-29"/>
              <w:jc w:val="center"/>
              <w:rPr>
                <w:noProof/>
                <w:color w:val="000000" w:themeColor="text1"/>
                <w:sz w:val="18"/>
                <w:szCs w:val="18"/>
              </w:rPr>
            </w:pPr>
          </w:p>
        </w:tc>
      </w:tr>
      <w:tr>
        <w:trPr>
          <w:trHeight w:hRule="exact" w:val="768"/>
          <w:jc w:val="center"/>
        </w:trPr>
        <w:tc>
          <w:tcPr>
            <w:tcW w:w="1362" w:type="dxa"/>
          </w:tcPr>
          <w:p>
            <w:pPr>
              <w:ind w:right="-29"/>
              <w:jc w:val="center"/>
              <w:rPr>
                <w:noProof/>
                <w:color w:val="000000" w:themeColor="text1"/>
                <w:sz w:val="18"/>
                <w:szCs w:val="18"/>
              </w:rPr>
            </w:pPr>
            <w:r>
              <w:rPr>
                <w:noProof/>
                <w:color w:val="000000" w:themeColor="text1"/>
                <w:sz w:val="18"/>
              </w:rPr>
              <w:t>- Резултат</w:t>
            </w:r>
          </w:p>
        </w:tc>
        <w:tc>
          <w:tcPr>
            <w:tcW w:w="1080" w:type="dxa"/>
          </w:tcPr>
          <w:p>
            <w:pPr>
              <w:ind w:right="-29"/>
              <w:jc w:val="center"/>
              <w:rPr>
                <w:noProof/>
                <w:color w:val="000000" w:themeColor="text1"/>
                <w:spacing w:val="-6"/>
                <w:sz w:val="18"/>
                <w:szCs w:val="18"/>
              </w:rPr>
            </w:pPr>
            <w:r>
              <w:rPr>
                <w:noProof/>
                <w:color w:val="000000" w:themeColor="text1"/>
                <w:spacing w:val="-6"/>
                <w:sz w:val="18"/>
              </w:rPr>
              <w:t>Семинари и конференции</w:t>
            </w:r>
          </w:p>
        </w:tc>
        <w:tc>
          <w:tcPr>
            <w:tcW w:w="621" w:type="dxa"/>
          </w:tcPr>
          <w:p>
            <w:pPr>
              <w:ind w:right="-29"/>
              <w:jc w:val="center"/>
              <w:rPr>
                <w:noProof/>
                <w:color w:val="000000" w:themeColor="text1"/>
                <w:sz w:val="18"/>
                <w:szCs w:val="18"/>
              </w:rPr>
            </w:pPr>
            <w:r>
              <w:rPr>
                <w:noProof/>
                <w:color w:val="000000" w:themeColor="text1"/>
                <w:sz w:val="18"/>
              </w:rPr>
              <w:t>0,25</w:t>
            </w:r>
          </w:p>
        </w:tc>
        <w:tc>
          <w:tcPr>
            <w:tcW w:w="425" w:type="dxa"/>
          </w:tcPr>
          <w:p>
            <w:pPr>
              <w:ind w:right="-29"/>
              <w:jc w:val="center"/>
              <w:rPr>
                <w:noProof/>
                <w:color w:val="000000" w:themeColor="text1"/>
                <w:sz w:val="18"/>
                <w:szCs w:val="18"/>
              </w:rPr>
            </w:pPr>
            <w:r>
              <w:rPr>
                <w:noProof/>
                <w:color w:val="000000" w:themeColor="text1"/>
                <w:sz w:val="18"/>
              </w:rPr>
              <w:t>3</w:t>
            </w:r>
          </w:p>
        </w:tc>
        <w:tc>
          <w:tcPr>
            <w:tcW w:w="850" w:type="dxa"/>
          </w:tcPr>
          <w:p>
            <w:pPr>
              <w:ind w:right="-29"/>
              <w:jc w:val="center"/>
              <w:rPr>
                <w:noProof/>
                <w:color w:val="000000" w:themeColor="text1"/>
                <w:sz w:val="18"/>
                <w:szCs w:val="18"/>
              </w:rPr>
            </w:pPr>
            <w:r>
              <w:rPr>
                <w:noProof/>
                <w:color w:val="000000" w:themeColor="text1"/>
                <w:sz w:val="18"/>
              </w:rPr>
              <w:t>0,750</w:t>
            </w:r>
          </w:p>
        </w:tc>
        <w:tc>
          <w:tcPr>
            <w:tcW w:w="27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gridSpan w:val="2"/>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648" w:type="dxa"/>
          </w:tcPr>
          <w:p>
            <w:pPr>
              <w:ind w:right="-29"/>
              <w:jc w:val="center"/>
              <w:rPr>
                <w:noProof/>
                <w:color w:val="000000" w:themeColor="text1"/>
                <w:sz w:val="18"/>
                <w:szCs w:val="18"/>
              </w:rPr>
            </w:pPr>
          </w:p>
        </w:tc>
        <w:tc>
          <w:tcPr>
            <w:tcW w:w="432"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rPr>
              <w:t>0,750</w:t>
            </w:r>
          </w:p>
        </w:tc>
      </w:tr>
      <w:tr>
        <w:trPr>
          <w:jc w:val="center"/>
        </w:trPr>
        <w:tc>
          <w:tcPr>
            <w:tcW w:w="3063" w:type="dxa"/>
            <w:gridSpan w:val="3"/>
            <w:tcBorders>
              <w:bottom w:val="single" w:sz="12" w:space="0" w:color="auto"/>
            </w:tcBorders>
            <w:vAlign w:val="center"/>
          </w:tcPr>
          <w:p>
            <w:pPr>
              <w:jc w:val="center"/>
              <w:rPr>
                <w:noProof/>
                <w:color w:val="000000" w:themeColor="text1"/>
                <w:spacing w:val="-6"/>
                <w:sz w:val="18"/>
                <w:szCs w:val="18"/>
              </w:rPr>
            </w:pPr>
            <w:r>
              <w:rPr>
                <w:noProof/>
                <w:color w:val="000000" w:themeColor="text1"/>
                <w:spacing w:val="-6"/>
                <w:sz w:val="18"/>
              </w:rPr>
              <w:t>Междинен сбор за конкретна цел № 3</w:t>
            </w:r>
          </w:p>
        </w:tc>
        <w:tc>
          <w:tcPr>
            <w:tcW w:w="425" w:type="dxa"/>
            <w:tcBorders>
              <w:bottom w:val="single" w:sz="12" w:space="0" w:color="auto"/>
            </w:tcBorders>
          </w:tcPr>
          <w:p>
            <w:pPr>
              <w:ind w:right="-29"/>
              <w:jc w:val="center"/>
              <w:rPr>
                <w:noProof/>
                <w:color w:val="000000" w:themeColor="text1"/>
                <w:sz w:val="18"/>
                <w:szCs w:val="18"/>
              </w:rPr>
            </w:pPr>
            <w:r>
              <w:rPr>
                <w:noProof/>
                <w:color w:val="000000" w:themeColor="text1"/>
                <w:sz w:val="18"/>
              </w:rPr>
              <w:t>4</w:t>
            </w:r>
          </w:p>
        </w:tc>
        <w:tc>
          <w:tcPr>
            <w:tcW w:w="850" w:type="dxa"/>
            <w:tcBorders>
              <w:bottom w:val="single" w:sz="12" w:space="0" w:color="auto"/>
            </w:tcBorders>
          </w:tcPr>
          <w:p>
            <w:pPr>
              <w:ind w:right="-29"/>
              <w:jc w:val="center"/>
              <w:rPr>
                <w:noProof/>
                <w:color w:val="000000" w:themeColor="text1"/>
                <w:sz w:val="18"/>
                <w:szCs w:val="18"/>
              </w:rPr>
            </w:pPr>
            <w:r>
              <w:rPr>
                <w:noProof/>
                <w:color w:val="000000" w:themeColor="text1"/>
                <w:sz w:val="18"/>
              </w:rPr>
              <w:t>1,050</w:t>
            </w:r>
          </w:p>
        </w:tc>
        <w:tc>
          <w:tcPr>
            <w:tcW w:w="270" w:type="dxa"/>
            <w:tcBorders>
              <w:bottom w:val="single" w:sz="12"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bottom w:val="single" w:sz="12"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859" w:type="dxa"/>
            <w:tcBorders>
              <w:bottom w:val="single" w:sz="12" w:space="0" w:color="auto"/>
            </w:tcBorders>
          </w:tcPr>
          <w:p>
            <w:pPr>
              <w:ind w:right="-29"/>
              <w:jc w:val="center"/>
              <w:rPr>
                <w:noProof/>
                <w:color w:val="000000" w:themeColor="text1"/>
                <w:sz w:val="18"/>
                <w:szCs w:val="18"/>
              </w:rPr>
            </w:pPr>
          </w:p>
        </w:tc>
        <w:tc>
          <w:tcPr>
            <w:tcW w:w="761" w:type="dxa"/>
            <w:gridSpan w:val="2"/>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648" w:type="dxa"/>
            <w:tcBorders>
              <w:bottom w:val="single" w:sz="12" w:space="0" w:color="auto"/>
            </w:tcBorders>
          </w:tcPr>
          <w:p>
            <w:pPr>
              <w:ind w:right="-29"/>
              <w:jc w:val="center"/>
              <w:rPr>
                <w:noProof/>
                <w:color w:val="000000" w:themeColor="text1"/>
                <w:sz w:val="18"/>
                <w:szCs w:val="18"/>
              </w:rPr>
            </w:pPr>
          </w:p>
        </w:tc>
        <w:tc>
          <w:tcPr>
            <w:tcW w:w="432"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900" w:type="dxa"/>
            <w:tcBorders>
              <w:bottom w:val="single" w:sz="12" w:space="0" w:color="auto"/>
            </w:tcBorders>
          </w:tcPr>
          <w:p>
            <w:pPr>
              <w:ind w:right="-29"/>
              <w:jc w:val="center"/>
              <w:rPr>
                <w:noProof/>
                <w:color w:val="000000" w:themeColor="text1"/>
                <w:sz w:val="18"/>
                <w:szCs w:val="18"/>
              </w:rPr>
            </w:pPr>
            <w:r>
              <w:rPr>
                <w:noProof/>
                <w:color w:val="000000" w:themeColor="text1"/>
                <w:sz w:val="18"/>
              </w:rPr>
              <w:t>1,050</w:t>
            </w:r>
          </w:p>
        </w:tc>
      </w:tr>
      <w:tr>
        <w:trPr>
          <w:jc w:val="center"/>
        </w:trPr>
        <w:tc>
          <w:tcPr>
            <w:tcW w:w="3063" w:type="dxa"/>
            <w:gridSpan w:val="3"/>
            <w:tcBorders>
              <w:bottom w:val="single" w:sz="12" w:space="0" w:color="auto"/>
            </w:tcBorders>
            <w:vAlign w:val="center"/>
          </w:tcPr>
          <w:p>
            <w:pPr>
              <w:jc w:val="center"/>
              <w:rPr>
                <w:noProof/>
                <w:color w:val="000000" w:themeColor="text1"/>
                <w:sz w:val="18"/>
              </w:rPr>
            </w:pPr>
          </w:p>
        </w:tc>
        <w:tc>
          <w:tcPr>
            <w:tcW w:w="425" w:type="dxa"/>
            <w:tcBorders>
              <w:bottom w:val="single" w:sz="12" w:space="0" w:color="auto"/>
            </w:tcBorders>
          </w:tcPr>
          <w:p>
            <w:pPr>
              <w:ind w:right="-29"/>
              <w:jc w:val="center"/>
              <w:rPr>
                <w:noProof/>
                <w:color w:val="000000" w:themeColor="text1"/>
                <w:sz w:val="18"/>
                <w:szCs w:val="18"/>
              </w:rPr>
            </w:pPr>
          </w:p>
        </w:tc>
        <w:tc>
          <w:tcPr>
            <w:tcW w:w="850" w:type="dxa"/>
            <w:tcBorders>
              <w:bottom w:val="single" w:sz="12" w:space="0" w:color="auto"/>
            </w:tcBorders>
          </w:tcPr>
          <w:p>
            <w:pPr>
              <w:ind w:right="-29"/>
              <w:jc w:val="center"/>
              <w:rPr>
                <w:noProof/>
                <w:color w:val="000000" w:themeColor="text1"/>
                <w:sz w:val="18"/>
                <w:szCs w:val="18"/>
              </w:rPr>
            </w:pPr>
          </w:p>
        </w:tc>
        <w:tc>
          <w:tcPr>
            <w:tcW w:w="27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859" w:type="dxa"/>
            <w:tcBorders>
              <w:bottom w:val="single" w:sz="12" w:space="0" w:color="auto"/>
            </w:tcBorders>
          </w:tcPr>
          <w:p>
            <w:pPr>
              <w:ind w:right="-29"/>
              <w:jc w:val="center"/>
              <w:rPr>
                <w:noProof/>
                <w:color w:val="000000" w:themeColor="text1"/>
                <w:sz w:val="18"/>
                <w:szCs w:val="18"/>
              </w:rPr>
            </w:pPr>
          </w:p>
        </w:tc>
        <w:tc>
          <w:tcPr>
            <w:tcW w:w="761" w:type="dxa"/>
            <w:gridSpan w:val="2"/>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648" w:type="dxa"/>
            <w:tcBorders>
              <w:bottom w:val="single" w:sz="12" w:space="0" w:color="auto"/>
            </w:tcBorders>
          </w:tcPr>
          <w:p>
            <w:pPr>
              <w:ind w:right="-29"/>
              <w:jc w:val="center"/>
              <w:rPr>
                <w:noProof/>
                <w:color w:val="000000" w:themeColor="text1"/>
                <w:sz w:val="18"/>
                <w:szCs w:val="18"/>
              </w:rPr>
            </w:pPr>
          </w:p>
        </w:tc>
        <w:tc>
          <w:tcPr>
            <w:tcW w:w="432"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900" w:type="dxa"/>
            <w:tcBorders>
              <w:bottom w:val="single" w:sz="12" w:space="0" w:color="auto"/>
            </w:tcBorders>
          </w:tcPr>
          <w:p>
            <w:pPr>
              <w:ind w:right="-29"/>
              <w:jc w:val="center"/>
              <w:rPr>
                <w:noProof/>
                <w:color w:val="000000" w:themeColor="text1"/>
                <w:sz w:val="18"/>
                <w:szCs w:val="18"/>
              </w:rPr>
            </w:pPr>
          </w:p>
        </w:tc>
      </w:tr>
      <w:tr>
        <w:trPr>
          <w:jc w:val="center"/>
        </w:trPr>
        <w:tc>
          <w:tcPr>
            <w:tcW w:w="3063" w:type="dxa"/>
            <w:gridSpan w:val="3"/>
            <w:tcBorders>
              <w:top w:val="single" w:sz="12" w:space="0" w:color="auto"/>
              <w:left w:val="single" w:sz="12" w:space="0" w:color="auto"/>
              <w:bottom w:val="single" w:sz="12" w:space="0" w:color="auto"/>
            </w:tcBorders>
            <w:vAlign w:val="center"/>
          </w:tcPr>
          <w:p>
            <w:pPr>
              <w:ind w:right="-29"/>
              <w:jc w:val="center"/>
              <w:rPr>
                <w:noProof/>
                <w:color w:val="000000" w:themeColor="text1"/>
                <w:sz w:val="18"/>
                <w:szCs w:val="18"/>
              </w:rPr>
            </w:pPr>
            <w:r>
              <w:rPr>
                <w:b/>
                <w:noProof/>
                <w:color w:val="000000" w:themeColor="text1"/>
                <w:sz w:val="18"/>
              </w:rPr>
              <w:t>ОБЩО РАЗХОДИ</w:t>
            </w:r>
          </w:p>
        </w:tc>
        <w:tc>
          <w:tcPr>
            <w:tcW w:w="425"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85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27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900" w:type="dxa"/>
            <w:gridSpan w:val="2"/>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54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648"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432"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54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color w:val="000000" w:themeColor="text1"/>
                <w:sz w:val="18"/>
                <w:szCs w:val="18"/>
              </w:rPr>
            </w:pPr>
            <w:r>
              <w:rPr>
                <w:noProof/>
                <w:color w:val="000000" w:themeColor="text1"/>
                <w:sz w:val="18"/>
              </w:rPr>
              <w:t>4,000</w:t>
            </w:r>
          </w:p>
        </w:tc>
      </w:tr>
    </w:tbl>
    <w:p>
      <w:pPr>
        <w:spacing w:before="0" w:after="0"/>
        <w:rPr>
          <w:b/>
          <w:noProof/>
          <w:color w:val="000000" w:themeColor="text1"/>
        </w:rPr>
      </w:pPr>
    </w:p>
    <w:p>
      <w:pPr>
        <w:spacing w:before="0"/>
        <w:rPr>
          <w:b/>
          <w:noProof/>
          <w:color w:val="000000" w:themeColor="text1"/>
        </w:rPr>
      </w:pPr>
      <w:r>
        <w:rPr>
          <w:b/>
          <w:noProof/>
          <w:color w:val="000000" w:themeColor="text1"/>
        </w:rPr>
        <w:t>Постигнати резултати</w:t>
      </w:r>
    </w:p>
    <w:p>
      <w:pPr>
        <w:jc w:val="left"/>
        <w:rPr>
          <w:noProof/>
          <w:color w:val="000000" w:themeColor="text1"/>
        </w:rPr>
      </w:pPr>
      <w:r>
        <w:rPr>
          <w:noProof/>
          <w:color w:val="000000" w:themeColor="text1"/>
        </w:rPr>
        <w:t>Комуникационна кампания: може да включва видео съобщения с новини, видео клипове, визуална идентичност, уебсайт, дейности, отнасящи се до връзки с обществеността, социални медии, промоционални материали, публикации и печат, изследвания и други дейности за повишаване на осведомеността.</w:t>
      </w:r>
    </w:p>
    <w:p>
      <w:pPr>
        <w:jc w:val="left"/>
        <w:rPr>
          <w:noProof/>
          <w:color w:val="000000" w:themeColor="text1"/>
          <w:spacing w:val="-6"/>
        </w:rPr>
      </w:pPr>
      <w:r>
        <w:rPr>
          <w:noProof/>
          <w:color w:val="000000" w:themeColor="text1"/>
          <w:spacing w:val="-6"/>
        </w:rPr>
        <w:t>Семинари и конференции: може да включва конференции по случай откриването и закриването на Европейската година, лекции, семинари, мероприятия на високо равнище, журналистически семинари, съпътстващи мероприятия и други срещи в Брюксел или в държавите членки.</w:t>
      </w:r>
    </w:p>
    <w:p>
      <w:pPr>
        <w:spacing w:before="0" w:after="0"/>
        <w:jc w:val="left"/>
        <w:rPr>
          <w:noProof/>
          <w:color w:val="000000" w:themeColor="text1"/>
        </w:rPr>
      </w:pPr>
    </w:p>
    <w:p>
      <w:pPr>
        <w:spacing w:before="0"/>
        <w:jc w:val="left"/>
        <w:rPr>
          <w:b/>
          <w:noProof/>
          <w:color w:val="000000" w:themeColor="text1"/>
        </w:rPr>
      </w:pPr>
      <w:r>
        <w:rPr>
          <w:b/>
          <w:noProof/>
          <w:color w:val="000000" w:themeColor="text1"/>
        </w:rPr>
        <w:t>Структура на разходите</w:t>
      </w:r>
    </w:p>
    <w:p>
      <w:pPr>
        <w:rPr>
          <w:noProof/>
          <w:color w:val="000000" w:themeColor="text1"/>
        </w:rPr>
      </w:pPr>
      <w:r>
        <w:rPr>
          <w:noProof/>
          <w:color w:val="000000" w:themeColor="text1"/>
        </w:rPr>
        <w:t>Въз основа на предишния опит от други дейности в областта на културата, по-специално в рамките на програма „Творческа Европа“, е изчислено, че средните разходи за комуникационна кампания на равнище ЕС са около 300 000 EUR и че един семинар може да варира от 100 000 EUR до 400 000 EUR според обхвата и броя на присъстващите. Поради това се приема, че средните разходи за семинарите, които ще се организират в рамките на Европейската година на културното наследство, разумно може да възлязат на 250 000 EUR.</w:t>
      </w:r>
    </w:p>
    <w:p>
      <w:pPr>
        <w:rPr>
          <w:noProof/>
          <w:color w:val="000000" w:themeColor="text1"/>
        </w:rPr>
        <w:sectPr>
          <w:pgSz w:w="16840" w:h="11907" w:orient="landscape" w:code="9"/>
          <w:pgMar w:top="1134" w:right="1418" w:bottom="567" w:left="1418" w:header="709" w:footer="709" w:gutter="0"/>
          <w:cols w:space="708"/>
          <w:docGrid w:linePitch="360"/>
        </w:sectPr>
      </w:pPr>
    </w:p>
    <w:p>
      <w:pPr>
        <w:pStyle w:val="ManualHeading3"/>
        <w:rPr>
          <w:bCs/>
          <w:noProof/>
          <w:szCs w:val="24"/>
        </w:rPr>
      </w:pPr>
      <w:r>
        <w:t>3.2.3.</w:t>
      </w:r>
      <w:r>
        <w:tab/>
      </w:r>
      <w:r>
        <w:rPr>
          <w:noProof/>
        </w:rPr>
        <w:t>Очаквано отражение върху бюджетните кредити за административни разходи</w:t>
      </w:r>
    </w:p>
    <w:p>
      <w:pPr>
        <w:pStyle w:val="ManualHeading4"/>
        <w:rPr>
          <w:noProof/>
        </w:rPr>
      </w:pPr>
      <w:r>
        <w:t>3.2.3.1.</w:t>
      </w:r>
      <w:r>
        <w:tab/>
      </w:r>
      <w:r>
        <w:rPr>
          <w:noProof/>
        </w:rPr>
        <w:t xml:space="preserve">Обобщение </w:t>
      </w:r>
    </w:p>
    <w:p>
      <w:pPr>
        <w:pStyle w:val="ListDash1"/>
        <w:rPr>
          <w:noProof/>
          <w:color w:val="000000" w:themeColor="text1"/>
        </w:rPr>
      </w:pPr>
      <w:r>
        <w:rPr>
          <w:noProof/>
          <w:color w:val="000000" w:themeColor="text1"/>
        </w:rPr>
        <w:sym w:font="Wingdings" w:char="F0A8"/>
      </w:r>
      <w:r>
        <w:rPr>
          <w:noProof/>
        </w:rPr>
        <w:tab/>
        <w:t>Предложението/инициативата не налага използване на бюджетни кредити за административни разходи</w:t>
      </w:r>
      <w:r>
        <w:rPr>
          <w:noProof/>
          <w:color w:val="000000" w:themeColor="text1"/>
        </w:rPr>
        <w:t xml:space="preserve"> </w:t>
      </w:r>
    </w:p>
    <w:p>
      <w:pPr>
        <w:pStyle w:val="ListDash1"/>
        <w:rPr>
          <w:noProof/>
          <w:color w:val="000000" w:themeColor="text1"/>
        </w:rPr>
      </w:pPr>
      <w:r>
        <w:rPr>
          <w:noProof/>
        </w:rPr>
        <w:t>X</w:t>
      </w:r>
      <w:r>
        <w:rPr>
          <w:noProof/>
        </w:rPr>
        <w:tab/>
        <w:t>Предложението/инициативата налага използване на бюджетни кредити за административни разходи съгласно обяснението по-долу:</w:t>
      </w:r>
    </w:p>
    <w:p>
      <w:pPr>
        <w:rPr>
          <w:noProof/>
          <w:color w:val="000000" w:themeColor="text1"/>
          <w:sz w:val="20"/>
        </w:rPr>
      </w:pPr>
      <w:r>
        <w:rPr>
          <w:noProof/>
          <w:color w:val="000000" w:themeColor="text1"/>
          <w:sz w:val="20"/>
        </w:rPr>
        <w:t>милиони евро (до третия знак след десетичната запетая)</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color w:val="000000" w:themeColor="text1"/>
                <w:sz w:val="16"/>
                <w:szCs w:val="16"/>
              </w:rPr>
            </w:pPr>
          </w:p>
        </w:tc>
        <w:tc>
          <w:tcPr>
            <w:tcW w:w="1080" w:type="dxa"/>
            <w:vAlign w:val="center"/>
          </w:tcPr>
          <w:p>
            <w:pPr>
              <w:spacing w:before="60" w:after="60" w:line="200" w:lineRule="exact"/>
              <w:jc w:val="center"/>
              <w:rPr>
                <w:noProof/>
                <w:color w:val="000000" w:themeColor="text1"/>
                <w:sz w:val="16"/>
                <w:szCs w:val="16"/>
              </w:rPr>
            </w:pPr>
            <w:r>
              <w:rPr>
                <w:noProof/>
                <w:color w:val="000000" w:themeColor="text1"/>
                <w:sz w:val="16"/>
                <w:szCs w:val="16"/>
              </w:rPr>
              <w:t>Година</w:t>
            </w:r>
            <w:r>
              <w:rPr>
                <w:noProof/>
                <w:color w:val="000000" w:themeColor="text1"/>
                <w:sz w:val="16"/>
                <w:szCs w:val="16"/>
              </w:rPr>
              <w:br/>
            </w:r>
            <w:r>
              <w:rPr>
                <w:b/>
                <w:noProof/>
                <w:color w:val="000000" w:themeColor="text1"/>
                <w:sz w:val="16"/>
                <w:szCs w:val="16"/>
              </w:rPr>
              <w:t xml:space="preserve">N </w:t>
            </w:r>
            <w:r>
              <w:rPr>
                <w:rStyle w:val="FootnoteReference"/>
                <w:b/>
                <w:noProof/>
                <w:color w:val="000000" w:themeColor="text1"/>
                <w:sz w:val="16"/>
                <w:szCs w:val="16"/>
              </w:rPr>
              <w:footnoteReference w:id="38"/>
            </w:r>
          </w:p>
        </w:tc>
        <w:tc>
          <w:tcPr>
            <w:tcW w:w="1080" w:type="dxa"/>
            <w:vAlign w:val="center"/>
          </w:tcPr>
          <w:p>
            <w:pPr>
              <w:spacing w:before="60" w:after="60" w:line="200" w:lineRule="exact"/>
              <w:jc w:val="center"/>
              <w:rPr>
                <w:noProof/>
                <w:color w:val="000000" w:themeColor="text1"/>
                <w:sz w:val="16"/>
                <w:szCs w:val="16"/>
              </w:rPr>
            </w:pPr>
            <w:r>
              <w:rPr>
                <w:noProof/>
                <w:color w:val="000000" w:themeColor="text1"/>
                <w:sz w:val="16"/>
              </w:rPr>
              <w:t>Година</w:t>
            </w:r>
            <w:r>
              <w:rPr>
                <w:noProof/>
                <w:color w:val="000000" w:themeColor="text1"/>
                <w:sz w:val="22"/>
              </w:rPr>
              <w:br/>
            </w:r>
            <w:r>
              <w:rPr>
                <w:b/>
                <w:noProof/>
                <w:color w:val="000000" w:themeColor="text1"/>
                <w:sz w:val="16"/>
              </w:rPr>
              <w:t>N+1</w:t>
            </w:r>
          </w:p>
        </w:tc>
        <w:tc>
          <w:tcPr>
            <w:tcW w:w="1080" w:type="dxa"/>
            <w:vAlign w:val="center"/>
          </w:tcPr>
          <w:p>
            <w:pPr>
              <w:spacing w:before="60" w:after="60" w:line="200" w:lineRule="exact"/>
              <w:jc w:val="center"/>
              <w:rPr>
                <w:noProof/>
                <w:color w:val="000000" w:themeColor="text1"/>
                <w:sz w:val="16"/>
                <w:szCs w:val="16"/>
              </w:rPr>
            </w:pPr>
            <w:r>
              <w:rPr>
                <w:noProof/>
                <w:color w:val="000000" w:themeColor="text1"/>
                <w:sz w:val="16"/>
              </w:rPr>
              <w:t>Година</w:t>
            </w:r>
            <w:r>
              <w:rPr>
                <w:noProof/>
                <w:color w:val="000000" w:themeColor="text1"/>
                <w:sz w:val="22"/>
              </w:rPr>
              <w:br/>
            </w:r>
            <w:r>
              <w:rPr>
                <w:b/>
                <w:noProof/>
                <w:color w:val="000000" w:themeColor="text1"/>
                <w:sz w:val="16"/>
              </w:rPr>
              <w:t>N+2</w:t>
            </w:r>
          </w:p>
        </w:tc>
        <w:tc>
          <w:tcPr>
            <w:tcW w:w="1080" w:type="dxa"/>
            <w:vAlign w:val="center"/>
          </w:tcPr>
          <w:p>
            <w:pPr>
              <w:spacing w:before="60" w:after="60" w:line="200" w:lineRule="exact"/>
              <w:jc w:val="center"/>
              <w:rPr>
                <w:noProof/>
                <w:color w:val="000000" w:themeColor="text1"/>
                <w:sz w:val="16"/>
                <w:szCs w:val="16"/>
              </w:rPr>
            </w:pPr>
            <w:r>
              <w:rPr>
                <w:noProof/>
                <w:color w:val="000000" w:themeColor="text1"/>
                <w:sz w:val="16"/>
              </w:rPr>
              <w:t>Година</w:t>
            </w:r>
            <w:r>
              <w:rPr>
                <w:noProof/>
                <w:color w:val="000000" w:themeColor="text1"/>
                <w:sz w:val="22"/>
              </w:rPr>
              <w:br/>
            </w:r>
            <w:r>
              <w:rPr>
                <w:b/>
                <w:noProof/>
                <w:color w:val="000000" w:themeColor="text1"/>
                <w:sz w:val="16"/>
              </w:rPr>
              <w:t>N+3</w:t>
            </w:r>
          </w:p>
        </w:tc>
        <w:tc>
          <w:tcPr>
            <w:tcW w:w="3240" w:type="dxa"/>
            <w:vAlign w:val="center"/>
          </w:tcPr>
          <w:p>
            <w:pPr>
              <w:spacing w:line="200" w:lineRule="exact"/>
              <w:jc w:val="center"/>
              <w:rPr>
                <w:b/>
                <w:noProof/>
                <w:color w:val="000000" w:themeColor="text1"/>
                <w:sz w:val="16"/>
                <w:szCs w:val="16"/>
              </w:rPr>
            </w:pPr>
            <w:r>
              <w:rPr>
                <w:noProof/>
                <w:color w:val="000000" w:themeColor="text1"/>
                <w:sz w:val="16"/>
              </w:rPr>
              <w:t>Да се добавят толкова години, колкото е необходимо, за да се обхване продължителността на отражението (вж. точка 1.6)</w:t>
            </w:r>
          </w:p>
        </w:tc>
        <w:tc>
          <w:tcPr>
            <w:tcW w:w="1080" w:type="dxa"/>
            <w:vAlign w:val="center"/>
          </w:tcPr>
          <w:p>
            <w:pPr>
              <w:spacing w:before="60" w:after="60" w:line="200" w:lineRule="exact"/>
              <w:jc w:val="center"/>
              <w:rPr>
                <w:b/>
                <w:noProof/>
                <w:color w:val="000000" w:themeColor="text1"/>
                <w:sz w:val="16"/>
                <w:szCs w:val="16"/>
              </w:rPr>
            </w:pPr>
            <w:r>
              <w:rPr>
                <w:b/>
                <w:noProof/>
                <w:color w:val="000000" w:themeColor="text1"/>
                <w:sz w:val="16"/>
              </w:rPr>
              <w:t>ОБЩО</w:t>
            </w:r>
          </w:p>
        </w:tc>
      </w:tr>
    </w:tbl>
    <w:p>
      <w:pPr>
        <w:spacing w:line="200" w:lineRule="exact"/>
        <w:rPr>
          <w:noProof/>
          <w:color w:val="000000" w:themeColor="text1"/>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color w:val="000000" w:themeColor="text1"/>
                <w:sz w:val="16"/>
                <w:szCs w:val="16"/>
              </w:rPr>
            </w:pPr>
            <w:r>
              <w:rPr>
                <w:b/>
                <w:noProof/>
                <w:color w:val="000000" w:themeColor="text1"/>
                <w:sz w:val="16"/>
              </w:rPr>
              <w:t>ФУНКЦИЯ 5</w:t>
            </w:r>
            <w:r>
              <w:rPr>
                <w:noProof/>
                <w:color w:val="000000" w:themeColor="text1"/>
                <w:sz w:val="22"/>
              </w:rPr>
              <w:br/>
            </w:r>
            <w:r>
              <w:rPr>
                <w:b/>
                <w:noProof/>
                <w:color w:val="000000" w:themeColor="text1"/>
                <w:sz w:val="16"/>
              </w:rPr>
              <w:t>от многогодишната финансова рамка</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vAlign w:val="center"/>
          </w:tcPr>
          <w:p>
            <w:pPr>
              <w:spacing w:before="60" w:after="60" w:line="200" w:lineRule="exact"/>
              <w:ind w:left="72"/>
              <w:jc w:val="left"/>
              <w:rPr>
                <w:noProof/>
                <w:color w:val="000000" w:themeColor="text1"/>
                <w:sz w:val="16"/>
                <w:szCs w:val="16"/>
              </w:rPr>
            </w:pPr>
            <w:r>
              <w:rPr>
                <w:noProof/>
                <w:color w:val="000000" w:themeColor="text1"/>
                <w:sz w:val="16"/>
              </w:rPr>
              <w:t xml:space="preserve">Човешки ресурси </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vAlign w:val="center"/>
          </w:tcPr>
          <w:p>
            <w:pPr>
              <w:spacing w:before="60" w:after="60" w:line="200" w:lineRule="exact"/>
              <w:ind w:left="72"/>
              <w:jc w:val="left"/>
              <w:rPr>
                <w:noProof/>
                <w:color w:val="000000" w:themeColor="text1"/>
                <w:sz w:val="16"/>
                <w:szCs w:val="16"/>
              </w:rPr>
            </w:pPr>
            <w:r>
              <w:rPr>
                <w:noProof/>
                <w:color w:val="000000" w:themeColor="text1"/>
                <w:sz w:val="16"/>
              </w:rPr>
              <w:t xml:space="preserve">Други административни разходи </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shd w:val="clear" w:color="auto" w:fill="CCCCCC"/>
            <w:vAlign w:val="center"/>
          </w:tcPr>
          <w:p>
            <w:pPr>
              <w:spacing w:before="60" w:after="60" w:line="200" w:lineRule="exact"/>
              <w:jc w:val="center"/>
              <w:rPr>
                <w:b/>
                <w:noProof/>
                <w:color w:val="000000" w:themeColor="text1"/>
                <w:sz w:val="16"/>
                <w:szCs w:val="16"/>
              </w:rPr>
            </w:pPr>
            <w:r>
              <w:rPr>
                <w:b/>
                <w:noProof/>
                <w:color w:val="000000" w:themeColor="text1"/>
                <w:sz w:val="16"/>
              </w:rPr>
              <w:t>Междинен сбор за ФУНКЦИЯ 5</w:t>
            </w:r>
            <w:r>
              <w:rPr>
                <w:noProof/>
                <w:color w:val="000000" w:themeColor="text1"/>
                <w:sz w:val="22"/>
              </w:rPr>
              <w:br/>
            </w:r>
            <w:r>
              <w:rPr>
                <w:b/>
                <w:noProof/>
                <w:color w:val="000000" w:themeColor="text1"/>
                <w:sz w:val="16"/>
              </w:rPr>
              <w:t xml:space="preserve">от многогодишната финансова рамка </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bl>
    <w:p>
      <w:pPr>
        <w:spacing w:line="200" w:lineRule="exact"/>
        <w:rPr>
          <w:noProof/>
          <w:color w:val="000000" w:themeColor="text1"/>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color w:val="000000" w:themeColor="text1"/>
                <w:sz w:val="16"/>
                <w:szCs w:val="16"/>
              </w:rPr>
            </w:pPr>
            <w:r>
              <w:rPr>
                <w:b/>
                <w:noProof/>
                <w:color w:val="000000" w:themeColor="text1"/>
                <w:sz w:val="16"/>
              </w:rPr>
              <w:t>Извън ФУНКЦИЯ 5</w:t>
            </w:r>
            <w:r>
              <w:rPr>
                <w:rStyle w:val="FootnoteReference"/>
                <w:b/>
                <w:noProof/>
                <w:color w:val="000000" w:themeColor="text1"/>
                <w:sz w:val="16"/>
              </w:rPr>
              <w:footnoteReference w:id="39"/>
            </w:r>
            <w:r>
              <w:rPr>
                <w:noProof/>
                <w:color w:val="000000" w:themeColor="text1"/>
                <w:sz w:val="22"/>
              </w:rPr>
              <w:br/>
            </w:r>
            <w:r>
              <w:rPr>
                <w:b/>
                <w:noProof/>
                <w:color w:val="000000" w:themeColor="text1"/>
                <w:sz w:val="16"/>
              </w:rPr>
              <w:t xml:space="preserve">от многогодишната финансова рамка </w:t>
            </w:r>
          </w:p>
          <w:p>
            <w:pPr>
              <w:spacing w:before="0" w:after="0" w:line="200" w:lineRule="exact"/>
              <w:jc w:val="center"/>
              <w:rPr>
                <w:b/>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vAlign w:val="center"/>
          </w:tcPr>
          <w:p>
            <w:pPr>
              <w:spacing w:before="60" w:after="60" w:line="200" w:lineRule="exact"/>
              <w:ind w:left="72"/>
              <w:jc w:val="left"/>
              <w:rPr>
                <w:noProof/>
                <w:color w:val="000000" w:themeColor="text1"/>
                <w:sz w:val="16"/>
                <w:szCs w:val="16"/>
              </w:rPr>
            </w:pPr>
            <w:r>
              <w:rPr>
                <w:noProof/>
                <w:color w:val="000000" w:themeColor="text1"/>
                <w:sz w:val="16"/>
              </w:rPr>
              <w:t xml:space="preserve">Човешки ресурси </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vAlign w:val="center"/>
          </w:tcPr>
          <w:p>
            <w:pPr>
              <w:spacing w:before="60" w:after="60" w:line="200" w:lineRule="exact"/>
              <w:ind w:left="72"/>
              <w:jc w:val="left"/>
              <w:rPr>
                <w:noProof/>
                <w:color w:val="000000" w:themeColor="text1"/>
                <w:sz w:val="16"/>
                <w:szCs w:val="16"/>
              </w:rPr>
            </w:pPr>
            <w:r>
              <w:rPr>
                <w:noProof/>
                <w:color w:val="000000" w:themeColor="text1"/>
                <w:sz w:val="16"/>
              </w:rPr>
              <w:t xml:space="preserve">Други разходи </w:t>
            </w:r>
            <w:r>
              <w:rPr>
                <w:noProof/>
                <w:color w:val="000000" w:themeColor="text1"/>
                <w:sz w:val="22"/>
              </w:rPr>
              <w:br/>
            </w:r>
            <w:r>
              <w:rPr>
                <w:noProof/>
                <w:color w:val="000000" w:themeColor="text1"/>
                <w:sz w:val="16"/>
              </w:rPr>
              <w:t>с административен характер</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shd w:val="clear" w:color="auto" w:fill="CCCCCC"/>
            <w:vAlign w:val="center"/>
          </w:tcPr>
          <w:p>
            <w:pPr>
              <w:spacing w:before="60" w:after="60" w:line="200" w:lineRule="exact"/>
              <w:jc w:val="center"/>
              <w:rPr>
                <w:b/>
                <w:noProof/>
                <w:color w:val="000000" w:themeColor="text1"/>
                <w:sz w:val="16"/>
                <w:szCs w:val="16"/>
              </w:rPr>
            </w:pPr>
            <w:r>
              <w:rPr>
                <w:b/>
                <w:noProof/>
                <w:color w:val="000000" w:themeColor="text1"/>
                <w:sz w:val="16"/>
              </w:rPr>
              <w:t>Междинен сбор</w:t>
            </w:r>
            <w:r>
              <w:rPr>
                <w:noProof/>
                <w:color w:val="000000" w:themeColor="text1"/>
                <w:sz w:val="22"/>
              </w:rPr>
              <w:br/>
            </w:r>
            <w:r>
              <w:rPr>
                <w:b/>
                <w:noProof/>
                <w:color w:val="000000" w:themeColor="text1"/>
                <w:sz w:val="16"/>
              </w:rPr>
              <w:t>извън ФУНКЦИЯ 5</w:t>
            </w:r>
            <w:r>
              <w:rPr>
                <w:noProof/>
                <w:color w:val="000000" w:themeColor="text1"/>
                <w:sz w:val="22"/>
              </w:rPr>
              <w:br/>
            </w:r>
            <w:r>
              <w:rPr>
                <w:b/>
                <w:noProof/>
                <w:color w:val="000000" w:themeColor="text1"/>
                <w:sz w:val="16"/>
              </w:rPr>
              <w:t xml:space="preserve">от многогодишната финансова рамка </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bl>
    <w:p>
      <w:pPr>
        <w:spacing w:line="200" w:lineRule="exact"/>
        <w:rPr>
          <w:noProof/>
          <w:color w:val="000000" w:themeColor="text1"/>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color w:val="000000" w:themeColor="text1"/>
                <w:sz w:val="16"/>
                <w:szCs w:val="16"/>
              </w:rPr>
            </w:pPr>
            <w:r>
              <w:rPr>
                <w:b/>
                <w:noProof/>
                <w:color w:val="000000" w:themeColor="text1"/>
                <w:sz w:val="16"/>
              </w:rPr>
              <w:t>ОБЩО</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r>
              <w:rPr>
                <w:b/>
                <w:noProof/>
                <w:color w:val="000000" w:themeColor="text1"/>
                <w:sz w:val="16"/>
              </w:rPr>
              <w:t>p.m.</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r>
              <w:rPr>
                <w:b/>
                <w:noProof/>
                <w:color w:val="000000" w:themeColor="text1"/>
                <w:sz w:val="16"/>
              </w:rPr>
              <w:t>p.m.</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r>
              <w:rPr>
                <w:b/>
                <w:noProof/>
                <w:color w:val="000000" w:themeColor="text1"/>
                <w:sz w:val="16"/>
              </w:rPr>
              <w:t>p.m.</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r>
              <w:rPr>
                <w:b/>
                <w:noProof/>
                <w:color w:val="000000" w:themeColor="text1"/>
                <w:sz w:val="16"/>
              </w:rPr>
              <w:t>p.m.</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color w:val="000000" w:themeColor="text1"/>
                <w:sz w:val="16"/>
                <w:szCs w:val="16"/>
              </w:rPr>
            </w:pPr>
          </w:p>
        </w:tc>
      </w:tr>
    </w:tbl>
    <w:p>
      <w:pPr>
        <w:rPr>
          <w:noProof/>
          <w:color w:val="000000" w:themeColor="text1"/>
          <w:spacing w:val="-6"/>
          <w:sz w:val="18"/>
        </w:rPr>
        <w:sectPr>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r>
        <w:rPr>
          <w:noProof/>
          <w:color w:val="000000" w:themeColor="text1"/>
          <w:spacing w:val="-6"/>
          <w:sz w:val="18"/>
        </w:rPr>
        <w:t>Нуждите от бюджетни кредити за човешки ресурси и за другите разходи с административен характер ще бъдат покрити с бюджетните кредити на ГД, които вече са отпуснати за управлението на дейността и/или които са преразпределени в рамките на ГД, при необходимост заедно с всички допълнителни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pPr>
        <w:pStyle w:val="ManualHeading4"/>
        <w:rPr>
          <w:bCs/>
          <w:noProof/>
          <w:szCs w:val="24"/>
        </w:rPr>
      </w:pPr>
      <w:r>
        <w:t>3.2.3.2.</w:t>
      </w:r>
      <w:r>
        <w:tab/>
      </w:r>
      <w:r>
        <w:rPr>
          <w:noProof/>
        </w:rPr>
        <w:t>Очаквани нужди от човешки ресурси</w:t>
      </w:r>
    </w:p>
    <w:p>
      <w:pPr>
        <w:pStyle w:val="ListDash1"/>
        <w:rPr>
          <w:noProof/>
          <w:color w:val="000000" w:themeColor="text1"/>
        </w:rPr>
      </w:pPr>
      <w:r>
        <w:rPr>
          <w:noProof/>
          <w:color w:val="000000" w:themeColor="text1"/>
        </w:rPr>
        <w:sym w:font="Wingdings" w:char="F0A8"/>
      </w:r>
      <w:r>
        <w:rPr>
          <w:noProof/>
        </w:rPr>
        <w:tab/>
        <w:t>Предложението/инициативата не налага използване на човешки ресурси</w:t>
      </w:r>
      <w:r>
        <w:rPr>
          <w:noProof/>
          <w:color w:val="000000" w:themeColor="text1"/>
        </w:rPr>
        <w:t xml:space="preserve">. </w:t>
      </w:r>
    </w:p>
    <w:p>
      <w:pPr>
        <w:pStyle w:val="ListDash1"/>
        <w:rPr>
          <w:noProof/>
          <w:color w:val="000000" w:themeColor="text1"/>
        </w:rPr>
      </w:pPr>
      <w:r>
        <w:rPr>
          <w:noProof/>
        </w:rPr>
        <w:t>X</w:t>
      </w:r>
      <w:r>
        <w:rPr>
          <w:noProof/>
        </w:rPr>
        <w:tab/>
        <w:t>Предложението/инициативата налага използване на човешки ресурси съгласно обяснението по-долу:</w:t>
      </w:r>
    </w:p>
    <w:p>
      <w:pPr>
        <w:spacing w:after="60"/>
        <w:jc w:val="right"/>
        <w:rPr>
          <w:i/>
          <w:noProof/>
          <w:color w:val="000000" w:themeColor="text1"/>
          <w:sz w:val="20"/>
        </w:rPr>
      </w:pPr>
      <w:r>
        <w:rPr>
          <w:i/>
          <w:noProof/>
          <w:color w:val="000000" w:themeColor="text1"/>
          <w:sz w:val="20"/>
        </w:rPr>
        <w:t>Оценката се посочва в еквиваленти на пълно работно време</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trPr>
          <w:gridBefore w:val="1"/>
          <w:wBefore w:w="6" w:type="pct"/>
          <w:trHeight w:val="289"/>
          <w:jc w:val="center"/>
        </w:trPr>
        <w:tc>
          <w:tcPr>
            <w:tcW w:w="1897" w:type="pct"/>
            <w:gridSpan w:val="2"/>
            <w:shd w:val="clear" w:color="auto" w:fill="auto"/>
          </w:tcPr>
          <w:p>
            <w:pPr>
              <w:pStyle w:val="Text1"/>
              <w:spacing w:before="40" w:after="40"/>
              <w:ind w:left="0"/>
              <w:jc w:val="center"/>
              <w:rPr>
                <w:i/>
                <w:noProof/>
                <w:color w:val="000000" w:themeColor="text1"/>
                <w:sz w:val="16"/>
                <w:szCs w:val="16"/>
              </w:rPr>
            </w:pPr>
          </w:p>
        </w:tc>
        <w:tc>
          <w:tcPr>
            <w:tcW w:w="318" w:type="pct"/>
            <w:shd w:val="clear" w:color="auto" w:fill="auto"/>
            <w:vAlign w:val="center"/>
          </w:tcPr>
          <w:p>
            <w:pPr>
              <w:spacing w:before="20" w:after="20"/>
              <w:jc w:val="center"/>
              <w:rPr>
                <w:noProof/>
                <w:color w:val="000000" w:themeColor="text1"/>
                <w:sz w:val="14"/>
                <w:szCs w:val="14"/>
              </w:rPr>
            </w:pPr>
            <w:r>
              <w:rPr>
                <w:noProof/>
                <w:color w:val="000000" w:themeColor="text1"/>
                <w:sz w:val="14"/>
                <w:szCs w:val="14"/>
              </w:rPr>
              <w:t>Година</w:t>
            </w:r>
            <w:r>
              <w:rPr>
                <w:noProof/>
                <w:color w:val="000000" w:themeColor="text1"/>
                <w:sz w:val="14"/>
                <w:szCs w:val="14"/>
              </w:rPr>
              <w:br/>
            </w:r>
            <w:r>
              <w:rPr>
                <w:b/>
                <w:noProof/>
                <w:color w:val="000000" w:themeColor="text1"/>
                <w:sz w:val="14"/>
                <w:szCs w:val="14"/>
              </w:rPr>
              <w:t>N</w:t>
            </w:r>
          </w:p>
        </w:tc>
        <w:tc>
          <w:tcPr>
            <w:tcW w:w="318" w:type="pct"/>
            <w:shd w:val="clear" w:color="auto" w:fill="auto"/>
            <w:vAlign w:val="center"/>
          </w:tcPr>
          <w:p>
            <w:pPr>
              <w:spacing w:before="20" w:after="20"/>
              <w:jc w:val="center"/>
              <w:rPr>
                <w:noProof/>
                <w:color w:val="000000" w:themeColor="text1"/>
                <w:sz w:val="14"/>
                <w:szCs w:val="14"/>
              </w:rPr>
            </w:pPr>
            <w:r>
              <w:rPr>
                <w:noProof/>
                <w:color w:val="000000" w:themeColor="text1"/>
                <w:sz w:val="14"/>
                <w:szCs w:val="14"/>
              </w:rPr>
              <w:t>Година</w:t>
            </w:r>
            <w:r>
              <w:rPr>
                <w:noProof/>
                <w:color w:val="000000" w:themeColor="text1"/>
                <w:sz w:val="14"/>
                <w:szCs w:val="14"/>
              </w:rPr>
              <w:br/>
            </w:r>
            <w:r>
              <w:rPr>
                <w:b/>
                <w:noProof/>
                <w:color w:val="000000" w:themeColor="text1"/>
                <w:sz w:val="14"/>
                <w:szCs w:val="14"/>
              </w:rPr>
              <w:t>N+1</w:t>
            </w:r>
          </w:p>
        </w:tc>
        <w:tc>
          <w:tcPr>
            <w:tcW w:w="1891" w:type="pct"/>
            <w:shd w:val="clear" w:color="auto" w:fill="auto"/>
            <w:vAlign w:val="center"/>
          </w:tcPr>
          <w:p>
            <w:pPr>
              <w:spacing w:before="20" w:after="20"/>
              <w:jc w:val="center"/>
              <w:rPr>
                <w:noProof/>
                <w:color w:val="000000" w:themeColor="text1"/>
                <w:sz w:val="16"/>
                <w:szCs w:val="16"/>
              </w:rPr>
            </w:pPr>
            <w:r>
              <w:rPr>
                <w:noProof/>
                <w:color w:val="000000" w:themeColor="text1"/>
                <w:sz w:val="16"/>
                <w:szCs w:val="16"/>
              </w:rPr>
              <w:t>Година N+2</w:t>
            </w:r>
          </w:p>
        </w:tc>
        <w:tc>
          <w:tcPr>
            <w:tcW w:w="226" w:type="pct"/>
            <w:shd w:val="clear" w:color="auto" w:fill="auto"/>
            <w:vAlign w:val="center"/>
          </w:tcPr>
          <w:p>
            <w:pPr>
              <w:spacing w:before="20" w:after="20"/>
              <w:jc w:val="center"/>
              <w:rPr>
                <w:noProof/>
                <w:color w:val="000000" w:themeColor="text1"/>
                <w:sz w:val="14"/>
                <w:szCs w:val="14"/>
              </w:rPr>
            </w:pPr>
            <w:r>
              <w:rPr>
                <w:noProof/>
                <w:color w:val="000000" w:themeColor="text1"/>
                <w:sz w:val="14"/>
                <w:szCs w:val="14"/>
              </w:rPr>
              <w:t>Година N+3</w:t>
            </w:r>
          </w:p>
        </w:tc>
        <w:tc>
          <w:tcPr>
            <w:tcW w:w="345" w:type="pct"/>
            <w:gridSpan w:val="3"/>
            <w:shd w:val="clear" w:color="auto" w:fill="auto"/>
            <w:vAlign w:val="center"/>
          </w:tcPr>
          <w:p>
            <w:pPr>
              <w:jc w:val="center"/>
              <w:rPr>
                <w:b/>
                <w:noProof/>
                <w:color w:val="000000" w:themeColor="text1"/>
                <w:spacing w:val="-6"/>
                <w:sz w:val="16"/>
                <w:szCs w:val="16"/>
              </w:rPr>
            </w:pPr>
            <w:r>
              <w:rPr>
                <w:noProof/>
                <w:color w:val="000000" w:themeColor="text1"/>
                <w:spacing w:val="-6"/>
                <w:sz w:val="16"/>
                <w:szCs w:val="16"/>
              </w:rPr>
              <w:t>Да се добавят толкова години, колкото е необходимо, за да се обхване продължителността на отражението (вж. точка 1.6.)</w:t>
            </w:r>
          </w:p>
        </w:tc>
      </w:tr>
      <w:tr>
        <w:trPr>
          <w:gridBefore w:val="1"/>
          <w:wBefore w:w="6" w:type="pct"/>
          <w:trHeight w:val="289"/>
          <w:jc w:val="center"/>
        </w:trPr>
        <w:tc>
          <w:tcPr>
            <w:tcW w:w="4424" w:type="pct"/>
            <w:gridSpan w:val="5"/>
            <w:shd w:val="clear" w:color="auto" w:fill="auto"/>
          </w:tcPr>
          <w:p>
            <w:pPr>
              <w:spacing w:before="20" w:after="20"/>
              <w:rPr>
                <w:noProof/>
                <w:color w:val="000000" w:themeColor="text1"/>
                <w:sz w:val="16"/>
                <w:szCs w:val="16"/>
              </w:rPr>
            </w:pPr>
            <w:r>
              <w:rPr>
                <w:b/>
                <w:noProof/>
                <w:color w:val="000000" w:themeColor="text1"/>
                <w:sz w:val="16"/>
              </w:rPr>
              <w:sym w:font="Wingdings" w:char="F09F"/>
            </w:r>
            <w:r>
              <w:rPr>
                <w:b/>
                <w:noProof/>
                <w:color w:val="000000" w:themeColor="text1"/>
                <w:sz w:val="16"/>
              </w:rPr>
              <w:t xml:space="preserve"> Длъжности в щатното разписание (длъжностни лица и временно наети лица)</w:t>
            </w:r>
          </w:p>
        </w:tc>
        <w:tc>
          <w:tcPr>
            <w:tcW w:w="226" w:type="pct"/>
            <w:shd w:val="clear" w:color="auto" w:fill="auto"/>
            <w:vAlign w:val="center"/>
          </w:tcPr>
          <w:p>
            <w:pPr>
              <w:spacing w:before="20" w:after="20"/>
              <w:jc w:val="center"/>
              <w:rPr>
                <w:noProof/>
                <w:color w:val="000000" w:themeColor="text1"/>
                <w:sz w:val="16"/>
                <w:szCs w:val="16"/>
              </w:rPr>
            </w:pPr>
          </w:p>
        </w:tc>
        <w:tc>
          <w:tcPr>
            <w:tcW w:w="345" w:type="pct"/>
            <w:gridSpan w:val="3"/>
            <w:shd w:val="clear" w:color="auto" w:fill="auto"/>
            <w:vAlign w:val="center"/>
          </w:tcPr>
          <w:p>
            <w:pPr>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b/>
                <w:noProof/>
                <w:color w:val="000000" w:themeColor="text1"/>
                <w:sz w:val="16"/>
                <w:szCs w:val="16"/>
              </w:rPr>
            </w:pPr>
            <w:r>
              <w:rPr>
                <w:noProof/>
                <w:color w:val="000000" w:themeColor="text1"/>
                <w:sz w:val="16"/>
              </w:rPr>
              <w:t>XX 01 01 01 (Централа и представителства на Комисията)</w:t>
            </w:r>
          </w:p>
        </w:tc>
        <w:tc>
          <w:tcPr>
            <w:tcW w:w="318" w:type="pct"/>
            <w:shd w:val="clear" w:color="auto" w:fill="auto"/>
            <w:vAlign w:val="center"/>
          </w:tcPr>
          <w:p>
            <w:pPr>
              <w:spacing w:beforeLines="20" w:before="48" w:afterLines="20" w:after="48"/>
              <w:jc w:val="center"/>
              <w:rPr>
                <w:noProof/>
                <w:color w:val="000000" w:themeColor="text1"/>
                <w:sz w:val="16"/>
                <w:szCs w:val="16"/>
              </w:rPr>
            </w:pPr>
            <w:r>
              <w:rPr>
                <w:noProof/>
                <w:color w:val="000000" w:themeColor="text1"/>
                <w:sz w:val="16"/>
              </w:rPr>
              <w:t>1</w:t>
            </w:r>
          </w:p>
        </w:tc>
        <w:tc>
          <w:tcPr>
            <w:tcW w:w="318" w:type="pct"/>
            <w:shd w:val="clear" w:color="auto" w:fill="auto"/>
            <w:vAlign w:val="center"/>
          </w:tcPr>
          <w:p>
            <w:pPr>
              <w:spacing w:beforeLines="20" w:before="48" w:afterLines="20" w:after="48"/>
              <w:jc w:val="center"/>
              <w:rPr>
                <w:noProof/>
                <w:color w:val="000000" w:themeColor="text1"/>
                <w:sz w:val="16"/>
                <w:szCs w:val="16"/>
              </w:rPr>
            </w:pPr>
            <w:r>
              <w:rPr>
                <w:noProof/>
                <w:color w:val="000000" w:themeColor="text1"/>
                <w:sz w:val="16"/>
              </w:rPr>
              <w:t>1</w:t>
            </w:r>
          </w:p>
        </w:tc>
        <w:tc>
          <w:tcPr>
            <w:tcW w:w="1891" w:type="pct"/>
            <w:shd w:val="clear" w:color="auto" w:fill="auto"/>
            <w:vAlign w:val="center"/>
          </w:tcPr>
          <w:p>
            <w:pPr>
              <w:spacing w:beforeLines="20" w:before="48" w:afterLines="20" w:after="48"/>
              <w:jc w:val="center"/>
              <w:rPr>
                <w:noProof/>
                <w:color w:val="000000" w:themeColor="text1"/>
                <w:sz w:val="16"/>
                <w:szCs w:val="16"/>
              </w:rPr>
            </w:pPr>
            <w:r>
              <w:rPr>
                <w:noProof/>
                <w:color w:val="000000" w:themeColor="text1"/>
                <w:sz w:val="16"/>
              </w:rPr>
              <w:t>1</w:t>
            </w: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color w:val="000000" w:themeColor="text1"/>
                <w:sz w:val="16"/>
                <w:szCs w:val="16"/>
              </w:rPr>
            </w:pPr>
            <w:r>
              <w:rPr>
                <w:noProof/>
                <w:color w:val="000000" w:themeColor="text1"/>
                <w:sz w:val="16"/>
              </w:rPr>
              <w:t>XX 01 01 02 (Делегации)</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color w:val="000000" w:themeColor="text1"/>
                <w:sz w:val="16"/>
                <w:szCs w:val="16"/>
              </w:rPr>
            </w:pPr>
            <w:r>
              <w:rPr>
                <w:noProof/>
                <w:color w:val="000000" w:themeColor="text1"/>
                <w:sz w:val="16"/>
              </w:rPr>
              <w:t>XX 01 05 01 (Непреки научни изследвания)</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color w:val="000000" w:themeColor="text1"/>
                <w:sz w:val="16"/>
                <w:szCs w:val="16"/>
              </w:rPr>
            </w:pPr>
            <w:r>
              <w:rPr>
                <w:noProof/>
                <w:color w:val="000000" w:themeColor="text1"/>
                <w:sz w:val="16"/>
              </w:rPr>
              <w:t>10 01 05 01 (Преки научни изследвания)</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After w:val="4"/>
          <w:wAfter w:w="570" w:type="pct"/>
          <w:trHeight w:val="248"/>
          <w:jc w:val="center"/>
        </w:trPr>
        <w:tc>
          <w:tcPr>
            <w:tcW w:w="4430" w:type="pct"/>
            <w:gridSpan w:val="6"/>
            <w:shd w:val="clear" w:color="auto" w:fill="auto"/>
            <w:vAlign w:val="center"/>
          </w:tcPr>
          <w:p>
            <w:pPr>
              <w:pStyle w:val="Text1"/>
              <w:spacing w:before="60" w:after="60"/>
              <w:ind w:left="0"/>
              <w:jc w:val="left"/>
              <w:rPr>
                <w:b/>
                <w:noProof/>
                <w:color w:val="000000" w:themeColor="text1"/>
                <w:sz w:val="16"/>
                <w:szCs w:val="16"/>
              </w:rPr>
            </w:pPr>
            <w:r>
              <w:rPr>
                <w:b/>
                <w:noProof/>
                <w:color w:val="000000" w:themeColor="text1"/>
                <w:sz w:val="16"/>
              </w:rPr>
              <w:sym w:font="Wingdings" w:char="F09F"/>
            </w:r>
            <w:r>
              <w:rPr>
                <w:b/>
                <w:noProof/>
                <w:color w:val="000000" w:themeColor="text1"/>
                <w:sz w:val="16"/>
              </w:rPr>
              <w:t xml:space="preserve"> Външен персонал (в еквивалент на пълно работно време — ЕПРВ)</w:t>
            </w:r>
            <w:r>
              <w:rPr>
                <w:rStyle w:val="FootnoteReference"/>
                <w:b/>
                <w:noProof/>
                <w:color w:val="000000" w:themeColor="text1"/>
                <w:sz w:val="16"/>
              </w:rPr>
              <w:footnoteReference w:id="40"/>
            </w:r>
          </w:p>
          <w:p>
            <w:pPr>
              <w:pStyle w:val="Text1"/>
              <w:spacing w:before="0" w:after="0"/>
              <w:ind w:left="0"/>
              <w:jc w:val="left"/>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b/>
                <w:noProof/>
                <w:color w:val="000000" w:themeColor="text1"/>
                <w:sz w:val="16"/>
                <w:szCs w:val="16"/>
              </w:rPr>
            </w:pPr>
            <w:r>
              <w:rPr>
                <w:noProof/>
                <w:color w:val="000000" w:themeColor="text1"/>
                <w:sz w:val="16"/>
              </w:rPr>
              <w:t>XX 01 02 01 (ДНП, КНЕ, ПНА от общия финансов пакет)</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color w:val="000000" w:themeColor="text1"/>
                <w:sz w:val="16"/>
                <w:szCs w:val="16"/>
              </w:rPr>
            </w:pPr>
            <w:r>
              <w:rPr>
                <w:noProof/>
                <w:color w:val="000000" w:themeColor="text1"/>
                <w:sz w:val="16"/>
              </w:rPr>
              <w:t>XX 01 02 02 (ДНП, МП, КНЕ, ПНА и МЕД в делегациите)</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948" w:type="pct"/>
            <w:vMerge w:val="restart"/>
            <w:shd w:val="clear" w:color="auto" w:fill="auto"/>
            <w:vAlign w:val="center"/>
          </w:tcPr>
          <w:p>
            <w:pPr>
              <w:pStyle w:val="Text1"/>
              <w:spacing w:beforeLines="20" w:before="48" w:afterLines="20" w:after="48"/>
              <w:ind w:left="136"/>
              <w:jc w:val="left"/>
              <w:rPr>
                <w:b/>
                <w:noProof/>
                <w:color w:val="000000" w:themeColor="text1"/>
                <w:sz w:val="16"/>
                <w:szCs w:val="16"/>
              </w:rPr>
            </w:pPr>
            <w:r>
              <w:rPr>
                <w:b/>
                <w:noProof/>
                <w:color w:val="000000" w:themeColor="text1"/>
                <w:sz w:val="16"/>
              </w:rPr>
              <w:t>XX</w:t>
            </w:r>
            <w:r>
              <w:rPr>
                <w:noProof/>
                <w:color w:val="000000" w:themeColor="text1"/>
                <w:sz w:val="16"/>
              </w:rPr>
              <w:t xml:space="preserve"> 01 04 </w:t>
            </w:r>
            <w:r>
              <w:rPr>
                <w:b/>
                <w:noProof/>
                <w:color w:val="000000" w:themeColor="text1"/>
                <w:sz w:val="16"/>
              </w:rPr>
              <w:t>yy</w:t>
            </w:r>
            <w:r>
              <w:rPr>
                <w:b/>
                <w:i/>
                <w:noProof/>
                <w:color w:val="000000" w:themeColor="text1"/>
                <w:sz w:val="16"/>
              </w:rPr>
              <w:t xml:space="preserve"> </w:t>
            </w:r>
            <w:r>
              <w:rPr>
                <w:rStyle w:val="FootnoteReference"/>
                <w:b/>
                <w:i/>
                <w:noProof/>
                <w:color w:val="000000" w:themeColor="text1"/>
                <w:sz w:val="16"/>
              </w:rPr>
              <w:footnoteReference w:id="41"/>
            </w:r>
          </w:p>
          <w:p>
            <w:pPr>
              <w:pStyle w:val="Text1"/>
              <w:spacing w:beforeLines="20" w:before="48" w:afterLines="20" w:after="48"/>
              <w:ind w:left="136"/>
              <w:jc w:val="left"/>
              <w:rPr>
                <w:b/>
                <w:noProof/>
                <w:color w:val="000000" w:themeColor="text1"/>
                <w:sz w:val="16"/>
                <w:szCs w:val="16"/>
              </w:rPr>
            </w:pPr>
          </w:p>
        </w:tc>
        <w:tc>
          <w:tcPr>
            <w:tcW w:w="949" w:type="pct"/>
            <w:shd w:val="clear" w:color="auto" w:fill="auto"/>
            <w:vAlign w:val="center"/>
          </w:tcPr>
          <w:p>
            <w:pPr>
              <w:pStyle w:val="Text1"/>
              <w:spacing w:beforeLines="20" w:before="48" w:afterLines="20" w:after="48"/>
              <w:ind w:left="136"/>
              <w:jc w:val="left"/>
              <w:rPr>
                <w:b/>
                <w:noProof/>
                <w:color w:val="000000" w:themeColor="text1"/>
                <w:sz w:val="16"/>
                <w:szCs w:val="16"/>
              </w:rPr>
            </w:pPr>
            <w:r>
              <w:rPr>
                <w:noProof/>
                <w:color w:val="000000" w:themeColor="text1"/>
                <w:sz w:val="16"/>
              </w:rPr>
              <w:t>- в централата</w:t>
            </w:r>
          </w:p>
          <w:p>
            <w:pPr>
              <w:pStyle w:val="Text1"/>
              <w:spacing w:beforeLines="20" w:before="48" w:afterLines="20" w:after="48"/>
              <w:ind w:left="136"/>
              <w:jc w:val="left"/>
              <w:rPr>
                <w:b/>
                <w:noProof/>
                <w:color w:val="000000" w:themeColor="text1"/>
                <w:sz w:val="16"/>
                <w:szCs w:val="16"/>
              </w:rPr>
            </w:pPr>
          </w:p>
        </w:tc>
        <w:tc>
          <w:tcPr>
            <w:tcW w:w="318" w:type="pct"/>
            <w:shd w:val="clear" w:color="auto" w:fill="auto"/>
            <w:vAlign w:val="center"/>
          </w:tcPr>
          <w:p>
            <w:pPr>
              <w:pStyle w:val="Text1"/>
              <w:spacing w:beforeLines="20" w:before="48" w:afterLines="20" w:after="48"/>
              <w:ind w:left="0"/>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948" w:type="pct"/>
            <w:vMerge/>
            <w:shd w:val="clear" w:color="auto" w:fill="auto"/>
            <w:vAlign w:val="center"/>
          </w:tcPr>
          <w:p>
            <w:pPr>
              <w:pStyle w:val="Text1"/>
              <w:spacing w:beforeLines="20" w:before="48" w:afterLines="20" w:after="48"/>
              <w:ind w:left="136"/>
              <w:jc w:val="left"/>
              <w:rPr>
                <w:b/>
                <w:noProof/>
                <w:color w:val="000000" w:themeColor="text1"/>
                <w:sz w:val="16"/>
                <w:szCs w:val="16"/>
              </w:rPr>
            </w:pPr>
          </w:p>
        </w:tc>
        <w:tc>
          <w:tcPr>
            <w:tcW w:w="949" w:type="pct"/>
            <w:shd w:val="clear" w:color="auto" w:fill="auto"/>
            <w:vAlign w:val="center"/>
          </w:tcPr>
          <w:p>
            <w:pPr>
              <w:pStyle w:val="Text1"/>
              <w:spacing w:beforeLines="20" w:before="48" w:afterLines="20" w:after="48"/>
              <w:ind w:left="136"/>
              <w:jc w:val="left"/>
              <w:rPr>
                <w:b/>
                <w:noProof/>
                <w:color w:val="000000" w:themeColor="text1"/>
                <w:sz w:val="16"/>
                <w:szCs w:val="16"/>
              </w:rPr>
            </w:pPr>
            <w:r>
              <w:rPr>
                <w:noProof/>
                <w:color w:val="000000" w:themeColor="text1"/>
                <w:sz w:val="16"/>
              </w:rPr>
              <w:t xml:space="preserve">- в делегациите </w:t>
            </w:r>
          </w:p>
        </w:tc>
        <w:tc>
          <w:tcPr>
            <w:tcW w:w="318" w:type="pct"/>
            <w:shd w:val="clear" w:color="auto" w:fill="auto"/>
            <w:vAlign w:val="center"/>
          </w:tcPr>
          <w:p>
            <w:pPr>
              <w:pStyle w:val="Text1"/>
              <w:spacing w:beforeLines="20" w:before="48" w:afterLines="20" w:after="48"/>
              <w:ind w:left="0"/>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color w:val="000000" w:themeColor="text1"/>
                <w:sz w:val="16"/>
                <w:szCs w:val="16"/>
              </w:rPr>
            </w:pPr>
            <w:r>
              <w:rPr>
                <w:b/>
                <w:noProof/>
                <w:color w:val="000000" w:themeColor="text1"/>
                <w:sz w:val="16"/>
              </w:rPr>
              <w:t>XX</w:t>
            </w:r>
            <w:r>
              <w:rPr>
                <w:noProof/>
                <w:color w:val="000000" w:themeColor="text1"/>
                <w:sz w:val="16"/>
              </w:rPr>
              <w:t xml:space="preserve"> 01 05 02 (ДНП, КНЕ, ПНА — Непреки научни изследвания)</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color w:val="000000" w:themeColor="text1"/>
                <w:sz w:val="16"/>
                <w:szCs w:val="16"/>
              </w:rPr>
            </w:pPr>
            <w:r>
              <w:rPr>
                <w:noProof/>
                <w:color w:val="000000" w:themeColor="text1"/>
                <w:sz w:val="16"/>
              </w:rPr>
              <w:t>10 01 05 02 (ДНП, ПНА, КНЕ — Преки научни изследвания)</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tcBorders>
              <w:bottom w:val="double" w:sz="4" w:space="0" w:color="auto"/>
            </w:tcBorders>
            <w:shd w:val="clear" w:color="auto" w:fill="auto"/>
            <w:vAlign w:val="center"/>
          </w:tcPr>
          <w:p>
            <w:pPr>
              <w:pStyle w:val="Text1"/>
              <w:spacing w:beforeLines="20" w:before="48" w:afterLines="20" w:after="48"/>
              <w:ind w:left="134"/>
              <w:jc w:val="left"/>
              <w:rPr>
                <w:noProof/>
                <w:color w:val="000000" w:themeColor="text1"/>
                <w:sz w:val="16"/>
                <w:szCs w:val="16"/>
              </w:rPr>
            </w:pPr>
            <w:r>
              <w:rPr>
                <w:noProof/>
                <w:color w:val="000000" w:themeColor="text1"/>
                <w:sz w:val="16"/>
              </w:rPr>
              <w:t>Други бюджетни редове (да се посочат)</w:t>
            </w:r>
          </w:p>
        </w:tc>
        <w:tc>
          <w:tcPr>
            <w:tcW w:w="318"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1891"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226"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tcBorders>
              <w:top w:val="double" w:sz="4" w:space="0" w:color="auto"/>
            </w:tcBorders>
            <w:shd w:val="clear" w:color="auto" w:fill="auto"/>
            <w:vAlign w:val="center"/>
          </w:tcPr>
          <w:p>
            <w:pPr>
              <w:pStyle w:val="Text1"/>
              <w:spacing w:beforeLines="20" w:before="48" w:afterLines="20" w:after="48"/>
              <w:ind w:left="136"/>
              <w:jc w:val="left"/>
              <w:rPr>
                <w:noProof/>
                <w:color w:val="000000" w:themeColor="text1"/>
                <w:sz w:val="16"/>
                <w:szCs w:val="16"/>
              </w:rPr>
            </w:pPr>
            <w:r>
              <w:rPr>
                <w:b/>
                <w:noProof/>
                <w:color w:val="000000" w:themeColor="text1"/>
                <w:sz w:val="16"/>
              </w:rPr>
              <w:t>ОБЩО</w:t>
            </w:r>
          </w:p>
        </w:tc>
        <w:tc>
          <w:tcPr>
            <w:tcW w:w="318"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r>
              <w:rPr>
                <w:b/>
                <w:noProof/>
                <w:color w:val="000000" w:themeColor="text1"/>
                <w:sz w:val="16"/>
              </w:rPr>
              <w:t>1</w:t>
            </w:r>
          </w:p>
        </w:tc>
        <w:tc>
          <w:tcPr>
            <w:tcW w:w="318"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r>
              <w:rPr>
                <w:b/>
                <w:noProof/>
                <w:color w:val="000000" w:themeColor="text1"/>
                <w:sz w:val="16"/>
              </w:rPr>
              <w:t>1</w:t>
            </w:r>
          </w:p>
        </w:tc>
        <w:tc>
          <w:tcPr>
            <w:tcW w:w="1891"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r>
              <w:rPr>
                <w:b/>
                <w:noProof/>
                <w:color w:val="000000" w:themeColor="text1"/>
                <w:sz w:val="16"/>
              </w:rPr>
              <w:t>1</w:t>
            </w:r>
          </w:p>
        </w:tc>
        <w:tc>
          <w:tcPr>
            <w:tcW w:w="226"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p>
        </w:tc>
      </w:tr>
    </w:tbl>
    <w:p>
      <w:pPr>
        <w:pStyle w:val="Text1"/>
        <w:spacing w:before="60" w:after="60"/>
        <w:ind w:left="851"/>
        <w:rPr>
          <w:noProof/>
          <w:color w:val="000000" w:themeColor="text1"/>
          <w:sz w:val="18"/>
          <w:szCs w:val="18"/>
        </w:rPr>
      </w:pPr>
      <w:r>
        <w:rPr>
          <w:b/>
          <w:noProof/>
          <w:color w:val="000000" w:themeColor="text1"/>
          <w:sz w:val="18"/>
        </w:rPr>
        <w:t>XX</w:t>
      </w:r>
      <w:r>
        <w:rPr>
          <w:noProof/>
          <w:color w:val="000000" w:themeColor="text1"/>
          <w:sz w:val="18"/>
        </w:rPr>
        <w:t xml:space="preserve"> е съответната област на политиката или бюджетен дял.</w:t>
      </w:r>
    </w:p>
    <w:p>
      <w:pPr>
        <w:pStyle w:val="Text1"/>
        <w:rPr>
          <w:noProof/>
          <w:color w:val="000000" w:themeColor="text1"/>
          <w:sz w:val="18"/>
          <w:szCs w:val="18"/>
        </w:rPr>
      </w:pPr>
      <w:r>
        <w:rPr>
          <w:noProof/>
          <w:color w:val="000000" w:themeColor="text1"/>
          <w:sz w:val="18"/>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pPr>
        <w:rPr>
          <w:noProof/>
          <w:color w:val="000000" w:themeColor="text1"/>
          <w:sz w:val="20"/>
        </w:rPr>
      </w:pPr>
      <w:r>
        <w:rPr>
          <w:noProof/>
          <w:color w:val="000000" w:themeColor="text1"/>
          <w:sz w:val="20"/>
        </w:rPr>
        <w:t>Описание на задачите, които трябва да се изпълнят:</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color w:val="000000" w:themeColor="text1"/>
                <w:sz w:val="20"/>
              </w:rPr>
            </w:pPr>
            <w:r>
              <w:rPr>
                <w:noProof/>
                <w:color w:val="000000" w:themeColor="text1"/>
                <w:sz w:val="20"/>
              </w:rPr>
              <w:t>Длъжностни лица и временно наети служители</w:t>
            </w:r>
          </w:p>
        </w:tc>
        <w:tc>
          <w:tcPr>
            <w:tcW w:w="7200" w:type="dxa"/>
          </w:tcPr>
          <w:p>
            <w:pPr>
              <w:rPr>
                <w:noProof/>
                <w:color w:val="000000" w:themeColor="text1"/>
                <w:sz w:val="20"/>
              </w:rPr>
            </w:pPr>
            <w:r>
              <w:rPr>
                <w:noProof/>
                <w:color w:val="000000" w:themeColor="text1"/>
                <w:sz w:val="20"/>
              </w:rPr>
              <w:t>Изготвяне и координиране с други служби на работния план за Европейската година; изготвяне на условията на договори за услуги и за закупуване и съпътстващия процес на подбор; осигуряване на междуинституционална координация; подготовка на брифинги и речи за комисаря и ГД; осигуряване на материали за пресата; съпътстваща последваща оценка</w:t>
            </w:r>
          </w:p>
        </w:tc>
      </w:tr>
      <w:tr>
        <w:tc>
          <w:tcPr>
            <w:tcW w:w="3240" w:type="dxa"/>
          </w:tcPr>
          <w:p>
            <w:pPr>
              <w:spacing w:before="60" w:after="60"/>
              <w:rPr>
                <w:noProof/>
                <w:color w:val="000000" w:themeColor="text1"/>
                <w:sz w:val="20"/>
              </w:rPr>
            </w:pPr>
            <w:r>
              <w:rPr>
                <w:noProof/>
                <w:color w:val="000000" w:themeColor="text1"/>
                <w:sz w:val="20"/>
              </w:rPr>
              <w:t>Външен персонал</w:t>
            </w:r>
          </w:p>
        </w:tc>
        <w:tc>
          <w:tcPr>
            <w:tcW w:w="7200" w:type="dxa"/>
          </w:tcPr>
          <w:p>
            <w:pPr>
              <w:rPr>
                <w:noProof/>
                <w:color w:val="000000" w:themeColor="text1"/>
                <w:sz w:val="20"/>
              </w:rPr>
            </w:pPr>
          </w:p>
        </w:tc>
      </w:tr>
    </w:tbl>
    <w:p>
      <w:pPr>
        <w:rPr>
          <w:noProof/>
          <w:color w:val="000000" w:themeColor="text1"/>
        </w:rPr>
        <w:sectPr>
          <w:pgSz w:w="11907" w:h="16840"/>
          <w:pgMar w:top="1134" w:right="1418" w:bottom="1134" w:left="1418" w:header="709" w:footer="709" w:gutter="0"/>
          <w:cols w:space="708"/>
          <w:docGrid w:linePitch="360"/>
        </w:sectPr>
      </w:pPr>
    </w:p>
    <w:p>
      <w:pPr>
        <w:pStyle w:val="ManualHeading3"/>
        <w:rPr>
          <w:bCs/>
          <w:noProof/>
          <w:szCs w:val="24"/>
        </w:rPr>
      </w:pPr>
      <w:r>
        <w:t>3.2.4.</w:t>
      </w:r>
      <w:r>
        <w:tab/>
      </w:r>
      <w:r>
        <w:rPr>
          <w:noProof/>
        </w:rPr>
        <w:t xml:space="preserve">Съвместимост с настоящата многогодишна финансова рамка </w:t>
      </w:r>
    </w:p>
    <w:p>
      <w:pPr>
        <w:pStyle w:val="ListDash1"/>
        <w:rPr>
          <w:noProof/>
          <w:color w:val="000000" w:themeColor="text1"/>
        </w:rPr>
      </w:pPr>
      <w:r>
        <w:rPr>
          <w:noProof/>
        </w:rPr>
        <w:t>X</w:t>
      </w:r>
      <w:r>
        <w:rPr>
          <w:noProof/>
        </w:rPr>
        <w:tab/>
        <w:t>Предложението/инициативата е съвместимо(а) с настоящата многогодишна финансова рамка.</w:t>
      </w:r>
    </w:p>
    <w:p>
      <w:pPr>
        <w:pStyle w:val="ListDash1"/>
        <w:rPr>
          <w:noProof/>
          <w:color w:val="000000" w:themeColor="text1"/>
        </w:rPr>
      </w:pPr>
      <w:r>
        <w:rPr>
          <w:noProof/>
          <w:color w:val="000000" w:themeColor="text1"/>
        </w:rPr>
        <w:sym w:font="Wingdings" w:char="F0A8"/>
      </w:r>
      <w:r>
        <w:rPr>
          <w:noProof/>
        </w:rPr>
        <w:tab/>
        <w:t>Предложението/инициативата налага препрограмиране на съответната функция от многогодишната финансова рамка</w:t>
      </w:r>
      <w:r>
        <w:rPr>
          <w:noProof/>
          <w:color w:val="000000" w:themeColor="text1"/>
        </w:rPr>
        <w:t>.</w:t>
      </w:r>
    </w:p>
    <w:p>
      <w:pPr>
        <w:pStyle w:val="Text1"/>
        <w:pBdr>
          <w:top w:val="single" w:sz="4" w:space="1" w:color="auto"/>
          <w:left w:val="single" w:sz="4" w:space="4" w:color="auto"/>
          <w:bottom w:val="single" w:sz="4" w:space="1" w:color="auto"/>
          <w:right w:val="single" w:sz="4" w:space="4" w:color="auto"/>
        </w:pBdr>
        <w:rPr>
          <w:noProof/>
          <w:color w:val="000000" w:themeColor="text1"/>
          <w:sz w:val="20"/>
        </w:rPr>
      </w:pPr>
      <w:r>
        <w:rPr>
          <w:noProof/>
          <w:color w:val="000000" w:themeColor="text1"/>
          <w:sz w:val="20"/>
        </w:rPr>
        <w:t>Обяснете какво препрограмиране е необходимо, като посочите съответните бюджетни редове и суми.</w:t>
      </w:r>
    </w:p>
    <w:p>
      <w:pPr>
        <w:pStyle w:val="ListDash1"/>
        <w:rPr>
          <w:noProof/>
          <w:color w:val="000000" w:themeColor="text1"/>
        </w:rPr>
      </w:pPr>
      <w:r>
        <w:rPr>
          <w:noProof/>
          <w:color w:val="000000" w:themeColor="text1"/>
        </w:rPr>
        <w:sym w:font="Wingdings" w:char="F0A8"/>
      </w:r>
      <w:r>
        <w:rPr>
          <w:noProof/>
        </w:rPr>
        <w:tab/>
        <w:t>Предложението/инициативата налага да се използва Инструментът за гъвкавост или да се преразгледа многогодишната финансова рамка</w:t>
      </w:r>
      <w:r>
        <w:rPr>
          <w:noProof/>
          <w:color w:val="000000" w:themeColor="text1"/>
        </w:rPr>
        <w:t>.</w:t>
      </w:r>
    </w:p>
    <w:p>
      <w:pPr>
        <w:pStyle w:val="Text1"/>
        <w:pBdr>
          <w:top w:val="single" w:sz="4" w:space="1" w:color="auto"/>
          <w:left w:val="single" w:sz="4" w:space="4" w:color="auto"/>
          <w:bottom w:val="single" w:sz="4" w:space="1" w:color="auto"/>
          <w:right w:val="single" w:sz="4" w:space="4" w:color="auto"/>
        </w:pBdr>
        <w:rPr>
          <w:noProof/>
          <w:color w:val="000000" w:themeColor="text1"/>
          <w:sz w:val="20"/>
        </w:rPr>
      </w:pPr>
      <w:r>
        <w:rPr>
          <w:noProof/>
          <w:color w:val="000000" w:themeColor="text1"/>
          <w:sz w:val="20"/>
        </w:rPr>
        <w:t>Обяснете какво е необходимо, като посочите съответните функции, бюджетни редове и суми.</w:t>
      </w:r>
    </w:p>
    <w:p>
      <w:pPr>
        <w:pStyle w:val="ManualHeading3"/>
        <w:rPr>
          <w:bCs/>
          <w:noProof/>
          <w:szCs w:val="24"/>
        </w:rPr>
      </w:pPr>
      <w:r>
        <w:t>3.2.5.</w:t>
      </w:r>
      <w:r>
        <w:tab/>
      </w:r>
      <w:r>
        <w:rPr>
          <w:noProof/>
        </w:rPr>
        <w:t xml:space="preserve">Участие на трети страни във финансирането </w:t>
      </w:r>
    </w:p>
    <w:p>
      <w:pPr>
        <w:pStyle w:val="ListDash1"/>
        <w:rPr>
          <w:noProof/>
          <w:color w:val="000000" w:themeColor="text1"/>
        </w:rPr>
      </w:pPr>
      <w:r>
        <w:rPr>
          <w:noProof/>
          <w:color w:val="000000" w:themeColor="text1"/>
        </w:rPr>
        <w:t xml:space="preserve">Х Предложението/инициативата не предвижда съфинансиране от трети страни. </w:t>
      </w:r>
    </w:p>
    <w:p>
      <w:pPr>
        <w:pStyle w:val="ListDash1"/>
        <w:rPr>
          <w:noProof/>
          <w:color w:val="000000" w:themeColor="text1"/>
        </w:rPr>
      </w:pPr>
      <w:r>
        <w:rPr>
          <w:noProof/>
          <w:color w:val="000000" w:themeColor="text1"/>
        </w:rPr>
        <w:t>Предложението/инициативата предвижда съфинансиране съгласно следните прогнози:</w:t>
      </w:r>
    </w:p>
    <w:p>
      <w:pPr>
        <w:jc w:val="right"/>
        <w:rPr>
          <w:noProof/>
          <w:color w:val="000000" w:themeColor="text1"/>
          <w:sz w:val="20"/>
        </w:rPr>
      </w:pPr>
      <w:r>
        <w:rPr>
          <w:noProof/>
          <w:color w:val="000000" w:themeColor="text1"/>
          <w:sz w:val="20"/>
        </w:rPr>
        <w:t>Бюджетни кредити в милиони евро (до третия знак след десетичната запетая)</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color w:val="000000" w:themeColor="text1"/>
                <w:sz w:val="20"/>
              </w:rPr>
            </w:pPr>
          </w:p>
        </w:tc>
        <w:tc>
          <w:tcPr>
            <w:tcW w:w="964" w:type="dxa"/>
            <w:vAlign w:val="center"/>
          </w:tcPr>
          <w:p>
            <w:pPr>
              <w:jc w:val="center"/>
              <w:rPr>
                <w:noProof/>
                <w:color w:val="000000" w:themeColor="text1"/>
                <w:sz w:val="20"/>
                <w:szCs w:val="20"/>
              </w:rPr>
            </w:pPr>
            <w:r>
              <w:rPr>
                <w:noProof/>
                <w:color w:val="000000" w:themeColor="text1"/>
                <w:sz w:val="20"/>
                <w:szCs w:val="20"/>
              </w:rPr>
              <w:t>Година</w:t>
            </w:r>
            <w:r>
              <w:rPr>
                <w:noProof/>
                <w:color w:val="000000" w:themeColor="text1"/>
                <w:sz w:val="20"/>
                <w:szCs w:val="20"/>
              </w:rPr>
              <w:br/>
            </w:r>
            <w:r>
              <w:rPr>
                <w:b/>
                <w:noProof/>
                <w:color w:val="000000" w:themeColor="text1"/>
                <w:sz w:val="20"/>
                <w:szCs w:val="20"/>
              </w:rPr>
              <w:t>N</w:t>
            </w:r>
          </w:p>
        </w:tc>
        <w:tc>
          <w:tcPr>
            <w:tcW w:w="964" w:type="dxa"/>
            <w:vAlign w:val="center"/>
          </w:tcPr>
          <w:p>
            <w:pPr>
              <w:jc w:val="center"/>
              <w:rPr>
                <w:noProof/>
                <w:color w:val="000000" w:themeColor="text1"/>
                <w:sz w:val="20"/>
              </w:rPr>
            </w:pPr>
            <w:r>
              <w:rPr>
                <w:noProof/>
                <w:color w:val="000000" w:themeColor="text1"/>
                <w:sz w:val="20"/>
              </w:rPr>
              <w:t>Година</w:t>
            </w:r>
            <w:r>
              <w:rPr>
                <w:noProof/>
                <w:color w:val="000000" w:themeColor="text1"/>
                <w:sz w:val="22"/>
              </w:rPr>
              <w:br/>
            </w:r>
            <w:r>
              <w:rPr>
                <w:b/>
                <w:noProof/>
                <w:color w:val="000000" w:themeColor="text1"/>
                <w:sz w:val="20"/>
              </w:rPr>
              <w:t>N+1</w:t>
            </w:r>
          </w:p>
        </w:tc>
        <w:tc>
          <w:tcPr>
            <w:tcW w:w="964" w:type="dxa"/>
            <w:vAlign w:val="center"/>
          </w:tcPr>
          <w:p>
            <w:pPr>
              <w:jc w:val="center"/>
              <w:rPr>
                <w:noProof/>
                <w:color w:val="000000" w:themeColor="text1"/>
                <w:sz w:val="20"/>
              </w:rPr>
            </w:pPr>
            <w:r>
              <w:rPr>
                <w:noProof/>
                <w:color w:val="000000" w:themeColor="text1"/>
                <w:sz w:val="20"/>
              </w:rPr>
              <w:t>Година</w:t>
            </w:r>
            <w:r>
              <w:rPr>
                <w:noProof/>
                <w:color w:val="000000" w:themeColor="text1"/>
                <w:sz w:val="22"/>
              </w:rPr>
              <w:br/>
            </w:r>
            <w:r>
              <w:rPr>
                <w:b/>
                <w:noProof/>
                <w:color w:val="000000" w:themeColor="text1"/>
                <w:sz w:val="20"/>
              </w:rPr>
              <w:t>N+2</w:t>
            </w:r>
          </w:p>
        </w:tc>
        <w:tc>
          <w:tcPr>
            <w:tcW w:w="964" w:type="dxa"/>
            <w:vAlign w:val="center"/>
          </w:tcPr>
          <w:p>
            <w:pPr>
              <w:jc w:val="center"/>
              <w:rPr>
                <w:noProof/>
                <w:color w:val="000000" w:themeColor="text1"/>
                <w:sz w:val="20"/>
              </w:rPr>
            </w:pPr>
            <w:r>
              <w:rPr>
                <w:noProof/>
                <w:color w:val="000000" w:themeColor="text1"/>
                <w:sz w:val="20"/>
              </w:rPr>
              <w:t>Година</w:t>
            </w:r>
            <w:r>
              <w:rPr>
                <w:noProof/>
                <w:color w:val="000000" w:themeColor="text1"/>
                <w:sz w:val="22"/>
              </w:rPr>
              <w:br/>
            </w:r>
            <w:r>
              <w:rPr>
                <w:b/>
                <w:noProof/>
                <w:color w:val="000000" w:themeColor="text1"/>
                <w:sz w:val="20"/>
              </w:rPr>
              <w:t>N+3</w:t>
            </w:r>
          </w:p>
        </w:tc>
        <w:tc>
          <w:tcPr>
            <w:tcW w:w="2892" w:type="dxa"/>
            <w:gridSpan w:val="3"/>
            <w:vAlign w:val="center"/>
          </w:tcPr>
          <w:p>
            <w:pPr>
              <w:jc w:val="center"/>
              <w:rPr>
                <w:b/>
                <w:noProof/>
                <w:color w:val="000000" w:themeColor="text1"/>
                <w:sz w:val="20"/>
              </w:rPr>
            </w:pPr>
            <w:r>
              <w:rPr>
                <w:noProof/>
                <w:color w:val="000000" w:themeColor="text1"/>
                <w:sz w:val="20"/>
              </w:rPr>
              <w:t>Да се добавят толкова години, колкото е необходимо, за да се обхване продължителността на отражението (вж. точка 1.6)</w:t>
            </w:r>
          </w:p>
        </w:tc>
        <w:tc>
          <w:tcPr>
            <w:tcW w:w="1158" w:type="dxa"/>
            <w:vAlign w:val="center"/>
          </w:tcPr>
          <w:p>
            <w:pPr>
              <w:spacing w:before="60" w:after="60"/>
              <w:jc w:val="center"/>
              <w:rPr>
                <w:noProof/>
                <w:color w:val="000000" w:themeColor="text1"/>
                <w:sz w:val="20"/>
              </w:rPr>
            </w:pPr>
            <w:r>
              <w:rPr>
                <w:noProof/>
                <w:color w:val="000000" w:themeColor="text1"/>
                <w:sz w:val="20"/>
              </w:rPr>
              <w:t>Общо</w:t>
            </w:r>
          </w:p>
        </w:tc>
      </w:tr>
      <w:tr>
        <w:trPr>
          <w:cantSplit/>
        </w:trPr>
        <w:tc>
          <w:tcPr>
            <w:tcW w:w="2340" w:type="dxa"/>
          </w:tcPr>
          <w:p>
            <w:pPr>
              <w:rPr>
                <w:noProof/>
                <w:color w:val="000000" w:themeColor="text1"/>
                <w:sz w:val="22"/>
              </w:rPr>
            </w:pPr>
            <w:r>
              <w:rPr>
                <w:noProof/>
                <w:color w:val="000000" w:themeColor="text1"/>
                <w:sz w:val="20"/>
              </w:rPr>
              <w:t>Да се посочи съфинансиращият орган</w:t>
            </w:r>
            <w:r>
              <w:rPr>
                <w:i/>
                <w:noProof/>
                <w:color w:val="000000" w:themeColor="text1"/>
                <w:sz w:val="20"/>
              </w:rPr>
              <w:t xml:space="preserve"> </w:t>
            </w: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1158" w:type="dxa"/>
            <w:vAlign w:val="center"/>
          </w:tcPr>
          <w:p>
            <w:pPr>
              <w:spacing w:before="60" w:after="60"/>
              <w:jc w:val="center"/>
              <w:rPr>
                <w:noProof/>
                <w:color w:val="000000" w:themeColor="text1"/>
                <w:sz w:val="20"/>
              </w:rPr>
            </w:pPr>
          </w:p>
        </w:tc>
      </w:tr>
      <w:tr>
        <w:trPr>
          <w:cantSplit/>
        </w:trPr>
        <w:tc>
          <w:tcPr>
            <w:tcW w:w="2340" w:type="dxa"/>
          </w:tcPr>
          <w:p>
            <w:pPr>
              <w:spacing w:before="60" w:after="60"/>
              <w:jc w:val="left"/>
              <w:rPr>
                <w:noProof/>
                <w:color w:val="000000" w:themeColor="text1"/>
                <w:sz w:val="20"/>
              </w:rPr>
            </w:pPr>
            <w:r>
              <w:rPr>
                <w:noProof/>
                <w:color w:val="000000" w:themeColor="text1"/>
                <w:sz w:val="20"/>
              </w:rPr>
              <w:t xml:space="preserve">ОБЩО съфинансирани бюджетни кредити </w:t>
            </w: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1158" w:type="dxa"/>
            <w:vAlign w:val="center"/>
          </w:tcPr>
          <w:p>
            <w:pPr>
              <w:spacing w:before="60" w:after="60"/>
              <w:jc w:val="center"/>
              <w:rPr>
                <w:noProof/>
                <w:color w:val="000000" w:themeColor="text1"/>
                <w:sz w:val="20"/>
              </w:rPr>
            </w:pPr>
          </w:p>
        </w:tc>
      </w:tr>
    </w:tbl>
    <w:p>
      <w:pPr>
        <w:rPr>
          <w:noProof/>
          <w:color w:val="000000" w:themeColor="text1"/>
        </w:rPr>
      </w:pPr>
      <w:r>
        <w:rPr>
          <w:noProof/>
          <w:color w:val="000000" w:themeColor="text1"/>
        </w:rPr>
        <w:br/>
      </w:r>
    </w:p>
    <w:p>
      <w:pPr>
        <w:pStyle w:val="ManualHeading2"/>
        <w:rPr>
          <w:bCs/>
          <w:noProof/>
          <w:szCs w:val="24"/>
        </w:rPr>
      </w:pPr>
      <w:r>
        <w:rPr>
          <w:noProof/>
        </w:rPr>
        <w:br w:type="page"/>
      </w:r>
      <w:r>
        <w:t>3.3.</w:t>
      </w:r>
      <w:r>
        <w:tab/>
      </w:r>
      <w:r>
        <w:rPr>
          <w:noProof/>
        </w:rPr>
        <w:t xml:space="preserve">Очаквано отражение върху приходите </w:t>
      </w:r>
    </w:p>
    <w:p>
      <w:pPr>
        <w:pStyle w:val="ListDash1"/>
        <w:rPr>
          <w:noProof/>
          <w:color w:val="000000" w:themeColor="text1"/>
        </w:rPr>
      </w:pPr>
      <w:r>
        <w:rPr>
          <w:noProof/>
        </w:rPr>
        <w:t>X</w:t>
      </w:r>
      <w:r>
        <w:rPr>
          <w:noProof/>
        </w:rPr>
        <w:tab/>
        <w:t>Предложението/инициативата няма финансово отражение върху приходите.</w:t>
      </w:r>
    </w:p>
    <w:p>
      <w:pPr>
        <w:pStyle w:val="ListDash1"/>
        <w:rPr>
          <w:noProof/>
          <w:color w:val="000000" w:themeColor="text1"/>
        </w:rPr>
      </w:pPr>
      <w:r>
        <w:rPr>
          <w:noProof/>
          <w:color w:val="000000" w:themeColor="text1"/>
        </w:rPr>
        <w:sym w:font="Wingdings" w:char="F0A8"/>
      </w:r>
      <w:r>
        <w:rPr>
          <w:noProof/>
        </w:rPr>
        <w:tab/>
        <w:t>Предложението/инициативата има следното финансово отражение</w:t>
      </w:r>
      <w:r>
        <w:rPr>
          <w:noProof/>
          <w:color w:val="000000" w:themeColor="text1"/>
        </w:rPr>
        <w:t>:</w:t>
      </w:r>
    </w:p>
    <w:p>
      <w:pPr>
        <w:pStyle w:val="ListNumberLevel3"/>
        <w:tabs>
          <w:tab w:val="clear" w:pos="2126"/>
        </w:tabs>
        <w:rPr>
          <w:noProof/>
          <w:color w:val="000000" w:themeColor="text1"/>
        </w:rPr>
      </w:pPr>
      <w:r>
        <w:rPr>
          <w:noProof/>
          <w:color w:val="000000" w:themeColor="text1"/>
        </w:rPr>
        <w:sym w:font="Wingdings" w:char="F0A8"/>
      </w:r>
      <w:r>
        <w:rPr>
          <w:noProof/>
        </w:rPr>
        <w:tab/>
        <w:t>върху собствените ресурси</w:t>
      </w:r>
      <w:r>
        <w:rPr>
          <w:noProof/>
          <w:color w:val="000000" w:themeColor="text1"/>
        </w:rPr>
        <w:t xml:space="preserve"> </w:t>
      </w:r>
    </w:p>
    <w:p>
      <w:pPr>
        <w:pStyle w:val="ListNumberLevel3"/>
        <w:tabs>
          <w:tab w:val="clear" w:pos="2126"/>
        </w:tabs>
        <w:rPr>
          <w:noProof/>
          <w:color w:val="000000" w:themeColor="text1"/>
        </w:rPr>
      </w:pPr>
      <w:r>
        <w:rPr>
          <w:noProof/>
          <w:color w:val="000000" w:themeColor="text1"/>
        </w:rPr>
        <w:sym w:font="Wingdings" w:char="F0A8"/>
      </w:r>
      <w:r>
        <w:rPr>
          <w:noProof/>
        </w:rPr>
        <w:tab/>
        <w:t>върху разните приходи</w:t>
      </w:r>
      <w:r>
        <w:rPr>
          <w:noProof/>
          <w:color w:val="000000" w:themeColor="text1"/>
        </w:rPr>
        <w:t xml:space="preserve"> </w:t>
      </w:r>
    </w:p>
    <w:p>
      <w:pPr>
        <w:jc w:val="right"/>
        <w:rPr>
          <w:i/>
          <w:noProof/>
          <w:color w:val="000000" w:themeColor="text1"/>
          <w:sz w:val="20"/>
        </w:rPr>
      </w:pPr>
      <w:r>
        <w:rPr>
          <w:noProof/>
          <w:color w:val="000000" w:themeColor="text1"/>
        </w:rPr>
        <w:t>милиони евро (до третия знак след десетичната запетая)</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color w:val="000000" w:themeColor="text1"/>
                <w:sz w:val="18"/>
              </w:rPr>
            </w:pPr>
            <w:r>
              <w:rPr>
                <w:noProof/>
                <w:color w:val="000000" w:themeColor="text1"/>
                <w:sz w:val="18"/>
              </w:rPr>
              <w:t>Приходен бюджетен ред:</w:t>
            </w:r>
          </w:p>
        </w:tc>
        <w:tc>
          <w:tcPr>
            <w:tcW w:w="1276" w:type="dxa"/>
            <w:vMerge w:val="restart"/>
            <w:vAlign w:val="center"/>
          </w:tcPr>
          <w:p>
            <w:pPr>
              <w:jc w:val="center"/>
              <w:rPr>
                <w:noProof/>
                <w:color w:val="000000" w:themeColor="text1"/>
                <w:sz w:val="18"/>
              </w:rPr>
            </w:pPr>
            <w:r>
              <w:rPr>
                <w:noProof/>
                <w:color w:val="000000" w:themeColor="text1"/>
                <w:sz w:val="18"/>
              </w:rPr>
              <w:t>Налични бюджетни кредити за текущата финансова година</w:t>
            </w:r>
          </w:p>
        </w:tc>
        <w:tc>
          <w:tcPr>
            <w:tcW w:w="7200" w:type="dxa"/>
            <w:gridSpan w:val="7"/>
            <w:vAlign w:val="center"/>
          </w:tcPr>
          <w:p>
            <w:pPr>
              <w:jc w:val="center"/>
              <w:rPr>
                <w:noProof/>
                <w:color w:val="000000" w:themeColor="text1"/>
                <w:sz w:val="18"/>
              </w:rPr>
            </w:pPr>
            <w:r>
              <w:rPr>
                <w:noProof/>
                <w:color w:val="000000" w:themeColor="text1"/>
                <w:sz w:val="18"/>
              </w:rPr>
              <w:t>Отражение на предложението/инициативата</w:t>
            </w:r>
            <w:r>
              <w:rPr>
                <w:rStyle w:val="FootnoteReference"/>
                <w:noProof/>
                <w:color w:val="000000" w:themeColor="text1"/>
                <w:sz w:val="18"/>
              </w:rPr>
              <w:footnoteReference w:id="42"/>
            </w:r>
          </w:p>
        </w:tc>
      </w:tr>
      <w:tr>
        <w:trPr>
          <w:trHeight w:val="388"/>
        </w:trPr>
        <w:tc>
          <w:tcPr>
            <w:tcW w:w="2144" w:type="dxa"/>
            <w:vMerge/>
          </w:tcPr>
          <w:p>
            <w:pPr>
              <w:spacing w:before="40" w:after="40"/>
              <w:rPr>
                <w:noProof/>
                <w:color w:val="000000" w:themeColor="text1"/>
                <w:sz w:val="18"/>
              </w:rPr>
            </w:pPr>
          </w:p>
        </w:tc>
        <w:tc>
          <w:tcPr>
            <w:tcW w:w="1276" w:type="dxa"/>
            <w:vMerge/>
          </w:tcPr>
          <w:p>
            <w:pPr>
              <w:spacing w:beforeLines="40" w:before="96" w:afterLines="40" w:after="96"/>
              <w:rPr>
                <w:i/>
                <w:noProof/>
                <w:color w:val="000000" w:themeColor="text1"/>
                <w:sz w:val="18"/>
              </w:rPr>
            </w:pPr>
          </w:p>
        </w:tc>
        <w:tc>
          <w:tcPr>
            <w:tcW w:w="1080" w:type="dxa"/>
            <w:vAlign w:val="center"/>
          </w:tcPr>
          <w:p>
            <w:pPr>
              <w:jc w:val="center"/>
              <w:rPr>
                <w:noProof/>
                <w:color w:val="000000" w:themeColor="text1"/>
                <w:sz w:val="18"/>
                <w:szCs w:val="18"/>
              </w:rPr>
            </w:pPr>
            <w:r>
              <w:rPr>
                <w:noProof/>
                <w:color w:val="000000" w:themeColor="text1"/>
                <w:sz w:val="18"/>
                <w:szCs w:val="18"/>
              </w:rPr>
              <w:t>Година</w:t>
            </w:r>
            <w:r>
              <w:rPr>
                <w:noProof/>
                <w:color w:val="000000" w:themeColor="text1"/>
                <w:sz w:val="18"/>
                <w:szCs w:val="18"/>
              </w:rPr>
              <w:br/>
            </w:r>
            <w:r>
              <w:rPr>
                <w:b/>
                <w:noProof/>
                <w:color w:val="000000" w:themeColor="text1"/>
                <w:sz w:val="18"/>
                <w:szCs w:val="18"/>
              </w:rPr>
              <w:t>N</w:t>
            </w:r>
          </w:p>
        </w:tc>
        <w:tc>
          <w:tcPr>
            <w:tcW w:w="900" w:type="dxa"/>
            <w:vAlign w:val="center"/>
          </w:tcPr>
          <w:p>
            <w:pPr>
              <w:jc w:val="center"/>
              <w:rPr>
                <w:noProof/>
                <w:color w:val="000000" w:themeColor="text1"/>
                <w:sz w:val="18"/>
              </w:rPr>
            </w:pPr>
            <w:r>
              <w:rPr>
                <w:noProof/>
                <w:color w:val="000000" w:themeColor="text1"/>
                <w:sz w:val="18"/>
              </w:rPr>
              <w:t>Година</w:t>
            </w:r>
            <w:r>
              <w:rPr>
                <w:noProof/>
                <w:color w:val="000000" w:themeColor="text1"/>
                <w:sz w:val="22"/>
              </w:rPr>
              <w:br/>
            </w:r>
            <w:r>
              <w:rPr>
                <w:b/>
                <w:noProof/>
                <w:color w:val="000000" w:themeColor="text1"/>
                <w:sz w:val="18"/>
              </w:rPr>
              <w:t>N+1</w:t>
            </w:r>
          </w:p>
        </w:tc>
        <w:tc>
          <w:tcPr>
            <w:tcW w:w="900" w:type="dxa"/>
            <w:vAlign w:val="center"/>
          </w:tcPr>
          <w:p>
            <w:pPr>
              <w:jc w:val="center"/>
              <w:rPr>
                <w:noProof/>
                <w:color w:val="000000" w:themeColor="text1"/>
                <w:sz w:val="18"/>
              </w:rPr>
            </w:pPr>
            <w:r>
              <w:rPr>
                <w:noProof/>
                <w:color w:val="000000" w:themeColor="text1"/>
                <w:sz w:val="18"/>
              </w:rPr>
              <w:t>Година</w:t>
            </w:r>
            <w:r>
              <w:rPr>
                <w:noProof/>
                <w:color w:val="000000" w:themeColor="text1"/>
                <w:sz w:val="22"/>
              </w:rPr>
              <w:br/>
            </w:r>
            <w:r>
              <w:rPr>
                <w:b/>
                <w:noProof/>
                <w:color w:val="000000" w:themeColor="text1"/>
                <w:sz w:val="18"/>
              </w:rPr>
              <w:t>N+2</w:t>
            </w:r>
          </w:p>
        </w:tc>
        <w:tc>
          <w:tcPr>
            <w:tcW w:w="1080" w:type="dxa"/>
            <w:vAlign w:val="center"/>
          </w:tcPr>
          <w:p>
            <w:pPr>
              <w:jc w:val="center"/>
              <w:rPr>
                <w:noProof/>
                <w:color w:val="000000" w:themeColor="text1"/>
                <w:sz w:val="18"/>
              </w:rPr>
            </w:pPr>
            <w:r>
              <w:rPr>
                <w:noProof/>
                <w:color w:val="000000" w:themeColor="text1"/>
                <w:sz w:val="18"/>
              </w:rPr>
              <w:t>Година</w:t>
            </w:r>
            <w:r>
              <w:rPr>
                <w:noProof/>
                <w:color w:val="000000" w:themeColor="text1"/>
                <w:sz w:val="22"/>
              </w:rPr>
              <w:br/>
            </w:r>
            <w:r>
              <w:rPr>
                <w:b/>
                <w:noProof/>
                <w:color w:val="000000" w:themeColor="text1"/>
                <w:sz w:val="18"/>
              </w:rPr>
              <w:t>N+3</w:t>
            </w:r>
          </w:p>
        </w:tc>
        <w:tc>
          <w:tcPr>
            <w:tcW w:w="3240" w:type="dxa"/>
            <w:gridSpan w:val="3"/>
            <w:vAlign w:val="center"/>
          </w:tcPr>
          <w:p>
            <w:pPr>
              <w:jc w:val="center"/>
              <w:rPr>
                <w:b/>
                <w:noProof/>
                <w:color w:val="000000" w:themeColor="text1"/>
                <w:sz w:val="18"/>
              </w:rPr>
            </w:pPr>
            <w:r>
              <w:rPr>
                <w:noProof/>
                <w:color w:val="000000" w:themeColor="text1"/>
                <w:sz w:val="18"/>
              </w:rPr>
              <w:t>Да се добавят толкова години, колкото е необходимо, за да се обхване продължителността на отражението (вж. точка 1.6)</w:t>
            </w:r>
          </w:p>
        </w:tc>
      </w:tr>
      <w:tr>
        <w:trPr>
          <w:trHeight w:val="388"/>
        </w:trPr>
        <w:tc>
          <w:tcPr>
            <w:tcW w:w="2144" w:type="dxa"/>
            <w:vAlign w:val="center"/>
          </w:tcPr>
          <w:p>
            <w:pPr>
              <w:spacing w:before="40" w:after="40"/>
              <w:rPr>
                <w:noProof/>
                <w:color w:val="000000" w:themeColor="text1"/>
                <w:sz w:val="18"/>
              </w:rPr>
            </w:pPr>
            <w:r>
              <w:rPr>
                <w:noProof/>
                <w:color w:val="000000" w:themeColor="text1"/>
                <w:sz w:val="18"/>
              </w:rPr>
              <w:t>Статия ….</w:t>
            </w:r>
          </w:p>
        </w:tc>
        <w:tc>
          <w:tcPr>
            <w:tcW w:w="1276" w:type="dxa"/>
          </w:tcPr>
          <w:p>
            <w:pPr>
              <w:spacing w:beforeLines="40" w:before="96" w:afterLines="40" w:after="96"/>
              <w:jc w:val="center"/>
              <w:rPr>
                <w:i/>
                <w:noProof/>
                <w:color w:val="000000" w:themeColor="text1"/>
                <w:sz w:val="18"/>
              </w:rPr>
            </w:pPr>
          </w:p>
        </w:tc>
        <w:tc>
          <w:tcPr>
            <w:tcW w:w="1080" w:type="dxa"/>
          </w:tcPr>
          <w:p>
            <w:pPr>
              <w:spacing w:beforeLines="40" w:before="96" w:afterLines="40" w:after="96"/>
              <w:jc w:val="center"/>
              <w:rPr>
                <w:noProof/>
                <w:color w:val="000000" w:themeColor="text1"/>
                <w:sz w:val="18"/>
              </w:rPr>
            </w:pPr>
          </w:p>
        </w:tc>
        <w:tc>
          <w:tcPr>
            <w:tcW w:w="900" w:type="dxa"/>
          </w:tcPr>
          <w:p>
            <w:pPr>
              <w:spacing w:beforeLines="40" w:before="96" w:afterLines="40" w:after="96"/>
              <w:jc w:val="center"/>
              <w:rPr>
                <w:noProof/>
                <w:color w:val="000000" w:themeColor="text1"/>
                <w:sz w:val="18"/>
              </w:rPr>
            </w:pPr>
          </w:p>
        </w:tc>
        <w:tc>
          <w:tcPr>
            <w:tcW w:w="900" w:type="dxa"/>
          </w:tcPr>
          <w:p>
            <w:pPr>
              <w:spacing w:beforeLines="40" w:before="96" w:afterLines="40" w:after="96"/>
              <w:jc w:val="center"/>
              <w:rPr>
                <w:noProof/>
                <w:color w:val="000000" w:themeColor="text1"/>
                <w:sz w:val="18"/>
              </w:rPr>
            </w:pPr>
          </w:p>
        </w:tc>
        <w:tc>
          <w:tcPr>
            <w:tcW w:w="1080" w:type="dxa"/>
          </w:tcPr>
          <w:p>
            <w:pPr>
              <w:spacing w:beforeLines="40" w:before="96" w:afterLines="40" w:after="96"/>
              <w:jc w:val="center"/>
              <w:rPr>
                <w:noProof/>
                <w:color w:val="000000" w:themeColor="text1"/>
                <w:sz w:val="18"/>
              </w:rPr>
            </w:pPr>
          </w:p>
        </w:tc>
        <w:tc>
          <w:tcPr>
            <w:tcW w:w="1080" w:type="dxa"/>
          </w:tcPr>
          <w:p>
            <w:pPr>
              <w:spacing w:beforeLines="40" w:before="96" w:afterLines="40" w:after="96"/>
              <w:jc w:val="center"/>
              <w:rPr>
                <w:noProof/>
                <w:color w:val="000000" w:themeColor="text1"/>
                <w:sz w:val="18"/>
              </w:rPr>
            </w:pPr>
          </w:p>
        </w:tc>
        <w:tc>
          <w:tcPr>
            <w:tcW w:w="1080" w:type="dxa"/>
          </w:tcPr>
          <w:p>
            <w:pPr>
              <w:spacing w:beforeLines="40" w:before="96" w:afterLines="40" w:after="96"/>
              <w:jc w:val="center"/>
              <w:rPr>
                <w:noProof/>
                <w:color w:val="000000" w:themeColor="text1"/>
                <w:sz w:val="18"/>
              </w:rPr>
            </w:pPr>
          </w:p>
        </w:tc>
        <w:tc>
          <w:tcPr>
            <w:tcW w:w="1080" w:type="dxa"/>
          </w:tcPr>
          <w:p>
            <w:pPr>
              <w:spacing w:beforeLines="40" w:before="96" w:afterLines="40" w:after="96"/>
              <w:jc w:val="center"/>
              <w:rPr>
                <w:noProof/>
                <w:color w:val="000000" w:themeColor="text1"/>
                <w:sz w:val="18"/>
              </w:rPr>
            </w:pPr>
          </w:p>
        </w:tc>
      </w:tr>
    </w:tbl>
    <w:p>
      <w:pPr>
        <w:pStyle w:val="Text1"/>
        <w:rPr>
          <w:noProof/>
          <w:color w:val="000000" w:themeColor="text1"/>
          <w:sz w:val="20"/>
        </w:rPr>
      </w:pPr>
      <w:r>
        <w:rPr>
          <w:noProof/>
          <w:color w:val="000000" w:themeColor="text1"/>
          <w:sz w:val="20"/>
        </w:rPr>
        <w:t>За разните „целеви“ приходи да се посочат съответните разходни бюджетни редове.</w:t>
      </w:r>
    </w:p>
    <w:p>
      <w:pPr>
        <w:pStyle w:val="Text1"/>
        <w:pBdr>
          <w:top w:val="single" w:sz="4" w:space="1" w:color="auto"/>
          <w:left w:val="single" w:sz="4" w:space="4" w:color="auto"/>
          <w:bottom w:val="single" w:sz="4" w:space="1" w:color="auto"/>
          <w:right w:val="single" w:sz="4" w:space="4" w:color="auto"/>
        </w:pBdr>
        <w:rPr>
          <w:noProof/>
          <w:color w:val="000000" w:themeColor="text1"/>
        </w:rPr>
      </w:pPr>
    </w:p>
    <w:p>
      <w:pPr>
        <w:pStyle w:val="Text1"/>
        <w:rPr>
          <w:noProof/>
          <w:color w:val="000000" w:themeColor="text1"/>
          <w:sz w:val="20"/>
        </w:rPr>
      </w:pPr>
      <w:r>
        <w:rPr>
          <w:noProof/>
          <w:color w:val="000000" w:themeColor="text1"/>
          <w:sz w:val="20"/>
        </w:rPr>
        <w:t>Да се посочи методът за изчисляване на отражението върху приходите.</w:t>
      </w:r>
    </w:p>
    <w:p>
      <w:pPr>
        <w:pStyle w:val="Text1"/>
        <w:pBdr>
          <w:top w:val="single" w:sz="4" w:space="1" w:color="auto"/>
          <w:left w:val="single" w:sz="4" w:space="4" w:color="auto"/>
          <w:bottom w:val="single" w:sz="4" w:space="1" w:color="auto"/>
          <w:right w:val="single" w:sz="4" w:space="4" w:color="auto"/>
        </w:pBdr>
        <w:rPr>
          <w:noProof/>
          <w:color w:val="000000" w:themeColor="text1"/>
        </w:rPr>
      </w:pPr>
    </w:p>
    <w:p>
      <w:pPr>
        <w:rPr>
          <w:noProof/>
        </w:rPr>
      </w:pPr>
    </w:p>
    <w:p>
      <w:pPr>
        <w:rPr>
          <w:noProof/>
          <w:color w:val="000000" w:themeColor="text1"/>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31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37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Резолюция на Съвета от 16 ноември 2007 г. относно Европейска програма за култура (2007/C 287/01) (ОВ C 287, 29.11.2007 г., стр. 1).</w:t>
      </w:r>
    </w:p>
  </w:footnote>
  <w:footnote w:id="2">
    <w:p>
      <w:pPr>
        <w:pStyle w:val="FootnoteText"/>
      </w:pPr>
      <w:r>
        <w:rPr>
          <w:rStyle w:val="FootnoteReference"/>
        </w:rPr>
        <w:footnoteRef/>
      </w:r>
      <w:r>
        <w:tab/>
        <w:t>Заключения на Съвета и на представителите на правителствата на държавите членки, заседаващи в рамките на Съвета, относно работния план за културата за периода 2015—2018 г. (2014/C/463/02).</w:t>
      </w:r>
    </w:p>
  </w:footnote>
  <w:footnote w:id="3">
    <w:p>
      <w:pPr>
        <w:pStyle w:val="FootnoteText"/>
      </w:pPr>
      <w:r>
        <w:rPr>
          <w:rStyle w:val="FootnoteReference"/>
        </w:rPr>
        <w:footnoteRef/>
      </w:r>
      <w:r>
        <w:tab/>
        <w:t>Заключения на Съвета от 21 май 2014 г. относно културното наследство като стратегически ресурс за устойчива Европа (2014/C 183/08) (ОВ C 183, 14.6.2014 г., стр. 36).</w:t>
      </w:r>
    </w:p>
  </w:footnote>
  <w:footnote w:id="4">
    <w:p>
      <w:pPr>
        <w:pStyle w:val="FootnoteText"/>
      </w:pPr>
      <w:r>
        <w:rPr>
          <w:rStyle w:val="FootnoteReference"/>
        </w:rPr>
        <w:footnoteRef/>
      </w:r>
      <w:r>
        <w:tab/>
        <w:t>Съобщение на Комисията до Европейския парламент, Съвета, Европейския икономически и социален комитет и Комитета на регионите от 22 юли 2014 г. — „За интегриран подход към културното наследство на Европа“, COM(2014) 477 final.</w:t>
      </w:r>
    </w:p>
  </w:footnote>
  <w:footnote w:id="5">
    <w:p>
      <w:pPr>
        <w:pStyle w:val="FootnoteText"/>
      </w:pPr>
      <w:r>
        <w:rPr>
          <w:rStyle w:val="FootnoteReference"/>
        </w:rPr>
        <w:footnoteRef/>
      </w:r>
      <w:r>
        <w:tab/>
        <w:t>Становище на Европейския комитет на регионите — „За интегриран подход към културното наследство на Европа“ (2015/C 195/04) (ОВ C 195, 12.6.2015 г., стр. 22).</w:t>
      </w:r>
    </w:p>
  </w:footnote>
  <w:footnote w:id="6">
    <w:p>
      <w:pPr>
        <w:pStyle w:val="FootnoteText"/>
      </w:pPr>
      <w:r>
        <w:rPr>
          <w:rStyle w:val="FootnoteReference"/>
        </w:rPr>
        <w:footnoteRef/>
      </w:r>
      <w:r>
        <w:tab/>
        <w:t>Резолюция на Европейския парламент от 8 септември 2015 г. за интегриран подход към културното наследство на Европа (2014/2149(INI)) P8_TA(2015)0293.</w:t>
      </w:r>
    </w:p>
  </w:footnote>
  <w:footnote w:id="7">
    <w:p>
      <w:pPr>
        <w:pStyle w:val="FootnoteText"/>
      </w:pPr>
      <w:r>
        <w:rPr>
          <w:rStyle w:val="FootnoteReference"/>
        </w:rPr>
        <w:footnoteRef/>
      </w:r>
      <w:r>
        <w:tab/>
        <w:t>Заключения на Съвета относно основано на участието управление на културното наследство (2014/C 463/01) (ОВ C 463, 23.12.2014 г., стр. 1).</w:t>
      </w:r>
    </w:p>
  </w:footnote>
  <w:footnote w:id="8">
    <w:p>
      <w:pPr>
        <w:pStyle w:val="FootnoteText"/>
      </w:pPr>
      <w:r>
        <w:rPr>
          <w:rStyle w:val="FootnoteReference"/>
        </w:rPr>
        <w:footnoteRef/>
      </w:r>
      <w:r>
        <w:tab/>
        <w:t>Както се подчертава в Съвместното съобщение на върховния представител на Съюза по въпросите на външните работи и политиката на сигурност и Комисията — „Към стратегия на ЕС за международните културни отношения“, JOIN(2016) 29 final.</w:t>
      </w:r>
    </w:p>
  </w:footnote>
  <w:footnote w:id="9">
    <w:p>
      <w:pPr>
        <w:pStyle w:val="FootnoteText"/>
      </w:pPr>
      <w:r>
        <w:rPr>
          <w:rStyle w:val="FootnoteReference"/>
        </w:rPr>
        <w:footnoteRef/>
      </w:r>
      <w:r>
        <w:tab/>
        <w:t xml:space="preserve">Алианс, който обединява мрежи и организации в тази област и се координира от Europa Nostra. Алианс 3.3 е препратка към член 3, параграф 3 от Договора за Европейския съюз (ДЕС). </w:t>
      </w:r>
    </w:p>
  </w:footnote>
  <w:footnote w:id="10">
    <w:p>
      <w:pPr>
        <w:pStyle w:val="FootnoteText"/>
      </w:pPr>
      <w:r>
        <w:rPr>
          <w:rStyle w:val="FootnoteReference"/>
        </w:rPr>
        <w:footnoteRef/>
      </w:r>
      <w:r>
        <w:tab/>
      </w:r>
      <w:hyperlink r:id="rId1">
        <w:r>
          <w:rPr>
            <w:rStyle w:val="Hyperlink"/>
          </w:rPr>
          <w:t>http://www.sharingheritage.de/en/main/.</w:t>
        </w:r>
      </w:hyperlink>
    </w:p>
  </w:footnote>
  <w:footnote w:id="11">
    <w:p>
      <w:pPr>
        <w:pStyle w:val="FootnoteText"/>
      </w:pPr>
      <w:r>
        <w:rPr>
          <w:rStyle w:val="FootnoteReference"/>
        </w:rPr>
        <w:footnoteRef/>
      </w:r>
      <w:r>
        <w:tab/>
      </w:r>
      <w:hyperlink r:id="rId2">
        <w:r>
          <w:rPr>
            <w:rStyle w:val="Hyperlink0"/>
          </w:rPr>
          <w:t>http://ec.europa.eu/culture/news/2015/0612-cultural-heritage-counts_en.htm</w:t>
        </w:r>
      </w:hyperlink>
      <w:r>
        <w:t>.</w:t>
      </w:r>
    </w:p>
  </w:footnote>
  <w:footnote w:id="12">
    <w:p>
      <w:pPr>
        <w:pStyle w:val="FootnoteText"/>
      </w:pPr>
      <w:r>
        <w:rPr>
          <w:rStyle w:val="FootnoteReference"/>
        </w:rPr>
        <w:footnoteRef/>
      </w:r>
      <w:r>
        <w:tab/>
      </w:r>
      <w:hyperlink r:id="rId3">
        <w:r>
          <w:rPr>
            <w:rStyle w:val="Hyperlink0"/>
          </w:rPr>
          <w:t>http://bookshop.europa.eu/en/getting-cultural-heritage-to-work-for-europe-pbKI0  115128/</w:t>
        </w:r>
      </w:hyperlink>
      <w:r>
        <w:t>.</w:t>
      </w:r>
    </w:p>
  </w:footnote>
  <w:footnote w:id="13">
    <w:p>
      <w:pPr>
        <w:pStyle w:val="FootnoteText"/>
      </w:pPr>
      <w:r>
        <w:rPr>
          <w:rStyle w:val="FootnoteReference"/>
        </w:rPr>
        <w:footnoteRef/>
      </w:r>
      <w:r>
        <w:tab/>
      </w:r>
      <w:hyperlink r:id="rId4">
        <w:r>
          <w:rPr>
            <w:rStyle w:val="Hyperlink0"/>
          </w:rPr>
          <w:t>http://www.jpi-culturalheritage.eu/wp-content/uploads/SRA-2014-06.pdf</w:t>
        </w:r>
      </w:hyperlink>
      <w:r>
        <w:t>.</w:t>
      </w:r>
    </w:p>
  </w:footnote>
  <w:footnote w:id="14">
    <w:p>
      <w:pPr>
        <w:pStyle w:val="FootnoteText"/>
        <w:rPr>
          <w:lang w:val="hu-HU"/>
        </w:rPr>
      </w:pPr>
      <w:r>
        <w:rPr>
          <w:rStyle w:val="FootnoteReference"/>
        </w:rPr>
        <w:footnoteRef/>
      </w:r>
      <w:r>
        <w:tab/>
      </w:r>
      <w:hyperlink r:id="rId5">
        <w:r>
          <w:rPr>
            <w:rStyle w:val="Hyperlink"/>
          </w:rPr>
          <w:t>http://www.culturalbase.eu.</w:t>
        </w:r>
      </w:hyperlink>
    </w:p>
  </w:footnote>
  <w:footnote w:id="15">
    <w:p>
      <w:pPr>
        <w:pStyle w:val="FootnoteText"/>
      </w:pPr>
      <w:r>
        <w:rPr>
          <w:rStyle w:val="FootnoteReference"/>
        </w:rPr>
        <w:footnoteRef/>
      </w:r>
      <w:r>
        <w:tab/>
        <w:t xml:space="preserve">Стратегически доклад на ESFRI относно научноизследователските инфраструктури — пътна карта, 2016 г. </w:t>
      </w:r>
    </w:p>
  </w:footnote>
  <w:footnote w:id="16">
    <w:p>
      <w:pPr>
        <w:pStyle w:val="FootnoteText"/>
      </w:pPr>
      <w:r>
        <w:rPr>
          <w:rStyle w:val="FootnoteReference"/>
        </w:rPr>
        <w:footnoteRef/>
      </w:r>
      <w:r>
        <w:tab/>
        <w:t>ОВ C , , стр. .</w:t>
      </w:r>
    </w:p>
  </w:footnote>
  <w:footnote w:id="17">
    <w:p>
      <w:pPr>
        <w:pStyle w:val="FootnoteText"/>
      </w:pPr>
      <w:r>
        <w:rPr>
          <w:rStyle w:val="FootnoteReference"/>
        </w:rPr>
        <w:footnoteRef/>
      </w:r>
      <w:r>
        <w:tab/>
        <w:t>Съобщение на Комисията до Европейския парламент, Съвета, Европейския икономически и социален комитет и Комитета на регионите от 22 юли 2014 г. „За интегриран подход към културното наследство на Европа“, COM(2014) 477 final.</w:t>
      </w:r>
    </w:p>
  </w:footnote>
  <w:footnote w:id="18">
    <w:p>
      <w:pPr>
        <w:pStyle w:val="FootnoteText"/>
      </w:pPr>
      <w:r>
        <w:rPr>
          <w:rStyle w:val="FootnoteReference"/>
        </w:rPr>
        <w:footnoteRef/>
      </w:r>
      <w:r>
        <w:tab/>
        <w:t>Заключения на Съвета от 21 май 2014 г. относно културното наследство като стратегически ресурс за устойчива Европа (2014/C 183/08) (ОВ C 183, 14.6.2014 г., стр. 36).</w:t>
      </w:r>
    </w:p>
  </w:footnote>
  <w:footnote w:id="19">
    <w:p>
      <w:pPr>
        <w:pStyle w:val="FootnoteText"/>
      </w:pPr>
      <w:r>
        <w:rPr>
          <w:rStyle w:val="FootnoteReference"/>
        </w:rPr>
        <w:footnoteRef/>
      </w:r>
      <w:r>
        <w:tab/>
        <w:t>Резолюция на Съвета от 16 ноември 2007 г. относно Европейска програма за култура (2007/C 287/01) (ОВ C 287, 29.11.2007 г., стр. 1).</w:t>
      </w:r>
    </w:p>
  </w:footnote>
  <w:footnote w:id="20">
    <w:p>
      <w:pPr>
        <w:pStyle w:val="FootnoteText"/>
      </w:pPr>
      <w:r>
        <w:rPr>
          <w:rStyle w:val="FootnoteReference"/>
        </w:rPr>
        <w:footnoteRef/>
      </w:r>
      <w:r>
        <w:tab/>
        <w:t>Заключения на Съвета и на представителите на правителствата на държавите членки, заседаващи в рамките на Съвета, относно работния план за културата за периода 2015—2018 г. (2014/C 463/02) (ОВ C 463, 23.12.2014 г., стр. 4).</w:t>
      </w:r>
    </w:p>
  </w:footnote>
  <w:footnote w:id="21">
    <w:p>
      <w:pPr>
        <w:pStyle w:val="FootnoteText"/>
      </w:pPr>
      <w:r>
        <w:rPr>
          <w:rStyle w:val="FootnoteReference"/>
        </w:rPr>
        <w:footnoteRef/>
      </w:r>
      <w:r>
        <w:tab/>
        <w:t>Конвенция за опазване и насърчаване на многообразието от форми на културно изразяване от 2005 г., Париж, 20 октомври 2005 г.</w:t>
      </w:r>
    </w:p>
  </w:footnote>
  <w:footnote w:id="22">
    <w:p>
      <w:pPr>
        <w:pStyle w:val="FootnoteText"/>
      </w:pPr>
      <w:r>
        <w:rPr>
          <w:rStyle w:val="FootnoteReference"/>
        </w:rPr>
        <w:footnoteRef/>
      </w:r>
      <w:r>
        <w:tab/>
        <w:t>Резолюция на ООН, приета от Общото събрание на 25 септември 2015 г. „Да преобразим света: Програма за устойчиво развитие за периода до 2030 г.“.</w:t>
      </w:r>
    </w:p>
  </w:footnote>
  <w:footnote w:id="23">
    <w:p>
      <w:pPr>
        <w:pStyle w:val="FootnoteText"/>
      </w:pPr>
      <w:r>
        <w:rPr>
          <w:rStyle w:val="FootnoteReference"/>
        </w:rPr>
        <w:footnoteRef/>
      </w:r>
      <w:r>
        <w:tab/>
        <w:t>Заключения на Съвета относно основано на участието управление на културното наследство (2014/C 463/01) (ОВ C 463, 23.12.2014 г., стр. 1).</w:t>
      </w:r>
    </w:p>
  </w:footnote>
  <w:footnote w:id="24">
    <w:p>
      <w:pPr>
        <w:pStyle w:val="FootnoteText"/>
      </w:pPr>
      <w:r>
        <w:rPr>
          <w:rStyle w:val="FootnoteReference"/>
        </w:rPr>
        <w:footnoteRef/>
      </w:r>
      <w:r>
        <w:tab/>
        <w:t>Резолюция на Европейския парламент от 8 септември 2015 г. за интегриран подход към културното наследство на Европа (2014/2149(INI)) P8_TA(2015)0293.</w:t>
      </w:r>
    </w:p>
  </w:footnote>
  <w:footnote w:id="25">
    <w:p>
      <w:pPr>
        <w:pStyle w:val="FootnoteText"/>
      </w:pPr>
      <w:r>
        <w:rPr>
          <w:rStyle w:val="FootnoteReference"/>
        </w:rPr>
        <w:footnoteRef/>
      </w:r>
      <w:r>
        <w:tab/>
        <w:t>Становище на Европейския комитет на регионите — „За интегриран подход към културното наследство на Европа“ (2015/C 195/04) (ОВ C 195, 12.6.2015 г., стр. 22).</w:t>
      </w:r>
    </w:p>
  </w:footnote>
  <w:footnote w:id="26">
    <w:p>
      <w:pPr>
        <w:pStyle w:val="FootnoteText"/>
      </w:pPr>
      <w:r>
        <w:rPr>
          <w:rStyle w:val="FootnoteReference"/>
        </w:rPr>
        <w:footnoteRef/>
      </w:r>
      <w:r>
        <w:tab/>
        <w:t>Както се подчертава в Съвместното съобщение на върховния представител на Съюза по въпросите на външните работи и политиката на сигурност и Комисията — „Към стратегия на ЕС за международните културни отношения“, JOIN(2016) 29 final.</w:t>
      </w:r>
    </w:p>
  </w:footnote>
  <w:footnote w:id="27">
    <w:p>
      <w:pPr>
        <w:pStyle w:val="FootnoteText"/>
        <w:rPr>
          <w:szCs w:val="24"/>
        </w:rPr>
      </w:pPr>
      <w:r>
        <w:rPr>
          <w:rStyle w:val="FootnoteReference"/>
        </w:rPr>
        <w:footnoteRef/>
      </w:r>
      <w:r>
        <w:tab/>
        <w:t>УД: управление по дейности; БД: бюджетиране по дейности.</w:t>
      </w:r>
    </w:p>
  </w:footnote>
  <w:footnote w:id="28">
    <w:p>
      <w:pPr>
        <w:pStyle w:val="FootnoteText"/>
        <w:rPr>
          <w:szCs w:val="24"/>
        </w:rPr>
      </w:pPr>
      <w:r>
        <w:rPr>
          <w:rStyle w:val="FootnoteReference"/>
        </w:rPr>
        <w:footnoteRef/>
      </w:r>
      <w:r>
        <w:tab/>
        <w:t>Съгласно член 54, параграф 2, буква а) или б) от Финансовия регламент.</w:t>
      </w:r>
    </w:p>
  </w:footnote>
  <w:footnote w:id="29">
    <w:p>
      <w:pPr>
        <w:pStyle w:val="FootnoteText"/>
        <w:rPr>
          <w:szCs w:val="24"/>
        </w:rPr>
      </w:pPr>
      <w:r>
        <w:rPr>
          <w:rStyle w:val="FootnoteReference"/>
        </w:rPr>
        <w:footnoteRef/>
      </w:r>
      <w:r>
        <w:tab/>
        <w:t>Подробности във връзка с методите на управление и позоваванията на Финансовия регламент могат да бъдат намерени на уебсайта BudgWeb: https://myintracomm.ec.testa.eu/budgweb/EN/man/budgmanag/Pages/budgmanag.aspx.</w:t>
      </w:r>
    </w:p>
  </w:footnote>
  <w:footnote w:id="30">
    <w:p>
      <w:pPr>
        <w:pStyle w:val="FootnoteText"/>
        <w:rPr>
          <w:szCs w:val="24"/>
        </w:rPr>
      </w:pPr>
      <w:r>
        <w:rPr>
          <w:rStyle w:val="FootnoteReference"/>
        </w:rPr>
        <w:footnoteRef/>
      </w:r>
      <w:r>
        <w:tab/>
        <w:t>Многогод. = многогодишни бюджетни кредити / Едногод. = едногодишни бюджетни кредити.</w:t>
      </w:r>
    </w:p>
  </w:footnote>
  <w:footnote w:id="31">
    <w:p>
      <w:pPr>
        <w:pStyle w:val="FootnoteText"/>
        <w:rPr>
          <w:szCs w:val="24"/>
        </w:rPr>
      </w:pPr>
      <w:r>
        <w:rPr>
          <w:rStyle w:val="FootnoteReference"/>
        </w:rPr>
        <w:footnoteRef/>
      </w:r>
      <w:r>
        <w:tab/>
        <w:t xml:space="preserve">ЕАСТ: Европейска асоциация за свободна търговия. </w:t>
      </w:r>
    </w:p>
  </w:footnote>
  <w:footnote w:id="32">
    <w:p>
      <w:pPr>
        <w:pStyle w:val="FootnoteText"/>
        <w:rPr>
          <w:szCs w:val="24"/>
        </w:rPr>
      </w:pPr>
      <w:r>
        <w:rPr>
          <w:rStyle w:val="FootnoteReference"/>
        </w:rPr>
        <w:footnoteRef/>
      </w:r>
      <w:r>
        <w:tab/>
        <w:t>Държави кандидатки и ако е приложимо, държави потенциални кандидатки от Западните Балкани.</w:t>
      </w:r>
    </w:p>
  </w:footnote>
  <w:footnote w:id="33">
    <w:p>
      <w:pPr>
        <w:pStyle w:val="FootnoteText"/>
        <w:rPr>
          <w:szCs w:val="24"/>
        </w:rPr>
      </w:pPr>
      <w:r>
        <w:rPr>
          <w:rStyle w:val="FootnoteReference"/>
        </w:rPr>
        <w:footnoteRef/>
      </w:r>
      <w:r>
        <w:tab/>
        <w:t>Година N е годината, през която започва да се осъществява предложението/инициативата.</w:t>
      </w:r>
    </w:p>
  </w:footnote>
  <w:footnote w:id="34">
    <w:p>
      <w:pPr>
        <w:pStyle w:val="FootnoteText"/>
        <w:rPr>
          <w:szCs w:val="24"/>
        </w:rPr>
      </w:pPr>
      <w:r>
        <w:rPr>
          <w:rStyle w:val="FootnoteReference"/>
        </w:rPr>
        <w:footnoteRef/>
      </w:r>
      <w:r>
        <w:tab/>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35">
    <w:p>
      <w:pPr>
        <w:pStyle w:val="FootnoteText"/>
        <w:rPr>
          <w:szCs w:val="24"/>
        </w:rPr>
      </w:pPr>
      <w:r>
        <w:rPr>
          <w:rStyle w:val="FootnoteReference"/>
        </w:rPr>
        <w:footnoteRef/>
      </w:r>
      <w:r>
        <w:tab/>
        <w:t>Година N е годината, през която започва да се осъществява предложението/инициативата.</w:t>
      </w:r>
    </w:p>
  </w:footnote>
  <w:footnote w:id="36">
    <w:p>
      <w:pPr>
        <w:pStyle w:val="FootnoteText"/>
        <w:rPr>
          <w:szCs w:val="24"/>
        </w:rPr>
      </w:pPr>
      <w:r>
        <w:rPr>
          <w:rStyle w:val="FootnoteReference"/>
        </w:rPr>
        <w:footnoteRef/>
      </w:r>
      <w:r>
        <w:tab/>
        <w:t>Резултатите са продуктите и услугите, които ще бъдат доставени (напр. брой финансирани обмени на учащи се, дължина на построените пътища в километри и т.н.).</w:t>
      </w:r>
    </w:p>
  </w:footnote>
  <w:footnote w:id="37">
    <w:p>
      <w:pPr>
        <w:pStyle w:val="FootnoteText"/>
        <w:rPr>
          <w:szCs w:val="24"/>
        </w:rPr>
      </w:pPr>
      <w:r>
        <w:rPr>
          <w:rStyle w:val="FootnoteReference"/>
        </w:rPr>
        <w:footnoteRef/>
      </w:r>
      <w:r>
        <w:tab/>
        <w:t xml:space="preserve">Съгласно описанието в точка 1.4.2. „Конкретни цели…“. </w:t>
      </w:r>
    </w:p>
  </w:footnote>
  <w:footnote w:id="38">
    <w:p>
      <w:pPr>
        <w:pStyle w:val="FootnoteText"/>
        <w:rPr>
          <w:szCs w:val="24"/>
        </w:rPr>
      </w:pPr>
      <w:r>
        <w:rPr>
          <w:rStyle w:val="FootnoteReference"/>
        </w:rPr>
        <w:footnoteRef/>
      </w:r>
      <w:r>
        <w:tab/>
        <w:t>Година N е годината, през която започва да се осъществява предложението/инициативата.</w:t>
      </w:r>
    </w:p>
  </w:footnote>
  <w:footnote w:id="39">
    <w:p>
      <w:pPr>
        <w:pStyle w:val="FootnoteText"/>
        <w:rPr>
          <w:szCs w:val="24"/>
        </w:rPr>
      </w:pPr>
      <w:r>
        <w:rPr>
          <w:rStyle w:val="FootnoteReference"/>
        </w:rPr>
        <w:footnoteRef/>
      </w:r>
      <w:r>
        <w:tab/>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40">
    <w:p>
      <w:pPr>
        <w:pStyle w:val="FootnoteText"/>
        <w:rPr>
          <w:szCs w:val="24"/>
        </w:rPr>
      </w:pPr>
      <w:r>
        <w:rPr>
          <w:rStyle w:val="FootnoteReference"/>
        </w:rPr>
        <w:footnoteRef/>
      </w:r>
      <w:r>
        <w:tab/>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41">
    <w:p>
      <w:pPr>
        <w:pStyle w:val="FootnoteText"/>
        <w:rPr>
          <w:szCs w:val="24"/>
        </w:rPr>
      </w:pPr>
      <w:r>
        <w:rPr>
          <w:rStyle w:val="FootnoteReference"/>
        </w:rPr>
        <w:footnoteRef/>
      </w:r>
      <w:r>
        <w:tab/>
        <w:t>Подтаван за външния персонал, покрит с бюджетните кредити за оперативни разходи (предишни редове BA).</w:t>
      </w:r>
    </w:p>
  </w:footnote>
  <w:footnote w:id="42">
    <w:p>
      <w:pPr>
        <w:pStyle w:val="FootnoteText"/>
        <w:rPr>
          <w:szCs w:val="24"/>
        </w:rPr>
      </w:pPr>
      <w:r>
        <w:rPr>
          <w:rStyle w:val="FootnoteReference"/>
        </w:rPr>
        <w:footnoteRef/>
      </w:r>
      <w:r>
        <w:tab/>
        <w:t>Що се отнася до традиционните собствени ресурси (мита, налози върху захарта), посочените суми трябва да бъдат нетни, т.е. брутни суми, от които са приспаднати 25 % за разходи по събирането.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44282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024251E"/>
    <w:lvl w:ilvl="0">
      <w:start w:val="1"/>
      <w:numFmt w:val="decimal"/>
      <w:pStyle w:val="ListNumber3"/>
      <w:lvlText w:val="%1."/>
      <w:lvlJc w:val="left"/>
      <w:pPr>
        <w:tabs>
          <w:tab w:val="num" w:pos="926"/>
        </w:tabs>
        <w:ind w:left="926" w:hanging="360"/>
      </w:pPr>
    </w:lvl>
  </w:abstractNum>
  <w:abstractNum w:abstractNumId="2">
    <w:nsid w:val="FFFFFF7F"/>
    <w:multiLevelType w:val="singleLevel"/>
    <w:tmpl w:val="BAC487B6"/>
    <w:lvl w:ilvl="0">
      <w:start w:val="1"/>
      <w:numFmt w:val="decimal"/>
      <w:pStyle w:val="ListNumber2"/>
      <w:lvlText w:val="%1."/>
      <w:lvlJc w:val="left"/>
      <w:pPr>
        <w:tabs>
          <w:tab w:val="num" w:pos="643"/>
        </w:tabs>
        <w:ind w:left="643" w:hanging="360"/>
      </w:pPr>
    </w:lvl>
  </w:abstractNum>
  <w:abstractNum w:abstractNumId="3">
    <w:nsid w:val="FFFFFF81"/>
    <w:multiLevelType w:val="singleLevel"/>
    <w:tmpl w:val="38A68C1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09645F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12C887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960C650"/>
    <w:lvl w:ilvl="0">
      <w:start w:val="1"/>
      <w:numFmt w:val="decimal"/>
      <w:pStyle w:val="ListNumber"/>
      <w:lvlText w:val="%1."/>
      <w:lvlJc w:val="left"/>
      <w:pPr>
        <w:tabs>
          <w:tab w:val="num" w:pos="360"/>
        </w:tabs>
        <w:ind w:left="360" w:hanging="360"/>
      </w:pPr>
    </w:lvl>
  </w:abstractNum>
  <w:abstractNum w:abstractNumId="7">
    <w:nsid w:val="FFFFFF89"/>
    <w:multiLevelType w:val="singleLevel"/>
    <w:tmpl w:val="ADC2643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358D1B6B"/>
    <w:multiLevelType w:val="hybridMultilevel"/>
    <w:tmpl w:val="FFD05CB6"/>
    <w:styleLink w:val="Stileimportato2"/>
    <w:lvl w:ilvl="0" w:tplc="4242606A">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5C4E8F6A">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5D4CC31E">
      <w:start w:val="1"/>
      <w:numFmt w:val="decimal"/>
      <w:lvlText w:val="(%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tplc="FA3C9D78">
      <w:start w:val="1"/>
      <w:numFmt w:val="decimal"/>
      <w:lvlText w:val="(%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93A0E044">
      <w:start w:val="1"/>
      <w:numFmt w:val="decimal"/>
      <w:lvlText w:val="(%5)"/>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3732F2B8">
      <w:start w:val="1"/>
      <w:numFmt w:val="decimal"/>
      <w:lvlText w:val="(%6)"/>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0D408D1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0C241C22">
      <w:start w:val="1"/>
      <w:numFmt w:val="decimal"/>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9B86F2D8">
      <w:start w:val="1"/>
      <w:numFmt w:val="decimal"/>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F700930"/>
    <w:multiLevelType w:val="hybridMultilevel"/>
    <w:tmpl w:val="43347B4A"/>
    <w:styleLink w:val="Stileimportato4"/>
    <w:lvl w:ilvl="0" w:tplc="62A26DC8">
      <w:start w:val="1"/>
      <w:numFmt w:val="decimal"/>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tplc="05AE2482">
      <w:start w:val="1"/>
      <w:numFmt w:val="lowerLetter"/>
      <w:lvlText w:val="(%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tplc="09F45A00">
      <w:start w:val="1"/>
      <w:numFmt w:val="decimal"/>
      <w:lvlText w:val="(%3)"/>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4BC8AD12">
      <w:start w:val="1"/>
      <w:numFmt w:val="lowerLetter"/>
      <w:lvlText w:val="(%4)"/>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B907EC4">
      <w:start w:val="1"/>
      <w:numFmt w:val="decimal"/>
      <w:lvlText w:val="(%5)"/>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EA2CD34">
      <w:start w:val="1"/>
      <w:numFmt w:val="lowerLetter"/>
      <w:lvlText w:val="(%6)"/>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EE10698A">
      <w:start w:val="1"/>
      <w:numFmt w:val="decimal"/>
      <w:lvlText w:val="(%7)"/>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1C89A60">
      <w:start w:val="1"/>
      <w:numFmt w:val="lowerLetter"/>
      <w:lvlText w:val="(%8)"/>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516D676">
      <w:start w:val="1"/>
      <w:numFmt w:val="lowerLetter"/>
      <w:lvlText w:val="(%9)"/>
      <w:lvlJc w:val="left"/>
      <w:pPr>
        <w:ind w:left="3118"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num>
  <w:num w:numId="2">
    <w:abstractNumId w:val="23"/>
  </w:num>
  <w:num w:numId="3">
    <w:abstractNumId w:val="26"/>
    <w:lvlOverride w:ilvl="0">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22"/>
    <w:lvlOverride w:ilvl="0">
      <w:startOverride w:val="1"/>
    </w:lvlOverride>
  </w:num>
  <w:num w:numId="13">
    <w:abstractNumId w:val="8"/>
  </w:num>
  <w:num w:numId="14">
    <w:abstractNumId w:val="18"/>
  </w:num>
  <w:num w:numId="15">
    <w:abstractNumId w:val="17"/>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4"/>
  </w:num>
  <w:num w:numId="19">
    <w:abstractNumId w:val="25"/>
  </w:num>
  <w:num w:numId="20">
    <w:abstractNumId w:val="12"/>
  </w:num>
  <w:num w:numId="21">
    <w:abstractNumId w:val="15"/>
  </w:num>
  <w:num w:numId="22">
    <w:abstractNumId w:val="10"/>
  </w:num>
  <w:num w:numId="23">
    <w:abstractNumId w:val="24"/>
  </w:num>
  <w:num w:numId="24">
    <w:abstractNumId w:val="9"/>
  </w:num>
  <w:num w:numId="25">
    <w:abstractNumId w:val="16"/>
  </w:num>
  <w:num w:numId="26">
    <w:abstractNumId w:val="20"/>
  </w:num>
  <w:num w:numId="27">
    <w:abstractNumId w:val="21"/>
  </w:num>
  <w:num w:numId="28">
    <w:abstractNumId w:val="11"/>
  </w:num>
  <w:num w:numId="29">
    <w:abstractNumId w:val="19"/>
  </w:num>
  <w:num w:numId="3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8-18 12:16:32"/>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20"/>
    <w:docVar w:name="DQCResult_UnknownFonts" w:val="0;0"/>
    <w:docVar w:name="DQCResult_UnknownStyles" w:val="0;19"/>
    <w:docVar w:name="DQCStatus" w:val="Green"/>
    <w:docVar w:name="DQCVersion" w:val="3"/>
    <w:docVar w:name="DQCWithWarnings" w:val="0"/>
    <w:docVar w:name="LW_CONFIDENCE" w:val=" "/>
    <w:docVar w:name="LW_CONST_RESTREINT_UE" w:val="RESTREINT UE"/>
    <w:docVar w:name="LW_CORRIGENDUM" w:val="&lt;UNUSED&gt;"/>
    <w:docVar w:name="LW_COVERPAGE_GUID" w:val="6A27DE7FD51B41179E22E9AE4677DFAE"/>
    <w:docVar w:name="LW_CROSSREFERENCE" w:val="&lt;UNUSED&gt;"/>
    <w:docVar w:name="LW_DocType" w:val="COM"/>
    <w:docVar w:name="LW_EMISSION" w:val="30.8.2016"/>
    <w:docVar w:name="LW_EMISSION_ISODATE" w:val="2016-08-30"/>
    <w:docVar w:name="LW_EMISSION_LOCATION" w:val="BRX"/>
    <w:docVar w:name="LW_EMISSION_PREFIX" w:val="Брюксел, "/>
    <w:docVar w:name="LW_EMISSION_SUFFIX" w:val=" \u1075?."/>
    <w:docVar w:name="LW_ID_DOCMODEL" w:val="SJ-025"/>
    <w:docVar w:name="LW_ID_DOCSIGNATURE" w:val="SJ-025"/>
    <w:docVar w:name="LW_ID_DOCSTRUCTURE" w:val="COM/PL/ORG"/>
    <w:docVar w:name="LW_ID_DOCTYPE" w:val="SJ-025"/>
    <w:docVar w:name="LW_ID_STATUT" w:val="SJ-025"/>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59"/>
    <w:docVar w:name="LW_REF.II.NEW.CP_YEAR" w:val="2016"/>
    <w:docVar w:name="LW_REF.INST.NEW" w:val="COM"/>
    <w:docVar w:name="LW_REF.INST.NEW_ADOPTED" w:val="final"/>
    <w:docVar w:name="LW_REF.INST.NEW_TEXT" w:val="(2016) 543"/>
    <w:docVar w:name="LW_REF.INTERNE" w:val="&lt;UNUSED&gt;"/>
    <w:docVar w:name="LW_SOUS.TITRE.OBJ.CP" w:val="&lt;UNUSED&gt;"/>
    <w:docVar w:name="LW_STATUT.CP" w:val="\u1055?\u1088?\u1077?\u1076?\u1083?\u1086?\u1078?\u1077?\u1085?\u1080?\u1077? \u1079?\u1072?"/>
    <w:docVar w:name="LW_SUPERTITRE" w:val="&lt;UNUSED&gt;"/>
    <w:docVar w:name="LW_TITRE.OBJ.CP" w:val="\u1086?\u1090?\u1085?\u1086?\u1089?\u1085?\u1086? \u1045?\u1074?\u1088?\u1086?\u1087?\u1077?\u1081?\u1089?\u1082?\u1072? \u1075?\u1086?\u1076?\u1080?\u1085?\u1072? \u1085?\u1072? \u1082?\u1091?\u1083?\u1090?\u1091?\u1088?\u1085?\u1086?\u1090?\u1086? \u1085?\u1072?\u1089?\u1083?\u1077?\u1076?\u1089?\u1090?\u1074?\u1086?"/>
    <w:docVar w:name="LW_TYPE.DOC.CP" w:val="\u1056?\u1045?\u1064?\u1045?\u1053?\u1048?\u1045?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o">
    <w:name w:val="Corpo"/>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paragraph" w:styleId="CommentText">
    <w:name w:val="annotation text"/>
    <w:basedOn w:val="Normal"/>
    <w:link w:val="CommentTextChar"/>
    <w:uiPriority w:val="99"/>
    <w:unhideWhenUsed/>
    <w:pPr>
      <w:pBdr>
        <w:top w:val="nil"/>
        <w:left w:val="nil"/>
        <w:bottom w:val="nil"/>
        <w:right w:val="nil"/>
        <w:between w:val="nil"/>
        <w:bar w:val="nil"/>
      </w:pBdr>
      <w:spacing w:before="0" w:after="0"/>
      <w:jc w:val="left"/>
    </w:pPr>
    <w:rPr>
      <w:rFonts w:eastAsia="Arial Unicode MS"/>
      <w:sz w:val="20"/>
      <w:szCs w:val="20"/>
      <w:bdr w:val="nil"/>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0"/>
      <w:szCs w:val="20"/>
      <w:bdr w:val="nil"/>
      <w:lang w:val="bg-BG"/>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Hyperlink">
    <w:name w:val="Hyperlink"/>
    <w:rPr>
      <w:u w:val="single"/>
    </w:rPr>
  </w:style>
  <w:style w:type="character" w:customStyle="1" w:styleId="Hyperlink0">
    <w:name w:val="Hyperlink.0"/>
    <w:basedOn w:val="DefaultParagraphFont"/>
    <w:rPr>
      <w:color w:val="0000FF"/>
      <w:u w:val="single" w:color="0000FF"/>
      <w:lang w:val="bg-BG"/>
    </w:rPr>
  </w:style>
  <w:style w:type="numbering" w:customStyle="1" w:styleId="Stileimportato2">
    <w:name w:val="Stile importato 2"/>
    <w:pPr>
      <w:numPr>
        <w:numId w:val="1"/>
      </w:numPr>
    </w:pPr>
  </w:style>
  <w:style w:type="paragraph" w:styleId="ListParagraph">
    <w:name w:val="List Paragraph"/>
    <w:basedOn w:val="Normal"/>
    <w:uiPriority w:val="34"/>
    <w:qFormat/>
    <w:pPr>
      <w:pBdr>
        <w:top w:val="nil"/>
        <w:left w:val="nil"/>
        <w:bottom w:val="nil"/>
        <w:right w:val="nil"/>
        <w:between w:val="nil"/>
        <w:bar w:val="nil"/>
      </w:pBdr>
      <w:spacing w:before="0" w:after="0"/>
      <w:ind w:left="720"/>
      <w:contextualSpacing/>
      <w:jc w:val="left"/>
    </w:pPr>
    <w:rPr>
      <w:rFonts w:eastAsia="Arial Unicode MS"/>
      <w:szCs w:val="24"/>
      <w:bdr w:val="nil"/>
    </w:rPr>
  </w:style>
  <w:style w:type="numbering" w:customStyle="1" w:styleId="Stileimportato4">
    <w:name w:val="Stile importato 4"/>
    <w:pPr>
      <w:numPr>
        <w:numId w:val="2"/>
      </w:numPr>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b/>
      <w:bCs/>
      <w:bdr w:val="none" w:sz="0" w:space="0" w:color="auto"/>
    </w:rPr>
  </w:style>
  <w:style w:type="character" w:customStyle="1" w:styleId="CommentSubjectChar">
    <w:name w:val="Comment Subject Char"/>
    <w:basedOn w:val="CommentTextChar"/>
    <w:link w:val="CommentSubject"/>
    <w:uiPriority w:val="99"/>
    <w:semiHidden/>
    <w:rPr>
      <w:rFonts w:ascii="Times New Roman" w:eastAsia="Arial Unicode MS" w:hAnsi="Times New Roman" w:cs="Times New Roman"/>
      <w:b/>
      <w:bCs/>
      <w:sz w:val="20"/>
      <w:szCs w:val="20"/>
      <w:bdr w:val="nil"/>
      <w:lang w:val="bg-BG"/>
    </w:rPr>
  </w:style>
  <w:style w:type="paragraph" w:customStyle="1" w:styleId="ListBullet1">
    <w:name w:val="List Bullet 1"/>
    <w:basedOn w:val="Normal"/>
    <w:pPr>
      <w:numPr>
        <w:numId w:val="13"/>
      </w:numPr>
    </w:pPr>
    <w:rPr>
      <w:rFonts w:eastAsia="Times New Roman"/>
    </w:rPr>
  </w:style>
  <w:style w:type="paragraph" w:customStyle="1" w:styleId="ListDash1">
    <w:name w:val="List Dash 1"/>
    <w:basedOn w:val="Normal"/>
    <w:pPr>
      <w:numPr>
        <w:numId w:val="14"/>
      </w:numPr>
    </w:pPr>
    <w:rPr>
      <w:rFonts w:eastAsia="Times New Roman"/>
    </w:rPr>
  </w:style>
  <w:style w:type="paragraph" w:customStyle="1" w:styleId="ListDash2">
    <w:name w:val="List Dash 2"/>
    <w:basedOn w:val="Normal"/>
    <w:pPr>
      <w:numPr>
        <w:numId w:val="15"/>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o">
    <w:name w:val="Corpo"/>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paragraph" w:styleId="CommentText">
    <w:name w:val="annotation text"/>
    <w:basedOn w:val="Normal"/>
    <w:link w:val="CommentTextChar"/>
    <w:uiPriority w:val="99"/>
    <w:unhideWhenUsed/>
    <w:pPr>
      <w:pBdr>
        <w:top w:val="nil"/>
        <w:left w:val="nil"/>
        <w:bottom w:val="nil"/>
        <w:right w:val="nil"/>
        <w:between w:val="nil"/>
        <w:bar w:val="nil"/>
      </w:pBdr>
      <w:spacing w:before="0" w:after="0"/>
      <w:jc w:val="left"/>
    </w:pPr>
    <w:rPr>
      <w:rFonts w:eastAsia="Arial Unicode MS"/>
      <w:sz w:val="20"/>
      <w:szCs w:val="20"/>
      <w:bdr w:val="nil"/>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0"/>
      <w:szCs w:val="20"/>
      <w:bdr w:val="nil"/>
      <w:lang w:val="bg-BG"/>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Hyperlink">
    <w:name w:val="Hyperlink"/>
    <w:rPr>
      <w:u w:val="single"/>
    </w:rPr>
  </w:style>
  <w:style w:type="character" w:customStyle="1" w:styleId="Hyperlink0">
    <w:name w:val="Hyperlink.0"/>
    <w:basedOn w:val="DefaultParagraphFont"/>
    <w:rPr>
      <w:color w:val="0000FF"/>
      <w:u w:val="single" w:color="0000FF"/>
      <w:lang w:val="bg-BG"/>
    </w:rPr>
  </w:style>
  <w:style w:type="numbering" w:customStyle="1" w:styleId="Stileimportato2">
    <w:name w:val="Stile importato 2"/>
    <w:pPr>
      <w:numPr>
        <w:numId w:val="1"/>
      </w:numPr>
    </w:pPr>
  </w:style>
  <w:style w:type="paragraph" w:styleId="ListParagraph">
    <w:name w:val="List Paragraph"/>
    <w:basedOn w:val="Normal"/>
    <w:uiPriority w:val="34"/>
    <w:qFormat/>
    <w:pPr>
      <w:pBdr>
        <w:top w:val="nil"/>
        <w:left w:val="nil"/>
        <w:bottom w:val="nil"/>
        <w:right w:val="nil"/>
        <w:between w:val="nil"/>
        <w:bar w:val="nil"/>
      </w:pBdr>
      <w:spacing w:before="0" w:after="0"/>
      <w:ind w:left="720"/>
      <w:contextualSpacing/>
      <w:jc w:val="left"/>
    </w:pPr>
    <w:rPr>
      <w:rFonts w:eastAsia="Arial Unicode MS"/>
      <w:szCs w:val="24"/>
      <w:bdr w:val="nil"/>
    </w:rPr>
  </w:style>
  <w:style w:type="numbering" w:customStyle="1" w:styleId="Stileimportato4">
    <w:name w:val="Stile importato 4"/>
    <w:pPr>
      <w:numPr>
        <w:numId w:val="2"/>
      </w:numPr>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b/>
      <w:bCs/>
      <w:bdr w:val="none" w:sz="0" w:space="0" w:color="auto"/>
    </w:rPr>
  </w:style>
  <w:style w:type="character" w:customStyle="1" w:styleId="CommentSubjectChar">
    <w:name w:val="Comment Subject Char"/>
    <w:basedOn w:val="CommentTextChar"/>
    <w:link w:val="CommentSubject"/>
    <w:uiPriority w:val="99"/>
    <w:semiHidden/>
    <w:rPr>
      <w:rFonts w:ascii="Times New Roman" w:eastAsia="Arial Unicode MS" w:hAnsi="Times New Roman" w:cs="Times New Roman"/>
      <w:b/>
      <w:bCs/>
      <w:sz w:val="20"/>
      <w:szCs w:val="20"/>
      <w:bdr w:val="nil"/>
      <w:lang w:val="bg-BG"/>
    </w:rPr>
  </w:style>
  <w:style w:type="paragraph" w:customStyle="1" w:styleId="ListBullet1">
    <w:name w:val="List Bullet 1"/>
    <w:basedOn w:val="Normal"/>
    <w:pPr>
      <w:numPr>
        <w:numId w:val="13"/>
      </w:numPr>
    </w:pPr>
    <w:rPr>
      <w:rFonts w:eastAsia="Times New Roman"/>
    </w:rPr>
  </w:style>
  <w:style w:type="paragraph" w:customStyle="1" w:styleId="ListDash1">
    <w:name w:val="List Dash 1"/>
    <w:basedOn w:val="Normal"/>
    <w:pPr>
      <w:numPr>
        <w:numId w:val="14"/>
      </w:numPr>
    </w:pPr>
    <w:rPr>
      <w:rFonts w:eastAsia="Times New Roman"/>
    </w:rPr>
  </w:style>
  <w:style w:type="paragraph" w:customStyle="1" w:styleId="ListDash2">
    <w:name w:val="List Dash 2"/>
    <w:basedOn w:val="Normal"/>
    <w:pPr>
      <w:numPr>
        <w:numId w:val="15"/>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cec/budg/leg/internal/leg-070_internal_en.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ookshop.europa.eu/en/getting-cultural-heritage-to-work-for-europe-pbKI0115128/" TargetMode="External"/><Relationship Id="rId2" Type="http://schemas.openxmlformats.org/officeDocument/2006/relationships/hyperlink" Target="http://ec.europa.eu/culture/news/2015/0612-cultural-heritage-counts_en.htm" TargetMode="External"/><Relationship Id="rId1" Type="http://schemas.openxmlformats.org/officeDocument/2006/relationships/hyperlink" Target="http://www.sharingheritage.de/en/main/" TargetMode="External"/><Relationship Id="rId5" Type="http://schemas.openxmlformats.org/officeDocument/2006/relationships/hyperlink" Target="http://www.culturalbase.eu./" TargetMode="External"/><Relationship Id="rId4" Type="http://schemas.openxmlformats.org/officeDocument/2006/relationships/hyperlink" Target="http://www.jpi-culturalheritage.eu/wp-content/uploads/SRA-2014-0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E510F-542E-4613-B3EA-A315C6301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37</Pages>
  <Words>8371</Words>
  <Characters>51149</Characters>
  <Application>Microsoft Office Word</Application>
  <DocSecurity>0</DocSecurity>
  <Lines>2045</Lines>
  <Paragraphs>717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2016-07-15T09:03:00Z</cp:lastPrinted>
  <dcterms:created xsi:type="dcterms:W3CDTF">2016-08-02T14:29:00Z</dcterms:created>
  <dcterms:modified xsi:type="dcterms:W3CDTF">2016-08-18T10:16:00Z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SJ-025</vt:lpwstr>
  </property>
  <property fmtid="{D5CDD505-2E9C-101B-9397-08002B2CF9AE}" pid="10" name="DQCStatus">
    <vt:lpwstr>Green (DQC version 03)</vt:lpwstr>
  </property>
</Properties>
</file>