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F67203E2284DD482C7A68832E040FB" style="width:450.8pt;height:348.7pt">
            <v:imagedata r:id="rId8" o:title=""/>
          </v:shape>
        </w:pict>
      </w:r>
    </w:p>
    <w:bookmarkEnd w:id="0"/>
    <w:p>
      <w:pPr>
        <w:rPr>
          <w:noProof/>
          <w:lang w:val="bg-BG"/>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lang w:val="bg-BG"/>
        </w:rPr>
      </w:pPr>
      <w:bookmarkStart w:id="1" w:name="_GoBack"/>
      <w:bookmarkEnd w:id="1"/>
      <w:r>
        <w:rPr>
          <w:rFonts w:ascii="Times New Roman" w:hAnsi="Times New Roman"/>
          <w:b/>
          <w:noProof/>
          <w:sz w:val="24"/>
          <w:lang w:val="bg-BG"/>
        </w:rPr>
        <w:lastRenderedPageBreak/>
        <w:t>ДОКЛАД НА КОМИСИЯТА ДО ЕВРОПЕЙСКИЯ ПАРЛАМЕНТ И СЪВЕТА</w:t>
      </w:r>
    </w:p>
    <w:p>
      <w:pPr>
        <w:spacing w:line="240" w:lineRule="auto"/>
        <w:jc w:val="center"/>
        <w:rPr>
          <w:rFonts w:ascii="Times New Roman" w:hAnsi="Times New Roman"/>
          <w:b/>
          <w:noProof/>
          <w:sz w:val="24"/>
          <w:szCs w:val="24"/>
          <w:lang w:val="bg-BG"/>
        </w:rPr>
      </w:pPr>
      <w:r>
        <w:rPr>
          <w:rFonts w:ascii="Times New Roman" w:hAnsi="Times New Roman"/>
          <w:b/>
          <w:noProof/>
          <w:sz w:val="24"/>
          <w:lang w:val="bg-BG"/>
        </w:rPr>
        <w:t>относно упражняването на правомощието за приемане на делегирани актове, предоставено на Комисията в съответствие с Регламент (ЕС) № 473/2013 на Европейския парламент и на Съвета от 21 май 2013 г.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w:t>
      </w:r>
    </w:p>
    <w:p>
      <w:pPr>
        <w:rPr>
          <w:rFonts w:ascii="Times New Roman" w:hAnsi="Times New Roman"/>
          <w:noProof/>
          <w:sz w:val="24"/>
          <w:szCs w:val="24"/>
          <w:lang w:val="bg-BG"/>
        </w:rPr>
      </w:pPr>
    </w:p>
    <w:p>
      <w:pPr>
        <w:jc w:val="both"/>
        <w:rPr>
          <w:rFonts w:ascii="Times New Roman" w:hAnsi="Times New Roman"/>
          <w:b/>
          <w:noProof/>
          <w:sz w:val="24"/>
          <w:szCs w:val="24"/>
          <w:lang w:val="bg-BG"/>
        </w:rPr>
      </w:pPr>
      <w:r>
        <w:rPr>
          <w:rFonts w:ascii="Times New Roman" w:hAnsi="Times New Roman"/>
          <w:b/>
          <w:noProof/>
          <w:sz w:val="24"/>
          <w:szCs w:val="24"/>
          <w:lang w:val="bg-BG"/>
        </w:rPr>
        <w:t xml:space="preserve">1. </w:t>
      </w:r>
      <w:r>
        <w:rPr>
          <w:rFonts w:ascii="Times New Roman" w:hAnsi="Times New Roman"/>
          <w:b/>
          <w:noProof/>
          <w:sz w:val="24"/>
          <w:szCs w:val="24"/>
          <w:lang w:val="bg-BG"/>
        </w:rPr>
        <w:tab/>
      </w:r>
      <w:r>
        <w:rPr>
          <w:rFonts w:ascii="Times New Roman" w:hAnsi="Times New Roman"/>
          <w:b/>
          <w:noProof/>
          <w:sz w:val="24"/>
          <w:lang w:val="bg-BG"/>
        </w:rPr>
        <w:t>ВЪВЕДЕНИЕ</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Регламент (ЕС) № 473/2013 на Европейския парламент и на Съвета </w:t>
      </w:r>
      <w:r>
        <w:rPr>
          <w:rFonts w:ascii="Times New Roman" w:hAnsi="Times New Roman"/>
          <w:i/>
          <w:noProof/>
          <w:sz w:val="24"/>
          <w:lang w:val="bg-BG"/>
        </w:rPr>
        <w:t>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w:t>
      </w:r>
      <w:r>
        <w:rPr>
          <w:rFonts w:ascii="Times New Roman" w:hAnsi="Times New Roman"/>
          <w:noProof/>
          <w:sz w:val="24"/>
          <w:vertAlign w:val="superscript"/>
          <w:lang w:val="bg-BG"/>
        </w:rPr>
        <w:footnoteReference w:id="1"/>
      </w:r>
      <w:r>
        <w:rPr>
          <w:rFonts w:ascii="Times New Roman" w:hAnsi="Times New Roman"/>
          <w:noProof/>
          <w:sz w:val="24"/>
          <w:lang w:val="bg-BG"/>
        </w:rPr>
        <w:t xml:space="preserve"> е един от двата правни акта от пакета за икономическо управление, наречен „пакетът от два акта“, който е насочен към засилване на надзора и наблюдението в еврозоната. По-специално той позволява засилен надзор на държавите членки от еврозоната, за които е започната процедура при прекомерен дефицит (ППД), чрез изисквания за допълнително докладване, целящи предотвратяване и ранно коригиране на всякакви отклонения от препоръките или решенията на Съвета, за да се даде предизвестие за коригиране на прекомерния дефицит.</w:t>
      </w:r>
    </w:p>
    <w:p>
      <w:pPr>
        <w:spacing w:before="120" w:after="240" w:line="240" w:lineRule="auto"/>
        <w:jc w:val="both"/>
        <w:rPr>
          <w:rFonts w:ascii="Times New Roman" w:hAnsi="Times New Roman"/>
          <w:noProof/>
          <w:sz w:val="24"/>
          <w:szCs w:val="24"/>
          <w:lang w:val="bg-BG"/>
        </w:rPr>
      </w:pPr>
      <w:r>
        <w:rPr>
          <w:rFonts w:ascii="Times New Roman" w:hAnsi="Times New Roman"/>
          <w:noProof/>
          <w:sz w:val="24"/>
          <w:lang w:val="bg-BG"/>
        </w:rPr>
        <w:t>Член 10, параграф 3 от Регламент (ЕС) № 473/2013 оправомощава Комисията да приема делегирани актове с цел да уточни съдържанието на допълнителното докладване, което държавите членки в процедура при прекомерен дефицит следва да представят на Комисията и на Икономическия и финансов комитет на Съвета. Тези делегирани на Комисията правомощия отразяват преминаването към постоянен надзор с цел да се следи отблизо дали съответните държави членки напредват с коригирането на прекомерния дефицит.</w:t>
      </w:r>
    </w:p>
    <w:p>
      <w:pPr>
        <w:jc w:val="both"/>
        <w:rPr>
          <w:rFonts w:ascii="Times New Roman" w:hAnsi="Times New Roman"/>
          <w:b/>
          <w:noProof/>
          <w:sz w:val="24"/>
          <w:szCs w:val="24"/>
          <w:lang w:val="bg-BG"/>
        </w:rPr>
      </w:pPr>
      <w:r>
        <w:rPr>
          <w:rFonts w:ascii="Times New Roman" w:hAnsi="Times New Roman"/>
          <w:b/>
          <w:noProof/>
          <w:sz w:val="24"/>
          <w:lang w:val="bg-BG"/>
        </w:rPr>
        <w:t xml:space="preserve">2. </w:t>
      </w:r>
      <w:r>
        <w:rPr>
          <w:noProof/>
          <w:lang w:val="bg-BG"/>
        </w:rPr>
        <w:tab/>
      </w:r>
      <w:r>
        <w:rPr>
          <w:rFonts w:ascii="Times New Roman" w:hAnsi="Times New Roman"/>
          <w:b/>
          <w:noProof/>
          <w:sz w:val="24"/>
          <w:lang w:val="bg-BG"/>
        </w:rPr>
        <w:t>ПРАВНО ОСНОВАНИЕ</w:t>
      </w:r>
    </w:p>
    <w:p>
      <w:pPr>
        <w:spacing w:before="120" w:after="240" w:line="240" w:lineRule="auto"/>
        <w:jc w:val="both"/>
        <w:rPr>
          <w:rFonts w:ascii="Times New Roman" w:hAnsi="Times New Roman"/>
          <w:noProof/>
          <w:spacing w:val="-6"/>
          <w:sz w:val="24"/>
          <w:szCs w:val="24"/>
          <w:lang w:val="bg-BG"/>
        </w:rPr>
      </w:pPr>
      <w:r>
        <w:rPr>
          <w:rFonts w:ascii="Times New Roman" w:hAnsi="Times New Roman"/>
          <w:noProof/>
          <w:spacing w:val="-6"/>
          <w:sz w:val="24"/>
          <w:lang w:val="bg-BG"/>
        </w:rPr>
        <w:t>Настоящият доклад е изготвен във връзка с изискването по член 14, параграф 2 от Регламент (ЕС) № 473/2013. Съгласно посочената разпоредба правомощието да приема делегирани актове се предоставя на Комисията за срок от три години, считано от 30 май 2013 г., като Комисията се задължава да изготви доклад относно делегирането на правомощия.</w:t>
      </w:r>
    </w:p>
    <w:p>
      <w:pPr>
        <w:jc w:val="both"/>
        <w:rPr>
          <w:rFonts w:ascii="Times New Roman" w:hAnsi="Times New Roman"/>
          <w:b/>
          <w:noProof/>
          <w:sz w:val="24"/>
          <w:szCs w:val="24"/>
          <w:lang w:val="bg-BG"/>
        </w:rPr>
      </w:pPr>
      <w:r>
        <w:rPr>
          <w:rFonts w:ascii="Times New Roman" w:hAnsi="Times New Roman"/>
          <w:b/>
          <w:noProof/>
          <w:sz w:val="24"/>
          <w:lang w:val="bg-BG"/>
        </w:rPr>
        <w:t>3.</w:t>
      </w:r>
      <w:r>
        <w:rPr>
          <w:noProof/>
          <w:lang w:val="bg-BG"/>
        </w:rPr>
        <w:tab/>
      </w:r>
      <w:r>
        <w:rPr>
          <w:rFonts w:ascii="Times New Roman" w:hAnsi="Times New Roman"/>
          <w:b/>
          <w:noProof/>
          <w:sz w:val="24"/>
          <w:lang w:val="bg-BG"/>
        </w:rPr>
        <w:t>УПРАЖНЯВАНЕ НА ДЕЛЕГИРАНЕТО</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Правомощието за приемане на делегирани актове беше упражнявано, за да се гарантира обвързваща, хармонизирана рамка за информацията, която се докладва от държавите членки, както е описано в член 10 от Регламент (ЕС) № 473/2013. </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съответствие с член 10, параграф 3 от Регламент (ЕС) № 473/2013 държава членка, чиято парична единица е еврото и която е в процедура при прекомерен дефицит, докладва редовно на Комисията и на Икономическия и финансов комитет за сектор „Държавно управление“ и неговите подсектори, за изпълнението през годината на бюджета, за въздействието върху бюджета на предприетите дискреционни мерки по отношение на разходите и приходите, за целите за държавните разходи и приходи, както и информация относно взетите мерки и естеството на мерките, предвидени за постигане на целите. Тези доклади трябва да бъдат представяни на всеки шест месеца от държавите членки, подлежащи на препоръка по член 126, параграф 7 от ДФЕС, или на всеки три месеца от държавите членки, подлежащи на предизвестие по член 126, параграф 9 от ДФЕС. Това редовно докладване допълва задълженията за докладване, посочени в член 3, параграф 4, буква а) и член 5, параграф 1, буква а) от Регламент (ЕО) № 1467/97</w:t>
      </w:r>
      <w:r>
        <w:rPr>
          <w:rStyle w:val="FootnoteReference"/>
          <w:rFonts w:ascii="Times New Roman" w:hAnsi="Times New Roman"/>
          <w:noProof/>
          <w:sz w:val="24"/>
          <w:lang w:val="bg-BG"/>
        </w:rPr>
        <w:footnoteReference w:id="2"/>
      </w:r>
      <w:r>
        <w:rPr>
          <w:rFonts w:ascii="Times New Roman" w:hAnsi="Times New Roman"/>
          <w:noProof/>
          <w:sz w:val="24"/>
          <w:lang w:val="bg-BG"/>
        </w:rPr>
        <w:t xml:space="preserve">, съгласно които държавите членки в ППД трябва да докладват за действията, предприети за коригиране на прекомерния дефицит. </w:t>
      </w:r>
    </w:p>
    <w:p>
      <w:pPr>
        <w:spacing w:before="120" w:after="120" w:line="240" w:lineRule="auto"/>
        <w:jc w:val="both"/>
        <w:rPr>
          <w:rFonts w:ascii="Times New Roman" w:hAnsi="Times New Roman"/>
          <w:noProof/>
          <w:spacing w:val="-4"/>
          <w:sz w:val="24"/>
          <w:szCs w:val="24"/>
          <w:lang w:val="bg-BG"/>
        </w:rPr>
      </w:pPr>
      <w:r>
        <w:rPr>
          <w:rFonts w:ascii="Times New Roman" w:hAnsi="Times New Roman"/>
          <w:noProof/>
          <w:spacing w:val="-4"/>
          <w:sz w:val="24"/>
          <w:lang w:val="bg-BG"/>
        </w:rPr>
        <w:t xml:space="preserve">Съгласно член 10, параграф 3 от Регламент (ЕС) № 473/2013 Комисията е оправомощена да приема делегирани актове, определящи съдържанието на редовния доклад. </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Комисията е използвала това правомощие умерено, като е приела един делегиран регламент, в който са установени подробностите за съдържанието на редовните доклади: Делегиран Регламент (ЕС) № 877/2013 на Комисията от 27 юни 2013 г. за допълнение на Регламент (ЕС) № 473/2013</w:t>
      </w:r>
      <w:r>
        <w:rPr>
          <w:rStyle w:val="FootnoteReference"/>
          <w:rFonts w:ascii="Times New Roman" w:hAnsi="Times New Roman"/>
          <w:noProof/>
          <w:sz w:val="24"/>
          <w:lang w:val="bg-BG"/>
        </w:rPr>
        <w:footnoteReference w:id="3"/>
      </w:r>
      <w:r>
        <w:rPr>
          <w:rFonts w:ascii="Times New Roman" w:hAnsi="Times New Roman"/>
          <w:noProof/>
          <w:sz w:val="24"/>
          <w:lang w:val="bg-BG"/>
        </w:rPr>
        <w:t>. Понастоящем Комисията не предвижда друго използване на правомощието по член 10, параграф 3.</w:t>
      </w:r>
    </w:p>
    <w:p>
      <w:pPr>
        <w:spacing w:before="120" w:after="120" w:line="240" w:lineRule="auto"/>
        <w:jc w:val="both"/>
        <w:rPr>
          <w:noProof/>
          <w:lang w:val="bg-BG"/>
        </w:rPr>
      </w:pPr>
      <w:r>
        <w:rPr>
          <w:rFonts w:ascii="Times New Roman" w:hAnsi="Times New Roman"/>
          <w:noProof/>
          <w:sz w:val="24"/>
          <w:lang w:val="bg-BG"/>
        </w:rPr>
        <w:t>В Делегиран Регламент (ЕС) № 877/2013 на Комисията се посочват структурата и съдържанието на докладите. По-конкретно той включва набор от образци на таблици, посочени в приложението към делегирания регламент, които обхващат ключовите бюджетни и макроикономически данни, позволяващи мониторинг на корекцията на прекомерния дефицит според изискванията на Регламент (ЕС) № 473/2013. За по-добро разбиране на динамиката на бюджетната ситуация съответните държави членки се очаква да докладват годишни и тримесечни данни, докато данните за изпълнението през годината на бюджета трябва да се докладват на касова и начислена основа (съгласно Европейската система от национални сметки (ESA)). Освен това за подпомагане на информираната оценка на действията, предприети от държавите членки, се прилага подробен доклад относно предприетите или планирани мерки за справяне с прекомерния дефицит и тяхното отражение върху бюджета. Докладването, установено в делегирания регламент, има за цел да предостави структурирана информация за бюджетната ситуация и стратегия на съответната държава членка, като осигурява подходящо проследяване на корекцията на техния прекомерен дефицит.</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съответствие с общото споразумение относно делегираните актове при подготовката и съставянето на проекта на делегиран регламент Комисията осигури едновременно, своевременно и подходящо предаване на съответните документи на експертно равнище на Европейския парламент (комисията по икономически и парични въпроси, чийто председател Шарън Боулс предостави коментари с писмо, изпратено на 18 юни 2013 г. до заместник-председателя Рен) и на Съвета (заместник-членове на Икономическия и финансов комитет, който го обсъди на 24 април и 5 юни 2013 г.). Тези неформални консултации позволиха на Комисията да вземе предвид коментарите от тях при изготвянето на проекта за делегиран регламент.</w:t>
      </w:r>
    </w:p>
    <w:p>
      <w:pPr>
        <w:spacing w:before="120" w:after="240" w:line="240" w:lineRule="auto"/>
        <w:jc w:val="both"/>
        <w:rPr>
          <w:rFonts w:ascii="Times New Roman" w:hAnsi="Times New Roman"/>
          <w:noProof/>
          <w:sz w:val="24"/>
          <w:szCs w:val="24"/>
          <w:lang w:val="bg-BG"/>
        </w:rPr>
      </w:pPr>
      <w:r>
        <w:rPr>
          <w:rFonts w:ascii="Times New Roman" w:hAnsi="Times New Roman"/>
          <w:noProof/>
          <w:sz w:val="24"/>
          <w:lang w:val="bg-BG"/>
        </w:rPr>
        <w:t xml:space="preserve">Комисията прие делегирания регламент на 27 юни 2013 г. и съответно нотифицира Европейския парламент и Съвета. Нито Европейският парламент, нито Съветът са представили възражение срещу делегирания регламент в двумесечния срок, предвиден в член 14, параграф 5 от Регламент (ЕС) № 473/2013. След изтичането на двумесечния срок делегираният регламент бе публикуван в </w:t>
      </w:r>
      <w:r>
        <w:rPr>
          <w:rFonts w:ascii="Times New Roman" w:hAnsi="Times New Roman"/>
          <w:i/>
          <w:noProof/>
          <w:sz w:val="24"/>
          <w:lang w:val="bg-BG"/>
        </w:rPr>
        <w:t>Официален вестник на Европейския съюз</w:t>
      </w:r>
      <w:r>
        <w:rPr>
          <w:rFonts w:ascii="Times New Roman" w:hAnsi="Times New Roman"/>
          <w:noProof/>
          <w:sz w:val="24"/>
          <w:lang w:val="bg-BG"/>
        </w:rPr>
        <w:t xml:space="preserve"> и влезе в сила на 16 септември 2013 г.</w:t>
      </w:r>
    </w:p>
    <w:p>
      <w:pPr>
        <w:jc w:val="both"/>
        <w:rPr>
          <w:rFonts w:ascii="Times New Roman" w:hAnsi="Times New Roman"/>
          <w:b/>
          <w:noProof/>
          <w:sz w:val="24"/>
          <w:szCs w:val="24"/>
          <w:lang w:val="bg-BG"/>
        </w:rPr>
      </w:pPr>
      <w:r>
        <w:rPr>
          <w:rFonts w:ascii="Times New Roman" w:hAnsi="Times New Roman"/>
          <w:b/>
          <w:noProof/>
          <w:sz w:val="24"/>
          <w:lang w:val="bg-BG"/>
        </w:rPr>
        <w:t xml:space="preserve">4. </w:t>
      </w:r>
      <w:r>
        <w:rPr>
          <w:noProof/>
          <w:lang w:val="bg-BG"/>
        </w:rPr>
        <w:tab/>
      </w:r>
      <w:r>
        <w:rPr>
          <w:rFonts w:ascii="Times New Roman" w:hAnsi="Times New Roman"/>
          <w:b/>
          <w:noProof/>
          <w:sz w:val="24"/>
          <w:lang w:val="bg-BG"/>
        </w:rPr>
        <w:t>ЗАКЛЮЧЕНИЕ</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Комисията е упражнила правилно делегираните ѝ правомощия и приканва Европейския парламент и Съвета да вземат под внимание настоящия доклад.</w:t>
      </w:r>
    </w:p>
    <w:p>
      <w:pPr>
        <w:jc w:val="both"/>
        <w:rPr>
          <w:rFonts w:ascii="Times New Roman" w:hAnsi="Times New Roman"/>
          <w:b/>
          <w:noProof/>
          <w:sz w:val="24"/>
          <w:szCs w:val="24"/>
          <w:lang w:val="bg-BG"/>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ОВ L 140, 27.5.2013 г., стр. 11.</w:t>
      </w:r>
    </w:p>
  </w:footnote>
  <w:footnote w:id="2">
    <w:p>
      <w:pPr>
        <w:pStyle w:val="FootnoteText"/>
        <w:spacing w:after="0" w:line="240" w:lineRule="auto"/>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Регламент (ЕО) № 1467/97 на Съвета за ускоряване и изясняване на прилагането на процедурата при прекомерен дефицит (ОВ L 209, 2.8.1997 г., стр. 6).</w:t>
      </w:r>
    </w:p>
  </w:footnote>
  <w:footnote w:id="3">
    <w:p>
      <w:pPr>
        <w:pStyle w:val="FootnoteText"/>
        <w:spacing w:after="0" w:line="240" w:lineRule="auto"/>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ОВ L 244, 13.9.2013 г., стр.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5F67203E2284DD482C7A68832E040FB"/>
    <w:docVar w:name="LW_CROSSREFERENCE" w:val="&lt;UNUSED&gt;"/>
    <w:docVar w:name="LW_DocType" w:val="NORMAL"/>
    <w:docVar w:name="LW_EMISSION" w:val="26.5.2016"/>
    <w:docVar w:name="LW_EMISSION_ISODATE" w:val="2016-05-2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81"/>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74? \u1089?\u1098?\u1086?\u1090?\u1074?\u1077?\u1090?\u1089?\u1090?\u1074?\u1080?\u1077? \u1089? \u1056?\u1077?\u1075?\u1083?\u1072?\u1084?\u1077?\u1085?\u1090? (\u1045?\u1057?) \u8470? 473/2013 \u1085?\u1072? \u1045?\u1074?\u1088?\u1086?\u1087?\u1077?\u1081?\u1089?\u1082?\u1080?\u1103? \u1087?\u1072?\u1088?\u1083?\u1072?\u1084?\u1077?\u1085?\u1090? \u1080? \u1085?\u1072? \u1057?\u1098?\u1074?\u1077?\u1090?\u1072? \u1086?\u1090? 21 \u1084?\u1072?\u1081? 2013 \u1075?. \u1086?\u1090?\u1085?\u1086?\u1089?\u1085?\u1086? \u1086?\u1073?\u1097?\u1080?\u1090?\u1077? \u1088?\u1072?\u1079?\u1087?\u1086?\u1088?\u1077?\u1076?\u1073?\u1080? \u1079?\u1072? \u1084?\u1086?\u1085?\u1080?\u1090?\u1086?\u1088?\u1080?\u1085?\u1075? \u1080? \u1086?\u1094?\u1077?\u1085?\u1082?\u1072? \u1085?\u1072? \u1087?\u1088?\u1086?\u1077?\u1082?\u1090?\u1080?\u1090?\u1077? \u1079?\u1072? \u1073?\u1102?\u1076?\u1078?\u1077?\u1090?\u1085?\u1080? \u1087?\u1083?\u1072?\u1085?\u1086?\u1074?\u1077? \u1080? \u1079?\u1072? \u1075?\u1072?\u1088?\u1072?\u1085?\u1090?\u1080?\u1088?\u1072?\u1085?\u1077? \u1085?\u1072? \u1082?\u1086?\u1088?\u1080?\u1075?\u1080?\u1088?\u1072?\u1085?\u1077?\u1090?\u1086? \u1085?\u1072? \u1087?\u1088?\u1077?\u1082?\u1086?\u1084?\u1077?\u1088?\u1085?\u1080?\u1103? \u1076?\u1077?\u1092?\u1080?\u1094?\u1080?\u1090? \u1085?\u1072? \u1076?\u1098?\u1088?\u1078?\u1072?\u1074?\u1080?\u1090?\u1077? \u1095?\u1083?\u1077?\u1085?\u1082?\u1080? \u1074? \u1077?\u1074?\u1088?\u1086?\u1079?\u1086?\u1085?\u1072?\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semiHidden/>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val="en-US"/>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val="en-US"/>
    </w:rPr>
  </w:style>
  <w:style w:type="character" w:customStyle="1" w:styleId="HeaderCoverPageChar">
    <w:name w:val="Header Cover Page Char"/>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4701-19F7-405C-BEFB-B9E65104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926</Words>
  <Characters>5448</Characters>
  <Application>Microsoft Office Word</Application>
  <DocSecurity>0</DocSecurity>
  <Lines>90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2014-05-16T15:29:00Z</cp:lastPrinted>
  <dcterms:created xsi:type="dcterms:W3CDTF">2016-05-13T07:54:00Z</dcterms:created>
  <dcterms:modified xsi:type="dcterms:W3CDTF">2016-05-19T13:11:00Z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