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0148F670E1AE4D768D86882B301CF5CF" style="width:450pt;height:293.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szCs w:val="24"/>
        </w:rPr>
      </w:pPr>
      <w:bookmarkStart w:id="2" w:name="_GoBack"/>
      <w:bookmarkEnd w:id="0"/>
      <w:bookmarkEnd w:id="2"/>
      <w:r>
        <w:lastRenderedPageBreak/>
        <w:t>1.</w:t>
      </w:r>
      <w:r>
        <w:tab/>
      </w:r>
      <w:r>
        <w:rPr>
          <w:noProof/>
        </w:rPr>
        <w:t>Цел и обхват на доклада</w:t>
      </w:r>
    </w:p>
    <w:p>
      <w:pPr>
        <w:pStyle w:val="ManualHeading2"/>
        <w:spacing w:line="276" w:lineRule="auto"/>
        <w:ind w:left="0" w:firstLine="0"/>
        <w:rPr>
          <w:b w:val="0"/>
          <w:noProof/>
        </w:rPr>
      </w:pPr>
      <w:r>
        <w:rPr>
          <w:b w:val="0"/>
          <w:noProof/>
        </w:rPr>
        <w:t>Регламент (ЕС) № 258/2014 на Европейския парламент и на Съвета, с който се създава програма на Съюза за подкрепа на специфични дейности в областта на финансовото отчитане и одита за периода от 1 януари 2014 г. до 31 декември 2020 г.</w:t>
      </w:r>
      <w:r>
        <w:rPr>
          <w:rStyle w:val="FootnoteReference"/>
          <w:b w:val="0"/>
          <w:noProof/>
        </w:rPr>
        <w:footnoteReference w:id="2"/>
      </w:r>
      <w:r>
        <w:rPr>
          <w:b w:val="0"/>
          <w:noProof/>
        </w:rPr>
        <w:t xml:space="preserve">, влезе в сила на 9 април 2014 г. след публикуването му в </w:t>
      </w:r>
      <w:r>
        <w:rPr>
          <w:b w:val="0"/>
          <w:i/>
          <w:noProof/>
        </w:rPr>
        <w:t>Официален вестник</w:t>
      </w:r>
      <w:r>
        <w:rPr>
          <w:rStyle w:val="FootnoteReference"/>
          <w:b w:val="0"/>
          <w:noProof/>
        </w:rPr>
        <w:footnoteReference w:id="3"/>
      </w:r>
      <w:r>
        <w:rPr>
          <w:b w:val="0"/>
          <w:noProof/>
        </w:rPr>
        <w:t>.</w:t>
      </w:r>
    </w:p>
    <w:p>
      <w:pPr>
        <w:spacing w:after="120"/>
        <w:jc w:val="both"/>
        <w:rPr>
          <w:rFonts w:ascii="Times New Roman" w:hAnsi="Times New Roman"/>
          <w:noProof/>
          <w:sz w:val="24"/>
          <w:szCs w:val="24"/>
        </w:rPr>
      </w:pPr>
      <w:r>
        <w:rPr>
          <w:rFonts w:ascii="Times New Roman" w:hAnsi="Times New Roman"/>
          <w:noProof/>
          <w:sz w:val="24"/>
        </w:rPr>
        <w:t>Съгласно член 9, параграф 3 от Регламента от 2015 г. Комисията изготвя годишен доклад относно дейността на бенефициерите на програмата, а именно Фондацията за Международни стандарти за финансовo отчитане (МСФО), Европейската консултативна група по финансово отчитане (ЕКГФО) и Надзорния съвет за отчитане и отразяване на обществения интерес (PIOB). Обхватът на доклада се разяснява допълнително в член 9, параграфи 4, 5 и 6 от Регламента.</w:t>
      </w:r>
    </w:p>
    <w:p>
      <w:pPr>
        <w:spacing w:after="240"/>
        <w:jc w:val="both"/>
        <w:rPr>
          <w:rFonts w:ascii="Times New Roman" w:hAnsi="Times New Roman"/>
          <w:noProof/>
          <w:sz w:val="24"/>
          <w:szCs w:val="24"/>
        </w:rPr>
      </w:pPr>
      <w:r>
        <w:rPr>
          <w:rFonts w:ascii="Times New Roman" w:hAnsi="Times New Roman"/>
          <w:noProof/>
          <w:sz w:val="24"/>
        </w:rPr>
        <w:t>Докладът обхваща дейностите на Фондацията за МСФО, ЕКГФО и PIOB през 2015 г. Посочени са обаче и някои събития, състояли се през 2016 г., за които това е счетено за полезно за целите на настоящия доклад.</w:t>
      </w:r>
    </w:p>
    <w:p>
      <w:pPr>
        <w:pStyle w:val="ManualHeading1"/>
        <w:rPr>
          <w:noProof/>
          <w:szCs w:val="24"/>
        </w:rPr>
      </w:pPr>
      <w:r>
        <w:t>2.</w:t>
      </w:r>
      <w:r>
        <w:tab/>
      </w:r>
      <w:r>
        <w:rPr>
          <w:noProof/>
        </w:rPr>
        <w:t>Фондация за МСФО</w:t>
      </w:r>
    </w:p>
    <w:p>
      <w:pPr>
        <w:pStyle w:val="ManualHeading2"/>
        <w:rPr>
          <w:noProof/>
          <w:szCs w:val="24"/>
        </w:rPr>
      </w:pPr>
      <w:r>
        <w:t>2.1.</w:t>
      </w:r>
      <w:r>
        <w:tab/>
      </w:r>
      <w:r>
        <w:rPr>
          <w:noProof/>
        </w:rPr>
        <w:t>Общи принципи, въз основа на които са разработени новите стандарти</w:t>
      </w:r>
    </w:p>
    <w:p>
      <w:pPr>
        <w:pStyle w:val="Heading3"/>
        <w:numPr>
          <w:ilvl w:val="2"/>
          <w:numId w:val="4"/>
        </w:numPr>
        <w:spacing w:after="120"/>
        <w:ind w:left="1077"/>
        <w:jc w:val="both"/>
        <w:rPr>
          <w:rFonts w:ascii="Times New Roman" w:hAnsi="Times New Roman"/>
          <w:b w:val="0"/>
          <w:noProof/>
          <w:sz w:val="24"/>
          <w:szCs w:val="24"/>
        </w:rPr>
      </w:pPr>
      <w:r>
        <w:rPr>
          <w:rFonts w:ascii="Times New Roman" w:hAnsi="Times New Roman"/>
          <w:b w:val="0"/>
          <w:noProof/>
          <w:kern w:val="32"/>
          <w:sz w:val="24"/>
        </w:rPr>
        <w:t>Принцип на Съвета по международни счетоводни стандарти (СМСС) за честно представяне</w:t>
      </w:r>
    </w:p>
    <w:p>
      <w:pPr>
        <w:jc w:val="both"/>
        <w:rPr>
          <w:rFonts w:ascii="Times New Roman" w:eastAsia="Times New Roman" w:hAnsi="Times New Roman"/>
          <w:noProof/>
          <w:sz w:val="24"/>
          <w:szCs w:val="20"/>
        </w:rPr>
      </w:pPr>
      <w:r>
        <w:rPr>
          <w:rFonts w:ascii="Times New Roman" w:hAnsi="Times New Roman"/>
          <w:noProof/>
          <w:sz w:val="24"/>
        </w:rPr>
        <w:t>Съгласно МСС 1 — Представяне на финансови отчети, финансовите отчети трябва да представят честно финансовото състояние, финансовите резултати от дейността и паричните потоци на дадено предприятие. Честното представяне изисква достоверно представяне на ефектите от операциите, други събития и условия в съответствие с определенията и критериите за признаване на активи, пасиви, приходи и разходи, установени в концептуалната рамка. Предполага се, че прилагането на МСФО, с допълнителни оповестявания, когато е необходимо, ще доведе до финансови отчети, които постигат честно представяне.</w:t>
      </w:r>
    </w:p>
    <w:p>
      <w:pPr>
        <w:pStyle w:val="Heading3"/>
        <w:numPr>
          <w:ilvl w:val="2"/>
          <w:numId w:val="4"/>
        </w:numPr>
        <w:spacing w:after="240"/>
        <w:jc w:val="both"/>
        <w:rPr>
          <w:rFonts w:ascii="Times New Roman" w:hAnsi="Times New Roman"/>
          <w:b w:val="0"/>
          <w:noProof/>
          <w:sz w:val="24"/>
          <w:szCs w:val="24"/>
        </w:rPr>
      </w:pPr>
      <w:r>
        <w:rPr>
          <w:rFonts w:ascii="Times New Roman" w:hAnsi="Times New Roman"/>
          <w:b w:val="0"/>
          <w:noProof/>
          <w:kern w:val="32"/>
          <w:sz w:val="24"/>
        </w:rPr>
        <w:t>Принципи на СМСС в надлежния процес</w:t>
      </w:r>
    </w:p>
    <w:p>
      <w:pPr>
        <w:jc w:val="both"/>
        <w:rPr>
          <w:rFonts w:ascii="Times New Roman" w:eastAsia="Times New Roman" w:hAnsi="Times New Roman"/>
          <w:noProof/>
          <w:sz w:val="24"/>
          <w:szCs w:val="20"/>
        </w:rPr>
      </w:pPr>
      <w:r>
        <w:rPr>
          <w:rFonts w:ascii="Times New Roman" w:hAnsi="Times New Roman"/>
          <w:noProof/>
          <w:sz w:val="24"/>
        </w:rPr>
        <w:t xml:space="preserve">Изискванията на СМСС в надлежния процес за разработване на нови стандарти са основани на принципите на прозрачност, изчерпателни и почтени консултации и отчетност. </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Прозрачност</w:t>
      </w:r>
    </w:p>
    <w:p>
      <w:pPr>
        <w:jc w:val="both"/>
        <w:rPr>
          <w:rFonts w:ascii="Times New Roman" w:eastAsia="Times New Roman" w:hAnsi="Times New Roman"/>
          <w:noProof/>
          <w:sz w:val="24"/>
          <w:szCs w:val="20"/>
        </w:rPr>
      </w:pPr>
      <w:r>
        <w:rPr>
          <w:rFonts w:ascii="Times New Roman" w:hAnsi="Times New Roman"/>
          <w:noProof/>
          <w:sz w:val="24"/>
        </w:rPr>
        <w:t xml:space="preserve">Заседанията на СМСС (както и на Комитета за разяснения на МСФО) за обсъждане на технически въпроси са открити за обществеността, записват се и се излъчват на живо по интернет. Техническите работни документи за тези заседания се публикуват на </w:t>
      </w:r>
      <w:r>
        <w:rPr>
          <w:rFonts w:ascii="Times New Roman" w:eastAsia="Times New Roman" w:hAnsi="Times New Roman"/>
          <w:noProof/>
          <w:sz w:val="24"/>
          <w:szCs w:val="20"/>
        </w:rPr>
        <w:br/>
      </w:r>
      <w:r>
        <w:rPr>
          <w:rFonts w:ascii="Times New Roman" w:hAnsi="Times New Roman"/>
          <w:noProof/>
          <w:sz w:val="24"/>
        </w:rPr>
        <w:t xml:space="preserve">уебсайта на Фондацията за МСФО заедно със записи и предавания по интернет от заседанията. Публикуват се и резюмета на решенията, приети на тези заседания. </w:t>
      </w:r>
    </w:p>
    <w:p>
      <w:pPr>
        <w:pStyle w:val="ManualHeading2"/>
        <w:rPr>
          <w:bCs/>
          <w:i/>
          <w:iCs/>
          <w:noProof/>
        </w:rPr>
      </w:pPr>
      <w:r>
        <w:tab/>
      </w:r>
      <w:r>
        <w:rPr>
          <w:noProof/>
        </w:rPr>
        <w:t>Изчерпателни и почтени консултации</w:t>
      </w:r>
    </w:p>
    <w:p>
      <w:pPr>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 xml:space="preserve">В работата си СМСС също така спазва принципа, че широките консултации със заинтересованите страни подобряват качеството на неговите стандарти. Тези консултации могат да се провеждат по различни начини, включително чрез индивидуални срещи и работа на място.  </w:t>
      </w:r>
    </w:p>
    <w:p>
      <w:pPr>
        <w:pStyle w:val="ManualHeading2"/>
        <w:rPr>
          <w:bCs/>
          <w:i/>
          <w:iCs/>
          <w:noProof/>
        </w:rPr>
      </w:pPr>
      <w:r>
        <w:tab/>
      </w:r>
      <w:r>
        <w:rPr>
          <w:noProof/>
        </w:rPr>
        <w:t>Отчетност</w:t>
      </w:r>
    </w:p>
    <w:p>
      <w:pPr>
        <w:autoSpaceDE w:val="0"/>
        <w:autoSpaceDN w:val="0"/>
        <w:adjustRightInd w:val="0"/>
        <w:spacing w:after="120"/>
        <w:jc w:val="both"/>
        <w:rPr>
          <w:rFonts w:ascii="Times New Roman" w:eastAsia="Times New Roman" w:hAnsi="Times New Roman"/>
          <w:noProof/>
          <w:sz w:val="24"/>
          <w:szCs w:val="20"/>
          <w:highlight w:val="lightGray"/>
        </w:rPr>
      </w:pPr>
      <w:r>
        <w:rPr>
          <w:rFonts w:ascii="Times New Roman" w:hAnsi="Times New Roman"/>
          <w:noProof/>
          <w:sz w:val="24"/>
        </w:rPr>
        <w:t xml:space="preserve">СМСС спазва принципа за отчетност и оценява вероятните разходи и ползи или въздействията от предложени нови изисквания през целия период на разработване на нов или изменен стандарт. Становищата на СМСС за вероятните въздействия се одобряват и публикуват от СМСС. </w:t>
      </w:r>
    </w:p>
    <w:p>
      <w:pPr>
        <w:jc w:val="both"/>
        <w:rPr>
          <w:rFonts w:ascii="Times New Roman" w:eastAsia="Times New Roman" w:hAnsi="Times New Roman"/>
          <w:noProof/>
          <w:sz w:val="24"/>
          <w:szCs w:val="20"/>
        </w:rPr>
      </w:pPr>
      <w:r>
        <w:rPr>
          <w:rFonts w:ascii="Times New Roman" w:hAnsi="Times New Roman"/>
          <w:noProof/>
          <w:sz w:val="24"/>
        </w:rPr>
        <w:t>През ноември 2014 г. СМСС публикува доклад на Консултативната група за анализ на въздействията, която беше създадена, за да консултира СМСС във връзка с най-добрите практики при оценката на възможните въздействия на нов стандарт, като по този начин се стреми да засили доверието в процесите и тяхната ефикасност. Препоръките, които се основават на вече широкообхватна методика на СМСС за извършване на анализ на въздействията, бяха приложени за първи път в анализа на въздействията, публикуван с новия стандарт МСФО 16 „</w:t>
      </w:r>
      <w:r>
        <w:rPr>
          <w:rFonts w:ascii="Times New Roman" w:hAnsi="Times New Roman"/>
          <w:i/>
          <w:noProof/>
          <w:sz w:val="24"/>
        </w:rPr>
        <w:t>Лизинг</w:t>
      </w:r>
      <w:r>
        <w:rPr>
          <w:rFonts w:ascii="Times New Roman" w:hAnsi="Times New Roman"/>
          <w:noProof/>
          <w:sz w:val="24"/>
        </w:rPr>
        <w:t>“.</w:t>
      </w:r>
    </w:p>
    <w:p>
      <w:pPr>
        <w:jc w:val="both"/>
        <w:rPr>
          <w:rFonts w:ascii="Times New Roman" w:eastAsia="Times New Roman" w:hAnsi="Times New Roman"/>
          <w:noProof/>
          <w:sz w:val="24"/>
          <w:szCs w:val="20"/>
        </w:rPr>
      </w:pPr>
      <w:r>
        <w:rPr>
          <w:rFonts w:ascii="Times New Roman" w:hAnsi="Times New Roman"/>
          <w:noProof/>
          <w:sz w:val="24"/>
        </w:rPr>
        <w:t>Наскоро Комисията започна обсъждане на анализа на въздействията за бъдещите МСФО със своите колеги — членовете на Групата за текущо наблюдение. Този въпрос ще бъде допълнително обсъден от Групата за текущо наблюдение през 2016 г.</w:t>
      </w:r>
    </w:p>
    <w:p>
      <w:pPr>
        <w:pStyle w:val="ManualHeading2"/>
        <w:rPr>
          <w:noProof/>
          <w:szCs w:val="24"/>
        </w:rPr>
      </w:pPr>
      <w:r>
        <w:t>2.2.</w:t>
      </w:r>
      <w:r>
        <w:tab/>
      </w:r>
      <w:r>
        <w:rPr>
          <w:noProof/>
        </w:rPr>
        <w:t>Основни постижения на СМСС през 2015 г.</w:t>
      </w:r>
    </w:p>
    <w:p>
      <w:pPr>
        <w:spacing w:before="240"/>
        <w:ind w:right="146"/>
        <w:jc w:val="both"/>
        <w:rPr>
          <w:rFonts w:ascii="Times New Roman" w:hAnsi="Times New Roman"/>
          <w:noProof/>
          <w:color w:val="000000"/>
          <w:sz w:val="24"/>
          <w:szCs w:val="24"/>
        </w:rPr>
      </w:pPr>
      <w:r>
        <w:rPr>
          <w:rFonts w:ascii="Times New Roman" w:hAnsi="Times New Roman"/>
          <w:noProof/>
          <w:color w:val="000000"/>
          <w:sz w:val="24"/>
        </w:rPr>
        <w:t>През 2015 г. СМСС завърши един важен нов стандарт — МСФО 16 „Лизинг“, който беше публикуван през януари 2016 г. Освен това СМСС продължи да работи по редица други важни проекти, по-специално застрахователни договори, инициативата във връзка с оповестяванията и концептуалната рамка.</w:t>
      </w:r>
    </w:p>
    <w:p>
      <w:pPr>
        <w:pStyle w:val="ListParagraph"/>
        <w:numPr>
          <w:ilvl w:val="0"/>
          <w:numId w:val="26"/>
        </w:numPr>
        <w:spacing w:after="120"/>
        <w:ind w:left="426" w:right="146" w:hanging="426"/>
        <w:contextualSpacing w:val="0"/>
        <w:jc w:val="both"/>
        <w:rPr>
          <w:rFonts w:ascii="Times New Roman" w:hAnsi="Times New Roman"/>
          <w:noProof/>
          <w:sz w:val="24"/>
          <w:szCs w:val="24"/>
          <w:u w:val="single"/>
        </w:rPr>
      </w:pPr>
      <w:r>
        <w:rPr>
          <w:rFonts w:ascii="Times New Roman" w:hAnsi="Times New Roman"/>
          <w:noProof/>
          <w:color w:val="000000"/>
          <w:sz w:val="24"/>
          <w:u w:val="single"/>
        </w:rPr>
        <w:t xml:space="preserve">МСФО 16 </w:t>
      </w:r>
      <w:r>
        <w:rPr>
          <w:rFonts w:ascii="Times New Roman" w:hAnsi="Times New Roman"/>
          <w:noProof/>
          <w:color w:val="000000"/>
          <w:sz w:val="24"/>
          <w:u w:val="single"/>
          <w:lang w:val="en-GB"/>
        </w:rPr>
        <w:t>„</w:t>
      </w:r>
      <w:r>
        <w:rPr>
          <w:rFonts w:ascii="Times New Roman" w:hAnsi="Times New Roman"/>
          <w:i/>
          <w:noProof/>
          <w:color w:val="000000"/>
          <w:sz w:val="24"/>
          <w:u w:val="single"/>
        </w:rPr>
        <w:t>Лизинг</w:t>
      </w:r>
      <w:r>
        <w:rPr>
          <w:rFonts w:ascii="Times New Roman" w:hAnsi="Times New Roman"/>
          <w:noProof/>
          <w:color w:val="000000"/>
          <w:sz w:val="24"/>
          <w:u w:val="single"/>
          <w:lang w:val="en-GB"/>
        </w:rPr>
        <w:t>“</w:t>
      </w:r>
    </w:p>
    <w:p>
      <w:pPr>
        <w:pStyle w:val="ListParagraph"/>
        <w:spacing w:before="120"/>
        <w:ind w:left="0"/>
        <w:contextualSpacing w:val="0"/>
        <w:jc w:val="both"/>
        <w:rPr>
          <w:rFonts w:ascii="Times New Roman" w:hAnsi="Times New Roman"/>
          <w:noProof/>
          <w:color w:val="000000"/>
          <w:sz w:val="24"/>
          <w:szCs w:val="24"/>
        </w:rPr>
      </w:pPr>
      <w:r>
        <w:rPr>
          <w:rFonts w:ascii="Times New Roman" w:hAnsi="Times New Roman"/>
          <w:noProof/>
          <w:color w:val="000000"/>
          <w:sz w:val="24"/>
        </w:rPr>
        <w:t>Съветът публикува МСФО 16 „</w:t>
      </w:r>
      <w:r>
        <w:rPr>
          <w:rFonts w:ascii="Times New Roman" w:hAnsi="Times New Roman"/>
          <w:i/>
          <w:noProof/>
          <w:color w:val="000000"/>
          <w:sz w:val="24"/>
        </w:rPr>
        <w:t>Лизинг</w:t>
      </w:r>
      <w:r>
        <w:rPr>
          <w:rFonts w:ascii="Times New Roman" w:hAnsi="Times New Roman"/>
          <w:noProof/>
          <w:color w:val="000000"/>
          <w:sz w:val="24"/>
        </w:rPr>
        <w:t xml:space="preserve">“, като приключва своите усилия в продължение на десетилетие за преразглеждане на отчитането на лизинга. МСФО 16 въвежда цялостна промяна на начина, по който предприятията отчитат лизинговите споразумения и изисква всички лизингови споразумения да се отчитат като активи и пасиви в счетоводния баланс на лизингополучателя. Новият стандарт има за цел по-добре да отрази действителните последици от икономическите операции и да предостави така необходимата прозрачност за лизинговите активи и пасиви на дружествата, което означава, че задбалансовото лизингово финансиране вече не остава неотчетено. Очаква се той да подобри съпоставимостта между дружества, които вземат на лизинг, и тези, които заемат, за да купят. </w:t>
      </w:r>
      <w:r>
        <w:rPr>
          <w:rFonts w:ascii="Times New Roman" w:hAnsi="Times New Roman"/>
          <w:noProof/>
          <w:sz w:val="24"/>
        </w:rPr>
        <w:t>Като допълнение към стандарта, СМСС публикува също така отделен и изчерпателен анализ на въздействията, който показва, че произтичащите ползи надхвърлят разходите.</w:t>
      </w:r>
      <w:r>
        <w:rPr>
          <w:rFonts w:ascii="Times New Roman" w:hAnsi="Times New Roman"/>
          <w:noProof/>
          <w:color w:val="000000"/>
          <w:sz w:val="24"/>
        </w:rPr>
        <w:t xml:space="preserve"> </w:t>
      </w:r>
    </w:p>
    <w:p>
      <w:pPr>
        <w:pStyle w:val="ListParagraph"/>
        <w:ind w:left="0"/>
        <w:contextualSpacing w:val="0"/>
        <w:jc w:val="both"/>
        <w:rPr>
          <w:rFonts w:ascii="Times New Roman" w:hAnsi="Times New Roman"/>
          <w:noProof/>
          <w:color w:val="000000"/>
          <w:sz w:val="24"/>
          <w:szCs w:val="24"/>
        </w:rPr>
      </w:pPr>
      <w:r>
        <w:rPr>
          <w:rFonts w:ascii="Times New Roman" w:hAnsi="Times New Roman"/>
          <w:noProof/>
          <w:color w:val="000000"/>
          <w:sz w:val="24"/>
        </w:rPr>
        <w:t>През юни 2016 г. Комисията поиска ЕКГФО да представи своето становище относно МСФО 16, подкрепено от оценка на въздействието, включително анализ на разходите и ползите и анализ на по-широкото икономическо въздействие. Тази оценка на въздействието следва да бъде независима, обективна и фокусирана върху Европа.</w:t>
      </w:r>
    </w:p>
    <w:p>
      <w:pPr>
        <w:pStyle w:val="ListParagraph"/>
        <w:numPr>
          <w:ilvl w:val="0"/>
          <w:numId w:val="26"/>
        </w:numPr>
        <w:spacing w:before="240" w:after="120"/>
        <w:ind w:left="426" w:right="146" w:hanging="426"/>
        <w:contextualSpacing w:val="0"/>
        <w:jc w:val="both"/>
        <w:rPr>
          <w:rFonts w:ascii="Times New Roman" w:hAnsi="Times New Roman"/>
          <w:i/>
          <w:noProof/>
          <w:color w:val="000000"/>
          <w:sz w:val="24"/>
          <w:szCs w:val="24"/>
          <w:u w:val="single"/>
        </w:rPr>
      </w:pPr>
      <w:r>
        <w:rPr>
          <w:rFonts w:ascii="Times New Roman" w:hAnsi="Times New Roman"/>
          <w:i/>
          <w:noProof/>
          <w:color w:val="000000"/>
          <w:sz w:val="24"/>
          <w:u w:val="single"/>
        </w:rPr>
        <w:t>Други основни постижения на проекта</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СМСС продължи да работи активно за финализиране на проекта за застрахователните договори и сега приключи своите технически обсъждания. По време на повторните обсъждания СМСС поддържаше постоянен диалог с всички заинтересовани страни. Този проект се очаква да донесе така необходимата прозрачност при множеството счетоводни практики, които понастоящем се прилагат в отрасъла. Новият стандарт ще доведе до по-реалистично описание и по-добра съпоставимост на финансовите резултати на застрахователния сектор по света, което е особено важно в настоящия период на икономическа нестабилност. Неотложността на този проект беше подчертана в неотдавнашния призив на Съвета за финансова стабилност към СМСС да финализира стандарта относно застраховането възможно най-скоро</w:t>
      </w:r>
      <w:r>
        <w:rPr>
          <w:rStyle w:val="FootnoteReference"/>
          <w:rFonts w:ascii="Times New Roman" w:hAnsi="Times New Roman"/>
          <w:noProof/>
          <w:sz w:val="24"/>
        </w:rPr>
        <w:footnoteReference w:id="4"/>
      </w:r>
      <w:r>
        <w:rPr>
          <w:rFonts w:ascii="Times New Roman" w:hAnsi="Times New Roman"/>
          <w:noProof/>
          <w:sz w:val="24"/>
        </w:rPr>
        <w:t>. СМСС възнамерява да публикува новия стандарт относно застраховането в края на 2016 г.</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През декември 2015 г. СМСС публикува за обществено обсъждане предложения за изменение на съществуващия стандарт за застрахователните договори — МСФО 4, с цел да отговори на временните последици от различните дати на влизане в сила на МСФО 9 „</w:t>
      </w:r>
      <w:r>
        <w:rPr>
          <w:rFonts w:ascii="Times New Roman" w:hAnsi="Times New Roman"/>
          <w:i/>
          <w:noProof/>
          <w:sz w:val="24"/>
        </w:rPr>
        <w:t>Финансови инструменти“</w:t>
      </w:r>
      <w:r>
        <w:rPr>
          <w:rFonts w:ascii="Times New Roman" w:hAnsi="Times New Roman"/>
          <w:noProof/>
          <w:sz w:val="24"/>
        </w:rPr>
        <w:t xml:space="preserve"> (в сила от 1 януари 2018 г.) и новия стандарт за застрахователните договори (който ще замени МСФО 4 и има по-късна дата на влизане в сила). В това отношение някои от дружествата, които предлагат застрахователни договори, изразиха опасения относно необходимостта да въведат две значителни промени при отчитането на различни дати. Те подчертаха също, че при отчитането на печалбите или загубите може да възникне евентуално увеличение на счетоводните колебания, ако новите изисквания за финансови инструменти следва да се прилагат преди въвеждането на нови изисквания за застрахователните договори. Следователно предложенията на СМСС в тази област са насочени към преодоляване на тези опасения и балансирането им с нуждите на ползвателите на финансовите отчети. Предложенията на СМСС предвиждат: </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xml:space="preserve"> - разрешаване на дружествата, които предимно предлагат застрахователни договори, да отлагат датата на влизане в сила на МСФО 9 „</w:t>
      </w:r>
      <w:r>
        <w:rPr>
          <w:rFonts w:ascii="Times New Roman" w:hAnsi="Times New Roman"/>
          <w:i/>
          <w:noProof/>
          <w:sz w:val="24"/>
        </w:rPr>
        <w:t>Финансови инструменти“</w:t>
      </w:r>
      <w:r>
        <w:rPr>
          <w:rFonts w:ascii="Times New Roman" w:hAnsi="Times New Roman"/>
          <w:noProof/>
          <w:sz w:val="24"/>
        </w:rPr>
        <w:t xml:space="preserve"> до 2021 г. („метод на отлагане“)</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xml:space="preserve"> - разрешаване на дружествата, които прилагат МСФО 9, да изключат от нетната печалба или загуба някои допълнителни счетоводни несъответствия и временни колебания, които могат да възникнат преди прилагането на новия стандарт за застрахователните договори („метод на покритие“)</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Съответните изменения се очаква да бъдат публикувани от СМСС през септември 2017 г.</w:t>
      </w:r>
    </w:p>
    <w:p>
      <w:pPr>
        <w:pStyle w:val="ManualHeading2"/>
        <w:rPr>
          <w:noProof/>
          <w:szCs w:val="24"/>
        </w:rPr>
      </w:pPr>
      <w:r>
        <w:t>2.3.</w:t>
      </w:r>
      <w:r>
        <w:tab/>
      </w:r>
      <w:r>
        <w:rPr>
          <w:noProof/>
        </w:rPr>
        <w:t>Разработване на преразгледана концептуална рамка</w:t>
      </w:r>
    </w:p>
    <w:p>
      <w:pPr>
        <w:pStyle w:val="ListParagraph"/>
        <w:spacing w:before="240" w:after="120"/>
        <w:ind w:left="0" w:right="146"/>
        <w:jc w:val="both"/>
        <w:rPr>
          <w:rFonts w:ascii="Times New Roman" w:eastAsia="Times New Roman" w:hAnsi="Times New Roman"/>
          <w:noProof/>
          <w:sz w:val="24"/>
          <w:szCs w:val="20"/>
        </w:rPr>
      </w:pPr>
      <w:r>
        <w:rPr>
          <w:rFonts w:ascii="Times New Roman" w:hAnsi="Times New Roman"/>
          <w:noProof/>
          <w:sz w:val="24"/>
        </w:rPr>
        <w:t>На 28 май 2015 г. СМСС публикува проект на предложение, в което се предлагат промени в неговата концептуална рамка. В концептуалната рамка се описват концепциите за финансовото отчитане за общи цели. Наред с други неща, в проекта на предложение се разглеждат принципът на предпазливост, надеждността, бизнес моделът на предприятието, понятието „предимство на съдържанието пред формата“ и дългосрочните инвестиции. През 2015 г. СМСС получи голям брой писма с коментари по проекта на предложение от различни заинтересовани страни, които ще бъдат разгледани от СМСС при разработването на преразгледаната концептуална рамка с оглед на финализирането ѝ в началото на 2017 г.</w:t>
      </w:r>
    </w:p>
    <w:p>
      <w:pPr>
        <w:pStyle w:val="ManualHeading2"/>
        <w:rPr>
          <w:bCs/>
          <w:i/>
          <w:iCs/>
          <w:noProof/>
        </w:rPr>
      </w:pPr>
      <w:r>
        <w:tab/>
      </w:r>
      <w:r>
        <w:rPr>
          <w:noProof/>
        </w:rPr>
        <w:t>Предпазливост</w:t>
      </w:r>
    </w:p>
    <w:p>
      <w:pPr>
        <w:spacing w:after="120"/>
        <w:jc w:val="both"/>
        <w:rPr>
          <w:rFonts w:ascii="Times New Roman" w:eastAsia="Times New Roman" w:hAnsi="Times New Roman"/>
          <w:noProof/>
          <w:sz w:val="24"/>
          <w:szCs w:val="20"/>
        </w:rPr>
      </w:pPr>
      <w:r>
        <w:rPr>
          <w:rFonts w:ascii="Times New Roman" w:hAnsi="Times New Roman"/>
          <w:noProof/>
          <w:sz w:val="24"/>
        </w:rPr>
        <w:t xml:space="preserve">В проекта на предложението се предлага принципът на предпазливост да бъде въведен отново в концептуалната рамка. Концепцията за предпазливост се описва като повишено внимание при вземане на решения в несигурни условия. Приема се, че предпазливостта може да доведе до асиметрично представяне при признаването на активи/приходи и пасиви/разходи. Също така следва да се отбележи, че въпреки че терминът „предпазливост“ е премахнат от концептуалната рамка от 2010 г., СМСС счита, че концепцията за предпазливост е отразена в стандартите на Съвета. </w:t>
      </w:r>
    </w:p>
    <w:p>
      <w:pPr>
        <w:spacing w:after="120"/>
        <w:jc w:val="both"/>
        <w:rPr>
          <w:rFonts w:ascii="Times New Roman" w:eastAsia="Times New Roman" w:hAnsi="Times New Roman"/>
          <w:noProof/>
          <w:sz w:val="24"/>
          <w:szCs w:val="20"/>
        </w:rPr>
      </w:pPr>
      <w:r>
        <w:rPr>
          <w:rFonts w:ascii="Times New Roman" w:hAnsi="Times New Roman"/>
          <w:noProof/>
          <w:sz w:val="24"/>
        </w:rPr>
        <w:t xml:space="preserve">В своето писмо с коментари ЕКГФО приветства решението на СМСС да въведе отново принципа на предпазливост в концептуалната рамка и се съгласява с неговото основание за заключенията, че предпазливостта може да доведе до асиметрично представяне при признаването на активи/приходи и пасиви/разходи без да се въвеждат каквито и да било нежелани отклонения във финансовата отчетност. ЕКГФО обаче е на мнение, че тези заключения следва да бъдат по-ясни и да бъдат признати в концептуалната рамка. </w:t>
      </w:r>
    </w:p>
    <w:p>
      <w:pPr>
        <w:pStyle w:val="ManualHeading2"/>
        <w:rPr>
          <w:bCs/>
          <w:i/>
          <w:iCs/>
          <w:noProof/>
        </w:rPr>
      </w:pPr>
      <w:r>
        <w:tab/>
      </w:r>
      <w:r>
        <w:rPr>
          <w:noProof/>
        </w:rPr>
        <w:t>Надеждност</w:t>
      </w:r>
    </w:p>
    <w:p>
      <w:pPr>
        <w:jc w:val="both"/>
        <w:rPr>
          <w:rFonts w:ascii="Times New Roman" w:eastAsia="Times New Roman" w:hAnsi="Times New Roman"/>
          <w:noProof/>
          <w:sz w:val="24"/>
          <w:szCs w:val="20"/>
        </w:rPr>
      </w:pPr>
      <w:r>
        <w:rPr>
          <w:rFonts w:ascii="Times New Roman" w:hAnsi="Times New Roman"/>
          <w:noProof/>
          <w:sz w:val="24"/>
        </w:rPr>
        <w:t>До 2010 г. в концептуалната рамка надеждността се определяше като характеристика на полезната финансова информация.  През 2010 г. обаче СМСС замени понятието „надеждност“ с идеята, че полезната финансова информация следва да отразява достоверно това, което се счита, че представя („достоверно представяне“).</w:t>
      </w:r>
    </w:p>
    <w:p>
      <w:pPr>
        <w:jc w:val="both"/>
        <w:rPr>
          <w:rFonts w:ascii="Times New Roman" w:eastAsia="Times New Roman" w:hAnsi="Times New Roman"/>
          <w:noProof/>
          <w:sz w:val="24"/>
          <w:szCs w:val="20"/>
        </w:rPr>
      </w:pPr>
      <w:r>
        <w:rPr>
          <w:rFonts w:ascii="Times New Roman" w:hAnsi="Times New Roman"/>
          <w:noProof/>
          <w:sz w:val="24"/>
        </w:rPr>
        <w:t xml:space="preserve">Някои от заинтересованите страни, свързани със СМСС, изразиха опасения във връзка с тази промяна. В отговор на това стремежът е проектът на предложението да засегне </w:t>
      </w:r>
      <w:r>
        <w:rPr>
          <w:rFonts w:ascii="Times New Roman" w:eastAsia="Times New Roman" w:hAnsi="Times New Roman"/>
          <w:noProof/>
          <w:sz w:val="24"/>
          <w:szCs w:val="20"/>
        </w:rPr>
        <w:br/>
      </w:r>
      <w:r>
        <w:rPr>
          <w:rFonts w:ascii="Times New Roman" w:hAnsi="Times New Roman"/>
          <w:noProof/>
          <w:sz w:val="24"/>
        </w:rPr>
        <w:t>аспектите, които СМСС счита, че заинтересованите страни са имали предвид, изразявайки опасенията си във връзка с надеждността. Описанието на „достоверно представяне“ в проекта на предложението в значителна степен е същото като описанието на „надеждност“ в концептуалната рамка преди 2010 г. Проектът на предложението описва понятието „напълно достоверно представяне“ като изчерпателно, неутрално и без наличие на грешки. При задълбоченото обсъждане на проекта на документа се обясняват факторите, които позволяват на ползвателите да разчитат, че финансовата информация предоставя достоверно отразяване на това, което се счита, че представя. Според СМСС това прави излишно въвеждането на термина „надеждност“.</w:t>
      </w:r>
    </w:p>
    <w:p>
      <w:pPr>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В своето писмо с коментари ЕКГФО подкрепи концептуалната рамка, която продължава да идентифицира достоверното представяне и относимостта като двете основни качествени характеристики на полезната финансова информация. Въпреки това тя твърди, че концептуалната рамка следва да потвърди наличието на компромис между относимостта и достоверното представяне (или надеждността), като в понятието „достоверно представяне“ (или надеждност) е включена известна несигурност на измерването.</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Бизнес модел</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В проекта на предложението се определя как финансовите отчети могат да бъдат по-относими, ако при разработването на своите стандарти</w:t>
      </w:r>
    </w:p>
    <w:p>
      <w:pPr>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СМСС взема под внимание това как дружеството извършва своята стопанска дейност. С тази промяна се признава ролята, която бизнес моделът следва да играе при определянето на това как се оценяват статиите за отчета за приходите и разходите и счетоводния баланс.</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 xml:space="preserve">Предимство на съдържанието пред формата </w:t>
      </w:r>
    </w:p>
    <w:p>
      <w:pPr>
        <w:spacing w:after="120"/>
        <w:jc w:val="both"/>
        <w:rPr>
          <w:rFonts w:ascii="Times New Roman" w:eastAsia="Times New Roman" w:hAnsi="Times New Roman"/>
          <w:noProof/>
          <w:sz w:val="24"/>
          <w:szCs w:val="20"/>
        </w:rPr>
      </w:pPr>
      <w:r>
        <w:rPr>
          <w:rFonts w:ascii="Times New Roman" w:hAnsi="Times New Roman"/>
          <w:noProof/>
          <w:sz w:val="24"/>
        </w:rPr>
        <w:t xml:space="preserve">С проекта на предложението отново се въвежда понятието „предимство на </w:t>
      </w:r>
      <w:r>
        <w:rPr>
          <w:rFonts w:ascii="Times New Roman" w:eastAsia="Times New Roman" w:hAnsi="Times New Roman"/>
          <w:noProof/>
          <w:sz w:val="24"/>
          <w:szCs w:val="20"/>
        </w:rPr>
        <w:br/>
      </w:r>
      <w:r>
        <w:rPr>
          <w:rFonts w:ascii="Times New Roman" w:hAnsi="Times New Roman"/>
          <w:noProof/>
          <w:sz w:val="24"/>
        </w:rPr>
        <w:t xml:space="preserve">съдържанието пред формата“, което се приветства, тъй като е необходимо да се отразят икономическите последици от операциите. </w:t>
      </w:r>
    </w:p>
    <w:p>
      <w:pPr>
        <w:pStyle w:val="ManualHeading2"/>
        <w:rPr>
          <w:bCs/>
          <w:i/>
          <w:iCs/>
          <w:noProof/>
        </w:rPr>
      </w:pPr>
      <w:r>
        <w:tab/>
      </w:r>
      <w:r>
        <w:rPr>
          <w:noProof/>
        </w:rPr>
        <w:t>Дългосрочни инвестиции</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При разработването на проекта на предложението СМСС стигна до заключението, че пакетът с предложения в проекта на предложението осигурява достатъчно инструменти, които да позволяват на СМСС да разглежда надлежно както нуждите на дългосрочните инвеститори от информация, така и начините, по които предприятието следва да отчита дългосрочните инвестиции. Комисията приветства задълбоченото обсъждане на този въпрос от страна на СМСС и ще насочи вниманието си към това дали дългосрочните инвеститори одобряват позицията на СМСС в тази област.</w:t>
      </w:r>
    </w:p>
    <w:p>
      <w:pPr>
        <w:pStyle w:val="ManualHeading1"/>
        <w:rPr>
          <w:noProof/>
          <w:szCs w:val="24"/>
        </w:rPr>
      </w:pPr>
      <w:r>
        <w:t>3.</w:t>
      </w:r>
      <w:r>
        <w:tab/>
      </w:r>
      <w:r>
        <w:rPr>
          <w:noProof/>
        </w:rPr>
        <w:t>ЕКГФО</w:t>
      </w:r>
    </w:p>
    <w:p>
      <w:pPr>
        <w:pStyle w:val="ManualHeading2"/>
        <w:rPr>
          <w:noProof/>
          <w:szCs w:val="24"/>
        </w:rPr>
      </w:pPr>
      <w:r>
        <w:t>3.1.</w:t>
      </w:r>
      <w:r>
        <w:tab/>
      </w:r>
      <w:r>
        <w:rPr>
          <w:noProof/>
        </w:rPr>
        <w:t>Отчитане на принципа за „вярна и точна представа“ и усъвършенстване на оценките на ЕКГФО за въздействието на новите МСФО върху обществения интерес</w:t>
      </w:r>
    </w:p>
    <w:p>
      <w:pPr>
        <w:pStyle w:val="NormalWeb"/>
        <w:spacing w:before="0" w:beforeAutospacing="0" w:after="200" w:afterAutospacing="0" w:line="276" w:lineRule="auto"/>
        <w:jc w:val="both"/>
        <w:rPr>
          <w:noProof/>
          <w:szCs w:val="20"/>
        </w:rPr>
      </w:pPr>
      <w:r>
        <w:rPr>
          <w:noProof/>
        </w:rPr>
        <w:t>ЕКГФО предоставя своя принос в целия процес на определяне на стандарти, като коментира решения на СМСС и извършва активна дейност за стимулиране на дебат в Европа по важни счетоводни въпроси. Коментарите и активната дейност са изключително важни, за да се гарантира, че европейските представи относно развитието на финансовото отчитане се формулират правилно и ясно в процеса на определяне на стандарти с цел създадените в резултат на този процес стандарти да бъдат подходящи за Европа.</w:t>
      </w:r>
    </w:p>
    <w:p>
      <w:pPr>
        <w:pStyle w:val="NormalWeb"/>
        <w:spacing w:before="0" w:beforeAutospacing="0" w:after="200" w:afterAutospacing="0" w:line="276" w:lineRule="auto"/>
        <w:jc w:val="both"/>
        <w:rPr>
          <w:noProof/>
          <w:szCs w:val="20"/>
        </w:rPr>
      </w:pPr>
      <w:r>
        <w:rPr>
          <w:noProof/>
        </w:rPr>
        <w:t>След реформата на управлението, осъществена през 2014 г., ЕКГФО продължи да извършва оценки за одобрение относно това дали МСФО отговарят на всички технически критерии от Регламента за МСС, включително принципа за „вярна и точна представа”, както и засили своите усилия за оценка на това доколко новите или предложените изисквания за финансово отчитане допринасят за общественото благо. В това отношение следва да се подчертае, че Комисията възнамерява допълнително да разясни същността на критерия за обществено благо в хода на 2016 г.</w:t>
      </w:r>
      <w:r>
        <w:rPr>
          <w:rStyle w:val="FootnoteReference"/>
          <w:noProof/>
        </w:rPr>
        <w:footnoteReference w:id="5"/>
      </w:r>
      <w:r>
        <w:rPr>
          <w:noProof/>
        </w:rPr>
        <w:t>.</w:t>
      </w:r>
    </w:p>
    <w:p>
      <w:pPr>
        <w:pStyle w:val="NormalWeb"/>
        <w:spacing w:before="0" w:beforeAutospacing="0" w:after="200" w:afterAutospacing="0" w:line="276" w:lineRule="auto"/>
        <w:jc w:val="both"/>
        <w:rPr>
          <w:noProof/>
          <w:szCs w:val="20"/>
        </w:rPr>
      </w:pPr>
      <w:r>
        <w:rPr>
          <w:noProof/>
        </w:rPr>
        <w:t>През 2015 г. ЕКГФО предостави на Комисията становището си относно два основни стандарта, а именно МСФО 15 „</w:t>
      </w:r>
      <w:r>
        <w:rPr>
          <w:i/>
          <w:noProof/>
        </w:rPr>
        <w:t>Приходи от договори с клиенти“</w:t>
      </w:r>
      <w:r>
        <w:rPr>
          <w:noProof/>
        </w:rPr>
        <w:t xml:space="preserve"> или МСФО 9 „</w:t>
      </w:r>
      <w:r>
        <w:rPr>
          <w:i/>
          <w:noProof/>
        </w:rPr>
        <w:t>Финансови инструменти“</w:t>
      </w:r>
      <w:r>
        <w:rPr>
          <w:noProof/>
        </w:rPr>
        <w:t>. При финализирането на становището относно МСФО 15 Съветът на ЕКГФО взе под внимание получените коментари и счете, че новият стандарт допринася за европейския обществен интерес, тъй като констатира, че може да се очаква МСФО 15 да окаже положително въздействие върху цената на капитала, макар че не установи никакви потенциални отрицателни последици за европейската икономика. Издаденото през март 2015 г. окончателно становище включваше тази оценка.</w:t>
      </w:r>
    </w:p>
    <w:p>
      <w:pPr>
        <w:pStyle w:val="NormalWeb"/>
        <w:spacing w:before="0" w:beforeAutospacing="0" w:after="120" w:afterAutospacing="0" w:line="276" w:lineRule="auto"/>
        <w:jc w:val="both"/>
        <w:rPr>
          <w:noProof/>
          <w:szCs w:val="20"/>
        </w:rPr>
      </w:pPr>
      <w:r>
        <w:rPr>
          <w:noProof/>
        </w:rPr>
        <w:t>В своето искане за становище относно МСФО 9 „</w:t>
      </w:r>
      <w:r>
        <w:rPr>
          <w:i/>
          <w:noProof/>
        </w:rPr>
        <w:t>Финансови инструменти“</w:t>
      </w:r>
      <w:r>
        <w:rPr>
          <w:noProof/>
        </w:rPr>
        <w:t>, след като се консултира с члена на Регулаторния комитет по счетоводство (РКС), Комисията очерта множество специфични въпроси, включително свързани с обществения интерес, които е необходимо да бъдат анализирани от ЕКГФО. По-специално, тя поиска оценка на този стандарт в контекста на концепцията за „предпазливост“. Комисията поиска също оценка на използването на „справедлива стойност“, включително по отношение на нуждите на дългосрочните инвеститори, и запита дали въведените промени могат да окажат неблагоприятно въздействие върху финансовата стабилност. През септември 2015 г. ЕКГФО представи становището си относно МСФО 9 „</w:t>
      </w:r>
      <w:r>
        <w:rPr>
          <w:i/>
          <w:noProof/>
        </w:rPr>
        <w:t>Финансови инструменти</w:t>
      </w:r>
      <w:r>
        <w:rPr>
          <w:noProof/>
        </w:rPr>
        <w:t>“ на Комисията. В своето становище ЕКГФО стигна до заключението, че МСФО 9 допринася за европейския обществен интерес, с изключение на въздействието върху застрахователния сектор от прилагането на МСФО 9 преди финализирането на предстоящия стандарт относно застрахователните договори. Освен това ЕКГФО заключи, че прилагането на МСФО 9 води до благоразумно водене на счетоводството.</w:t>
      </w:r>
    </w:p>
    <w:p>
      <w:pPr>
        <w:pStyle w:val="NormalWeb"/>
        <w:spacing w:before="0" w:beforeAutospacing="0" w:line="276" w:lineRule="auto"/>
        <w:jc w:val="both"/>
        <w:rPr>
          <w:noProof/>
          <w:szCs w:val="20"/>
        </w:rPr>
      </w:pPr>
      <w:r>
        <w:rPr>
          <w:noProof/>
        </w:rPr>
        <w:t>През 2015 г. ЕКГФО участва в процеса на консултации на СМСС и изготви писма с коментари след публично допитване по други решения на СМСС, включително концептуалната рамка. Освен това ЕКГФО продължи обсъжданията по проекта на МСФО 4 „</w:t>
      </w:r>
      <w:r>
        <w:rPr>
          <w:i/>
          <w:noProof/>
        </w:rPr>
        <w:t>Застрахователни договори</w:t>
      </w:r>
      <w:r>
        <w:rPr>
          <w:noProof/>
        </w:rPr>
        <w:t>“ и участва активно в консултациите по предложения на СМСС за изменение на съществуващия стандарт относно застрахователните договори — МСФО 4, с цел да се намери решение на проблема, свързан с временните последици от различните дати на влизане в сила на МСФО 9 „</w:t>
      </w:r>
      <w:r>
        <w:rPr>
          <w:i/>
          <w:noProof/>
        </w:rPr>
        <w:t>Финансови инструменти“</w:t>
      </w:r>
      <w:r>
        <w:rPr>
          <w:noProof/>
        </w:rPr>
        <w:t xml:space="preserve"> и новия стандарт относно застрахователните договори.</w:t>
      </w:r>
    </w:p>
    <w:p>
      <w:pPr>
        <w:pStyle w:val="ManualHeading2"/>
        <w:rPr>
          <w:noProof/>
          <w:szCs w:val="24"/>
        </w:rPr>
      </w:pPr>
      <w:r>
        <w:t>3.2.</w:t>
      </w:r>
      <w:r>
        <w:tab/>
      </w:r>
      <w:r>
        <w:rPr>
          <w:noProof/>
        </w:rPr>
        <w:t>Отчитане на разнообразието на счетоводни и икономически модели и представи в Европейския съюз</w:t>
      </w:r>
    </w:p>
    <w:p>
      <w:pPr>
        <w:pStyle w:val="Default"/>
        <w:spacing w:after="200" w:line="276" w:lineRule="auto"/>
        <w:jc w:val="both"/>
        <w:rPr>
          <w:rFonts w:eastAsia="Times New Roman"/>
          <w:noProof/>
          <w:color w:val="auto"/>
          <w:szCs w:val="20"/>
        </w:rPr>
      </w:pPr>
      <w:r>
        <w:rPr>
          <w:noProof/>
          <w:color w:val="auto"/>
        </w:rPr>
        <w:t xml:space="preserve">След създаването си ЕКГФО въведе прозрачен надлежен процес, който беше доразвит с течение на времето. </w:t>
      </w:r>
      <w:r>
        <w:rPr>
          <w:noProof/>
        </w:rPr>
        <w:t xml:space="preserve">Този надлежен процес позволява на всички европейски заинтересовани участници да </w:t>
      </w:r>
      <w:r>
        <w:rPr>
          <w:noProof/>
        </w:rPr>
        <w:br/>
        <w:t>представят становищата си за обсъждане от страна на ЕКГФО и гарантира, че се отчита разнообразието на счетоводни и икономически модели и представи в Европа и че новите МСФО отговарят на потребностите на Съюза.</w:t>
      </w:r>
    </w:p>
    <w:p>
      <w:pPr>
        <w:pStyle w:val="Default"/>
        <w:spacing w:after="200" w:line="276" w:lineRule="auto"/>
        <w:jc w:val="both"/>
        <w:rPr>
          <w:rFonts w:eastAsia="Times New Roman"/>
          <w:noProof/>
          <w:color w:val="auto"/>
          <w:szCs w:val="20"/>
        </w:rPr>
      </w:pPr>
      <w:r>
        <w:rPr>
          <w:noProof/>
          <w:color w:val="auto"/>
        </w:rPr>
        <w:t>Като част от своя надлежен процес ЕКГФО публикува проекти на позиции за публични консултации, извършва изпитвания в реални условия и други видове анализи на въздействието, организира информационни мероприятия (някои от които са насочени специално към ползвателите на финансовите отчети) и извършва специални проучвания</w:t>
      </w:r>
      <w:r>
        <w:rPr>
          <w:rStyle w:val="FootnoteReference"/>
          <w:noProof/>
          <w:color w:val="auto"/>
        </w:rPr>
        <w:footnoteReference w:id="6"/>
      </w:r>
      <w:r>
        <w:rPr>
          <w:noProof/>
          <w:color w:val="auto"/>
        </w:rPr>
        <w:t xml:space="preserve">, публикува резултатите в декларации за обратна връзка и издава свои окончателни позиции. </w:t>
      </w:r>
    </w:p>
    <w:p>
      <w:pPr>
        <w:spacing w:after="0"/>
        <w:jc w:val="both"/>
        <w:rPr>
          <w:rFonts w:ascii="Times New Roman" w:eastAsia="Times New Roman" w:hAnsi="Times New Roman"/>
          <w:noProof/>
          <w:sz w:val="24"/>
          <w:szCs w:val="20"/>
        </w:rPr>
      </w:pPr>
      <w:r>
        <w:rPr>
          <w:rFonts w:ascii="Times New Roman" w:hAnsi="Times New Roman"/>
          <w:noProof/>
          <w:sz w:val="24"/>
        </w:rPr>
        <w:t>Заседанията на Съвета на ЕКГФО и Техническата експертна група на ЕКГФО са публични и дневният ред и резюметата от заседанията се публикуват на уебсайта на ЕКГФО заедно със съпътстващите документи, свързани с дневния ред за заседанията на Съвета на ЕКГФО. Обсъжданията допълнително са подкрепени от материали, получени от Консултативния форум на органите, определящи счетоводни стандарти, към ЕКГФО и специализираните работни групи на ЕКГФО. Приносът от страна на Групата на потребителите към ЕКГФО е изключително важен за работата на ЕКГФО. Разнообразният състав на тези групи и на Съвета на ЕКГФО и ТЕГ на ЕКГФО както в географско, така и в професионално отношение, в допълнение към надлежния процес, гарантира, че ЕКГФО надлежно взема предвид всички различни гледни точки.</w:t>
      </w:r>
    </w:p>
    <w:p>
      <w:pPr>
        <w:pStyle w:val="ManualHeading2"/>
        <w:rPr>
          <w:noProof/>
          <w:szCs w:val="24"/>
        </w:rPr>
      </w:pPr>
      <w:r>
        <w:t>3.3.</w:t>
      </w:r>
      <w:r>
        <w:tab/>
      </w:r>
      <w:r>
        <w:rPr>
          <w:noProof/>
        </w:rPr>
        <w:t xml:space="preserve">Осъществяване на реформа на управлението в резултат на препоръките от доклада на Мейстад </w:t>
      </w:r>
    </w:p>
    <w:p>
      <w:pPr>
        <w:pStyle w:val="ListParagraph"/>
        <w:ind w:left="0"/>
        <w:jc w:val="both"/>
        <w:rPr>
          <w:rFonts w:ascii="Times New Roman" w:eastAsia="Times New Roman" w:hAnsi="Times New Roman"/>
          <w:noProof/>
          <w:sz w:val="24"/>
          <w:szCs w:val="20"/>
        </w:rPr>
      </w:pPr>
      <w:r>
        <w:rPr>
          <w:rFonts w:ascii="Times New Roman" w:hAnsi="Times New Roman"/>
          <w:noProof/>
          <w:sz w:val="24"/>
        </w:rPr>
        <w:t>Реформата на управлението на ЕКГФО, която бе приведена в действие на 31 октомври 2014 г., повиши легитимността и представителността на организацията и доведе до по-съгласуван процес за участието на ЕС в процеса на определяне на стандартите. Следва да се отбележи, че ЕКГФО постигна всичките си заключения през 2015 г. на основата на консенсус без да се налага да се прибягва до гласуване.</w:t>
      </w:r>
    </w:p>
    <w:p>
      <w:pPr>
        <w:jc w:val="both"/>
        <w:rPr>
          <w:rFonts w:ascii="Times New Roman" w:eastAsia="Times New Roman" w:hAnsi="Times New Roman"/>
          <w:noProof/>
          <w:sz w:val="24"/>
          <w:szCs w:val="20"/>
        </w:rPr>
      </w:pPr>
      <w:r>
        <w:rPr>
          <w:rFonts w:ascii="Times New Roman" w:hAnsi="Times New Roman"/>
          <w:noProof/>
          <w:sz w:val="24"/>
        </w:rPr>
        <w:t>След първата си година на работа новият съвет на ЕКГФО осъществи своя собствен преглед на резултатите и ефективността, търсейки също обратна връзка от членуващите в нея организации. Този преглед, който обхвана съвкупност от стратегически, управленски и оперативни въпроси, показа, че новата структура на управление като цяло работи добре, което доведе до повишено доверие в организацията. Бяха приети няколко препоръки за по-нататъшно подобряване на ефективността на дейността на ЕКГФО в бъдеще. По-специално, ролята на официалните наблюдатели (Европейските надзорни органи и Европейската централна банка) в процеса на вземане на решения на Съвета бе засилена.</w:t>
      </w:r>
    </w:p>
    <w:p>
      <w:pPr>
        <w:tabs>
          <w:tab w:val="left" w:pos="9072"/>
        </w:tabs>
        <w:jc w:val="both"/>
        <w:rPr>
          <w:rFonts w:ascii="Times New Roman" w:eastAsia="Times New Roman" w:hAnsi="Times New Roman"/>
          <w:noProof/>
          <w:sz w:val="24"/>
          <w:szCs w:val="20"/>
        </w:rPr>
      </w:pPr>
      <w:r>
        <w:rPr>
          <w:rFonts w:ascii="Times New Roman" w:hAnsi="Times New Roman"/>
          <w:noProof/>
          <w:sz w:val="24"/>
        </w:rPr>
        <w:t>На 30 юни 2016 г. Комисията избра Jean-Paul Gauzès, бивш член на Европейския парламент, за председател на Съвета на ЕКГФО. Назначаването на г-н Gauzès беше предварително одобрено от Европейския парламент и Съвета. Г-н Gauzès беше официално назначен на 1 юли 2016 г. от Общото събрание на ЕКГФО. Ръководната му роля се очаква да дадe нов тласък на реформираната организация.</w:t>
      </w:r>
    </w:p>
    <w:p>
      <w:pPr>
        <w:jc w:val="both"/>
        <w:rPr>
          <w:rFonts w:ascii="Times New Roman" w:hAnsi="Times New Roman"/>
          <w:noProof/>
          <w:sz w:val="24"/>
          <w:szCs w:val="24"/>
        </w:rPr>
      </w:pPr>
      <w:r>
        <w:rPr>
          <w:rFonts w:ascii="Times New Roman" w:hAnsi="Times New Roman"/>
          <w:noProof/>
          <w:sz w:val="24"/>
        </w:rPr>
        <w:t>Докладът на Мейстад</w:t>
      </w:r>
      <w:r>
        <w:rPr>
          <w:rStyle w:val="FootnoteReference"/>
          <w:rFonts w:ascii="Times New Roman" w:hAnsi="Times New Roman"/>
          <w:noProof/>
          <w:sz w:val="24"/>
        </w:rPr>
        <w:footnoteReference w:id="7"/>
      </w:r>
      <w:r>
        <w:rPr>
          <w:rFonts w:ascii="Times New Roman" w:hAnsi="Times New Roman"/>
          <w:noProof/>
          <w:sz w:val="24"/>
        </w:rPr>
        <w:t xml:space="preserve"> насърчи ЕКГФО да продължи с усилията си за изготвяне на оценки на въздействието, които отговарят на нуждите на потребителите и европейския законодател. В това отношение ЕКГФО постигна значителен напредък в разработването на своя капацитет за оценка на въздействието от 2016 г. нататък. Службите на Комисията подпомогнаха ЕКГФО в този процес чрез споделяне на своя опит в тази област. Оценката на въздействието за МСФО 16 „</w:t>
      </w:r>
      <w:r>
        <w:rPr>
          <w:rFonts w:ascii="Times New Roman" w:hAnsi="Times New Roman"/>
          <w:i/>
          <w:noProof/>
          <w:sz w:val="24"/>
        </w:rPr>
        <w:t>Лизинг“,</w:t>
      </w:r>
      <w:r>
        <w:rPr>
          <w:rFonts w:ascii="Times New Roman" w:hAnsi="Times New Roman"/>
          <w:noProof/>
          <w:sz w:val="24"/>
        </w:rPr>
        <w:t xml:space="preserve"> която ще бъде включена в становището относно настоящия стандарт, ще се използва като пилотен проект за по-нататъшно изграждане на капацитета и задълбочаване на опита на ЕКГФО в тази област.</w:t>
      </w:r>
    </w:p>
    <w:p>
      <w:pPr>
        <w:jc w:val="both"/>
        <w:rPr>
          <w:rFonts w:ascii="Times New Roman" w:hAnsi="Times New Roman"/>
          <w:noProof/>
          <w:sz w:val="24"/>
          <w:szCs w:val="24"/>
        </w:rPr>
      </w:pPr>
      <w:r>
        <w:rPr>
          <w:rFonts w:ascii="Times New Roman" w:hAnsi="Times New Roman"/>
          <w:noProof/>
          <w:sz w:val="24"/>
        </w:rPr>
        <w:t>На 13 април 2016 г. Комисията предложи на Съвета и на Парламента да отпуснат финансиране на ЕКГФО за периода 2017—2020 г.</w:t>
      </w:r>
      <w:r>
        <w:rPr>
          <w:rStyle w:val="FootnoteReference"/>
          <w:rFonts w:ascii="Times New Roman" w:hAnsi="Times New Roman"/>
          <w:noProof/>
          <w:sz w:val="24"/>
        </w:rPr>
        <w:footnoteReference w:id="8"/>
      </w:r>
      <w:r>
        <w:rPr>
          <w:rFonts w:ascii="Times New Roman" w:hAnsi="Times New Roman"/>
          <w:noProof/>
          <w:sz w:val="24"/>
        </w:rPr>
        <w:t>.</w:t>
      </w:r>
    </w:p>
    <w:p>
      <w:pPr>
        <w:pStyle w:val="ManualHeading1"/>
        <w:rPr>
          <w:noProof/>
        </w:rPr>
      </w:pPr>
      <w:r>
        <w:t>4.</w:t>
      </w:r>
      <w:r>
        <w:tab/>
      </w:r>
      <w:r>
        <w:rPr>
          <w:noProof/>
        </w:rPr>
        <w:t>PIOB — Промени в диверсификацията на финансирането през 2014 г.</w:t>
      </w:r>
    </w:p>
    <w:p>
      <w:pPr>
        <w:autoSpaceDE w:val="0"/>
        <w:autoSpaceDN w:val="0"/>
        <w:adjustRightInd w:val="0"/>
        <w:jc w:val="both"/>
        <w:rPr>
          <w:rFonts w:ascii="Times New Roman" w:hAnsi="Times New Roman"/>
          <w:noProof/>
          <w:sz w:val="24"/>
          <w:szCs w:val="24"/>
        </w:rPr>
      </w:pPr>
      <w:r>
        <w:rPr>
          <w:rFonts w:ascii="Times New Roman" w:hAnsi="Times New Roman"/>
          <w:noProof/>
          <w:sz w:val="24"/>
        </w:rPr>
        <w:t>PIOB отговаря за наблюдението на процеса, който води до приемането на Международните стандарти за одит (МСО) и други дейности от обществен интерес на МФС (Международната федерация на счетоводителите). С цел правилното осъществяване на тази важна функция от обществен интерес, той следва да бъде финансиран по такъв начин, че да запази своята независимост. Правилната диверсификация на източниците на финансиране не само ще спомогне да се запази неговата непрекъснатост и гарантирането на неговата независимост, но и да се засили видимостта на тази независимост. В областта на международните стандарти за одит необходимостта от диверсификация на финансирането вече е призната в реформата на МФС през 2003 г. Тази реформа отвори пътя за създаването на PIOB, който на тази основа, се очаква да бъде финансиран от различни източници. Този подход винаги е бил подкрепян от Групата за текущо наблюдение — международната организация, която отговаря за наблюдението на реформата на управлението на определянето на международните стандарти за одит.</w:t>
      </w:r>
    </w:p>
    <w:p>
      <w:pPr>
        <w:autoSpaceDE w:val="0"/>
        <w:autoSpaceDN w:val="0"/>
        <w:adjustRightInd w:val="0"/>
        <w:jc w:val="both"/>
        <w:rPr>
          <w:rFonts w:ascii="Times New Roman" w:hAnsi="Times New Roman"/>
          <w:noProof/>
          <w:sz w:val="24"/>
          <w:szCs w:val="24"/>
        </w:rPr>
      </w:pPr>
      <w:r>
        <w:rPr>
          <w:rFonts w:ascii="Times New Roman" w:hAnsi="Times New Roman"/>
          <w:noProof/>
          <w:sz w:val="24"/>
        </w:rPr>
        <w:t>От създаването си през 2005 г. до 2010 г., когато програмата на Общността за финансиране, създадена с Решение № 716/2009/ЕО, започна да функционира, PIOB, освен чрез известни вноски в натура, се финансираше изключително от МФС. Вноската на ЕС в периода 2010—2015 г. допринесе за появата на множество донори, които също да правят свои вноски.</w:t>
      </w:r>
    </w:p>
    <w:p>
      <w:pPr>
        <w:jc w:val="both"/>
        <w:rPr>
          <w:rFonts w:ascii="Times New Roman" w:hAnsi="Times New Roman"/>
          <w:noProof/>
          <w:sz w:val="24"/>
          <w:szCs w:val="24"/>
        </w:rPr>
      </w:pPr>
      <w:r>
        <w:rPr>
          <w:rFonts w:ascii="Times New Roman" w:hAnsi="Times New Roman"/>
          <w:noProof/>
          <w:sz w:val="24"/>
        </w:rPr>
        <w:t>Средствата, предоставяни от МФС за определена година, представляват максимално гарантирано участие на МФС, което се предоставя на PIOB без по-нататъшна намеса от страна на МФС. Предназначението на вноските, които не са от МФС, е да заместят и в резултат на това да намалят вноската на МФС за съответната година. В идеалния случай делът на финансирането от МФС в общите годишни разходи на PIOB следва да бъде под 50 %.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 xml:space="preserve">През 2015 г., както е показано на страница 1 от неговите финансови отчети, приходите на PIOB възлизат на 1 532 907 EUR. МФС предостави 930 154 EUR, които представляват 60,67 % от общата сума. Европейската комисия предостави 312 000 EUR (272 000 EUR през 2014 г.), което представлява 20,35 % от общата сума. Органът за отчетност на Абу Даби предостави, както през 2014 г., 120 000 EUR, което представлява 7,82 % от общата сума. Международната организация на комисиите по ценни книжа предостави, също както през 2014 г., 100 000 EUR, което представлява 6,52% от общата сума. Банката за международни разплащания, в сравнение с 2014 г., намали вноската си до 23 000 EUR, което представлява 1,50 % от общата сума. Съветът за финансова отчетност във Великобритания предостави, както през 2014 г., 40 000 EUR, което представлява 2,60% от общата сума. Салдото 7 753 EUR представлява приход от лихви. </w:t>
      </w:r>
    </w:p>
    <w:p>
      <w:pPr>
        <w:autoSpaceDE w:val="0"/>
        <w:autoSpaceDN w:val="0"/>
        <w:adjustRightInd w:val="0"/>
        <w:jc w:val="both"/>
        <w:rPr>
          <w:rFonts w:ascii="Times New Roman" w:hAnsi="Times New Roman"/>
          <w:noProof/>
          <w:sz w:val="24"/>
          <w:szCs w:val="24"/>
        </w:rPr>
      </w:pPr>
      <w:r>
        <w:rPr>
          <w:rFonts w:ascii="Times New Roman" w:hAnsi="Times New Roman"/>
          <w:noProof/>
          <w:sz w:val="24"/>
        </w:rPr>
        <w:t>Вноската на МФС от 60,67 % от общото финансиране за PIOB през 2015 г. е малко по-висока, отколкото през 2014 г. (58,19 %). Това се дължи основно на липсата на участие от страна на Световната банка (35 832 EUR през 2014 г.) и на намаляването на вноската на Банката за международни разплащания (23 000 EUR вместо 55 000 EUR през 2014 г.). Това изглежда е отражение на настоящата тенденция в целия свят за недостиг на публично финансиране, дължащо се на трайни неблагоприятни икономически условия.</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Член 9, параграф 5 от Регламента предвижда, че ако финансирането от страна на МФС за определена година надвиши повече от две трети от общото годишно финансиране за PIOB, Комисията предлага годишната му вноска за съответната година да бъде ограничена до максимална сума от 300 000 EUR. През 2015 г. случаят не бе такъв и следователно, тъй като предвиденият в Регламента критичен праг (66,66 %) не бе достигнат от страна на финансирането от МФС, не е необходимо Комисията да преразглежда своята вноска за 2015 г. към PIOB.</w:t>
      </w:r>
    </w:p>
    <w:p>
      <w:pPr>
        <w:pStyle w:val="ManualHeading1"/>
        <w:rPr>
          <w:noProof/>
        </w:rPr>
      </w:pPr>
      <w:r>
        <w:t>5.</w:t>
      </w:r>
      <w:r>
        <w:tab/>
      </w:r>
      <w:r>
        <w:rPr>
          <w:noProof/>
        </w:rPr>
        <w:t>Заключения</w:t>
      </w:r>
    </w:p>
    <w:p>
      <w:pPr>
        <w:pStyle w:val="CM4"/>
        <w:spacing w:line="276" w:lineRule="auto"/>
        <w:jc w:val="both"/>
        <w:rPr>
          <w:rFonts w:ascii="Times New Roman" w:eastAsia="Times New Roman" w:hAnsi="Times New Roman"/>
          <w:noProof/>
          <w:szCs w:val="20"/>
          <w:u w:val="single"/>
        </w:rPr>
      </w:pPr>
      <w:r>
        <w:rPr>
          <w:rFonts w:ascii="Times New Roman" w:hAnsi="Times New Roman"/>
          <w:noProof/>
          <w:u w:val="single"/>
        </w:rPr>
        <w:t>Фондация за МСФО</w:t>
      </w:r>
    </w:p>
    <w:p>
      <w:pPr>
        <w:pStyle w:val="CM4"/>
        <w:spacing w:after="120" w:line="276" w:lineRule="auto"/>
        <w:jc w:val="both"/>
        <w:rPr>
          <w:rFonts w:ascii="Times New Roman" w:eastAsia="Times New Roman" w:hAnsi="Times New Roman"/>
          <w:noProof/>
          <w:szCs w:val="20"/>
          <w:u w:val="single"/>
        </w:rPr>
      </w:pPr>
      <w:r>
        <w:rPr>
          <w:noProof/>
        </w:rPr>
        <w:t xml:space="preserve">Двата основни стандарта, издадени от СМСС през 2014 г., а именно МСФО 9 </w:t>
      </w:r>
      <w:r>
        <w:rPr>
          <w:rFonts w:asciiTheme="minorHAnsi" w:hAnsiTheme="minorHAnsi"/>
          <w:noProof/>
        </w:rPr>
        <w:t>„</w:t>
      </w:r>
      <w:r>
        <w:rPr>
          <w:i/>
          <w:noProof/>
        </w:rPr>
        <w:t>Финансови инструменти</w:t>
      </w:r>
      <w:r>
        <w:rPr>
          <w:rFonts w:asciiTheme="minorHAnsi" w:hAnsiTheme="minorHAnsi"/>
          <w:i/>
          <w:noProof/>
        </w:rPr>
        <w:t>“</w:t>
      </w:r>
      <w:r>
        <w:rPr>
          <w:noProof/>
        </w:rPr>
        <w:t xml:space="preserve"> и МСФО 15 </w:t>
      </w:r>
      <w:r>
        <w:rPr>
          <w:rFonts w:asciiTheme="minorHAnsi" w:hAnsiTheme="minorHAnsi"/>
          <w:noProof/>
        </w:rPr>
        <w:t>„</w:t>
      </w:r>
      <w:r>
        <w:rPr>
          <w:i/>
          <w:noProof/>
        </w:rPr>
        <w:t>Приходи от договори с клиенти</w:t>
      </w:r>
      <w:r>
        <w:rPr>
          <w:rFonts w:asciiTheme="minorHAnsi" w:hAnsiTheme="minorHAnsi"/>
          <w:i/>
          <w:noProof/>
        </w:rPr>
        <w:t>“</w:t>
      </w:r>
      <w:r>
        <w:rPr>
          <w:noProof/>
        </w:rPr>
        <w:t xml:space="preserve">, понастоящем са в процес на одобрение в ЕС след положителна оценка на тези стандарти от страна на ЕКГФО. </w:t>
      </w:r>
      <w:r>
        <w:rPr>
          <w:rFonts w:ascii="Times New Roman" w:hAnsi="Times New Roman"/>
          <w:noProof/>
        </w:rPr>
        <w:t>През 2015 г. СМСС завърши друг важен стандарт — МСФО 16 „Лизинг“, който беше публикуван през януари 2016 г. Освен това СМСС продължи да работи по редица други важни проекти, по-специално застрахователните договори, инициативата във връзка с оповестяванията и концептуалната рамка.</w:t>
      </w:r>
    </w:p>
    <w:p>
      <w:pPr>
        <w:pStyle w:val="CM4"/>
        <w:spacing w:line="276" w:lineRule="auto"/>
        <w:jc w:val="both"/>
        <w:rPr>
          <w:rFonts w:ascii="Times New Roman" w:eastAsia="Times New Roman" w:hAnsi="Times New Roman"/>
          <w:noProof/>
          <w:szCs w:val="20"/>
        </w:rPr>
      </w:pPr>
      <w:r>
        <w:rPr>
          <w:rFonts w:ascii="Times New Roman" w:hAnsi="Times New Roman"/>
          <w:noProof/>
        </w:rPr>
        <w:t>По отношение на това дали МСФО:</w:t>
      </w:r>
    </w:p>
    <w:p>
      <w:pPr>
        <w:pStyle w:val="CM4"/>
        <w:spacing w:line="276" w:lineRule="auto"/>
        <w:ind w:left="480" w:hanging="480"/>
        <w:jc w:val="both"/>
        <w:rPr>
          <w:rFonts w:ascii="Times New Roman" w:eastAsia="Times New Roman" w:hAnsi="Times New Roman"/>
          <w:noProof/>
          <w:szCs w:val="20"/>
        </w:rPr>
      </w:pPr>
      <w:r>
        <w:rPr>
          <w:noProof/>
        </w:rPr>
        <w:t>• отчитат надлежно различните бизнес модели:</w:t>
      </w:r>
      <w:r>
        <w:rPr>
          <w:rFonts w:ascii="Times New Roman" w:hAnsi="Times New Roman"/>
          <w:noProof/>
        </w:rPr>
        <w:t xml:space="preserve"> МСФО 9 изрично признава значението на бизнес моделите при определянето на оценката на финансовите инструменти, а МСФО 15 се счита за достатъчно гъвкав, за да бъде съобразен с различните бизнес модели. Концептуалната рамка отделя по-голямо внимание на бизнес моделите.</w:t>
      </w:r>
    </w:p>
    <w:p>
      <w:pPr>
        <w:pStyle w:val="CM4"/>
        <w:spacing w:line="276" w:lineRule="auto"/>
        <w:ind w:left="480" w:hanging="480"/>
        <w:jc w:val="both"/>
        <w:rPr>
          <w:rFonts w:ascii="Times New Roman" w:eastAsia="Times New Roman" w:hAnsi="Times New Roman"/>
          <w:noProof/>
        </w:rPr>
      </w:pPr>
      <w:r>
        <w:rPr>
          <w:noProof/>
        </w:rPr>
        <w:t>• отразяват действителните последици от икономическите операции:</w:t>
      </w:r>
      <w:r>
        <w:rPr>
          <w:rFonts w:ascii="Times New Roman" w:hAnsi="Times New Roman"/>
          <w:noProof/>
        </w:rPr>
        <w:t xml:space="preserve"> МСФО 15 постига това и МСФО 16 също се стреми по-добре да отрази действителните последици от икономическите операции и предоставя така необходимата прозрачност за лизинговите активи и пасиви на дружествата. МСФО 4 „</w:t>
      </w:r>
      <w:r>
        <w:rPr>
          <w:rFonts w:ascii="Times New Roman" w:hAnsi="Times New Roman"/>
          <w:i/>
          <w:noProof/>
        </w:rPr>
        <w:t>Застрахователни договори</w:t>
      </w:r>
      <w:r>
        <w:rPr>
          <w:rFonts w:ascii="Times New Roman" w:hAnsi="Times New Roman"/>
          <w:noProof/>
        </w:rPr>
        <w:t>“, понастоящем финализиран от СМСС, също се очаква да предостави реалистично описание и по-добра съпоставимост на финансовите резултати на застрахователния сектор в различните групи. Освен това с концептуалната рамка ще се въведе понятието „предимство на съдържанието пред формата“, което е важно за правилното отразяване на икономическите операции.</w:t>
      </w:r>
    </w:p>
    <w:p>
      <w:pPr>
        <w:pStyle w:val="CM4"/>
        <w:spacing w:line="276" w:lineRule="auto"/>
        <w:ind w:left="480" w:hanging="480"/>
        <w:jc w:val="both"/>
        <w:rPr>
          <w:rFonts w:ascii="Times New Roman" w:eastAsia="Times New Roman" w:hAnsi="Times New Roman"/>
          <w:noProof/>
          <w:szCs w:val="20"/>
        </w:rPr>
      </w:pPr>
      <w:r>
        <w:rPr>
          <w:noProof/>
        </w:rPr>
        <w:t>• не са прекалено сложни:</w:t>
      </w:r>
      <w:r>
        <w:rPr>
          <w:rFonts w:ascii="Times New Roman" w:hAnsi="Times New Roman"/>
          <w:noProof/>
        </w:rPr>
        <w:t xml:space="preserve"> МСФО 9 е сложен стандарт, но с него се въвеждат опростявания в отчитането на финансовите инструменти. По мнението на ЕКГФО, представено в становището, МСФО 9 не съдържа никаква сложност, която може да попречи на разбирането. МСФО 15 е по-сложен от стандарта, който заменя, но това е оправдано, тъй като предходният стандарт вече не беше подходящ за отразяване на сложността на съвременните бизнес операции.</w:t>
      </w:r>
    </w:p>
    <w:p>
      <w:pPr>
        <w:pStyle w:val="CM4"/>
        <w:spacing w:after="120" w:line="276" w:lineRule="auto"/>
        <w:ind w:left="480" w:hanging="480"/>
        <w:jc w:val="both"/>
        <w:rPr>
          <w:rFonts w:ascii="Times New Roman" w:eastAsia="Times New Roman" w:hAnsi="Times New Roman"/>
          <w:noProof/>
          <w:szCs w:val="20"/>
        </w:rPr>
      </w:pPr>
      <w:r>
        <w:rPr>
          <w:noProof/>
        </w:rPr>
        <w:t>• избягват изкуствено поставени кратки срокове и допускането на нестабилност:</w:t>
      </w:r>
      <w:r>
        <w:rPr>
          <w:rFonts w:ascii="Times New Roman" w:hAnsi="Times New Roman"/>
          <w:noProof/>
        </w:rPr>
        <w:t xml:space="preserve"> МСФО 15 е ефективен по отношение на избягването на подобна нестабилност, тъй като съдържа специфични разпоредби, които се прилагат в случаите на несигурност при признаването на бъдещи приходи. По отношение на МСФО 4 „</w:t>
      </w:r>
      <w:r>
        <w:rPr>
          <w:rFonts w:ascii="Times New Roman" w:hAnsi="Times New Roman"/>
          <w:i/>
          <w:noProof/>
        </w:rPr>
        <w:t>Застрахователни договори“</w:t>
      </w:r>
      <w:r>
        <w:rPr>
          <w:rFonts w:ascii="Times New Roman" w:hAnsi="Times New Roman"/>
          <w:noProof/>
        </w:rPr>
        <w:t xml:space="preserve"> ЕКГФО ще разгледа този аспект в рамките на процеса на одобрение след публикуването на стандарта от СМСС.</w:t>
      </w:r>
    </w:p>
    <w:p>
      <w:pPr>
        <w:pStyle w:val="CM4"/>
        <w:spacing w:after="120" w:line="276" w:lineRule="auto"/>
        <w:jc w:val="both"/>
        <w:rPr>
          <w:rFonts w:ascii="Times New Roman" w:eastAsia="Times New Roman" w:hAnsi="Times New Roman"/>
          <w:noProof/>
        </w:rPr>
      </w:pPr>
      <w:r>
        <w:rPr>
          <w:rFonts w:ascii="Times New Roman" w:hAnsi="Times New Roman"/>
          <w:noProof/>
        </w:rPr>
        <w:t>Що се отнася до концептуалната рамка, Комисията потвърждава подкрепата си по отношение на повторното въвеждане на концепцията за предпазливост и ще следи отблизо развитието на преразгледаната концептуална рамка на СМСС след изтичането на срока за коментари.</w:t>
      </w:r>
    </w:p>
    <w:p>
      <w:pPr>
        <w:pStyle w:val="ListParagraph"/>
        <w:tabs>
          <w:tab w:val="left" w:pos="9072"/>
        </w:tabs>
        <w:spacing w:after="120"/>
        <w:ind w:left="0" w:right="-48"/>
        <w:jc w:val="both"/>
        <w:rPr>
          <w:rFonts w:ascii="Times New Roman" w:eastAsia="Times New Roman" w:hAnsi="Times New Roman"/>
          <w:noProof/>
          <w:sz w:val="24"/>
          <w:szCs w:val="24"/>
        </w:rPr>
      </w:pPr>
      <w:r>
        <w:rPr>
          <w:rFonts w:ascii="Times New Roman" w:hAnsi="Times New Roman"/>
          <w:noProof/>
          <w:sz w:val="24"/>
        </w:rPr>
        <w:t>И накрая, Комисията приветства задълбочения анализ на последиците, който придружава новия стандарт МСФО 16, и приканва СМСС да продължи да разработва своя анализ на въздействието на нови или изменени стандарти.</w:t>
      </w:r>
    </w:p>
    <w:p>
      <w:pPr>
        <w:tabs>
          <w:tab w:val="left" w:pos="9072"/>
        </w:tabs>
        <w:spacing w:after="0"/>
        <w:jc w:val="both"/>
        <w:rPr>
          <w:rFonts w:ascii="Times New Roman" w:eastAsia="Times New Roman" w:hAnsi="Times New Roman"/>
          <w:noProof/>
          <w:sz w:val="24"/>
          <w:szCs w:val="24"/>
          <w:u w:val="single"/>
        </w:rPr>
      </w:pPr>
      <w:r>
        <w:rPr>
          <w:rFonts w:ascii="Times New Roman" w:hAnsi="Times New Roman"/>
          <w:noProof/>
          <w:sz w:val="24"/>
          <w:u w:val="single"/>
        </w:rPr>
        <w:t>ЕКГФО</w:t>
      </w:r>
    </w:p>
    <w:p>
      <w:pPr>
        <w:tabs>
          <w:tab w:val="left" w:pos="9072"/>
        </w:tabs>
        <w:spacing w:after="120"/>
        <w:jc w:val="both"/>
        <w:rPr>
          <w:rFonts w:ascii="Times New Roman" w:eastAsia="Times New Roman" w:hAnsi="Times New Roman"/>
          <w:noProof/>
          <w:sz w:val="24"/>
          <w:szCs w:val="24"/>
          <w:u w:val="single"/>
        </w:rPr>
      </w:pPr>
      <w:r>
        <w:rPr>
          <w:rFonts w:ascii="Times New Roman" w:hAnsi="Times New Roman"/>
          <w:noProof/>
          <w:sz w:val="24"/>
        </w:rPr>
        <w:t>След прилагането на реформата на управлението на ЕКГФО през 2014 г., тя получи добри възможности да укрепи легитимността на своите позиции и значително да допринесе за целта за възприемане на единна европейска позиция.</w:t>
      </w:r>
    </w:p>
    <w:p>
      <w:pPr>
        <w:pStyle w:val="Default"/>
        <w:spacing w:after="200" w:line="276" w:lineRule="auto"/>
        <w:jc w:val="both"/>
        <w:rPr>
          <w:rFonts w:eastAsia="Times New Roman"/>
          <w:noProof/>
          <w:color w:val="auto"/>
        </w:rPr>
      </w:pPr>
      <w:r>
        <w:rPr>
          <w:noProof/>
          <w:color w:val="auto"/>
        </w:rPr>
        <w:t xml:space="preserve">ЕКГФО продължи да взема под внимание в оценките си за одобрение факта дали МСФО отговарят на всички технически критерии от Регламента за МСС и затвърди своя обхват на оценката дали новите или предложените изисквания за финансово отчитане допринасят за обществения интерес. </w:t>
      </w:r>
      <w:r>
        <w:rPr>
          <w:noProof/>
        </w:rPr>
        <w:t>Това беше показано в нейното становище относно два важни стандарта, МСФО 9 „</w:t>
      </w:r>
      <w:r>
        <w:rPr>
          <w:i/>
          <w:noProof/>
        </w:rPr>
        <w:t>Финансови инструменти“</w:t>
      </w:r>
      <w:r>
        <w:rPr>
          <w:noProof/>
        </w:rPr>
        <w:t xml:space="preserve"> и МСФО 15 „</w:t>
      </w:r>
      <w:r>
        <w:rPr>
          <w:i/>
          <w:noProof/>
        </w:rPr>
        <w:t>Приходи от договори с клиенти“</w:t>
      </w:r>
      <w:r>
        <w:rPr>
          <w:noProof/>
        </w:rPr>
        <w:t xml:space="preserve">, които ЕКГФО предостави на Комисията през 2015 г. </w:t>
      </w:r>
    </w:p>
    <w:p>
      <w:pPr>
        <w:pStyle w:val="Default"/>
        <w:spacing w:after="200" w:line="276" w:lineRule="auto"/>
        <w:jc w:val="both"/>
        <w:rPr>
          <w:rFonts w:eastAsia="Times New Roman"/>
          <w:noProof/>
          <w:color w:val="auto"/>
          <w:szCs w:val="20"/>
        </w:rPr>
      </w:pPr>
      <w:r>
        <w:rPr>
          <w:noProof/>
          <w:color w:val="auto"/>
        </w:rPr>
        <w:t>Комисията приветства усилията на ЕКГФО да продължи да развива възможностите си по отношение на анализа на въздействията на стандартите, включително макроикономическите въздействия, като например въздействието върху финансовата стабилност или икономическото развитие в ЕС. През 2016 г. Комисията ще продължи да следи развитието на възможностите за оценка на въздействието на ЕКГФО.</w:t>
      </w:r>
    </w:p>
    <w:p>
      <w:pPr>
        <w:pStyle w:val="CM4"/>
        <w:tabs>
          <w:tab w:val="left" w:pos="9072"/>
        </w:tabs>
        <w:spacing w:after="120" w:line="276" w:lineRule="auto"/>
        <w:jc w:val="both"/>
        <w:rPr>
          <w:rFonts w:ascii="Times New Roman" w:eastAsia="Times New Roman" w:hAnsi="Times New Roman"/>
          <w:noProof/>
          <w:szCs w:val="20"/>
        </w:rPr>
      </w:pPr>
      <w:r>
        <w:rPr>
          <w:rFonts w:ascii="Times New Roman" w:hAnsi="Times New Roman"/>
          <w:noProof/>
        </w:rPr>
        <w:t>Благодарение на своя цялостен надлежен процес ЕКГФО имаше възможност да предостави адекватна оценка на това дали проектите на международни счетоводни стандарти, новите или изменените международни счетоводни стандарти отговарят на потребностите на Съюза, като същевременно отчита съществуващото в Съюза разнообразие на счетоводни и икономически модели и представи.</w:t>
      </w:r>
      <w:r>
        <w:rPr>
          <w:noProof/>
        </w:rPr>
        <w:tab/>
      </w:r>
    </w:p>
    <w:p>
      <w:pPr>
        <w:pStyle w:val="Default"/>
        <w:spacing w:line="276" w:lineRule="auto"/>
        <w:jc w:val="both"/>
        <w:rPr>
          <w:rFonts w:eastAsia="Times New Roman"/>
          <w:noProof/>
          <w:color w:val="auto"/>
          <w:szCs w:val="20"/>
          <w:u w:val="single"/>
        </w:rPr>
      </w:pPr>
      <w:r>
        <w:rPr>
          <w:noProof/>
          <w:color w:val="auto"/>
          <w:u w:val="single"/>
        </w:rPr>
        <w:t>PIOB</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По отношение на PIOB разнообразяването на източниците на финансиране продължава както през предходната година, с изключение на Световната банка. Общият дял на източниците на приходи, осигурени от МФС през 2015 г., както е видно от страница 1 от нейните финансови отчети, е 60,67 %, което е малко по-високо, отколкото през 2014 г., но все още е под предвидения в регламента праг от две трети. Това се дължи на недостига на публично финансиране в целия свят поради преобладаващите финансови ограничения в публичния сектор. През следващите години Комисията ще продължи да наблюдава развитието на финансирането и ще си сътрудничи с други заинтересовани страни, по-специално с други членове на Групата за текущо наблюдение, за да гарантира, че PIOB се ползва от ясна, стабилна, диверсифицирана и адекватна система на финансиране, за да може да изпълнява своята мисия от обществен интерес по независим и ефикасен начин.</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20" w:hanging="120"/>
        <w:jc w:val="both"/>
        <w:rPr>
          <w:lang w:val="en-GB"/>
        </w:rPr>
      </w:pPr>
      <w:r>
        <w:rPr>
          <w:rStyle w:val="FootnoteReference"/>
        </w:rPr>
        <w:footnoteRef/>
      </w:r>
      <w:r>
        <w:tab/>
        <w:t>Програмният период по отношение на ЕКГФО е от 1 януари 2014 г. до 31 декември 2016 г.; На 13 март 2016 г. Комисията предложи той да бъде удължен до 31 декември 2020 г.</w:t>
      </w:r>
    </w:p>
  </w:footnote>
  <w:footnote w:id="3">
    <w:p>
      <w:pPr>
        <w:pStyle w:val="FootnoteText"/>
        <w:rPr>
          <w:lang w:val="en-GB"/>
        </w:rPr>
      </w:pPr>
      <w:r>
        <w:rPr>
          <w:rStyle w:val="FootnoteReference"/>
        </w:rPr>
        <w:footnoteRef/>
      </w:r>
      <w:r>
        <w:t xml:space="preserve"> ОВ L 105/1, 8.04.2014 г.</w:t>
      </w:r>
    </w:p>
  </w:footnote>
  <w:footnote w:id="4">
    <w:p>
      <w:pPr>
        <w:pStyle w:val="FootnoteText"/>
        <w:rPr>
          <w:lang w:val="en-GB"/>
        </w:rPr>
      </w:pPr>
      <w:r>
        <w:rPr>
          <w:rStyle w:val="FootnoteReference"/>
        </w:rPr>
        <w:footnoteRef/>
      </w:r>
      <w:r>
        <w:t xml:space="preserve"> http://www.fsb.org/wp-content/uploads/September-Plenary-press-release.pdf</w:t>
      </w:r>
    </w:p>
  </w:footnote>
  <w:footnote w:id="5">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http://ec.europa.eu/finance/company-reporting/docs/committees/arc/2016-06-27-european-public-good_en.pdf</w:t>
      </w:r>
    </w:p>
  </w:footnote>
  <w:footnote w:id="6">
    <w:p>
      <w:pPr>
        <w:pStyle w:val="FootnoteText"/>
        <w:rPr>
          <w:lang w:val="en-GB"/>
        </w:rPr>
      </w:pPr>
      <w:r>
        <w:rPr>
          <w:rStyle w:val="FootnoteReference"/>
        </w:rPr>
        <w:footnoteRef/>
      </w:r>
      <w:r>
        <w:t xml:space="preserve"> През 2015 г. такива проучвания бяха проведени в подкрепа на оценката на МСФО 9</w:t>
      </w:r>
    </w:p>
  </w:footnote>
  <w:footnote w:id="7">
    <w:p>
      <w:pPr>
        <w:pStyle w:val="FootnoteText"/>
        <w:rPr>
          <w:lang w:val="en-GB"/>
        </w:rPr>
      </w:pPr>
      <w:r>
        <w:rPr>
          <w:rStyle w:val="FootnoteReference"/>
        </w:rPr>
        <w:footnoteRef/>
      </w:r>
      <w:r>
        <w:t xml:space="preserve"> http://ec.europa.eu/finance/accounting/docs/governance/reform/131112_report_en.pdf</w:t>
      </w:r>
    </w:p>
  </w:footnote>
  <w:footnote w:id="8">
    <w:p>
      <w:pPr>
        <w:pStyle w:val="FootnoteText"/>
        <w:rPr>
          <w:lang w:val="en-GB"/>
        </w:rPr>
      </w:pPr>
      <w:r>
        <w:rPr>
          <w:rStyle w:val="FootnoteReference"/>
        </w:rPr>
        <w:footnoteRef/>
      </w:r>
      <w:r>
        <w:t xml:space="preserve"> https://ec.europa.eu/transparency/regdoc/rep/1/2016/EN/1-2016-202-EN-F1-1.PDF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82A"/>
    <w:multiLevelType w:val="hybridMultilevel"/>
    <w:tmpl w:val="2ADA688C"/>
    <w:lvl w:ilvl="0" w:tplc="65D8A410">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0A681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nsid w:val="090D5CA5"/>
    <w:multiLevelType w:val="hybridMultilevel"/>
    <w:tmpl w:val="BC3601C8"/>
    <w:lvl w:ilvl="0" w:tplc="65D8A410">
      <w:numFmt w:val="bullet"/>
      <w:lvlText w:val="-"/>
      <w:lvlJc w:val="left"/>
      <w:pPr>
        <w:ind w:left="720" w:hanging="360"/>
      </w:pPr>
      <w:rPr>
        <w:rFonts w:ascii="Calibri" w:eastAsia="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237D2"/>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16BA1E57"/>
    <w:multiLevelType w:val="multilevel"/>
    <w:tmpl w:val="733C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8">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6B6842"/>
    <w:multiLevelType w:val="hybridMultilevel"/>
    <w:tmpl w:val="F6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67C16"/>
    <w:multiLevelType w:val="hybridMultilevel"/>
    <w:tmpl w:val="5F4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8172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4">
    <w:nsid w:val="48300DD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4BE2673B"/>
    <w:multiLevelType w:val="hybridMultilevel"/>
    <w:tmpl w:val="B59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DD479FF"/>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D61D1C"/>
    <w:multiLevelType w:val="hybridMultilevel"/>
    <w:tmpl w:val="05ACE70C"/>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210C01"/>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4">
    <w:nsid w:val="651361C5"/>
    <w:multiLevelType w:val="hybridMultilevel"/>
    <w:tmpl w:val="B2BA2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0842DA"/>
    <w:multiLevelType w:val="hybridMultilevel"/>
    <w:tmpl w:val="CE505158"/>
    <w:lvl w:ilvl="0" w:tplc="4058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AAB6323"/>
    <w:multiLevelType w:val="hybridMultilevel"/>
    <w:tmpl w:val="C68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8">
    <w:nsid w:val="6E2254F7"/>
    <w:multiLevelType w:val="hybridMultilevel"/>
    <w:tmpl w:val="6B3C6A5A"/>
    <w:lvl w:ilvl="0" w:tplc="5DFAC7FA">
      <w:start w:val="1"/>
      <mc:AlternateContent>
        <mc:Choice Requires="w14">
          <w:numFmt w:val="custom" w:format="а, й, к, ..."/>
        </mc:Choice>
        <mc:Fallback>
          <w:numFmt w:val="decimal"/>
        </mc:Fallback>
      </mc:AlternateContent>
      <w:lvlText w:val="%1)"/>
      <w:lvlJc w:val="left"/>
      <w:pPr>
        <w:ind w:left="48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8E6F5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nsid w:val="730134D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2">
    <w:nsid w:val="74182034"/>
    <w:multiLevelType w:val="hybridMultilevel"/>
    <w:tmpl w:val="66B47258"/>
    <w:lvl w:ilvl="0" w:tplc="65D8A410">
      <w:numFmt w:val="bullet"/>
      <w:lvlText w:val="-"/>
      <w:lvlJc w:val="left"/>
      <w:pPr>
        <w:ind w:left="960" w:hanging="360"/>
      </w:pPr>
      <w:rPr>
        <w:rFonts w:ascii="Calibri" w:eastAsia="Calibri" w:hAnsi="Calibri" w:cs="Times New Roman" w:hint="default"/>
        <w:color w:val="auto"/>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3">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4">
    <w:nsid w:val="7C5F2EC0"/>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456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18"/>
  </w:num>
  <w:num w:numId="2">
    <w:abstractNumId w:val="20"/>
  </w:num>
  <w:num w:numId="3">
    <w:abstractNumId w:val="33"/>
  </w:num>
  <w:num w:numId="4">
    <w:abstractNumId w:val="7"/>
  </w:num>
  <w:num w:numId="5">
    <w:abstractNumId w:val="18"/>
  </w:num>
  <w:num w:numId="6">
    <w:abstractNumId w:val="9"/>
  </w:num>
  <w:num w:numId="7">
    <w:abstractNumId w:val="8"/>
  </w:num>
  <w:num w:numId="8">
    <w:abstractNumId w:val="29"/>
  </w:num>
  <w:num w:numId="9">
    <w:abstractNumId w:val="10"/>
  </w:num>
  <w:num w:numId="10">
    <w:abstractNumId w:val="3"/>
  </w:num>
  <w:num w:numId="11">
    <w:abstractNumId w:val="22"/>
  </w:num>
  <w:num w:numId="12">
    <w:abstractNumId w:val="21"/>
  </w:num>
  <w:num w:numId="13">
    <w:abstractNumId w:val="17"/>
  </w:num>
  <w:num w:numId="14">
    <w:abstractNumId w:val="4"/>
  </w:num>
  <w:num w:numId="15">
    <w:abstractNumId w:val="27"/>
  </w:num>
  <w:num w:numId="16">
    <w:abstractNumId w:val="18"/>
  </w:num>
  <w:num w:numId="17">
    <w:abstractNumId w:val="18"/>
  </w:num>
  <w:num w:numId="18">
    <w:abstractNumId w:val="15"/>
  </w:num>
  <w:num w:numId="19">
    <w:abstractNumId w:val="25"/>
  </w:num>
  <w:num w:numId="20">
    <w:abstractNumId w:val="19"/>
  </w:num>
  <w:num w:numId="21">
    <w:abstractNumId w:val="2"/>
  </w:num>
  <w:num w:numId="22">
    <w:abstractNumId w:val="32"/>
  </w:num>
  <w:num w:numId="23">
    <w:abstractNumId w:val="24"/>
  </w:num>
  <w:num w:numId="24">
    <w:abstractNumId w:val="34"/>
  </w:num>
  <w:num w:numId="25">
    <w:abstractNumId w:val="1"/>
  </w:num>
  <w:num w:numId="26">
    <w:abstractNumId w:val="28"/>
  </w:num>
  <w:num w:numId="27">
    <w:abstractNumId w:val="31"/>
  </w:num>
  <w:num w:numId="28">
    <w:abstractNumId w:val="16"/>
  </w:num>
  <w:num w:numId="29">
    <w:abstractNumId w:val="0"/>
  </w:num>
  <w:num w:numId="30">
    <w:abstractNumId w:val="12"/>
  </w:num>
  <w:num w:numId="31">
    <w:abstractNumId w:val="13"/>
  </w:num>
  <w:num w:numId="32">
    <w:abstractNumId w:val="11"/>
  </w:num>
  <w:num w:numId="33">
    <w:abstractNumId w:val="5"/>
  </w:num>
  <w:num w:numId="34">
    <w:abstractNumId w:val="26"/>
  </w:num>
  <w:num w:numId="35">
    <w:abstractNumId w:val="30"/>
  </w:num>
  <w:num w:numId="36">
    <w:abstractNumId w:val="14"/>
  </w:num>
  <w:num w:numId="37">
    <w:abstractNumId w:val="2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148F670E1AE4D768D86882B301CF5CF"/>
    <w:docVar w:name="LW_CROSSREFERENCE" w:val="&lt;UNUSED&gt;"/>
    <w:docVar w:name="LW_DocType" w:val="NORMAL"/>
    <w:docVar w:name="LW_EMISSION" w:val="8.9.2016"/>
    <w:docVar w:name="LW_EMISSION_ISODATE" w:val="2016-09-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59"/>
    <w:docVar w:name="LW_REF.INTERNE" w:val="&lt;UNUSED&gt;"/>
    <w:docVar w:name="LW_SOUS.TITRE.OBJ.CP" w:val="&lt;UNUSED&gt;"/>
    <w:docVar w:name="LW_SUPERTITRE" w:val="&lt;UNUSED&gt;"/>
    <w:docVar w:name="LW_TITRE.OBJ.CP" w:val="\u1086?\u1090?\u1085?\u1086?\u1089?\u1085?\u1086? \u1076?\u1077?\u1081?\u1085?\u1086?\u1089?\u1090?\u1080?\u1090?\u1077? \u1085?\u1072? \u1060?\u1086?\u1085?\u1076?\u1072?\u1094?\u1080?\u1103?\u1090?\u1072? \u1079?\u1072? \u1052?\u1057?\u1060?\u1054?, \u1045?\u1050?\u1043?\u1060?\u1054? \u1080? PIOB \u1087?\u1088?\u1077?\u1079?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bg-BG"/>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bg-BG"/>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bg-BG" w:eastAsia="bg-BG"/>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bg-BG" w:eastAsia="bg-BG" w:bidi="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bg-BG"/>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bg-BG"/>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bg-BG" w:eastAsia="bg-BG"/>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bg-BG" w:eastAsia="bg-BG" w:bidi="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8015-B46A-4C92-9EBF-4DB41D88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4235</Words>
  <Characters>24652</Characters>
  <Application>Microsoft Office Word</Application>
  <DocSecurity>0</DocSecurity>
  <Lines>417</Lines>
  <Paragraphs>100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34</cp:revision>
  <cp:lastPrinted>2016-04-27T16:09:00Z</cp:lastPrinted>
  <dcterms:created xsi:type="dcterms:W3CDTF">2016-08-09T13:45:00Z</dcterms:created>
  <dcterms:modified xsi:type="dcterms:W3CDTF">2016-09-08T08:20:00Z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