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A12AD0A2BF5E40D4B392694A6CE9CC9F" style="width:451.25pt;height:392.6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tabs>
          <w:tab w:val="num" w:pos="850"/>
        </w:tabs>
        <w:rPr>
          <w:rFonts w:eastAsia="Times New Roman"/>
          <w:noProof/>
          <w:szCs w:val="24"/>
        </w:rPr>
      </w:pPr>
      <w:r>
        <w:rPr>
          <w:noProof/>
        </w:rPr>
        <w:t>Рамковото споразумение между Европейския съюз и неговите държави членки, от една страна, и Република Корея, от друга страна, („Споразумението“) бе подписано на 10 май 2010 г. и влезе в сила на 1 юни 2014 г.</w:t>
      </w:r>
    </w:p>
    <w:p>
      <w:pPr>
        <w:tabs>
          <w:tab w:val="num" w:pos="850"/>
        </w:tabs>
        <w:rPr>
          <w:rFonts w:eastAsia="Times New Roman"/>
          <w:noProof/>
          <w:szCs w:val="24"/>
        </w:rPr>
      </w:pPr>
      <w:r>
        <w:rPr>
          <w:noProof/>
        </w:rPr>
        <w:t>Това всеобхватно споразумение между ЕС и Република Корея бе първото по рода си между ЕС и държава от Азия. Споразумението предоставя правна рамка, обхващаща въпроси, които се простират от редовния политически диалог до секторното сътрудничество. То подчертава решимостта на ЕС да се ангажира с Република Корея и да издигне двустранните отношения на по-високо равнище.</w:t>
      </w:r>
    </w:p>
    <w:p>
      <w:pPr>
        <w:tabs>
          <w:tab w:val="num" w:pos="850"/>
        </w:tabs>
        <w:rPr>
          <w:rFonts w:eastAsia="Times New Roman"/>
          <w:noProof/>
          <w:szCs w:val="24"/>
        </w:rPr>
      </w:pPr>
      <w:r>
        <w:rPr>
          <w:noProof/>
        </w:rPr>
        <w:t xml:space="preserve">Споразумението засилва сътрудничеството в широк спектър от области на политиката, включително </w:t>
      </w:r>
      <w:r>
        <w:rPr>
          <w:i/>
          <w:noProof/>
        </w:rPr>
        <w:t>inter alia</w:t>
      </w:r>
      <w:r>
        <w:rPr>
          <w:noProof/>
        </w:rPr>
        <w:t xml:space="preserve"> правата на човека, неразпространението на оръжия за масово унищожение, борбата с тероризма, борбата срещу корупцията и организираната престъпност, търговията, миграцията, околната среда, енергетиката, изменението на климата, транспорта, науката и технологиите, заетостта и социалните въпроси, образованието, селското стопанство, помощта за развитие, културата и др. </w:t>
      </w:r>
    </w:p>
    <w:p>
      <w:pPr>
        <w:tabs>
          <w:tab w:val="num" w:pos="850"/>
        </w:tabs>
        <w:rPr>
          <w:rFonts w:eastAsia="Times New Roman"/>
          <w:noProof/>
          <w:szCs w:val="24"/>
        </w:rPr>
      </w:pPr>
      <w:r>
        <w:rPr>
          <w:noProof/>
        </w:rPr>
        <w:t xml:space="preserve">По силата на член 44 от Споразумението бе създаден Съвместен комитет, съставен от представители на членовете на Съвета на Европейския съюз и представители на Европейската комисия, от една страна, и от представители на Република Корея, от друга страна. В Съвместния комитет ще се провеждат консултации за улесняване на изпълнението и за постигане на общите цели на Споразумението, за запазване на цялостната съгласуваност в отношенията и за осигуряване на доброто функциониране на всяко друго споразумение между страните. </w:t>
      </w:r>
    </w:p>
    <w:p>
      <w:pPr>
        <w:tabs>
          <w:tab w:val="num" w:pos="850"/>
        </w:tabs>
        <w:rPr>
          <w:rFonts w:eastAsia="Times New Roman"/>
          <w:noProof/>
          <w:szCs w:val="24"/>
        </w:rPr>
      </w:pPr>
      <w:r>
        <w:rPr>
          <w:noProof/>
        </w:rPr>
        <w:t xml:space="preserve">С цел да се подпомага Съвместният комитет при изпълнението на неговите задачи и за да се даде възможност за провеждането на дискусии на експертно равнище в някои ключови области, попадащи в приложното поле на Споразумението, се предлага да бъдат създадени две специализирани работни групи със следните наименования: 1) специализирана работна група по въпросите на енергетиката, околната среда и изменението на климата; 2) специализирана работна група по въпросите на борбата с тероризма. На по-късен етап могат да бъдат създадени допълнителни специализирани работни групи, след като страните постигнат съгласие за това.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30" w:after="0" w:line="269" w:lineRule="exact"/>
        <w:ind w:right="86"/>
        <w:rPr>
          <w:noProof/>
        </w:rPr>
      </w:pPr>
      <w:r>
        <w:rPr>
          <w:noProof/>
        </w:rPr>
        <w:t>И двете страни са се ангажирали с ефективното прилагане на Споразумението. Поради това целта на настоящото предложение е да се определи позицията, която да бъде заета от Европейския съюз в рамките на Съвместния комитет, учреден по силата на член 44 от Споразумението, във връзка с: i) приемането на процедурния правилник на Съвместния комитет, и ii) създаването на специализирани работни групи и приемането на техния мандат. Позицията на Европейския съюз се основава на проекта на решение на Съвместния комитет, приложен към настоящото предложение.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2016/0080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бъде заета от Съюза в Съвместния комитет, създаден съгласно Рамковото споразумение между Европейския съюз и неговите държави членки, от една страна, и Република Корея, от друга страна, във връзка с приемането на процедурния правилник на Съвместния комитет, както и създаването на специализирани работни групи и приемането на техния мандат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взе предвид Договора за функционирането на Европейския съюз, и по-специално членове 207, 212 и 218, параграф 9 от него,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взе предвид предложението на Комисията,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Рамковото споразумение между Европейския съюз и неговите държави членки, от една страна, и Република Корея, от друга страна, (наричано по-долу „Споразумението“) влезе в сила на 1 юни 2014 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За да се допринесе за ефективното прилагане на Споразумението, неговата институционна рамка следва да бъде завършена възможно най-скоро чрез приемането от Съвместния комитет на собствен процедурен правилник.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По силата на член 44 от Споразумението бе създаден Съвместен комитет, за да се осигури </w:t>
      </w:r>
      <w:r>
        <w:rPr>
          <w:i/>
          <w:noProof/>
        </w:rPr>
        <w:t>inter alia</w:t>
      </w:r>
      <w:r>
        <w:rPr>
          <w:noProof/>
        </w:rPr>
        <w:t xml:space="preserve"> доброто функциониране и прилагане на Споразумението.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За да се допринесе за ефективното прилагане на Споразумението, следва да бъде приет процедурният правилник на Съвместния комитет.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 xml:space="preserve">Позицията на Съюза в рамките на Съвместния комитет по отношение на приемането на процедурния правилник на Съвместния комитет следва да се основава на приложения проект на решения на Съвместния комитет, 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НАСТОЯЩЕТО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Позицията, която да бъде заета от Европейския съюз в рамките на Съвместния комитет, учреден по силата на член 44 от Рамковото споразумение между Европейския съюз и неговите държави членки, от една страна, и Република Корея, от друга страна, във връзка с: </w:t>
      </w:r>
    </w:p>
    <w:p>
      <w:pPr>
        <w:pStyle w:val="Bullet1"/>
        <w:numPr>
          <w:ilvl w:val="0"/>
          <w:numId w:val="6"/>
        </w:numPr>
        <w:rPr>
          <w:noProof/>
        </w:rPr>
      </w:pPr>
      <w:r>
        <w:rPr>
          <w:noProof/>
        </w:rPr>
        <w:t>приемането на процедурния правилник на Съвместния комитет, и</w:t>
      </w:r>
    </w:p>
    <w:p>
      <w:pPr>
        <w:pStyle w:val="Bullet1"/>
        <w:rPr>
          <w:noProof/>
        </w:rPr>
      </w:pPr>
      <w:r>
        <w:rPr>
          <w:noProof/>
        </w:rPr>
        <w:t>създаването на специализирани работни групи и приемането на техния мандат,</w:t>
      </w:r>
    </w:p>
    <w:p>
      <w:pPr>
        <w:ind w:left="720"/>
        <w:rPr>
          <w:noProof/>
        </w:rPr>
      </w:pPr>
      <w:r>
        <w:rPr>
          <w:noProof/>
        </w:rPr>
        <w:lastRenderedPageBreak/>
        <w:t>се основава на проекта на решения на Съвместния комитет, приложен към настоящото решение.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Представителите на Съюза в Съвместния комитет могат да приемат незначителни промени в проекта на решения, без да е необходимо допълнително решение на Съвета. 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keepNext/>
        <w:spacing w:after="0"/>
        <w:rPr>
          <w:rFonts w:eastAsia="Times New Roman"/>
          <w:noProof/>
          <w:szCs w:val="24"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DB698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FAC8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C7E56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866EE8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7B4AC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8B064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42AA6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2B6B0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3-16 09:29:0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A12AD0A2BF5E40D4B392694A6CE9CC9F"/>
    <w:docVar w:name="LW_CROSSREFERENCE" w:val="&lt;UNUSED&gt;"/>
    <w:docVar w:name="LW_DocType" w:val="COM"/>
    <w:docVar w:name="LW_EMISSION" w:val="16.3.2016"/>
    <w:docVar w:name="LW_EMISSION_ISODATE" w:val="2016-03-16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80"/>
    <w:docVar w:name="LW_REF.II.NEW.CP_YEAR" w:val="2016"/>
    <w:docVar w:name="LW_REF.INST.NEW" w:val="COM"/>
    <w:docVar w:name="LW_REF.INST.NEW_ADOPTED" w:val="final"/>
    <w:docVar w:name="LW_REF.INST.NEW_TEXT" w:val="(2016) 147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73?\u1098?\u1076?\u1077? \u1079?\u1072?\u1077?\u1090?\u1072? \u1086?\u1090? \u1057?\u1098?\u1102?\u1079?\u1072? \u1074? \u1057?\u1098?\u1074?\u1084?\u1077?\u1089?\u1090?\u1085?\u1080?\u1103? \u1082?\u1086?\u1084?\u1080?\u1090?\u1077?\u1090?, \u1089?\u1098?\u1079?\u1076?\u1072?\u1076?\u1077?\u1085? \u1089?\u1098?\u1075?\u1083?\u1072?\u1089?\u1085?\u1086? \u1056?\u1072?\u1084?\u1082?\u1086?\u1074?\u1086?\u1090?\u1086? \u1089?\u1087?\u1086?\u1088?\u1072?\u1079?\u1091?\u1084?\u1077?\u1085?\u1080?\u1077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0?\u1086?\u1088?\u1077?\u1103?, \u1086?\u1090? \u1076?\u1088?\u1091?\u1075?\u1072? \u1089?\u1090?\u1088?\u1072?\u1085?\u1072?, \u1074?\u1098?\u1074? \u1074?\u1088?\u1098?\u1079?\u1082?\u1072? \u1089? \u1087?\u1088?\u1080?\u1077?\u1084?\u1072?\u1085?\u1077?\u1090?\u1086? \u1085?\u1072? \u1087?\u1088?\u1086?\u1094?\u1077?\u1076?\u1091?\u1088?\u1085?\u1080?\u1103? \u1087?\u1088?\u1072?\u1074?\u1080?\u1083?\u1085?\u1080?\u1082? \u1085?\u1072? \u1057?\u1098?\u1074?\u1084?\u1077?\u1089?\u1090?\u1085?\u1080?\u1103? \u1082?\u1086?\u1084?\u1080?\u1090?\u1077?\u1090?, \u1082?\u1072?\u1082?\u1090?\u1086? \u1080? \u1089?\u1098?\u1079?\u1076?\u1072?\u1074?\u1072?\u1085?\u1077?\u1090?\u1086? \u1085?\u1072? \u1089?\u1087?\u1077?\u1094?\u1080?\u1072?\u1083?\u1080?\u1079?\u1080?\u1088?\u1072?\u1085?\u1080? \u1088?\u1072?\u1073?\u1086?\u1090?\u1085?\u1080? \u1075?\u1088?\u1091?\u1087?\u1080? \u1080? \u1087?\u1088?\u1080?\u1077?\u1084?\u1072?\u1085?\u1077?\u1090?\u1086? \u1085?\u1072? \u1090?\u1077?\u1093?\u1085?\u1080?\u1103? \u1084?\u1072?\u1085?\u1076?\u1072?\u109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744</Words>
  <Characters>4362</Characters>
  <Application>Microsoft Office Word</Application>
  <DocSecurity>0</DocSecurity>
  <Lines>85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dcterms:created xsi:type="dcterms:W3CDTF">2016-03-15T08:41:00Z</dcterms:created>
  <dcterms:modified xsi:type="dcterms:W3CDTF">2016-03-16T08:29:00Z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