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F944129195F411B8C48EFB3DA357EAD"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rPr>
      </w:pPr>
      <w:bookmarkStart w:id="0" w:name="_GoBack"/>
      <w:bookmarkEnd w:id="0"/>
      <w:r>
        <w:rPr>
          <w:b/>
          <w:noProof/>
        </w:rPr>
        <w:lastRenderedPageBreak/>
        <w:t>ПРИЛОЖЕНИЕ 1</w:t>
      </w:r>
    </w:p>
    <w:p>
      <w:pPr>
        <w:jc w:val="center"/>
        <w:rPr>
          <w:b/>
          <w:noProof/>
        </w:rPr>
      </w:pPr>
      <w:r>
        <w:rPr>
          <w:b/>
          <w:noProof/>
        </w:rPr>
        <w:t>РЕШЕНИЕ № 1/[2016] НА СЪВМЕСТНИЯ КОМИТЕТ ЕС—РЕПУБЛИКА КОРЕЯ</w:t>
      </w:r>
      <w:r>
        <w:rPr>
          <w:b/>
          <w:noProof/>
        </w:rPr>
        <w:br/>
        <w:t xml:space="preserve">от ... година </w:t>
      </w:r>
      <w:r>
        <w:rPr>
          <w:b/>
          <w:noProof/>
        </w:rPr>
        <w:br/>
        <w:t>за приемане на процедурния му правилник</w:t>
      </w:r>
    </w:p>
    <w:p>
      <w:pPr>
        <w:rPr>
          <w:noProof/>
        </w:rPr>
      </w:pPr>
    </w:p>
    <w:p>
      <w:pPr>
        <w:jc w:val="left"/>
        <w:rPr>
          <w:rFonts w:eastAsia="Times New Roman"/>
          <w:b/>
          <w:noProof/>
          <w:szCs w:val="24"/>
        </w:rPr>
      </w:pPr>
    </w:p>
    <w:p>
      <w:pPr>
        <w:jc w:val="left"/>
        <w:rPr>
          <w:rFonts w:eastAsia="Times New Roman"/>
          <w:b/>
          <w:noProof/>
          <w:szCs w:val="24"/>
        </w:rPr>
      </w:pPr>
      <w:r>
        <w:rPr>
          <w:noProof/>
        </w:rPr>
        <w:t xml:space="preserve">СЪВМЕСТНИЯТ КОМИТЕТ ЕС—РЕПУБЛИКА КОРЕЯ, </w:t>
      </w:r>
    </w:p>
    <w:p>
      <w:pPr>
        <w:rPr>
          <w:rFonts w:eastAsia="Times New Roman"/>
          <w:noProof/>
          <w:szCs w:val="24"/>
        </w:rPr>
      </w:pPr>
      <w:r>
        <w:rPr>
          <w:noProof/>
        </w:rPr>
        <w:t>като взе предвид Рамковото споразумение между Европейския съюз и неговите държави членки, от една страна, и Република Корея, от друга страна, (наричано по-долу „Споразумението“), и по-специално член 44 от него,</w:t>
      </w:r>
    </w:p>
    <w:p>
      <w:pPr>
        <w:rPr>
          <w:rFonts w:eastAsia="Times New Roman"/>
          <w:noProof/>
          <w:szCs w:val="24"/>
        </w:rPr>
      </w:pPr>
      <w:r>
        <w:rPr>
          <w:noProof/>
        </w:rPr>
        <w:t>като има предвид, че:</w:t>
      </w:r>
    </w:p>
    <w:p>
      <w:pPr>
        <w:pStyle w:val="Point0"/>
        <w:rPr>
          <w:noProof/>
        </w:rPr>
      </w:pPr>
      <w:r>
        <w:rPr>
          <w:noProof/>
        </w:rPr>
        <w:t>1.</w:t>
      </w:r>
      <w:r>
        <w:rPr>
          <w:noProof/>
        </w:rPr>
        <w:tab/>
        <w:t>Споразумението влезе в сила на 1 юни 2014 г.</w:t>
      </w:r>
    </w:p>
    <w:p>
      <w:pPr>
        <w:pStyle w:val="Point0"/>
        <w:rPr>
          <w:noProof/>
          <w:color w:val="000000"/>
        </w:rPr>
      </w:pPr>
      <w:r>
        <w:rPr>
          <w:noProof/>
        </w:rPr>
        <w:t>2.</w:t>
      </w:r>
      <w:r>
        <w:rPr>
          <w:noProof/>
        </w:rPr>
        <w:tab/>
        <w:t>За да се допринесе за ефективното прилагане на Споразумението, следва да бъде приет процедурният правилник на Съвместния комитет,</w:t>
      </w:r>
    </w:p>
    <w:p>
      <w:pPr>
        <w:rPr>
          <w:rFonts w:eastAsia="Times New Roman"/>
          <w:noProof/>
          <w:szCs w:val="24"/>
        </w:rPr>
      </w:pPr>
    </w:p>
    <w:p>
      <w:pPr>
        <w:rPr>
          <w:rFonts w:eastAsia="Times New Roman"/>
          <w:noProof/>
          <w:szCs w:val="24"/>
        </w:rPr>
      </w:pPr>
      <w:r>
        <w:rPr>
          <w:noProof/>
        </w:rPr>
        <w:t xml:space="preserve">ПРИЕ НАСТОЯЩОТО РЕШЕНИЕ: </w:t>
      </w:r>
    </w:p>
    <w:p>
      <w:pPr>
        <w:jc w:val="center"/>
        <w:rPr>
          <w:rFonts w:eastAsia="Malgun Gothic"/>
          <w:i/>
          <w:noProof/>
          <w:szCs w:val="24"/>
        </w:rPr>
      </w:pPr>
      <w:r>
        <w:rPr>
          <w:i/>
          <w:noProof/>
        </w:rPr>
        <w:t>Член единствен</w:t>
      </w:r>
    </w:p>
    <w:p>
      <w:pPr>
        <w:rPr>
          <w:rFonts w:eastAsia="Times New Roman"/>
          <w:noProof/>
          <w:szCs w:val="24"/>
        </w:rPr>
      </w:pPr>
      <w:r>
        <w:rPr>
          <w:noProof/>
        </w:rPr>
        <w:t>С настоящото решение се приема изложеният в приложение А процедурен правилник на Съвместния комитет.</w:t>
      </w:r>
    </w:p>
    <w:p>
      <w:pPr>
        <w:rPr>
          <w:rFonts w:eastAsia="Times New Roman"/>
          <w:noProof/>
          <w:szCs w:val="24"/>
        </w:rPr>
      </w:pPr>
    </w:p>
    <w:p>
      <w:pPr>
        <w:rPr>
          <w:rFonts w:eastAsia="Times New Roman"/>
          <w:noProof/>
          <w:szCs w:val="24"/>
        </w:rPr>
      </w:pPr>
      <w:r>
        <w:rPr>
          <w:noProof/>
        </w:rPr>
        <w:t xml:space="preserve">Съставено в […] на […] година. </w:t>
      </w:r>
    </w:p>
    <w:p>
      <w:pPr>
        <w:rPr>
          <w:rFonts w:eastAsia="Times New Roman"/>
          <w:noProof/>
          <w:szCs w:val="24"/>
        </w:rPr>
      </w:pPr>
    </w:p>
    <w:p>
      <w:pPr>
        <w:rPr>
          <w:rFonts w:eastAsia="Times New Roman"/>
          <w:noProof/>
          <w:szCs w:val="24"/>
        </w:rPr>
      </w:pPr>
      <w:r>
        <w:rPr>
          <w:noProof/>
        </w:rPr>
        <w:tab/>
      </w:r>
      <w:r>
        <w:rPr>
          <w:noProof/>
        </w:rPr>
        <w:tab/>
      </w:r>
      <w:r>
        <w:rPr>
          <w:noProof/>
        </w:rPr>
        <w:tab/>
      </w:r>
      <w:r>
        <w:rPr>
          <w:noProof/>
        </w:rPr>
        <w:tab/>
      </w:r>
      <w:r>
        <w:rPr>
          <w:noProof/>
        </w:rPr>
        <w:tab/>
      </w:r>
      <w:r>
        <w:rPr>
          <w:noProof/>
        </w:rPr>
        <w:tab/>
        <w:t>За Съвместния комитет</w:t>
      </w:r>
    </w:p>
    <w:p>
      <w:pPr>
        <w:ind w:left="3600" w:firstLine="720"/>
        <w:rPr>
          <w:rFonts w:eastAsia="Times New Roman"/>
          <w:noProof/>
          <w:szCs w:val="24"/>
        </w:rPr>
      </w:pPr>
      <w:r>
        <w:rPr>
          <w:noProof/>
        </w:rPr>
        <w:t>ЕС—Република Корея</w:t>
      </w:r>
    </w:p>
    <w:p>
      <w:pPr>
        <w:ind w:left="3600" w:firstLine="720"/>
        <w:rPr>
          <w:rFonts w:eastAsia="Times New Roman"/>
          <w:noProof/>
          <w:szCs w:val="24"/>
        </w:rPr>
      </w:pPr>
      <w:r>
        <w:rPr>
          <w:noProof/>
        </w:rPr>
        <w:t>Председател</w:t>
      </w:r>
    </w:p>
    <w:p>
      <w:pPr>
        <w:rPr>
          <w:rFonts w:eastAsia="Times New Roman"/>
          <w:b/>
          <w:noProof/>
          <w:szCs w:val="24"/>
        </w:rPr>
      </w:pPr>
      <w:r>
        <w:rPr>
          <w:noProof/>
        </w:rPr>
        <w:br w:type="page"/>
      </w:r>
    </w:p>
    <w:p>
      <w:pPr>
        <w:spacing w:before="0"/>
        <w:jc w:val="center"/>
        <w:rPr>
          <w:rFonts w:eastAsia="Times New Roman"/>
          <w:b/>
          <w:noProof/>
          <w:szCs w:val="24"/>
        </w:rPr>
      </w:pPr>
      <w:r>
        <w:rPr>
          <w:b/>
          <w:noProof/>
        </w:rPr>
        <w:t xml:space="preserve">ПРИЛОЖЕНИЕ А </w:t>
      </w:r>
    </w:p>
    <w:p>
      <w:pPr>
        <w:spacing w:before="0" w:after="240"/>
        <w:jc w:val="center"/>
        <w:rPr>
          <w:rFonts w:eastAsia="Times New Roman"/>
          <w:b/>
          <w:noProof/>
          <w:szCs w:val="24"/>
        </w:rPr>
      </w:pPr>
      <w:r>
        <w:rPr>
          <w:b/>
          <w:noProof/>
        </w:rPr>
        <w:t>Процедурен правилник на Съвместния комитет</w:t>
      </w:r>
    </w:p>
    <w:p>
      <w:pPr>
        <w:spacing w:before="0"/>
        <w:jc w:val="center"/>
        <w:rPr>
          <w:rFonts w:eastAsia="Times New Roman"/>
          <w:i/>
          <w:noProof/>
          <w:szCs w:val="24"/>
        </w:rPr>
      </w:pPr>
      <w:r>
        <w:rPr>
          <w:i/>
          <w:noProof/>
        </w:rPr>
        <w:t>Член 1</w:t>
      </w:r>
    </w:p>
    <w:p>
      <w:pPr>
        <w:spacing w:before="0"/>
        <w:jc w:val="center"/>
        <w:rPr>
          <w:rFonts w:eastAsia="Times New Roman"/>
          <w:noProof/>
          <w:szCs w:val="24"/>
        </w:rPr>
      </w:pPr>
      <w:r>
        <w:rPr>
          <w:b/>
          <w:noProof/>
        </w:rPr>
        <w:t>Състав и председателство</w:t>
      </w:r>
    </w:p>
    <w:p>
      <w:pPr>
        <w:pStyle w:val="ManualNumPar1"/>
        <w:rPr>
          <w:noProof/>
        </w:rPr>
      </w:pPr>
      <w:r>
        <w:rPr>
          <w:noProof/>
        </w:rPr>
        <w:t>1.</w:t>
      </w:r>
      <w:r>
        <w:rPr>
          <w:noProof/>
        </w:rPr>
        <w:tab/>
        <w:t>Съвместният комитет, създаден по силата на член 44 от Рамковото споразумение между Европейския съюз и неговите държави членки, от една страна, и Република Корея, от друга страна, („Споразумението“), изпълнява функциите си, предвидени в член 44 от Споразумението.</w:t>
      </w:r>
    </w:p>
    <w:p>
      <w:pPr>
        <w:pStyle w:val="ManualNumPar1"/>
        <w:rPr>
          <w:noProof/>
        </w:rPr>
      </w:pPr>
      <w:r>
        <w:rPr>
          <w:noProof/>
        </w:rPr>
        <w:t>2.</w:t>
      </w:r>
      <w:r>
        <w:rPr>
          <w:noProof/>
        </w:rPr>
        <w:tab/>
        <w:t xml:space="preserve">Съвместният комитет е съставен от представители на страните по Споразумението на съответното равнище. </w:t>
      </w:r>
    </w:p>
    <w:p>
      <w:pPr>
        <w:pStyle w:val="ManualNumPar1"/>
        <w:rPr>
          <w:rFonts w:eastAsia="Malgun Gothic"/>
          <w:noProof/>
        </w:rPr>
      </w:pPr>
      <w:r>
        <w:rPr>
          <w:noProof/>
        </w:rPr>
        <w:t>3.</w:t>
      </w:r>
      <w:r>
        <w:rPr>
          <w:noProof/>
        </w:rPr>
        <w:tab/>
        <w:t xml:space="preserve">Съвместният комитет се председателства от всяка от страните последователно за период от една календарна година. Върховният представител на Съюза по въпросите на външните работи и политиката на сигурност или министърът на външните работи на Република Корея председателстват Съвместния комитет, предвиден в член 44 от Споразумението. Председателят може да делегира своите правомощия. </w:t>
      </w:r>
    </w:p>
    <w:p>
      <w:pPr>
        <w:pStyle w:val="ManualNumPar1"/>
        <w:spacing w:after="240"/>
        <w:ind w:left="851" w:hanging="851"/>
        <w:rPr>
          <w:noProof/>
        </w:rPr>
      </w:pPr>
      <w:r>
        <w:rPr>
          <w:noProof/>
        </w:rPr>
        <w:t>4.</w:t>
      </w:r>
      <w:r>
        <w:rPr>
          <w:noProof/>
        </w:rPr>
        <w:tab/>
        <w:t>Първият период започва от датата на първото заседание на Съвместния комитет и приключва на 31 декември същата година.</w:t>
      </w:r>
    </w:p>
    <w:p>
      <w:pPr>
        <w:spacing w:before="0"/>
        <w:jc w:val="center"/>
        <w:rPr>
          <w:rFonts w:eastAsia="Times New Roman"/>
          <w:i/>
          <w:noProof/>
          <w:szCs w:val="24"/>
        </w:rPr>
      </w:pPr>
      <w:r>
        <w:rPr>
          <w:i/>
          <w:noProof/>
        </w:rPr>
        <w:t>Член 2</w:t>
      </w:r>
    </w:p>
    <w:p>
      <w:pPr>
        <w:spacing w:before="0"/>
        <w:jc w:val="center"/>
        <w:rPr>
          <w:rFonts w:eastAsia="Times New Roman"/>
          <w:noProof/>
          <w:szCs w:val="24"/>
        </w:rPr>
      </w:pPr>
      <w:r>
        <w:rPr>
          <w:b/>
          <w:noProof/>
        </w:rPr>
        <w:t>Заседания</w:t>
      </w:r>
    </w:p>
    <w:p>
      <w:pPr>
        <w:pStyle w:val="ManualNumPar1"/>
        <w:rPr>
          <w:noProof/>
        </w:rPr>
      </w:pPr>
      <w:r>
        <w:rPr>
          <w:noProof/>
        </w:rPr>
        <w:t>1.</w:t>
      </w:r>
      <w:r>
        <w:rPr>
          <w:noProof/>
        </w:rPr>
        <w:tab/>
        <w:t>Съвместният комитет обикновено заседава веднъж годишно. Заседанията на Съвместния комитет се свикват от председателя и се провеждат последователно в Брюксел и Сеул на дата, определена по взаимно съгласие. По искане на една от страните и с тяхно съгласие е възможно провеждането на извънредни заседания на Съвместния комитет.</w:t>
      </w:r>
    </w:p>
    <w:p>
      <w:pPr>
        <w:pStyle w:val="ManualNumPar1"/>
        <w:spacing w:after="240"/>
        <w:ind w:left="851" w:hanging="851"/>
        <w:rPr>
          <w:noProof/>
        </w:rPr>
      </w:pPr>
      <w:r>
        <w:rPr>
          <w:noProof/>
        </w:rPr>
        <w:t>2.</w:t>
      </w:r>
      <w:r>
        <w:rPr>
          <w:noProof/>
        </w:rPr>
        <w:tab/>
        <w:t>Съвместният комитет обикновено заседава на равнище висши служители, освен ако е договорено друго от страните.</w:t>
      </w:r>
    </w:p>
    <w:p>
      <w:pPr>
        <w:spacing w:before="0"/>
        <w:jc w:val="center"/>
        <w:rPr>
          <w:rFonts w:eastAsia="Times New Roman"/>
          <w:i/>
          <w:noProof/>
          <w:szCs w:val="24"/>
        </w:rPr>
      </w:pPr>
      <w:r>
        <w:rPr>
          <w:i/>
          <w:noProof/>
        </w:rPr>
        <w:t>Член 3</w:t>
      </w:r>
    </w:p>
    <w:p>
      <w:pPr>
        <w:spacing w:before="0"/>
        <w:jc w:val="center"/>
        <w:rPr>
          <w:rFonts w:eastAsia="Times New Roman"/>
          <w:noProof/>
          <w:szCs w:val="24"/>
        </w:rPr>
      </w:pPr>
      <w:r>
        <w:rPr>
          <w:b/>
          <w:noProof/>
        </w:rPr>
        <w:t>Публичност</w:t>
      </w:r>
    </w:p>
    <w:p>
      <w:pPr>
        <w:spacing w:before="0" w:after="240"/>
        <w:rPr>
          <w:rFonts w:eastAsia="Times New Roman"/>
          <w:noProof/>
          <w:szCs w:val="24"/>
        </w:rPr>
      </w:pPr>
      <w:r>
        <w:rPr>
          <w:noProof/>
        </w:rPr>
        <w:t xml:space="preserve">Освен ако е решено друго, заседанията на Съвместния комитет не са публични. </w:t>
      </w:r>
    </w:p>
    <w:p>
      <w:pPr>
        <w:spacing w:before="0"/>
        <w:jc w:val="center"/>
        <w:rPr>
          <w:rFonts w:eastAsia="Times New Roman"/>
          <w:i/>
          <w:noProof/>
          <w:szCs w:val="24"/>
        </w:rPr>
      </w:pPr>
      <w:r>
        <w:rPr>
          <w:i/>
          <w:noProof/>
        </w:rPr>
        <w:t>Член 4</w:t>
      </w:r>
    </w:p>
    <w:p>
      <w:pPr>
        <w:spacing w:before="0"/>
        <w:jc w:val="center"/>
        <w:rPr>
          <w:rFonts w:eastAsia="Times New Roman"/>
          <w:noProof/>
          <w:szCs w:val="24"/>
        </w:rPr>
      </w:pPr>
      <w:r>
        <w:rPr>
          <w:b/>
          <w:noProof/>
        </w:rPr>
        <w:t>Участници</w:t>
      </w:r>
    </w:p>
    <w:p>
      <w:pPr>
        <w:pStyle w:val="ManualNumPar1"/>
        <w:rPr>
          <w:noProof/>
        </w:rPr>
      </w:pPr>
      <w:r>
        <w:rPr>
          <w:noProof/>
        </w:rPr>
        <w:t>1.</w:t>
      </w:r>
      <w:r>
        <w:rPr>
          <w:noProof/>
        </w:rPr>
        <w:tab/>
        <w:t xml:space="preserve">Преди всяко заседание председателят се уведомява от секретариата за предвидения състав на делегацията на всяка от страните. </w:t>
      </w:r>
    </w:p>
    <w:p>
      <w:pPr>
        <w:pStyle w:val="ManualNumPar1"/>
        <w:spacing w:after="240"/>
        <w:ind w:left="851" w:hanging="851"/>
        <w:rPr>
          <w:noProof/>
        </w:rPr>
      </w:pPr>
      <w:r>
        <w:rPr>
          <w:noProof/>
        </w:rPr>
        <w:t>2.</w:t>
      </w:r>
      <w:r>
        <w:rPr>
          <w:noProof/>
        </w:rPr>
        <w:tab/>
        <w:t>Когато е уместно и по взаимно съгласие на страните, като наблюдатели или за да предоставят информация по определена тема, на заседанията на Съвместния комитет могат да бъдат поканени да присъстват експерти или представители на други органи.</w:t>
      </w:r>
    </w:p>
    <w:p>
      <w:pPr>
        <w:pStyle w:val="Text1"/>
        <w:rPr>
          <w:noProof/>
        </w:rPr>
      </w:pPr>
    </w:p>
    <w:p>
      <w:pPr>
        <w:spacing w:before="0"/>
        <w:jc w:val="center"/>
        <w:rPr>
          <w:rFonts w:eastAsia="Times New Roman"/>
          <w:i/>
          <w:noProof/>
          <w:szCs w:val="24"/>
        </w:rPr>
      </w:pPr>
      <w:r>
        <w:rPr>
          <w:i/>
          <w:noProof/>
        </w:rPr>
        <w:t>Член 5</w:t>
      </w:r>
    </w:p>
    <w:p>
      <w:pPr>
        <w:spacing w:before="0"/>
        <w:jc w:val="center"/>
        <w:rPr>
          <w:rFonts w:eastAsia="Times New Roman"/>
          <w:b/>
          <w:bCs/>
          <w:noProof/>
          <w:szCs w:val="24"/>
        </w:rPr>
      </w:pPr>
      <w:r>
        <w:rPr>
          <w:b/>
          <w:noProof/>
        </w:rPr>
        <w:t>Секретариат</w:t>
      </w:r>
    </w:p>
    <w:p>
      <w:pPr>
        <w:spacing w:before="0"/>
        <w:rPr>
          <w:rFonts w:eastAsia="Times New Roman"/>
          <w:noProof/>
          <w:szCs w:val="24"/>
        </w:rPr>
      </w:pPr>
      <w:r>
        <w:rPr>
          <w:noProof/>
        </w:rPr>
        <w:t>Представител на Европейската служба за външна дейност и представител на Министерството на външните работи на Република Корея съвместно упражняват функциите на секретари на Съвместния комитет. Всички съобщения до председателя на Съвместния комитет и от него се препращат на секретарите. Кореспонденцията до председателя на Съвместния комитет и от него може да се осъществява чрез всички средства за писмена комуникация, включително електронна поща.</w:t>
      </w:r>
    </w:p>
    <w:p>
      <w:pPr>
        <w:spacing w:before="0"/>
        <w:jc w:val="center"/>
        <w:rPr>
          <w:rFonts w:eastAsia="Times New Roman"/>
          <w:i/>
          <w:noProof/>
          <w:szCs w:val="24"/>
        </w:rPr>
      </w:pPr>
      <w:r>
        <w:rPr>
          <w:i/>
          <w:noProof/>
        </w:rPr>
        <w:t>Член 6</w:t>
      </w:r>
    </w:p>
    <w:p>
      <w:pPr>
        <w:spacing w:before="0"/>
        <w:jc w:val="center"/>
        <w:rPr>
          <w:rFonts w:eastAsia="Times New Roman"/>
          <w:noProof/>
          <w:color w:val="000000"/>
          <w:szCs w:val="24"/>
        </w:rPr>
      </w:pPr>
      <w:r>
        <w:rPr>
          <w:b/>
          <w:noProof/>
          <w:color w:val="000000"/>
        </w:rPr>
        <w:t>Дневен ред на заседанията</w:t>
      </w:r>
    </w:p>
    <w:p>
      <w:pPr>
        <w:pStyle w:val="ManualNumPar1"/>
        <w:rPr>
          <w:noProof/>
        </w:rPr>
      </w:pPr>
      <w:r>
        <w:rPr>
          <w:noProof/>
        </w:rPr>
        <w:t>1.</w:t>
      </w:r>
      <w:r>
        <w:rPr>
          <w:noProof/>
        </w:rPr>
        <w:tab/>
        <w:t xml:space="preserve">Председателят изготвя предварителен дневен ред за всяко заседание. Той се изпраща, заедно със съответните документи, на другата страна не по-късно от 15 дни преди началото на заседанието. </w:t>
      </w:r>
    </w:p>
    <w:p>
      <w:pPr>
        <w:pStyle w:val="ManualNumPar1"/>
        <w:rPr>
          <w:noProof/>
        </w:rPr>
      </w:pPr>
      <w:r>
        <w:rPr>
          <w:noProof/>
        </w:rPr>
        <w:t>2.</w:t>
      </w:r>
      <w:r>
        <w:rPr>
          <w:noProof/>
        </w:rPr>
        <w:tab/>
        <w:t xml:space="preserve">Предварителният дневен ред включва точките, представени на председателя не по-късно от 21 дни преди началото на заседанието. </w:t>
      </w:r>
    </w:p>
    <w:p>
      <w:pPr>
        <w:pStyle w:val="ManualNumPar1"/>
        <w:rPr>
          <w:noProof/>
        </w:rPr>
      </w:pPr>
      <w:r>
        <w:rPr>
          <w:noProof/>
        </w:rPr>
        <w:t>3.</w:t>
      </w:r>
      <w:r>
        <w:rPr>
          <w:noProof/>
        </w:rPr>
        <w:tab/>
        <w:t>Дневният ред се приема от Съвместния комитет в началото на всяко заседание. Точки, които не са включени в предварителния дневен ред, могат да бъдат добавени към дневния ред със съгласието на двете страни.</w:t>
      </w:r>
    </w:p>
    <w:p>
      <w:pPr>
        <w:pStyle w:val="ManualNumPar1"/>
        <w:rPr>
          <w:noProof/>
        </w:rPr>
      </w:pPr>
      <w:r>
        <w:rPr>
          <w:noProof/>
        </w:rPr>
        <w:t>4.</w:t>
      </w:r>
      <w:r>
        <w:rPr>
          <w:noProof/>
        </w:rPr>
        <w:tab/>
        <w:t>Председателят може, със съгласието на двете страни, да съкрати сроковете, посочени в параграф 1, за да се вземат предвид изискванията, свързани с конкретен случай.</w:t>
      </w:r>
    </w:p>
    <w:p>
      <w:pPr>
        <w:spacing w:before="0"/>
        <w:jc w:val="center"/>
        <w:rPr>
          <w:rFonts w:eastAsia="Times New Roman"/>
          <w:noProof/>
          <w:color w:val="000000"/>
          <w:szCs w:val="24"/>
        </w:rPr>
      </w:pPr>
      <w:r>
        <w:rPr>
          <w:i/>
          <w:noProof/>
          <w:color w:val="000000"/>
        </w:rPr>
        <w:t>Член 7</w:t>
      </w:r>
    </w:p>
    <w:p>
      <w:pPr>
        <w:spacing w:before="0"/>
        <w:jc w:val="center"/>
        <w:rPr>
          <w:rFonts w:eastAsia="Times New Roman"/>
          <w:noProof/>
          <w:color w:val="000000"/>
          <w:szCs w:val="24"/>
        </w:rPr>
      </w:pPr>
      <w:r>
        <w:rPr>
          <w:b/>
          <w:noProof/>
          <w:color w:val="000000"/>
        </w:rPr>
        <w:t>Протокол</w:t>
      </w:r>
    </w:p>
    <w:p>
      <w:pPr>
        <w:pStyle w:val="ManualNumPar1"/>
        <w:rPr>
          <w:noProof/>
        </w:rPr>
      </w:pPr>
      <w:r>
        <w:rPr>
          <w:noProof/>
        </w:rPr>
        <w:t>1.</w:t>
      </w:r>
      <w:r>
        <w:rPr>
          <w:noProof/>
        </w:rPr>
        <w:tab/>
        <w:t xml:space="preserve">Двамата секретари съвместно изготвят проект на протокол от всяко заседание, в общия случай в рамките на 30 календарни дни от датата на заседанието. Проектът на протокола се основава на изготвено от председателя обобщение на заключенията, приети от Съвместния комитет. </w:t>
      </w:r>
    </w:p>
    <w:p>
      <w:pPr>
        <w:pStyle w:val="ManualNumPar1"/>
        <w:rPr>
          <w:noProof/>
        </w:rPr>
      </w:pPr>
      <w:r>
        <w:rPr>
          <w:noProof/>
        </w:rPr>
        <w:t>2.</w:t>
      </w:r>
      <w:r>
        <w:rPr>
          <w:noProof/>
        </w:rPr>
        <w:tab/>
        <w:t xml:space="preserve">Протоколът се одобрява от двете страни в срок от 45 календарни дни от датата на заседанието или до която и да е друга договорена от страните дата. След като бъде постигнато съгласие по проекта на протокола, два оригинални екземпляра се подписват от председателя и от секретарите. Всяка от страните получава един оригинален екземпляр. </w:t>
      </w:r>
    </w:p>
    <w:p>
      <w:pPr>
        <w:spacing w:before="0"/>
        <w:jc w:val="center"/>
        <w:rPr>
          <w:rFonts w:eastAsia="Times New Roman"/>
          <w:noProof/>
          <w:color w:val="000000"/>
          <w:szCs w:val="24"/>
        </w:rPr>
      </w:pPr>
      <w:r>
        <w:rPr>
          <w:i/>
          <w:noProof/>
          <w:color w:val="000000"/>
        </w:rPr>
        <w:t>Член 8</w:t>
      </w:r>
    </w:p>
    <w:p>
      <w:pPr>
        <w:spacing w:before="0"/>
        <w:jc w:val="center"/>
        <w:rPr>
          <w:rFonts w:eastAsia="Times New Roman"/>
          <w:noProof/>
          <w:color w:val="000000"/>
          <w:szCs w:val="24"/>
        </w:rPr>
      </w:pPr>
      <w:r>
        <w:rPr>
          <w:b/>
          <w:noProof/>
          <w:color w:val="000000"/>
        </w:rPr>
        <w:t>Разисквания</w:t>
      </w:r>
    </w:p>
    <w:p>
      <w:pPr>
        <w:pStyle w:val="ManualNumPar1"/>
        <w:rPr>
          <w:noProof/>
        </w:rPr>
      </w:pPr>
      <w:r>
        <w:rPr>
          <w:noProof/>
        </w:rPr>
        <w:t>1.</w:t>
      </w:r>
      <w:r>
        <w:rPr>
          <w:noProof/>
        </w:rPr>
        <w:tab/>
        <w:t>Когато Съвместният комитет приема решения или препоръки, тези актове се обозначават съответно като „Решение“ или „Препоръка“, последвано от пореден номер, датата на тяхното приемане и описание на предмета им. Във всяко решение се посочва датата на влизането му в сила. Решенията и препоръките на Съвместния комитет се приемат с общото съгласие на страните.</w:t>
      </w:r>
    </w:p>
    <w:p>
      <w:pPr>
        <w:pStyle w:val="ManualNumPar1"/>
        <w:rPr>
          <w:noProof/>
        </w:rPr>
      </w:pPr>
      <w:r>
        <w:rPr>
          <w:noProof/>
        </w:rPr>
        <w:lastRenderedPageBreak/>
        <w:t>2.</w:t>
      </w:r>
      <w:r>
        <w:rPr>
          <w:noProof/>
        </w:rPr>
        <w:tab/>
        <w:t>Съвместният комитет може да взема решения или да отправя препоръки чрез писмена процедура, ако и двете страни са съгласни. По взаимно съгласие на страните може да бъде предвиден краен срок за приключването на писмената процедура, при изтичането на който председателят на Съвместния комитет може да заяви, освен ако някоя от страните уведоми за противното, че е постигнато общо съгласие между страните.</w:t>
      </w:r>
    </w:p>
    <w:p>
      <w:pPr>
        <w:pStyle w:val="ManualNumPar1"/>
        <w:rPr>
          <w:noProof/>
        </w:rPr>
      </w:pPr>
      <w:r>
        <w:rPr>
          <w:noProof/>
        </w:rPr>
        <w:t>3.</w:t>
      </w:r>
      <w:r>
        <w:rPr>
          <w:noProof/>
        </w:rPr>
        <w:tab/>
        <w:t xml:space="preserve">Автентичността на приетите от Съвместния комитет решения и препоръки се удостоверява посредством два автентични екземпляра, подписани от председателя на Съвместния комитет. </w:t>
      </w:r>
    </w:p>
    <w:p>
      <w:pPr>
        <w:pStyle w:val="ManualNumPar1"/>
        <w:spacing w:after="240"/>
        <w:ind w:left="851" w:hanging="851"/>
        <w:rPr>
          <w:noProof/>
        </w:rPr>
      </w:pPr>
      <w:r>
        <w:rPr>
          <w:noProof/>
        </w:rPr>
        <w:t>4.</w:t>
      </w:r>
      <w:r>
        <w:rPr>
          <w:noProof/>
        </w:rPr>
        <w:tab/>
        <w:t>Всяка от страните може да реши да публикува решенията и препоръките на Съвместния комитет в своето съответно официално издание.</w:t>
      </w:r>
    </w:p>
    <w:p>
      <w:pPr>
        <w:spacing w:before="0"/>
        <w:jc w:val="center"/>
        <w:rPr>
          <w:rFonts w:eastAsia="Times New Roman"/>
          <w:i/>
          <w:iCs/>
          <w:noProof/>
          <w:szCs w:val="24"/>
        </w:rPr>
      </w:pPr>
      <w:r>
        <w:rPr>
          <w:i/>
          <w:noProof/>
        </w:rPr>
        <w:t>Член 9</w:t>
      </w:r>
    </w:p>
    <w:p>
      <w:pPr>
        <w:spacing w:before="0"/>
        <w:jc w:val="center"/>
        <w:rPr>
          <w:rFonts w:eastAsia="Times New Roman"/>
          <w:b/>
          <w:bCs/>
          <w:noProof/>
          <w:szCs w:val="24"/>
        </w:rPr>
      </w:pPr>
      <w:r>
        <w:rPr>
          <w:b/>
          <w:noProof/>
        </w:rPr>
        <w:t>Кореспонденция</w:t>
      </w:r>
    </w:p>
    <w:p>
      <w:pPr>
        <w:pStyle w:val="ManualNumPar1"/>
        <w:rPr>
          <w:noProof/>
        </w:rPr>
      </w:pPr>
      <w:r>
        <w:rPr>
          <w:noProof/>
        </w:rPr>
        <w:t>1.</w:t>
      </w:r>
      <w:r>
        <w:rPr>
          <w:noProof/>
        </w:rPr>
        <w:tab/>
        <w:t xml:space="preserve">Кореспонденцията, предназначена за Съвместния комитет, се адресира до секретаря на една от страните, който на свой ред уведомява другия секретар. </w:t>
      </w:r>
    </w:p>
    <w:p>
      <w:pPr>
        <w:pStyle w:val="ManualNumPar1"/>
        <w:rPr>
          <w:noProof/>
        </w:rPr>
      </w:pPr>
      <w:r>
        <w:rPr>
          <w:noProof/>
        </w:rPr>
        <w:t>2.</w:t>
      </w:r>
      <w:r>
        <w:rPr>
          <w:noProof/>
        </w:rPr>
        <w:tab/>
        <w:t>Секретариатът осигурява препращането на адресираната до Съвместния комитет кореспонденция до председателя, а когато е целесъобразно — и разпращането ѝ, по реда за документите, посочени в член 10 от настоящия процедурен правилник.</w:t>
      </w:r>
    </w:p>
    <w:p>
      <w:pPr>
        <w:pStyle w:val="ManualNumPar1"/>
        <w:spacing w:after="240"/>
        <w:ind w:left="851" w:hanging="851"/>
        <w:rPr>
          <w:noProof/>
        </w:rPr>
      </w:pPr>
      <w:r>
        <w:rPr>
          <w:noProof/>
        </w:rPr>
        <w:t>3.</w:t>
      </w:r>
      <w:r>
        <w:rPr>
          <w:noProof/>
        </w:rPr>
        <w:tab/>
        <w:t>Кореспонденцията, изходяща от председателя, се изпраща до страните от секретариата, а когато е целесъобразно — се разпраща, по реда за документите, посочени в член 10 от настоящия процедурен правилник.</w:t>
      </w:r>
    </w:p>
    <w:p>
      <w:pPr>
        <w:spacing w:before="0"/>
        <w:jc w:val="center"/>
        <w:rPr>
          <w:rFonts w:eastAsia="Times New Roman"/>
          <w:i/>
          <w:iCs/>
          <w:noProof/>
          <w:szCs w:val="24"/>
        </w:rPr>
      </w:pPr>
      <w:r>
        <w:rPr>
          <w:i/>
          <w:noProof/>
        </w:rPr>
        <w:t>Член 10</w:t>
      </w:r>
    </w:p>
    <w:p>
      <w:pPr>
        <w:spacing w:before="0"/>
        <w:jc w:val="center"/>
        <w:rPr>
          <w:rFonts w:eastAsia="Times New Roman"/>
          <w:noProof/>
          <w:szCs w:val="24"/>
        </w:rPr>
      </w:pPr>
      <w:r>
        <w:rPr>
          <w:b/>
          <w:noProof/>
        </w:rPr>
        <w:t>Документи</w:t>
      </w:r>
    </w:p>
    <w:p>
      <w:pPr>
        <w:pStyle w:val="ManualNumPar1"/>
        <w:rPr>
          <w:noProof/>
        </w:rPr>
      </w:pPr>
      <w:r>
        <w:rPr>
          <w:noProof/>
        </w:rPr>
        <w:t>1.</w:t>
      </w:r>
      <w:r>
        <w:rPr>
          <w:noProof/>
        </w:rPr>
        <w:tab/>
        <w:t xml:space="preserve">Когато разискванията в рамките на Съвместния комитет се основават на писмени придружаващи документи, тези документи се номерират и разпращат от секретариата до членовете. </w:t>
      </w:r>
    </w:p>
    <w:p>
      <w:pPr>
        <w:pStyle w:val="ManualNumPar1"/>
        <w:spacing w:after="240"/>
        <w:ind w:left="851" w:hanging="851"/>
        <w:rPr>
          <w:i/>
          <w:iCs/>
          <w:noProof/>
          <w:color w:val="000000"/>
        </w:rPr>
      </w:pPr>
      <w:r>
        <w:rPr>
          <w:noProof/>
        </w:rPr>
        <w:t>2.</w:t>
      </w:r>
      <w:r>
        <w:rPr>
          <w:noProof/>
        </w:rPr>
        <w:tab/>
        <w:t>Всеки секретар отговаря за разпращането на документите до своите членове в Съвместния комитет, като системно слага в копие другия секретар.</w:t>
      </w:r>
    </w:p>
    <w:p>
      <w:pPr>
        <w:spacing w:before="0"/>
        <w:jc w:val="center"/>
        <w:rPr>
          <w:rFonts w:eastAsia="Times New Roman"/>
          <w:noProof/>
          <w:color w:val="000000"/>
          <w:szCs w:val="24"/>
        </w:rPr>
      </w:pPr>
      <w:r>
        <w:rPr>
          <w:i/>
          <w:noProof/>
          <w:color w:val="000000"/>
        </w:rPr>
        <w:t>Член 11</w:t>
      </w:r>
    </w:p>
    <w:p>
      <w:pPr>
        <w:spacing w:before="0"/>
        <w:jc w:val="center"/>
        <w:rPr>
          <w:rFonts w:eastAsia="Times New Roman"/>
          <w:noProof/>
          <w:color w:val="000000"/>
          <w:szCs w:val="24"/>
        </w:rPr>
      </w:pPr>
      <w:r>
        <w:rPr>
          <w:b/>
          <w:noProof/>
          <w:color w:val="000000"/>
        </w:rPr>
        <w:t>Разходи</w:t>
      </w:r>
    </w:p>
    <w:p>
      <w:pPr>
        <w:pStyle w:val="ManualNumPar1"/>
        <w:rPr>
          <w:noProof/>
        </w:rPr>
      </w:pPr>
      <w:r>
        <w:rPr>
          <w:noProof/>
        </w:rPr>
        <w:t>1.</w:t>
      </w:r>
      <w:r>
        <w:rPr>
          <w:noProof/>
        </w:rPr>
        <w:tab/>
        <w:t xml:space="preserve">Всяка страна поема за своя сметка всички разходи, които е направила в резултат на участието си в заседанията на Съвместния комитет, както по отношение на разходите за персонал, пътните и дневните разходи, така и по отношение на пощенските и телекомуникационните разходи. </w:t>
      </w:r>
    </w:p>
    <w:p>
      <w:pPr>
        <w:pStyle w:val="ManualNumPar1"/>
        <w:rPr>
          <w:noProof/>
        </w:rPr>
      </w:pPr>
      <w:r>
        <w:rPr>
          <w:noProof/>
        </w:rPr>
        <w:t>2.</w:t>
      </w:r>
      <w:r>
        <w:rPr>
          <w:noProof/>
        </w:rPr>
        <w:tab/>
        <w:t>Разходите по организирането на заседанията и размножаването на документи се поемат от страната, която е домакин на заседанието.</w:t>
      </w:r>
    </w:p>
    <w:p>
      <w:pPr>
        <w:pStyle w:val="Text1"/>
        <w:ind w:left="0"/>
        <w:rPr>
          <w:noProof/>
        </w:rPr>
      </w:pPr>
    </w:p>
    <w:p>
      <w:pPr>
        <w:spacing w:before="0"/>
        <w:jc w:val="center"/>
        <w:rPr>
          <w:rFonts w:eastAsia="Times New Roman"/>
          <w:i/>
          <w:noProof/>
          <w:szCs w:val="24"/>
        </w:rPr>
      </w:pPr>
      <w:r>
        <w:rPr>
          <w:i/>
          <w:noProof/>
        </w:rPr>
        <w:t>Член 12</w:t>
      </w:r>
    </w:p>
    <w:p>
      <w:pPr>
        <w:spacing w:before="0"/>
        <w:jc w:val="center"/>
        <w:rPr>
          <w:rFonts w:eastAsia="Times New Roman"/>
          <w:b/>
          <w:noProof/>
          <w:color w:val="000000"/>
          <w:szCs w:val="24"/>
        </w:rPr>
      </w:pPr>
      <w:r>
        <w:rPr>
          <w:b/>
          <w:noProof/>
          <w:color w:val="000000"/>
        </w:rPr>
        <w:lastRenderedPageBreak/>
        <w:t>Изменяне на процедурния правилник</w:t>
      </w:r>
    </w:p>
    <w:p>
      <w:pPr>
        <w:spacing w:before="0" w:after="240"/>
        <w:rPr>
          <w:noProof/>
          <w:color w:val="000000"/>
        </w:rPr>
      </w:pPr>
      <w:r>
        <w:rPr>
          <w:noProof/>
          <w:color w:val="000000"/>
        </w:rPr>
        <w:t>Процедурният правилник може да бъде изменян с общо съгласие на страните в съответствие с член 8.</w:t>
      </w:r>
    </w:p>
    <w:p>
      <w:pPr>
        <w:spacing w:before="0" w:after="240"/>
        <w:rPr>
          <w:rFonts w:eastAsia="Times New Roman"/>
          <w:noProof/>
          <w:color w:val="000000"/>
          <w:szCs w:val="24"/>
        </w:rPr>
      </w:pPr>
    </w:p>
    <w:p>
      <w:pPr>
        <w:spacing w:before="0"/>
        <w:jc w:val="center"/>
        <w:rPr>
          <w:rFonts w:eastAsia="Times New Roman"/>
          <w:i/>
          <w:noProof/>
          <w:szCs w:val="24"/>
        </w:rPr>
      </w:pPr>
      <w:r>
        <w:rPr>
          <w:i/>
          <w:noProof/>
        </w:rPr>
        <w:t>Член 13</w:t>
      </w:r>
    </w:p>
    <w:p>
      <w:pPr>
        <w:spacing w:before="0"/>
        <w:jc w:val="center"/>
        <w:rPr>
          <w:rFonts w:eastAsia="Times New Roman"/>
          <w:noProof/>
          <w:szCs w:val="24"/>
        </w:rPr>
      </w:pPr>
      <w:r>
        <w:rPr>
          <w:b/>
          <w:noProof/>
        </w:rPr>
        <w:t>Специализирани работни групи</w:t>
      </w:r>
    </w:p>
    <w:p>
      <w:pPr>
        <w:pStyle w:val="ManualNumPar1"/>
        <w:rPr>
          <w:noProof/>
        </w:rPr>
      </w:pPr>
      <w:r>
        <w:rPr>
          <w:noProof/>
        </w:rPr>
        <w:t>1.</w:t>
      </w:r>
      <w:r>
        <w:rPr>
          <w:noProof/>
        </w:rPr>
        <w:tab/>
        <w:t>Съвместният комитет може да реши да създаде допълнителни специализирани работни групи, които да го подпомагат при изпълнението на неговите задължения.</w:t>
      </w:r>
    </w:p>
    <w:p>
      <w:pPr>
        <w:pStyle w:val="ManualNumPar1"/>
        <w:rPr>
          <w:noProof/>
        </w:rPr>
      </w:pPr>
      <w:r>
        <w:rPr>
          <w:noProof/>
        </w:rPr>
        <w:t>2.</w:t>
      </w:r>
      <w:r>
        <w:rPr>
          <w:noProof/>
        </w:rPr>
        <w:tab/>
        <w:t>Съвместният комитет може да реши да бъде закрита всяка съществуваща специализирана работна група, да определя или да изменя нейния мандат или да създаде допълнителни специализирани работни групи.</w:t>
      </w:r>
    </w:p>
    <w:p>
      <w:pPr>
        <w:pStyle w:val="ManualNumPar1"/>
        <w:rPr>
          <w:noProof/>
        </w:rPr>
      </w:pPr>
      <w:r>
        <w:rPr>
          <w:noProof/>
        </w:rPr>
        <w:t>3.</w:t>
      </w:r>
      <w:r>
        <w:rPr>
          <w:noProof/>
        </w:rPr>
        <w:tab/>
        <w:t xml:space="preserve">Специализираните работни групи докладват на Съвместния комитет след всяко свое заседание. </w:t>
      </w:r>
    </w:p>
    <w:p>
      <w:pPr>
        <w:pStyle w:val="ManualNumPar1"/>
        <w:rPr>
          <w:rFonts w:eastAsia="Malgun Gothic"/>
          <w:noProof/>
        </w:rPr>
      </w:pPr>
      <w:r>
        <w:rPr>
          <w:noProof/>
        </w:rPr>
        <w:t>4.</w:t>
      </w:r>
      <w:r>
        <w:rPr>
          <w:noProof/>
        </w:rPr>
        <w:tab/>
        <w:t>Специализираните работни групи нямат правомощие за вземане на решения, но могат да представят препоръки на Съвместния комитет.</w:t>
      </w:r>
    </w:p>
    <w:p>
      <w:pPr>
        <w:jc w:val="center"/>
        <w:rPr>
          <w:rFonts w:eastAsia="Times New Roman"/>
          <w:b/>
          <w:noProof/>
          <w:szCs w:val="24"/>
          <w:u w:val="single"/>
        </w:rPr>
      </w:pPr>
      <w:r>
        <w:rPr>
          <w:noProof/>
        </w:rPr>
        <w:br w:type="page"/>
      </w:r>
      <w:r>
        <w:rPr>
          <w:b/>
          <w:noProof/>
        </w:rPr>
        <w:lastRenderedPageBreak/>
        <w:t>ПРИЛОЖЕНИЕ 2</w:t>
      </w:r>
    </w:p>
    <w:p>
      <w:pPr>
        <w:jc w:val="center"/>
        <w:rPr>
          <w:rFonts w:eastAsia="Times New Roman"/>
          <w:noProof/>
          <w:szCs w:val="24"/>
        </w:rPr>
      </w:pPr>
      <w:r>
        <w:rPr>
          <w:b/>
          <w:noProof/>
        </w:rPr>
        <w:t>РЕШЕНИЕ № 2/[2016] НА СЪВМЕСТНИЯ КОМИТЕТ ЕС—РЕПУБЛИКА КОРЕЯ</w:t>
      </w:r>
    </w:p>
    <w:p>
      <w:pPr>
        <w:jc w:val="center"/>
        <w:rPr>
          <w:rFonts w:eastAsia="Times New Roman"/>
          <w:noProof/>
          <w:szCs w:val="24"/>
        </w:rPr>
      </w:pPr>
      <w:r>
        <w:rPr>
          <w:b/>
          <w:noProof/>
        </w:rPr>
        <w:t>от... година</w:t>
      </w:r>
    </w:p>
    <w:p>
      <w:pPr>
        <w:jc w:val="center"/>
        <w:rPr>
          <w:rFonts w:eastAsia="Times New Roman"/>
          <w:b/>
          <w:noProof/>
          <w:szCs w:val="24"/>
        </w:rPr>
      </w:pPr>
      <w:r>
        <w:rPr>
          <w:b/>
          <w:noProof/>
        </w:rPr>
        <w:t>относно създаването на специализирани работни групи</w:t>
      </w:r>
    </w:p>
    <w:p>
      <w:pPr>
        <w:jc w:val="center"/>
        <w:rPr>
          <w:rFonts w:eastAsia="Times New Roman"/>
          <w:b/>
          <w:noProof/>
          <w:szCs w:val="24"/>
        </w:rPr>
      </w:pPr>
      <w:r>
        <w:rPr>
          <w:b/>
          <w:noProof/>
        </w:rPr>
        <w:t>и приемането на техния мандат</w:t>
      </w:r>
    </w:p>
    <w:p>
      <w:pPr>
        <w:rPr>
          <w:rFonts w:eastAsia="Times New Roman"/>
          <w:noProof/>
          <w:color w:val="000000"/>
          <w:szCs w:val="24"/>
        </w:rPr>
      </w:pPr>
    </w:p>
    <w:p>
      <w:pPr>
        <w:rPr>
          <w:rFonts w:eastAsia="Times New Roman"/>
          <w:noProof/>
          <w:szCs w:val="24"/>
        </w:rPr>
      </w:pPr>
      <w:r>
        <w:rPr>
          <w:noProof/>
          <w:color w:val="000000"/>
        </w:rPr>
        <w:t>СЪВМЕСТНИЯТ КОМИТЕТ ЕС—РЕПУБЛИКА КОРЕЯ,</w:t>
      </w:r>
    </w:p>
    <w:p>
      <w:pPr>
        <w:rPr>
          <w:rFonts w:eastAsia="Times New Roman"/>
          <w:noProof/>
          <w:szCs w:val="24"/>
        </w:rPr>
      </w:pPr>
      <w:r>
        <w:rPr>
          <w:noProof/>
        </w:rPr>
        <w:t>като взе предвид Рамковото споразумение между Европейския съюз и неговите държави членки, от една страна, и Република Корея, от друга страна, („Споразумението“), и по-специално член 44 от него, както и член 13 от Процедурния правилник на Съвместния комитет,</w:t>
      </w:r>
    </w:p>
    <w:p>
      <w:pPr>
        <w:rPr>
          <w:rFonts w:eastAsia="Times New Roman"/>
          <w:noProof/>
          <w:szCs w:val="24"/>
        </w:rPr>
      </w:pPr>
      <w:r>
        <w:rPr>
          <w:noProof/>
        </w:rPr>
        <w:t>като има предвид, че:</w:t>
      </w:r>
    </w:p>
    <w:p>
      <w:pPr>
        <w:pStyle w:val="ManualNumPar1"/>
        <w:rPr>
          <w:noProof/>
        </w:rPr>
      </w:pPr>
      <w:r>
        <w:rPr>
          <w:noProof/>
        </w:rPr>
        <w:t>1.</w:t>
      </w:r>
      <w:r>
        <w:rPr>
          <w:noProof/>
        </w:rPr>
        <w:tab/>
        <w:t>С цел да се даде възможност за провеждането на дискусии на експертно равнище в основните области, попадащи в приложното поле на Споразумението, следва да бъдат създадени специализирани работни групи. При постигането на съгласие между страните може да бъде променен както списъкът на специализираните работни групи, така и обхватът на отделните специализирани работни групи.</w:t>
      </w:r>
    </w:p>
    <w:p>
      <w:pPr>
        <w:pStyle w:val="ManualNumPar1"/>
        <w:rPr>
          <w:noProof/>
        </w:rPr>
      </w:pPr>
      <w:r>
        <w:rPr>
          <w:noProof/>
        </w:rPr>
        <w:t>2.</w:t>
      </w:r>
      <w:r>
        <w:rPr>
          <w:noProof/>
        </w:rPr>
        <w:tab/>
        <w:t xml:space="preserve">В съответствие с член 13 от Процедурния правилник на Съвместния комитет, Съвместният комитет може да създава специализирани работни групи, които да го подпомагат при изпълнението на неговите задачи, </w:t>
      </w:r>
    </w:p>
    <w:p>
      <w:pPr>
        <w:rPr>
          <w:rFonts w:eastAsia="Times New Roman"/>
          <w:noProof/>
          <w:szCs w:val="24"/>
        </w:rPr>
      </w:pPr>
    </w:p>
    <w:p>
      <w:pPr>
        <w:rPr>
          <w:rFonts w:eastAsia="Times New Roman"/>
          <w:noProof/>
          <w:szCs w:val="24"/>
        </w:rPr>
      </w:pPr>
      <w:r>
        <w:rPr>
          <w:noProof/>
        </w:rPr>
        <w:t>ПРИЕ НАСТОЯЩЕТО РЕШЕНИЕ:</w:t>
      </w:r>
    </w:p>
    <w:p>
      <w:pPr>
        <w:jc w:val="center"/>
        <w:rPr>
          <w:rFonts w:eastAsia="Times New Roman"/>
          <w:i/>
          <w:noProof/>
          <w:szCs w:val="24"/>
        </w:rPr>
      </w:pPr>
    </w:p>
    <w:p>
      <w:pPr>
        <w:jc w:val="center"/>
        <w:rPr>
          <w:rFonts w:eastAsia="Malgun Gothic"/>
          <w:i/>
          <w:noProof/>
          <w:szCs w:val="24"/>
        </w:rPr>
      </w:pPr>
      <w:r>
        <w:rPr>
          <w:i/>
          <w:noProof/>
        </w:rPr>
        <w:t>Член единствен</w:t>
      </w:r>
    </w:p>
    <w:p>
      <w:pPr>
        <w:rPr>
          <w:rFonts w:eastAsia="Times New Roman"/>
          <w:noProof/>
          <w:szCs w:val="24"/>
        </w:rPr>
      </w:pPr>
    </w:p>
    <w:p>
      <w:pPr>
        <w:rPr>
          <w:rFonts w:eastAsia="Times New Roman"/>
          <w:noProof/>
          <w:szCs w:val="24"/>
        </w:rPr>
      </w:pPr>
      <w:r>
        <w:rPr>
          <w:noProof/>
        </w:rPr>
        <w:t xml:space="preserve">Създават се специализираните работни групи, посочени в приложение А. Мандатът на специализираните работни групи се определя, както е посочено в приложение Б. </w:t>
      </w:r>
    </w:p>
    <w:p>
      <w:pPr>
        <w:rPr>
          <w:rFonts w:eastAsia="Times New Roman"/>
          <w:noProof/>
          <w:szCs w:val="24"/>
        </w:rPr>
      </w:pPr>
    </w:p>
    <w:p>
      <w:pPr>
        <w:rPr>
          <w:rFonts w:eastAsia="Times New Roman"/>
          <w:noProof/>
          <w:szCs w:val="24"/>
        </w:rPr>
      </w:pPr>
      <w:r>
        <w:rPr>
          <w:noProof/>
        </w:rPr>
        <w:t>Съставено в […] на […] година.</w:t>
      </w:r>
    </w:p>
    <w:p>
      <w:pPr>
        <w:jc w:val="left"/>
        <w:rPr>
          <w:rFonts w:eastAsia="Times New Roman"/>
          <w:i/>
          <w:noProof/>
          <w:szCs w:val="24"/>
        </w:rPr>
      </w:pPr>
    </w:p>
    <w:p>
      <w:pPr>
        <w:jc w:val="left"/>
        <w:rPr>
          <w:rFonts w:eastAsia="Times New Roman"/>
          <w:i/>
          <w:noProof/>
          <w:szCs w:val="24"/>
        </w:rPr>
      </w:pPr>
      <w:r>
        <w:rPr>
          <w:i/>
          <w:noProof/>
        </w:rPr>
        <w:t>За Съвместния комитет ЕС—Република Корея</w:t>
      </w:r>
    </w:p>
    <w:p>
      <w:pPr>
        <w:jc w:val="left"/>
        <w:rPr>
          <w:rFonts w:eastAsia="Times New Roman"/>
          <w:i/>
          <w:noProof/>
          <w:szCs w:val="24"/>
        </w:rPr>
      </w:pPr>
    </w:p>
    <w:p>
      <w:pPr>
        <w:jc w:val="left"/>
        <w:rPr>
          <w:rFonts w:eastAsia="Times New Roman"/>
          <w:i/>
          <w:noProof/>
          <w:szCs w:val="24"/>
        </w:rPr>
      </w:pPr>
      <w:r>
        <w:rPr>
          <w:i/>
          <w:noProof/>
        </w:rPr>
        <w:t>Председател</w:t>
      </w:r>
    </w:p>
    <w:p>
      <w:pPr>
        <w:rPr>
          <w:rFonts w:eastAsia="Times New Roman"/>
          <w:b/>
          <w:noProof/>
          <w:color w:val="000000"/>
          <w:szCs w:val="24"/>
          <w:u w:val="single"/>
        </w:rPr>
      </w:pPr>
      <w:r>
        <w:rPr>
          <w:noProof/>
        </w:rPr>
        <w:br w:type="page"/>
      </w:r>
    </w:p>
    <w:p>
      <w:pPr>
        <w:jc w:val="center"/>
        <w:rPr>
          <w:rFonts w:eastAsia="Times New Roman"/>
          <w:b/>
          <w:noProof/>
          <w:color w:val="000000"/>
          <w:szCs w:val="24"/>
          <w:u w:val="single"/>
        </w:rPr>
      </w:pPr>
      <w:r>
        <w:rPr>
          <w:b/>
          <w:noProof/>
          <w:color w:val="000000"/>
          <w:u w:val="single"/>
        </w:rPr>
        <w:t xml:space="preserve">Приложение А </w:t>
      </w:r>
    </w:p>
    <w:p>
      <w:pPr>
        <w:jc w:val="center"/>
        <w:rPr>
          <w:rFonts w:eastAsia="Times New Roman"/>
          <w:b/>
          <w:noProof/>
          <w:color w:val="000000"/>
          <w:szCs w:val="24"/>
        </w:rPr>
      </w:pPr>
      <w:r>
        <w:rPr>
          <w:b/>
          <w:noProof/>
          <w:color w:val="000000"/>
        </w:rPr>
        <w:t>Съвместен комитет ЕС—Република Корея</w:t>
      </w:r>
    </w:p>
    <w:p>
      <w:pPr>
        <w:jc w:val="center"/>
        <w:rPr>
          <w:rFonts w:eastAsia="Times New Roman"/>
          <w:b/>
          <w:noProof/>
          <w:color w:val="000000"/>
          <w:szCs w:val="24"/>
        </w:rPr>
      </w:pPr>
      <w:r>
        <w:rPr>
          <w:b/>
          <w:noProof/>
          <w:color w:val="000000"/>
        </w:rPr>
        <w:t>Специализирани работни групи</w:t>
      </w:r>
    </w:p>
    <w:p>
      <w:pPr>
        <w:jc w:val="center"/>
        <w:rPr>
          <w:rFonts w:eastAsia="Times New Roman"/>
          <w:b/>
          <w:noProof/>
          <w:color w:val="000000"/>
          <w:szCs w:val="24"/>
        </w:rPr>
      </w:pPr>
    </w:p>
    <w:p>
      <w:pPr>
        <w:pStyle w:val="ManualNumPar1"/>
        <w:rPr>
          <w:noProof/>
        </w:rPr>
      </w:pPr>
      <w:r>
        <w:rPr>
          <w:noProof/>
        </w:rPr>
        <w:t>1.</w:t>
      </w:r>
      <w:r>
        <w:rPr>
          <w:noProof/>
        </w:rPr>
        <w:tab/>
        <w:t>Специализирана работна група по въпросите на енергетиката, околната среда и изменението на климата.</w:t>
      </w:r>
    </w:p>
    <w:p>
      <w:pPr>
        <w:pStyle w:val="ManualNumPar1"/>
        <w:rPr>
          <w:noProof/>
        </w:rPr>
      </w:pPr>
      <w:r>
        <w:rPr>
          <w:noProof/>
        </w:rPr>
        <w:t>2.</w:t>
      </w:r>
      <w:r>
        <w:rPr>
          <w:noProof/>
        </w:rPr>
        <w:tab/>
        <w:t>Специализирана работна група по въпросите на борбата с тероризма.</w:t>
      </w:r>
    </w:p>
    <w:p>
      <w:pPr>
        <w:rPr>
          <w:noProof/>
        </w:rPr>
      </w:pPr>
    </w:p>
    <w:p>
      <w:pPr>
        <w:rPr>
          <w:noProof/>
        </w:rPr>
      </w:pPr>
    </w:p>
    <w:p>
      <w:pPr>
        <w:ind w:left="850"/>
        <w:rPr>
          <w:rFonts w:eastAsia="Times New Roman"/>
          <w:noProof/>
          <w:szCs w:val="24"/>
          <w:highlight w:val="yellow"/>
        </w:rPr>
        <w:sectPr>
          <w:footerReference w:type="default" r:id="rId15"/>
          <w:footerReference w:type="first" r:id="rId16"/>
          <w:pgSz w:w="11907" w:h="16839"/>
          <w:pgMar w:top="1134" w:right="1417" w:bottom="1134" w:left="1417" w:header="709" w:footer="709" w:gutter="0"/>
          <w:cols w:space="708"/>
          <w:docGrid w:linePitch="360"/>
        </w:sectPr>
      </w:pPr>
    </w:p>
    <w:p>
      <w:pPr>
        <w:pageBreakBefore/>
        <w:jc w:val="center"/>
        <w:rPr>
          <w:rFonts w:eastAsia="Malgun Gothic"/>
          <w:b/>
          <w:noProof/>
          <w:color w:val="000000"/>
          <w:szCs w:val="24"/>
          <w:u w:val="single"/>
        </w:rPr>
      </w:pPr>
      <w:r>
        <w:rPr>
          <w:b/>
          <w:noProof/>
          <w:color w:val="000000"/>
          <w:u w:val="single"/>
        </w:rPr>
        <w:lastRenderedPageBreak/>
        <w:t>Приложение Б</w:t>
      </w:r>
    </w:p>
    <w:p>
      <w:pPr>
        <w:jc w:val="center"/>
        <w:rPr>
          <w:rFonts w:eastAsia="Times New Roman"/>
          <w:b/>
          <w:noProof/>
          <w:szCs w:val="24"/>
        </w:rPr>
      </w:pPr>
      <w:r>
        <w:rPr>
          <w:rFonts w:eastAsia="Times New Roman"/>
          <w:b/>
          <w:noProof/>
          <w:color w:val="000000"/>
          <w:szCs w:val="24"/>
        </w:rPr>
        <w:br/>
      </w:r>
      <w:r>
        <w:rPr>
          <w:b/>
          <w:noProof/>
          <w:color w:val="000000"/>
        </w:rPr>
        <w:t>Мандат</w:t>
      </w:r>
      <w:r>
        <w:rPr>
          <w:rFonts w:eastAsia="Times New Roman"/>
          <w:b/>
          <w:noProof/>
          <w:color w:val="000000"/>
          <w:szCs w:val="24"/>
        </w:rPr>
        <w:br/>
      </w:r>
      <w:r>
        <w:rPr>
          <w:rFonts w:eastAsia="Times New Roman"/>
          <w:b/>
          <w:noProof/>
          <w:color w:val="000000"/>
          <w:szCs w:val="24"/>
        </w:rPr>
        <w:br/>
      </w:r>
      <w:r>
        <w:rPr>
          <w:b/>
          <w:noProof/>
        </w:rPr>
        <w:t>на специализираните работни групи, създадени съгласно Рамковото споразумение между Европейския съюз и неговите държави членки, от една страна, и Република Корея, от друга страна</w:t>
      </w:r>
    </w:p>
    <w:p>
      <w:pPr>
        <w:jc w:val="center"/>
        <w:rPr>
          <w:rFonts w:eastAsia="Times New Roman"/>
          <w:b/>
          <w:noProof/>
          <w:szCs w:val="24"/>
        </w:rPr>
      </w:pPr>
    </w:p>
    <w:p>
      <w:pPr>
        <w:jc w:val="center"/>
        <w:rPr>
          <w:rFonts w:eastAsia="Times New Roman"/>
          <w:i/>
          <w:noProof/>
          <w:color w:val="000000"/>
          <w:szCs w:val="24"/>
        </w:rPr>
      </w:pPr>
      <w:r>
        <w:rPr>
          <w:i/>
          <w:noProof/>
          <w:color w:val="000000"/>
        </w:rPr>
        <w:t>Член 1</w:t>
      </w:r>
    </w:p>
    <w:p>
      <w:pPr>
        <w:rPr>
          <w:rFonts w:eastAsia="Times New Roman"/>
          <w:noProof/>
          <w:szCs w:val="24"/>
        </w:rPr>
      </w:pPr>
      <w:r>
        <w:rPr>
          <w:noProof/>
        </w:rPr>
        <w:t>Всяка специализирана работна група може да се занимава на заседанията си с прилагането на Споразумението в областите, които попадат в обхвата на тази работна група.</w:t>
      </w:r>
    </w:p>
    <w:p>
      <w:pPr>
        <w:rPr>
          <w:rFonts w:eastAsia="Times New Roman"/>
          <w:noProof/>
          <w:szCs w:val="24"/>
        </w:rPr>
      </w:pPr>
      <w:r>
        <w:rPr>
          <w:noProof/>
        </w:rPr>
        <w:t>Специализираните работни групи могат също така да дискутират теми или конкретни проекти, свързани със съответната област на двустранно сътрудничество.</w:t>
      </w:r>
    </w:p>
    <w:p>
      <w:pPr>
        <w:rPr>
          <w:rFonts w:eastAsia="Times New Roman"/>
          <w:noProof/>
          <w:szCs w:val="24"/>
        </w:rPr>
      </w:pPr>
      <w:r>
        <w:rPr>
          <w:noProof/>
        </w:rPr>
        <w:t>Възможно е да се разглеждат и отделни случаи, когато една от страните поиска това.</w:t>
      </w:r>
    </w:p>
    <w:p>
      <w:pPr>
        <w:jc w:val="center"/>
        <w:rPr>
          <w:rFonts w:eastAsia="Times New Roman"/>
          <w:i/>
          <w:noProof/>
          <w:color w:val="000000"/>
          <w:szCs w:val="24"/>
        </w:rPr>
      </w:pPr>
      <w:r>
        <w:rPr>
          <w:i/>
          <w:noProof/>
          <w:color w:val="000000"/>
        </w:rPr>
        <w:t>Член 2</w:t>
      </w:r>
    </w:p>
    <w:p>
      <w:pPr>
        <w:rPr>
          <w:rFonts w:eastAsia="Times New Roman"/>
          <w:noProof/>
          <w:szCs w:val="24"/>
        </w:rPr>
      </w:pPr>
      <w:r>
        <w:rPr>
          <w:noProof/>
        </w:rPr>
        <w:t>Специализираните работни групи работят под ръководството на Съвместния комитет. Те докладват и представят своите протоколи и заключения на председателя на Съвместния комитет в срок от 30 календарни дни след всяко заседание.</w:t>
      </w:r>
    </w:p>
    <w:p>
      <w:pPr>
        <w:jc w:val="center"/>
        <w:rPr>
          <w:rFonts w:eastAsia="Times New Roman"/>
          <w:i/>
          <w:noProof/>
          <w:color w:val="000000"/>
          <w:szCs w:val="24"/>
        </w:rPr>
      </w:pPr>
      <w:r>
        <w:rPr>
          <w:i/>
          <w:noProof/>
          <w:color w:val="000000"/>
        </w:rPr>
        <w:t>Член 3</w:t>
      </w:r>
    </w:p>
    <w:p>
      <w:pPr>
        <w:rPr>
          <w:rFonts w:eastAsia="Times New Roman"/>
          <w:noProof/>
          <w:szCs w:val="24"/>
        </w:rPr>
      </w:pPr>
      <w:r>
        <w:rPr>
          <w:noProof/>
        </w:rPr>
        <w:t>Специализираните работни групи се състоят от представители на страните.</w:t>
      </w:r>
    </w:p>
    <w:p>
      <w:pPr>
        <w:rPr>
          <w:rFonts w:eastAsia="Times New Roman"/>
          <w:noProof/>
          <w:szCs w:val="24"/>
        </w:rPr>
      </w:pPr>
      <w:r>
        <w:rPr>
          <w:noProof/>
        </w:rPr>
        <w:t>Когато двете страни постигнат съгласие за това, специализираните работни групи могат да канят на заседанията си експерти и да изслушват техните становищата във връзка с конкретни точки от дневния ред на заседанията, когато е това е целесъобразно.</w:t>
      </w:r>
    </w:p>
    <w:p>
      <w:pPr>
        <w:jc w:val="center"/>
        <w:rPr>
          <w:rFonts w:eastAsia="Times New Roman"/>
          <w:i/>
          <w:noProof/>
          <w:color w:val="000000"/>
          <w:szCs w:val="24"/>
        </w:rPr>
      </w:pPr>
      <w:r>
        <w:rPr>
          <w:i/>
          <w:noProof/>
          <w:color w:val="000000"/>
        </w:rPr>
        <w:t>Член 4</w:t>
      </w:r>
    </w:p>
    <w:p>
      <w:pPr>
        <w:rPr>
          <w:rFonts w:eastAsia="Times New Roman"/>
          <w:noProof/>
          <w:szCs w:val="24"/>
        </w:rPr>
      </w:pPr>
      <w:r>
        <w:rPr>
          <w:noProof/>
        </w:rPr>
        <w:t xml:space="preserve">Специализираните работни групи се председателстват от страните последователно съгласно правилата за ротационно председателство на Съвместния комитет. </w:t>
      </w:r>
    </w:p>
    <w:p>
      <w:pPr>
        <w:jc w:val="center"/>
        <w:rPr>
          <w:rFonts w:eastAsia="Times New Roman"/>
          <w:i/>
          <w:noProof/>
          <w:color w:val="000000"/>
          <w:szCs w:val="24"/>
        </w:rPr>
      </w:pPr>
      <w:r>
        <w:rPr>
          <w:i/>
          <w:noProof/>
          <w:color w:val="000000"/>
        </w:rPr>
        <w:t>Член 5</w:t>
      </w:r>
    </w:p>
    <w:p>
      <w:pPr>
        <w:rPr>
          <w:rFonts w:eastAsia="Times New Roman"/>
          <w:noProof/>
          <w:szCs w:val="24"/>
        </w:rPr>
      </w:pPr>
      <w:r>
        <w:rPr>
          <w:noProof/>
        </w:rPr>
        <w:t>Представител на Европейската служба за външна дейност и представител на  Министерството на външните работи на Република Корея съвместно упражняват функциите на секретари на специализираните работни групи. Всички съобщения, отнасящи се до конкретната специализирана работна група, се препращат на двамата секретари.</w:t>
      </w:r>
    </w:p>
    <w:p>
      <w:pPr>
        <w:jc w:val="center"/>
        <w:rPr>
          <w:rFonts w:eastAsia="Times New Roman"/>
          <w:i/>
          <w:noProof/>
          <w:color w:val="000000"/>
          <w:szCs w:val="24"/>
        </w:rPr>
      </w:pPr>
      <w:r>
        <w:rPr>
          <w:i/>
          <w:noProof/>
          <w:color w:val="000000"/>
        </w:rPr>
        <w:t>Член 6</w:t>
      </w:r>
    </w:p>
    <w:p>
      <w:pPr>
        <w:rPr>
          <w:rFonts w:eastAsia="Times New Roman"/>
          <w:noProof/>
          <w:szCs w:val="24"/>
        </w:rPr>
      </w:pPr>
      <w:r>
        <w:rPr>
          <w:noProof/>
        </w:rPr>
        <w:t>Специализираните работни групи заседават винаги когато обстоятелствата го изискват, със съгласието на страните, въз основа на писмено искане от една от тях. Всяко заседание се провежда на договорени от страните място и дата.</w:t>
      </w:r>
    </w:p>
    <w:p>
      <w:pPr>
        <w:rPr>
          <w:rFonts w:eastAsia="Times New Roman"/>
          <w:noProof/>
          <w:szCs w:val="24"/>
        </w:rPr>
      </w:pPr>
      <w:r>
        <w:rPr>
          <w:noProof/>
        </w:rPr>
        <w:t>При получаване на искане от една от страните за заседание на специализирана работна група секретарят — представител на другата страна, отговаря в срок от 15 работни дни.</w:t>
      </w:r>
    </w:p>
    <w:p>
      <w:pPr>
        <w:rPr>
          <w:rFonts w:eastAsia="Times New Roman"/>
          <w:noProof/>
          <w:szCs w:val="24"/>
        </w:rPr>
      </w:pPr>
      <w:r>
        <w:rPr>
          <w:noProof/>
        </w:rPr>
        <w:lastRenderedPageBreak/>
        <w:t>При неотложен случай заседанията на специализираните работни групи може да се свикат с по-кратко предизвестие, което подлежи на договаряне между двете страни.</w:t>
      </w:r>
    </w:p>
    <w:p>
      <w:pPr>
        <w:rPr>
          <w:rFonts w:eastAsia="Times New Roman"/>
          <w:noProof/>
          <w:szCs w:val="24"/>
        </w:rPr>
      </w:pPr>
      <w:r>
        <w:rPr>
          <w:noProof/>
        </w:rPr>
        <w:t>Преди всяко заседание председателят се уведомява за предвидения състав на делегацията на всяка от двете страни.</w:t>
      </w:r>
    </w:p>
    <w:p>
      <w:pPr>
        <w:rPr>
          <w:rFonts w:eastAsia="Malgun Gothic"/>
          <w:noProof/>
          <w:szCs w:val="24"/>
        </w:rPr>
      </w:pPr>
      <w:r>
        <w:rPr>
          <w:noProof/>
        </w:rPr>
        <w:t>Заседанията на специализираните работни групи се свикват съвместно от двамата секретари.</w:t>
      </w:r>
    </w:p>
    <w:p>
      <w:pPr>
        <w:jc w:val="center"/>
        <w:rPr>
          <w:rFonts w:eastAsia="Times New Roman"/>
          <w:i/>
          <w:noProof/>
          <w:color w:val="000000"/>
          <w:szCs w:val="24"/>
        </w:rPr>
      </w:pPr>
      <w:r>
        <w:rPr>
          <w:i/>
          <w:noProof/>
          <w:color w:val="000000"/>
        </w:rPr>
        <w:t>Член 7</w:t>
      </w:r>
    </w:p>
    <w:p>
      <w:pPr>
        <w:rPr>
          <w:rFonts w:eastAsia="Times New Roman"/>
          <w:noProof/>
          <w:szCs w:val="24"/>
        </w:rPr>
      </w:pPr>
      <w:r>
        <w:rPr>
          <w:noProof/>
        </w:rPr>
        <w:t>Точките, които следва да бъдат включени в дневния ред, се представят на секретарите не по-късно от 15 работни дни преди датата на въпросното заседание на специализираната работна група. Придружаващата документация се предоставя на секретарите не по-късно от 10 работни дни преди заседанието. Секретарите съобщават проекта на дневен ред не по-късно от 5 работни дни преди заседанието. Дневният ред се финализира при постигането на съгласие на двете страни. При извънредни обстоятелства, със съгласието на страните, към дневния ред могат да се добавят въпроси в по-кратки срокове.</w:t>
      </w:r>
    </w:p>
    <w:p>
      <w:pPr>
        <w:jc w:val="center"/>
        <w:rPr>
          <w:rFonts w:eastAsia="Times New Roman"/>
          <w:i/>
          <w:noProof/>
          <w:color w:val="000000"/>
          <w:szCs w:val="24"/>
        </w:rPr>
      </w:pPr>
      <w:r>
        <w:rPr>
          <w:i/>
          <w:noProof/>
          <w:color w:val="000000"/>
        </w:rPr>
        <w:t>Член 8</w:t>
      </w:r>
    </w:p>
    <w:p>
      <w:pPr>
        <w:rPr>
          <w:rFonts w:eastAsia="Times New Roman"/>
          <w:noProof/>
          <w:szCs w:val="24"/>
        </w:rPr>
      </w:pPr>
      <w:r>
        <w:rPr>
          <w:noProof/>
        </w:rPr>
        <w:t>За всяко заседание се изготвя протокол.</w:t>
      </w:r>
    </w:p>
    <w:p>
      <w:pPr>
        <w:rPr>
          <w:noProof/>
        </w:rPr>
      </w:pPr>
      <w:r>
        <w:rPr>
          <w:noProof/>
        </w:rPr>
        <w:t>Освен ако е решено друго, заседанията на специализираните работни групи не са публични.</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1147E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F3E58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7CDC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D4DE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D834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90C9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DE94A6"/>
    <w:lvl w:ilvl="0">
      <w:start w:val="1"/>
      <w:numFmt w:val="decimal"/>
      <w:pStyle w:val="ListNumber"/>
      <w:lvlText w:val="%1."/>
      <w:lvlJc w:val="left"/>
      <w:pPr>
        <w:tabs>
          <w:tab w:val="num" w:pos="360"/>
        </w:tabs>
        <w:ind w:left="360" w:hanging="360"/>
      </w:pPr>
    </w:lvl>
  </w:abstractNum>
  <w:abstractNum w:abstractNumId="7">
    <w:nsid w:val="FFFFFF89"/>
    <w:multiLevelType w:val="singleLevel"/>
    <w:tmpl w:val="64B85A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3-16 09:30: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21"/>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
    <w:docVar w:name="LW_CORRIGENDUM" w:val="&lt;UNUSED&gt;"/>
    <w:docVar w:name="LW_COVERPAGE_GUID" w:val="6F944129195F411B8C48EFB3DA357EAD"/>
    <w:docVar w:name="LW_CROSSREFERENCE" w:val="&lt;UNUSED&gt;"/>
    <w:docVar w:name="LW_DocType" w:val="ANNEX"/>
    <w:docVar w:name="LW_EMISSION" w:val="16.3.2016"/>
    <w:docVar w:name="LW_EMISSION_ISODATE" w:val="2016-03-16"/>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76?\u1072? \u1073?\u1098?\u1076?\u1077? \u1079?\u1072?\u1077?\u1090?\u1072? \u1086?\u1090? \u1057?\u1098?\u1102?\u1079?\u1072? \u1074? \u1057?\u1098?\u1074?\u1084?\u1077?\u1089?\u1090?\u1085?\u1080?\u1103? \u1082?\u1086?\u1084?\u1080?\u1090?\u1077?\u1090?, \u1089?\u1098?\u1079?\u1076?\u1072?\u1076?\u1077?\u1085? \u1089?\u1098?\u1075?\u1083?\u1072?\u1089?\u1085?\u1086? \u1056?\u1072?\u1084?\u1082?\u1086?\u1074?\u1086?\u1090?\u1086? \u1089?\u1087?\u1086?\u1088?\u1072?\u1079?\u1091?\u1084?\u1077?\u1085?\u1080?\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6?\u1077?\u1087?\u1091?\u1073?\u1083?\u1080?\u1082?\u1072? \u1050?\u1086?\u1088?\u1077?\u1103?, \u1086?\u1090? \u1076?\u1088?\u1091?\u1075?\u1072? \u1089?\u1090?\u1088?\u1072?\u1085?\u1072?, \u1074?\u1098?\u1074? \u1074?\u1088?\u1098?\u1079?\u1082?\u1072? \u1089? \u1087?\u1088?\u1080?\u1077?\u1084?\u1072?\u1085?\u1077?\u1090?\u1086? \u1085?\u1072? \u1087?\u1088?\u1086?\u1094?\u1077?\u1076?\u1091?\u1088?\u1085?\u1080?\u1103? \u1087?\u1088?\u1072?\u1074?\u1080?\u1083?\u1085?\u1080?\u1082? \u1085?\u1072? \u1057?\u1098?\u1074?\u1084?\u1077?\u1089?\u1090?\u1085?\u1080?\u1103? \u1082?\u1086?\u1084?\u1080?\u1090?\u1077?\u1090?, \u1082?\u1072?\u1082?\u1090?\u1086? \u1080? \u1089?\u1098?\u1079?\u1076?\u1072?\u1074?\u1072?\u1085?\u1077?\u1090?\u1086? \u1085?\u1072? \u1089?\u1087?\u1077?\u1094?\u1080?\u1072?\u1083?\u1080?\u1079?\u1080?\u1088?\u1072?\u1085?\u1080? \u1088?\u1072?\u1073?\u1086?\u1090?\u1085?\u1080? \u1075?\u1088?\u1091?\u1087?\u1080? \u1080? \u1087?\u1088?\u1080?\u1077?\u1084?\u1072?\u1085?\u1077?\u1090?\u1086? \u1085?\u1072? \u1090?\u1077?\u1093?\u1085?\u1080?\u1103? \u1084?\u1072?\u1085?\u1076?\u1072?\u1090?"/>
    <w:docVar w:name="LW_PART_NBR" w:val="&lt;UNUSED&gt;"/>
    <w:docVar w:name="LW_PART_NBR_TOTAL" w:val="&lt;UNUSED&gt;"/>
    <w:docVar w:name="LW_REF.INST.NEW" w:val="COM"/>
    <w:docVar w:name="LW_REF.INST.NEW_ADOPTED" w:val="final"/>
    <w:docVar w:name="LW_REF.INST.NEW_TEXT" w:val="(2016) 147"/>
    <w:docVar w:name="LW_REF.INTERNE" w:val="&lt;UNUSED&gt;"/>
    <w:docVar w:name="LW_SUPERTITRE" w:val="&lt;UNUSED&gt;"/>
    <w:docVar w:name="LW_TITRE.OBJ.CP" w:val="&lt;UNUSED&gt;"/>
    <w:docVar w:name="LW_TYPE.DOC.CP" w:val="\u1055?\u1056?\u1048?\u1051?\u1054?\u1046?\u1045?\u1053?\u1048?\u1071?"/>
    <w:docVar w:name="LW_TYPEACTEPRINCIPAL.CP" w:val="\u1055?\u1088?\u1077?\u1076?\u1083?\u1086?\u1078?\u1077?\u1085?\u1080?\u1077? \u1079?\u1072?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bg-BG"/>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10</Pages>
  <Words>1814</Words>
  <Characters>10704</Characters>
  <Application>Microsoft Office Word</Application>
  <DocSecurity>0</DocSecurity>
  <Lines>274</Lines>
  <Paragraphs>140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AJARRISTA Catherine (EEAS)</dc:creator>
  <cp:keywords/>
  <cp:lastModifiedBy>DIGIT/A3</cp:lastModifiedBy>
  <cp:revision>7</cp:revision>
  <dcterms:created xsi:type="dcterms:W3CDTF">2016-03-15T09:05:00Z</dcterms:created>
  <dcterms:modified xsi:type="dcterms:W3CDTF">2016-03-16T08:30:00Z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