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4B8736F01EB0470A97FEED96AF1F6256" style="width:450.45pt;height:379.7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rPr>
          <w:noProof/>
        </w:rPr>
      </w:pPr>
      <w:r>
        <w:rPr>
          <w:noProof/>
        </w:rPr>
        <w:t>Настоящото предложение се отнася до подписването на Споразумението за партньорство по въпросите на отношенията и сътрудничеството между Европейския съюз и неговите държави членки, от една страна, и Нова Зеландия, от друга страна („споразумението“).</w:t>
      </w:r>
    </w:p>
    <w:p>
      <w:pPr>
        <w:rPr>
          <w:noProof/>
        </w:rPr>
      </w:pPr>
      <w:r>
        <w:rPr>
          <w:noProof/>
        </w:rPr>
        <w:t>На 25 юни 2012 г. Съветът прие решение за упълномощаване на Европейската комисия и на върховния представител на Съюза по въпросите на външните работи и политиката на сигурност да договорят рамково споразумение между Европейския съюз и неговите държави членки, от една страна, и Нова Зеландия, от друга страна. Преговорите започнаха през юли 2012 г. и приключиха успешно на 30 юли 2014 г.</w:t>
      </w:r>
    </w:p>
    <w:p>
      <w:pPr>
        <w:rPr>
          <w:noProof/>
          <w:color w:val="000000"/>
          <w:szCs w:val="24"/>
        </w:rPr>
      </w:pPr>
      <w:r>
        <w:rPr>
          <w:noProof/>
        </w:rPr>
        <w:t>Това споразумение ще предостави цялостна и модерна правна основа за отношенията между ЕС и Нова Зеландия. То ще насърчи по-ефективната двустранна ангажираност от страна на ЕС и неговите държави членки с Нова Зеландия чрез укрепването на политическия диалог и подобряването на сътрудничеството в областта на икономиката и търговията и в много други области.</w:t>
      </w:r>
    </w:p>
    <w:p>
      <w:pPr>
        <w:rPr>
          <w:noProof/>
        </w:rPr>
      </w:pPr>
      <w:r>
        <w:rPr>
          <w:noProof/>
        </w:rPr>
        <w:t>Споразумението включва стандартните политически клаузи на ЕС относно правата на човека, Международния наказателен съд (МНС), оръжията за масово унищожение (ОМУ), малките оръжия и лекото въоръжение (МОЛВ) и борбата с тероризма. То обхваща и сътрудничеството по икономически и търговски въпроси и включва диалог относно икономическите, свързаните с търговията и инвестициите области, селскостопанската търговия и други секторни въпроси. Споразумението обхваща освен това сътрудничество в широк кръг от области на политиката, като здравеопазването, околната среда, изменението на климата, енергетиката, образованието, културата, труда, управлението на бедствия, рибарството и морското дело, транспорта, правното сътрудничество, изпирането на пари и финансирането на тероризма, организираната престъпност и корупцията.</w:t>
      </w:r>
    </w:p>
    <w:p>
      <w:pPr>
        <w:spacing w:after="240"/>
        <w:rPr>
          <w:rFonts w:eastAsia="Times New Roman"/>
          <w:noProof/>
          <w:szCs w:val="24"/>
        </w:rPr>
      </w:pPr>
      <w:r>
        <w:rPr>
          <w:noProof/>
        </w:rPr>
        <w:t>Това споразумение, подобно на тези, сключени от ЕС с държави партньори, съдържа обвързващи политически клаузи, основани на споделяните от двете страни ценности. Съответно, ЕС и Нова Зеландия обявяват своите ангажименти в различни области, включително правата на човека, неразпространението и борбата с тероризма. Тези клаузи са изцяло в съответствие със стандартните клаузи, установени в подобни споразумения. Зачитането на правата на човека и демократичните принципи, както и на международното право и принципите, залегнали в Устава на Организацията на обединените нации, представлява основата за сътрудничеството в рамките на споразумението.</w:t>
      </w:r>
    </w:p>
    <w:p>
      <w:pPr>
        <w:rPr>
          <w:noProof/>
        </w:rPr>
      </w:pPr>
      <w:r>
        <w:rPr>
          <w:noProof/>
        </w:rPr>
        <w:t>Споразумението допринася значително за подобряването на партньорството между ЕС и Нова Зеландия, което се основава на общи ценности и принципи, включително зачитането на демократичните принципи, правата на човека и основните свободи, правовата държава, международния мир и сигурност.</w:t>
      </w:r>
    </w:p>
    <w:p>
      <w:pPr>
        <w:rPr>
          <w:noProof/>
        </w:rPr>
      </w:pPr>
      <w:r>
        <w:rPr>
          <w:noProof/>
        </w:rPr>
        <w:t>В съответствие с общия подход на ЕС по отношение на използването на политически клаузи, в случаи на особено сериозно и съществено нарушение на съществени елементи на споразумението то може да бъде суспендирано или прекратено и могат да бъдат предприети други подходящи мерки, засягащи бъдещите споразумения, в съответствие с правата и задълженията на страните по тези споразумения.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rPr>
          <w:noProof/>
        </w:rPr>
      </w:pPr>
      <w:r>
        <w:rPr>
          <w:noProof/>
        </w:rPr>
        <w:t>Приложеното съвместно предложение представлява правният инструмент за подписването и временното прилагане на споразумението.</w:t>
      </w:r>
    </w:p>
    <w:p>
      <w:pPr>
        <w:rPr>
          <w:noProof/>
        </w:rPr>
      </w:pPr>
      <w:r>
        <w:rPr>
          <w:noProof/>
        </w:rPr>
        <w:t>Изборът на правно основание за подписване на споразумението трябва да се основава на обективни критерии, които да могат да бъдат предмет на съдебен контрол, сред които са целта и съдържанието на акта.</w:t>
      </w:r>
    </w:p>
    <w:p>
      <w:pPr>
        <w:rPr>
          <w:noProof/>
        </w:rPr>
      </w:pPr>
      <w:r>
        <w:rPr>
          <w:noProof/>
        </w:rPr>
        <w:t>Целта на споразумението е „</w:t>
      </w:r>
      <w:r>
        <w:rPr>
          <w:i/>
          <w:noProof/>
        </w:rPr>
        <w:t>да се установи засилено партньорство между страните и да се задълбочи и подобри сътрудничеството по въпроси от взаимен интерес, като се отразяват общите ценности и общите принципи, включително чрез засилване на диалога на високо равнище</w:t>
      </w:r>
      <w:r>
        <w:rPr>
          <w:noProof/>
        </w:rPr>
        <w:t>“ (член 1 от споразумението).</w:t>
      </w:r>
    </w:p>
    <w:p>
      <w:pPr>
        <w:rPr>
          <w:noProof/>
        </w:rPr>
      </w:pPr>
      <w:r>
        <w:rPr>
          <w:noProof/>
        </w:rPr>
        <w:t>Съдържанието на споразумението обхваща три стълба:</w:t>
      </w:r>
    </w:p>
    <w:p>
      <w:pPr>
        <w:pStyle w:val="Tiret0"/>
        <w:numPr>
          <w:ilvl w:val="0"/>
          <w:numId w:val="10"/>
        </w:numPr>
        <w:rPr>
          <w:noProof/>
        </w:rPr>
      </w:pPr>
      <w:r>
        <w:rPr>
          <w:noProof/>
        </w:rPr>
        <w:t>политическото сътрудничество по въпросите на външната политика и сигурността от общ интерес, включително оръжията за масово унищожение (ОМУ), малките оръжия и лекото въоръжение (МОЛВ), борбата с тероризма, насърчаването на международния мир и сигурност и сътрудничеството в рамките на многостранните форуми;</w:t>
      </w:r>
    </w:p>
    <w:p>
      <w:pPr>
        <w:pStyle w:val="Tiret0"/>
        <w:rPr>
          <w:noProof/>
        </w:rPr>
      </w:pPr>
      <w:r>
        <w:rPr>
          <w:noProof/>
        </w:rPr>
        <w:t>сътрудничеството по икономически и търговски въпроси, включително улесняване на търговията и инвестиционните потоци, и секторните икономически и търговски въпроси, като санитарните и фитосанитарните въпроси, намаляването на техническите пречки пред търговията и интелектуалната собственост;</w:t>
      </w:r>
    </w:p>
    <w:p>
      <w:pPr>
        <w:pStyle w:val="Tiret0"/>
        <w:rPr>
          <w:noProof/>
        </w:rPr>
      </w:pPr>
      <w:r>
        <w:rPr>
          <w:noProof/>
        </w:rPr>
        <w:t>секторното сътрудничество, включително в областта на научните изследвания и иновациите, образованието и културата, миграцията, борбата с тероризма, борбата с организираната престъпност и борбата с киберпрестъпността, както и съдебното сътрудничество.</w:t>
      </w:r>
    </w:p>
    <w:p>
      <w:pPr>
        <w:rPr>
          <w:noProof/>
        </w:rPr>
      </w:pPr>
      <w:r>
        <w:rPr>
          <w:noProof/>
        </w:rPr>
        <w:t xml:space="preserve">Споразумението е съставено от следните дялове: </w:t>
      </w:r>
      <w:r>
        <w:rPr>
          <w:i/>
          <w:noProof/>
        </w:rPr>
        <w:t>Общи разпоредби</w:t>
      </w:r>
      <w:r>
        <w:rPr>
          <w:noProof/>
        </w:rPr>
        <w:t xml:space="preserve"> (дял I), </w:t>
      </w:r>
      <w:r>
        <w:rPr>
          <w:i/>
          <w:noProof/>
        </w:rPr>
        <w:t>Политически диалог и сътрудничество по въпросите на външната политика и сигурността</w:t>
      </w:r>
      <w:r>
        <w:rPr>
          <w:noProof/>
        </w:rPr>
        <w:t xml:space="preserve"> (дял II), </w:t>
      </w:r>
      <w:r>
        <w:rPr>
          <w:i/>
          <w:noProof/>
        </w:rPr>
        <w:t>Сътрудничество в областта на глобалната хуманитарна помощ и помощ за развитие</w:t>
      </w:r>
      <w:r>
        <w:rPr>
          <w:noProof/>
        </w:rPr>
        <w:t xml:space="preserve"> (дял III), </w:t>
      </w:r>
      <w:r>
        <w:rPr>
          <w:i/>
          <w:noProof/>
        </w:rPr>
        <w:t>Сътрудничество по икономически и търговски въпроси</w:t>
      </w:r>
      <w:r>
        <w:rPr>
          <w:noProof/>
        </w:rPr>
        <w:t xml:space="preserve"> (дял IV), </w:t>
      </w:r>
      <w:r>
        <w:rPr>
          <w:i/>
          <w:noProof/>
        </w:rPr>
        <w:t>Сътрудничество в областта на правосъдието, свободата и сигурността</w:t>
      </w:r>
      <w:r>
        <w:rPr>
          <w:noProof/>
        </w:rPr>
        <w:t xml:space="preserve"> (дял V), </w:t>
      </w:r>
      <w:r>
        <w:rPr>
          <w:i/>
          <w:noProof/>
        </w:rPr>
        <w:t>Сътрудничество в областта на научните изследвания, иновациите и информационното общество</w:t>
      </w:r>
      <w:r>
        <w:rPr>
          <w:noProof/>
        </w:rPr>
        <w:t xml:space="preserve"> (дял VI), </w:t>
      </w:r>
      <w:r>
        <w:rPr>
          <w:i/>
          <w:noProof/>
        </w:rPr>
        <w:t>Сътрудничество в областта на образованието, културата и връзките между хората</w:t>
      </w:r>
      <w:r>
        <w:rPr>
          <w:noProof/>
        </w:rPr>
        <w:t xml:space="preserve"> (дял VII), </w:t>
      </w:r>
      <w:r>
        <w:rPr>
          <w:i/>
          <w:noProof/>
        </w:rPr>
        <w:t xml:space="preserve">Сътрудничество в областта на устойчивото развитие, енергетиката и транспорта </w:t>
      </w:r>
      <w:r>
        <w:rPr>
          <w:noProof/>
        </w:rPr>
        <w:t xml:space="preserve">(дял VIII), </w:t>
      </w:r>
      <w:r>
        <w:rPr>
          <w:i/>
          <w:noProof/>
        </w:rPr>
        <w:t>Институционална рамка</w:t>
      </w:r>
      <w:r>
        <w:rPr>
          <w:noProof/>
        </w:rPr>
        <w:t xml:space="preserve"> (дял IX) и </w:t>
      </w:r>
      <w:r>
        <w:rPr>
          <w:i/>
          <w:noProof/>
        </w:rPr>
        <w:t>Заключителни разпоредби</w:t>
      </w:r>
      <w:r>
        <w:rPr>
          <w:noProof/>
        </w:rPr>
        <w:t xml:space="preserve"> (дял X).</w:t>
      </w:r>
    </w:p>
    <w:p>
      <w:pPr>
        <w:rPr>
          <w:noProof/>
        </w:rPr>
      </w:pPr>
      <w:r>
        <w:rPr>
          <w:noProof/>
        </w:rPr>
        <w:t>Разпоредбите, предвидени в споразумението, предвид на целта и съдържанието им попадат в приложното поле на член 37 от Договора за Европейския съюз и членове 207 и 212 от Договора за функционирането на Европейския съюз.</w:t>
      </w:r>
    </w:p>
    <w:p>
      <w:pPr>
        <w:rPr>
          <w:noProof/>
        </w:rPr>
      </w:pPr>
      <w:r>
        <w:rPr>
          <w:noProof/>
        </w:rPr>
        <w:t>Със споразумението се създава съвместен комитет, чиято цел е да наблюдава развитието на двустранните отношения между страните. В споразумението се предвижда възможност за суспендиране на прилагането му в случай на нарушение на съществени елементи.</w:t>
      </w:r>
    </w:p>
    <w:p>
      <w:pPr>
        <w:rPr>
          <w:noProof/>
        </w:rPr>
      </w:pPr>
      <w:r>
        <w:rPr>
          <w:noProof/>
        </w:rPr>
        <w:t xml:space="preserve">До влизането му в сила определени части от споразумението, за които е постигната взаимна договореност между ЕС и Нова Зеландия, ще се прилагат временно в съответствие с член 58 от споразумението. Обхватът на временното прилагане не засяга разделението на областите на компетентност между Съюза и държавите членки, установено в Договорите. Датата на временното прилагане ще се публикува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spacing w:after="240"/>
        <w:rPr>
          <w:noProof/>
        </w:rPr>
      </w:pPr>
      <w:r>
        <w:rPr>
          <w:noProof/>
        </w:rPr>
        <w:t>Споразумението ще удължи и ще замени Съвместната декларация за отношенията и сътрудничеството, приета през 2007 г. То ще установи съгласувана, правно обвързваща и цялостна рамка на отношенията на ЕС с Нова Зеландия. Всички съществуващи секторни споразумения остават в сила.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ОТ КОНСУЛТАЦИИТЕ СЪС ЗАИНТЕРЕСОВАНИТЕ СТРАНИ И ОТ ОЦЕНКИТЕ НА ВЪЗДЕЙСТВИЕТО</w:t>
      </w:r>
    </w:p>
    <w:p>
      <w:pPr>
        <w:rPr>
          <w:noProof/>
        </w:rPr>
      </w:pPr>
      <w:r>
        <w:rPr>
          <w:noProof/>
        </w:rPr>
        <w:t>Европейската служба за външна дейност и службите на Комисията участваха в процеса на преговорите.</w:t>
      </w:r>
    </w:p>
    <w:p>
      <w:pPr>
        <w:rPr>
          <w:noProof/>
        </w:rPr>
      </w:pPr>
      <w:r>
        <w:rPr>
          <w:noProof/>
        </w:rPr>
        <w:t>С държавите членки също бяха осъществявани консултации по време на целия процес на преговори в заседанията на съответните работни групи на Съвета. На 13 ноември 2014 г. Комитетът на постоянните представители одобри текста на Споразумението за партньорство по въпросите на отношенията и сътрудничеството, а на 25 февруари 2015 г. той одобри включването на клауза за временно прилагане.</w:t>
      </w:r>
    </w:p>
    <w:p>
      <w:pPr>
        <w:autoSpaceDE w:val="0"/>
        <w:autoSpaceDN w:val="0"/>
        <w:adjustRightInd w:val="0"/>
        <w:spacing w:after="0"/>
        <w:rPr>
          <w:noProof/>
        </w:rPr>
      </w:pPr>
      <w:r>
        <w:rPr>
          <w:noProof/>
        </w:rPr>
        <w:t>Европейският парламент бе редовно информиран по време на преговорите.</w:t>
      </w:r>
    </w:p>
    <w:p>
      <w:pPr>
        <w:autoSpaceDE w:val="0"/>
        <w:autoSpaceDN w:val="0"/>
        <w:adjustRightInd w:val="0"/>
        <w:spacing w:after="0"/>
        <w:rPr>
          <w:noProof/>
        </w:rPr>
      </w:pPr>
      <w:r>
        <w:rPr>
          <w:noProof/>
        </w:rPr>
        <w:t>Върховният представител и Комисията считат, че целите, определени от Съвета в неговите указания за водене на преговори за споразумението, са постигнати, и че проектът на споразумение може да бъде представен за подписване и временно прилагане.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2016/0112 (NLE)</w:t>
      </w:r>
    </w:p>
    <w:p>
      <w:pPr>
        <w:pStyle w:val="Statut"/>
        <w:rPr>
          <w:noProof/>
        </w:rPr>
      </w:pPr>
      <w:r>
        <w:rPr>
          <w:noProof/>
        </w:rPr>
        <w:t>Съвместно 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подписване, от името на Европейския съюз, и за временно прилагане на Споразумението за партньорство по въпросите на отношенията и сътрудничеството между Европейския съюз и неговите държави членки, от една страна, и Нова Зеландия, от друга страна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Европейския съюз, и по-специално член 37 от него,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 и 212, параграф 1 във връзка с член 218, параграф 5 и параграф 8, втора алинея от него,</w:t>
      </w:r>
    </w:p>
    <w:p>
      <w:pPr>
        <w:rPr>
          <w:noProof/>
        </w:rPr>
      </w:pPr>
      <w:r>
        <w:rPr>
          <w:noProof/>
        </w:rPr>
        <w:t>като взе предвид съвместното предложение на Европейската комисия и на върховния представител на Съюза по въпросите на външните работи и политиката на сигурност,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rPr>
          <w:noProof/>
        </w:rPr>
        <w:t>(1)</w:t>
      </w:r>
      <w:r>
        <w:rPr>
          <w:noProof/>
        </w:rPr>
        <w:tab/>
        <w:t>На 25 юни 2012 г. Съветът упълномощи Комисията и върховния представител да започнат преговори за рамково споразумение с Нова Зеландия, което да замени Съвместната политическа декларация за отношенията между Нова Зеландия и ЕС от 2007 г.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>Преговорите за Споразумението за партньорство по въпросите на отношенията и сътрудничеството („споразумението“) приключиха успешно на 30 юли 2014 г. Споразумението отразява историческите тесни взаимоотношения и все по-силни връзки между страните, както и тяхното желание да укрепят и разширят отношенията си по амбициозен и новаторски начин.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>В член 58 от споразумението се предвижда, че ЕС и Нова Зеландия могат временно, до влизането му в сила, да прилагат някои разпоредби от споразумението, определени взаимно от двете страни.</w:t>
      </w:r>
    </w:p>
    <w:p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Следователно споразумението следва да бъде подписано от името на ЕС и да се прилага временно в съответствие с член 58 от споразумението, при условие че бъде сключено на по-късна дата,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Разрешава се подписването на Споразумението за партньорство по въпросите на отношенията и сътрудничеството между Европейския съюз и неговите държави членки, от една страна, и Нова Зеландия, от друга страна, от името на Съюза при условие на сключването на посоченото споразумение.</w:t>
      </w:r>
    </w:p>
    <w:p>
      <w:pPr>
        <w:rPr>
          <w:noProof/>
        </w:rPr>
      </w:pPr>
      <w:r>
        <w:rPr>
          <w:noProof/>
        </w:rPr>
        <w:t>Текстът на споразумението е приложен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До влизането в сила на споразумението, в съответствие с член 58 от него и при условие че са направени предвидените в посочения член уведомления, изброените по-долу части от споразумението се прилагат временно между Съюза и Нова Зеландия:</w:t>
      </w:r>
    </w:p>
    <w:p>
      <w:pPr>
        <w:pStyle w:val="Tiret1"/>
        <w:numPr>
          <w:ilvl w:val="0"/>
          <w:numId w:val="1"/>
        </w:numPr>
        <w:rPr>
          <w:noProof/>
        </w:rPr>
      </w:pPr>
      <w:r>
        <w:rPr>
          <w:noProof/>
        </w:rPr>
        <w:t xml:space="preserve">Член 3 </w:t>
      </w:r>
      <w:r>
        <w:rPr>
          <w:i/>
          <w:noProof/>
        </w:rPr>
        <w:t>„Диалог“</w:t>
      </w:r>
    </w:p>
    <w:p>
      <w:pPr>
        <w:pStyle w:val="Tiret1"/>
        <w:rPr>
          <w:noProof/>
        </w:rPr>
      </w:pPr>
      <w:r>
        <w:rPr>
          <w:noProof/>
        </w:rPr>
        <w:t xml:space="preserve">Член 4 </w:t>
      </w:r>
      <w:r>
        <w:rPr>
          <w:i/>
          <w:noProof/>
        </w:rPr>
        <w:t>„Сътрудничество в регионални и международни организации“</w:t>
      </w:r>
    </w:p>
    <w:p>
      <w:pPr>
        <w:pStyle w:val="Tiret1"/>
        <w:rPr>
          <w:noProof/>
        </w:rPr>
      </w:pPr>
      <w:r>
        <w:rPr>
          <w:noProof/>
        </w:rPr>
        <w:t xml:space="preserve">Член 5 </w:t>
      </w:r>
      <w:r>
        <w:rPr>
          <w:i/>
          <w:noProof/>
        </w:rPr>
        <w:t>„Политически диалог“</w:t>
      </w:r>
    </w:p>
    <w:p>
      <w:pPr>
        <w:pStyle w:val="Tiret1"/>
        <w:rPr>
          <w:noProof/>
        </w:rPr>
      </w:pPr>
      <w:r>
        <w:rPr>
          <w:noProof/>
        </w:rPr>
        <w:t xml:space="preserve">Член 53 </w:t>
      </w:r>
      <w:r>
        <w:rPr>
          <w:i/>
          <w:noProof/>
        </w:rPr>
        <w:t>„Съвместен комитет“</w:t>
      </w:r>
      <w:r>
        <w:rPr>
          <w:noProof/>
        </w:rPr>
        <w:t xml:space="preserve"> (с изключение на параграф 3, букви ж) и з)</w:t>
      </w:r>
    </w:p>
    <w:p>
      <w:pPr>
        <w:pStyle w:val="Tiret1"/>
        <w:rPr>
          <w:noProof/>
        </w:rPr>
      </w:pPr>
      <w:r>
        <w:rPr>
          <w:noProof/>
        </w:rPr>
        <w:t xml:space="preserve">Дял X </w:t>
      </w:r>
      <w:r>
        <w:rPr>
          <w:i/>
          <w:noProof/>
        </w:rPr>
        <w:t>„Заключителни разпоредби“</w:t>
      </w:r>
      <w:r>
        <w:rPr>
          <w:noProof/>
        </w:rPr>
        <w:t xml:space="preserve"> (с изключение на член 57 и член 58, параграфи 1 и 3), доколкото е необходимо за целта да се гарантира временното прилагане на посочените по-горе части от споразумението.</w:t>
      </w:r>
    </w:p>
    <w:p>
      <w:pPr>
        <w:pStyle w:val="Point0"/>
        <w:rPr>
          <w:noProof/>
        </w:rPr>
      </w:pPr>
      <w:r>
        <w:rPr>
          <w:noProof/>
        </w:rPr>
        <w:t xml:space="preserve">2. </w:t>
      </w:r>
      <w:r>
        <w:rPr>
          <w:noProof/>
        </w:rPr>
        <w:tab/>
        <w:t xml:space="preserve">Датата, от която частите от споразумението се прилагат временно, се публикува от Генералния секретариат на Съвета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Генералният секретариат на Съвета изготвя акта за предоставяне на пълномощия на лицето(лицата), посочено(и) от преговарящите по споразумението, за подписване на споразумението, при условие че то бъде сключено.</w:t>
      </w:r>
    </w:p>
    <w:p>
      <w:pPr>
        <w:pStyle w:val="Titrearticle"/>
        <w:rPr>
          <w:noProof/>
        </w:rPr>
      </w:pPr>
      <w:r>
        <w:rPr>
          <w:noProof/>
        </w:rPr>
        <w:t>Член 4</w:t>
      </w:r>
    </w:p>
    <w:p>
      <w:pPr>
        <w:autoSpaceDE w:val="0"/>
        <w:autoSpaceDN w:val="0"/>
        <w:adjustRightInd w:val="0"/>
        <w:spacing w:line="360" w:lineRule="auto"/>
        <w:rPr>
          <w:noProof/>
        </w:rPr>
      </w:pPr>
      <w:r>
        <w:rPr>
          <w:noProof/>
        </w:rPr>
        <w:t>Настоящото решение влиза в сила в деня след деня на приемането му.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</w: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F4461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35C970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3A8967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5D2B4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4320F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F9AE3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8D454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10AA3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2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ctiveWritingStyle w:appName="MSWord" w:lang="en-GB" w:vendorID="64" w:dllVersion="131078" w:nlCheck="1" w:checkStyle="1"/>
  <w:attachedTemplate r:id="rId1"/>
  <w:revisionView w:markup="0"/>
  <w:doNotTrackMoves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04-12 14:36:2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4B8736F01EB0470A97FEED96AF1F6256"/>
    <w:docVar w:name="LW_CROSSREFERENCE" w:val="&lt;UNUSED&gt;"/>
    <w:docVar w:name="LW_DocType" w:val="COM"/>
    <w:docVar w:name="LW_EMISSION" w:val="14.4.2016"/>
    <w:docVar w:name="LW_EMISSION_ISODATE" w:val="2016-04-14"/>
    <w:docVar w:name="LW_EMISSION_LOCATION" w:val="BRX"/>
    <w:docVar w:name="LW_EMISSION_PREFIX" w:val="Брюксел, "/>
    <w:docVar w:name="LW_EMISSION_SUFFIX" w:val=" \u1075?."/>
    <w:docVar w:name="LW_ID_DOCMODEL" w:val="SG-064"/>
    <w:docVar w:name="LW_ID_DOCSIGNATURE" w:val="SJ-019"/>
    <w:docVar w:name="LW_ID_DOCSTRUCTURE" w:val="COM/PL/ORG"/>
    <w:docVar w:name="LW_ID_DOCTYPE" w:val="SG-064"/>
    <w:docVar w:name="LW_ID_STATUT" w:val="SG-064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\u1042?\u1066?\u1056?\u1061?\u1054?\u1042?\u1045?\u1053? \u1055?\u1056?\u1045?\u1044?\u1057?\u1058?\u1040?\u1042?\u1048?\u1058?\u1045?\u1051? _x000b_\u1053?\u1040? \u1057?\u1066?\u1070?\u1047?A \u1055?\u1054? \u1042?\u1066?\u1055?\u1056?\u1054?\u1057?\u1048?\u1058?\u1045?_x000b_\u1053?\u1040? \u1042?\u1066?\u1053?\u1064?\u1053?\u1048?\u1058?\u1045? \u1056?\u1040?\u1041?\u1054?\u1058?\u1048? \u1048?_x000b_\u1055?\u1054?\u1051?\u1048?\u1058?\u1048?\u1050?\u1040?\u1058?\u1040? \u1053?\u1040? \u1057?\u1048?\u1043?\u1059?\u1056?\u1053?\u1054?\u1057?\u1058?"/>
    <w:docVar w:name="LW_PART_NBR" w:val="1"/>
    <w:docVar w:name="LW_PART_NBR_TOTAL" w:val="1"/>
    <w:docVar w:name="LW_REF.II.NEW.CP" w:val="NLE"/>
    <w:docVar w:name="LW_REF.II.NEW.CP_NUMBER" w:val="0112"/>
    <w:docVar w:name="LW_REF.II.NEW.CP_YEAR" w:val="2016"/>
    <w:docVar w:name="LW_REF.INST.NEW" w:val="JOIN"/>
    <w:docVar w:name="LW_REF.INST.NEW_ADOPTED" w:val="final"/>
    <w:docVar w:name="LW_REF.INST.NEW_TEXT" w:val="(2016) 6"/>
    <w:docVar w:name="LW_REF.INTERNE" w:val="&lt;UNUSED&gt;"/>
    <w:docVar w:name="LW_SOUS.TITRE.OBJ.CP" w:val="&lt;UNUSED&gt;"/>
    <w:docVar w:name="LW_STATUT.CP" w:val="\u1057?\u1098?\u1074?\u1084?\u1077?\u1089?\u1090?\u1085?\u1086? \u1087?\u1088?\u1077?\u1076?\u1083?\u1086?\u1078?\u1077?\u1085?\u1080?\u1077? \u1079?\u1072?"/>
    <w:docVar w:name="LW_SUPERTITRE" w:val="&lt;UNUSED&gt;"/>
    <w:docVar w:name="LW_TITRE.OBJ.CP" w:val="\u1079?\u1072? \u1087?\u1086?\u1076?\u1087?\u1080?\u1089?\u1074?\u1072?\u1085?\u1077?, \u1086?\u1090? \u1080?\u1084?\u1077?\u1090?\u1086? \u1085?\u1072? \u1045?\u1074?\u1088?\u1086?\u1087?\u1077?\u1081?\u1089?\u1082?\u1080?\u1103? \u1089?\u1098?\u1102?\u1079?, \u1080? \u1079?\u1072? \u1074?\u1088?\u1077?\u1084?\u1077?\u1085?\u1085?\u1086? \u1087?\u1088?\u1080?\u1083?\u1072?\u1075?\u1072?\u1085?\u1077? \u1085?\u1072? \u1057?\u1087?\u1086?\u1088?\u1072?\u1079?\u1091?\u1084?\u1077?\u1085?\u1080?\u1077?\u1090?\u1086? \u1079?\u1072? \u1087?\u1072?\u1088?\u1090?\u1085?\u1100?\u1086?\u1088?\u1089?\u1090?\u1074?\u1086? \u1087?\u1086? \u1074?\u1098?\u1087?\u1088?\u1086?\u1089?\u1080?\u1090?\u1077? \u1085?\u1072? \u1086?\u1090?\u1085?\u1086?\u1096?\u1077?\u1085?\u1080?\u1103?\u1090?\u1072? \u1080? \u1089?\u1098?\u1090?\u1088?\u1091?\u1076?\u1085?\u1080?\u1095?\u1077?\u1089?\u1090?\u1074?\u1086?\u1090?\u1086? \u1084?\u1077?\u1078?\u1076?\u1091? \u1045?\u1074?\u1088?\u1086?\u1087?\u1077?\u1081?\u1089?\u1082?\u1080?\u1103? \u1089?\u1098?\u1102?\u1079? \u1080? \u1085?\u1077?\u1075?\u1086?\u1074?\u1080?\u1090?\u1077? \u1076?\u1098?\u1088?\u1078?\u1072?\u1074?\u1080? \u1095?\u1083?\u1077?\u1085?\u1082?\u1080?, \u1086?\u1090? \u1077?\u1076?\u1085?\u1072? \u1089?\u1090?\u1088?\u1072?\u1085?\u1072?, \u1080? \u1053?\u1086?\u1074?\u1072? \u1047?\u1077?\u1083?\u1072?\u1085?\u1076?\u1080?\u1103?, \u1086?\u1090? \u1076?\u1088?\u1091?\u1075?\u1072? \u1089?\u1090?\u1088?\u1072?\u1085?\u1072?"/>
    <w:docVar w:name="LW_TYPE.DOC.CP" w:val="\u1056?\u1045?\u1064?\u1045?\u1053?\u1048?\u1045? \u1053?\u1040? \u1057?\u1066?\u1042?\u1045?\u1058?\u1040?"/>
    <w:docVar w:name="Stamp" w:val="\\dossiers.dgt.cec.eu.int\dossiers\EEAS\EEAS-2015-00102\EEAS-2015-00102-00-00-EN-REV-00.DOC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68F5E-B216-4354-9D03-73F78257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1525</Words>
  <Characters>9289</Characters>
  <Application>Microsoft Office Word</Application>
  <DocSecurity>0</DocSecurity>
  <Lines>178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cp:lastPrinted>2015-06-09T12:40:00Z</cp:lastPrinted>
  <dcterms:created xsi:type="dcterms:W3CDTF">2016-04-05T07:49:00Z</dcterms:created>
  <dcterms:modified xsi:type="dcterms:W3CDTF">2016-04-12T12:36:00Z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20141001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SG-064</vt:lpwstr>
  </property>
  <property fmtid="{D5CDD505-2E9C-101B-9397-08002B2CF9AE}" pid="10" name="DQCStatus">
    <vt:lpwstr>Green (DQC version 03)</vt:lpwstr>
  </property>
</Properties>
</file>