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4209" w:rsidRDefault="005B7305">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06E2F82FFE0345A89F1869E342EE8D53" style="width:450.65pt;height:321.05pt">
            <v:imagedata r:id="rId8" o:title=""/>
          </v:shape>
        </w:pict>
      </w:r>
    </w:p>
    <w:bookmarkEnd w:id="0"/>
    <w:p w:rsidR="00EA4209" w:rsidRDefault="00EA4209">
      <w:pPr>
        <w:rPr>
          <w:noProof/>
        </w:rPr>
        <w:sectPr w:rsidR="00EA4209">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1"/>
          <w:cols w:space="720"/>
          <w:docGrid w:linePitch="360"/>
        </w:sectPr>
      </w:pPr>
    </w:p>
    <w:p w:rsidR="00EA4209" w:rsidRDefault="005B7305">
      <w:pPr>
        <w:pStyle w:val="TOC1"/>
        <w:jc w:val="center"/>
      </w:pPr>
      <w:r>
        <w:lastRenderedPageBreak/>
        <w:t>TABLE OF CONTENTS</w:t>
      </w:r>
    </w:p>
    <w:p w:rsidR="00EA4209" w:rsidRDefault="005B7305">
      <w:pPr>
        <w:pStyle w:val="TOC1"/>
        <w:jc w:val="both"/>
        <w:rPr>
          <w:b w:val="0"/>
          <w:bCs w:val="0"/>
        </w:rPr>
      </w:pPr>
      <w:r>
        <w:rPr>
          <w:b w:val="0"/>
        </w:rPr>
        <w:fldChar w:fldCharType="begin"/>
      </w:r>
      <w:r>
        <w:rPr>
          <w:b w:val="0"/>
        </w:rPr>
        <w:instrText xml:space="preserve"> TOC \o "1-3" \h \z \u </w:instrText>
      </w:r>
      <w:r>
        <w:rPr>
          <w:b w:val="0"/>
        </w:rPr>
        <w:fldChar w:fldCharType="separate"/>
      </w:r>
    </w:p>
    <w:p w:rsidR="00EA4209" w:rsidRDefault="005B7305">
      <w:pPr>
        <w:pStyle w:val="TOC1"/>
        <w:jc w:val="both"/>
        <w:rPr>
          <w:rStyle w:val="Hyperlink"/>
        </w:rPr>
      </w:pPr>
      <w:hyperlink w:anchor="_Toc379881053" w:history="1">
        <w:r>
          <w:rPr>
            <w:rStyle w:val="Hyperlink"/>
          </w:rPr>
          <w:t>1.</w:t>
        </w:r>
        <w:r>
          <w:rPr>
            <w:rStyle w:val="Hyperlink"/>
          </w:rPr>
          <w:tab/>
          <w:t>Scope of the Report</w:t>
        </w:r>
        <w:r>
          <w:rPr>
            <w:rStyle w:val="Hyperlink"/>
            <w:webHidden/>
          </w:rPr>
          <w:tab/>
        </w:r>
        <w:r>
          <w:rPr>
            <w:rStyle w:val="Hyperlink"/>
            <w:webHidden/>
          </w:rPr>
          <w:fldChar w:fldCharType="begin"/>
        </w:r>
        <w:r>
          <w:rPr>
            <w:rStyle w:val="Hyperlink"/>
            <w:webHidden/>
          </w:rPr>
          <w:instrText xml:space="preserve"> PAGEREF _Toc379881053 \h </w:instrText>
        </w:r>
        <w:r>
          <w:rPr>
            <w:rStyle w:val="Hyperlink"/>
            <w:webHidden/>
          </w:rPr>
        </w:r>
        <w:r>
          <w:rPr>
            <w:rStyle w:val="Hyperlink"/>
            <w:webHidden/>
          </w:rPr>
          <w:fldChar w:fldCharType="separate"/>
        </w:r>
        <w:r w:rsidR="006B48C2">
          <w:rPr>
            <w:rStyle w:val="Hyperlink"/>
            <w:webHidden/>
          </w:rPr>
          <w:t>3</w:t>
        </w:r>
        <w:r>
          <w:rPr>
            <w:rStyle w:val="Hyperlink"/>
            <w:webHidden/>
          </w:rPr>
          <w:fldChar w:fldCharType="end"/>
        </w:r>
      </w:hyperlink>
    </w:p>
    <w:p w:rsidR="00EA4209" w:rsidRDefault="005B7305">
      <w:pPr>
        <w:pStyle w:val="TOC1"/>
        <w:jc w:val="both"/>
        <w:rPr>
          <w:rStyle w:val="Hyperlink"/>
        </w:rPr>
      </w:pPr>
      <w:hyperlink w:anchor="_Toc379881054" w:history="1">
        <w:r>
          <w:rPr>
            <w:rStyle w:val="Hyperlink"/>
          </w:rPr>
          <w:t>2</w:t>
        </w:r>
        <w:r>
          <w:rPr>
            <w:rStyle w:val="Hyperlink"/>
          </w:rPr>
          <w:tab/>
          <w:t>Key features of the ECA 2014 report</w:t>
        </w:r>
        <w:r>
          <w:rPr>
            <w:rStyle w:val="Hyperlink"/>
            <w:webHidden/>
          </w:rPr>
          <w:tab/>
        </w:r>
        <w:r>
          <w:rPr>
            <w:rStyle w:val="Hyperlink"/>
            <w:webHidden/>
          </w:rPr>
          <w:fldChar w:fldCharType="begin"/>
        </w:r>
        <w:r>
          <w:rPr>
            <w:rStyle w:val="Hyperlink"/>
            <w:webHidden/>
          </w:rPr>
          <w:instrText xml:space="preserve"> PAGEREF _Toc379881054 \h </w:instrText>
        </w:r>
        <w:r>
          <w:rPr>
            <w:rStyle w:val="Hyperlink"/>
            <w:webHidden/>
          </w:rPr>
        </w:r>
        <w:r>
          <w:rPr>
            <w:rStyle w:val="Hyperlink"/>
            <w:webHidden/>
          </w:rPr>
          <w:fldChar w:fldCharType="separate"/>
        </w:r>
        <w:r w:rsidR="006B48C2">
          <w:rPr>
            <w:rStyle w:val="Hyperlink"/>
            <w:webHidden/>
          </w:rPr>
          <w:t>3</w:t>
        </w:r>
        <w:r>
          <w:rPr>
            <w:rStyle w:val="Hyperlink"/>
            <w:webHidden/>
          </w:rPr>
          <w:fldChar w:fldCharType="end"/>
        </w:r>
      </w:hyperlink>
    </w:p>
    <w:p w:rsidR="00EA4209" w:rsidRDefault="005B7305">
      <w:pPr>
        <w:pStyle w:val="TOC1"/>
        <w:jc w:val="both"/>
        <w:rPr>
          <w:b w:val="0"/>
          <w:iCs/>
          <w:smallCaps/>
        </w:rPr>
      </w:pPr>
      <w:hyperlink w:anchor="_Toc379881055" w:history="1">
        <w:r>
          <w:rPr>
            <w:rStyle w:val="Hyperlink"/>
          </w:rPr>
          <w:t>3</w:t>
        </w:r>
        <w:r>
          <w:rPr>
            <w:rStyle w:val="Hyperlink"/>
          </w:rPr>
          <w:tab/>
          <w:t>Summary of the Member States' replies</w:t>
        </w:r>
        <w:r>
          <w:rPr>
            <w:rStyle w:val="Hyperlink"/>
            <w:webHidden/>
          </w:rPr>
          <w:tab/>
        </w:r>
        <w:r>
          <w:rPr>
            <w:rStyle w:val="Hyperlink"/>
            <w:webHidden/>
          </w:rPr>
          <w:fldChar w:fldCharType="begin"/>
        </w:r>
        <w:r>
          <w:rPr>
            <w:rStyle w:val="Hyperlink"/>
            <w:webHidden/>
          </w:rPr>
          <w:instrText xml:space="preserve"> PAGEREF _Toc379881055 \h </w:instrText>
        </w:r>
        <w:r>
          <w:rPr>
            <w:rStyle w:val="Hyperlink"/>
            <w:webHidden/>
          </w:rPr>
        </w:r>
        <w:r>
          <w:rPr>
            <w:rStyle w:val="Hyperlink"/>
            <w:webHidden/>
          </w:rPr>
          <w:fldChar w:fldCharType="separate"/>
        </w:r>
        <w:r w:rsidR="006B48C2">
          <w:rPr>
            <w:rStyle w:val="Hyperlink"/>
            <w:webHidden/>
          </w:rPr>
          <w:t>5</w:t>
        </w:r>
        <w:r>
          <w:rPr>
            <w:rStyle w:val="Hyperlink"/>
            <w:webHidden/>
          </w:rPr>
          <w:fldChar w:fldCharType="end"/>
        </w:r>
      </w:hyperlink>
    </w:p>
    <w:p w:rsidR="00EA4209" w:rsidRDefault="005B7305">
      <w:pPr>
        <w:pStyle w:val="TOC1"/>
        <w:jc w:val="both"/>
        <w:rPr>
          <w:b w:val="0"/>
          <w:bCs w:val="0"/>
        </w:rPr>
      </w:pPr>
      <w:hyperlink w:anchor="_Toc379881056" w:history="1">
        <w:r>
          <w:rPr>
            <w:rStyle w:val="Hyperlink"/>
          </w:rPr>
          <w:t>3.1       Measuring performance results</w:t>
        </w:r>
        <w:r>
          <w:rPr>
            <w:webHidden/>
          </w:rPr>
          <w:tab/>
        </w:r>
        <w:r>
          <w:rPr>
            <w:webHidden/>
          </w:rPr>
          <w:fldChar w:fldCharType="begin"/>
        </w:r>
        <w:r>
          <w:rPr>
            <w:webHidden/>
          </w:rPr>
          <w:instrText xml:space="preserve"> PAGEREF _</w:instrText>
        </w:r>
        <w:r>
          <w:rPr>
            <w:webHidden/>
          </w:rPr>
          <w:instrText xml:space="preserve">Toc379881056 \h </w:instrText>
        </w:r>
        <w:r>
          <w:rPr>
            <w:webHidden/>
          </w:rPr>
        </w:r>
        <w:r>
          <w:rPr>
            <w:webHidden/>
          </w:rPr>
          <w:fldChar w:fldCharType="separate"/>
        </w:r>
        <w:r w:rsidR="006B48C2">
          <w:rPr>
            <w:webHidden/>
          </w:rPr>
          <w:t>5</w:t>
        </w:r>
        <w:r>
          <w:rPr>
            <w:webHidden/>
          </w:rPr>
          <w:fldChar w:fldCharType="end"/>
        </w:r>
      </w:hyperlink>
    </w:p>
    <w:p w:rsidR="00EA4209" w:rsidRDefault="005B7305">
      <w:pPr>
        <w:pStyle w:val="TOC1"/>
        <w:jc w:val="both"/>
        <w:rPr>
          <w:b w:val="0"/>
          <w:bCs w:val="0"/>
        </w:rPr>
      </w:pPr>
      <w:hyperlink w:anchor="_Toc379881057" w:history="1">
        <w:r>
          <w:rPr>
            <w:rStyle w:val="Hyperlink"/>
          </w:rPr>
          <w:t xml:space="preserve">3.2 </w:t>
        </w:r>
        <w:r>
          <w:rPr>
            <w:b w:val="0"/>
            <w:bCs w:val="0"/>
          </w:rPr>
          <w:tab/>
          <w:t xml:space="preserve">   </w:t>
        </w:r>
        <w:r>
          <w:rPr>
            <w:rStyle w:val="Hyperlink"/>
          </w:rPr>
          <w:t>Types of quantifiable errors</w:t>
        </w:r>
        <w:r>
          <w:rPr>
            <w:webHidden/>
          </w:rPr>
          <w:tab/>
        </w:r>
        <w:r>
          <w:rPr>
            <w:webHidden/>
          </w:rPr>
          <w:fldChar w:fldCharType="begin"/>
        </w:r>
        <w:r>
          <w:rPr>
            <w:webHidden/>
          </w:rPr>
          <w:instrText xml:space="preserve"> PAGEREF _Toc379881057 \h </w:instrText>
        </w:r>
        <w:r>
          <w:rPr>
            <w:webHidden/>
          </w:rPr>
        </w:r>
        <w:r>
          <w:rPr>
            <w:webHidden/>
          </w:rPr>
          <w:fldChar w:fldCharType="separate"/>
        </w:r>
        <w:r w:rsidR="006B48C2">
          <w:rPr>
            <w:webHidden/>
          </w:rPr>
          <w:t>7</w:t>
        </w:r>
        <w:r>
          <w:rPr>
            <w:webHidden/>
          </w:rPr>
          <w:fldChar w:fldCharType="end"/>
        </w:r>
      </w:hyperlink>
    </w:p>
    <w:p w:rsidR="00EA4209" w:rsidRDefault="005B7305">
      <w:pPr>
        <w:pStyle w:val="TOC1"/>
        <w:jc w:val="both"/>
        <w:rPr>
          <w:rStyle w:val="Hyperlink"/>
        </w:rPr>
      </w:pPr>
      <w:hyperlink w:anchor="_Toc379881058" w:history="1">
        <w:r>
          <w:rPr>
            <w:rStyle w:val="Hyperlink"/>
            <w:smallCaps/>
            <w:lang w:eastAsia="de-DE"/>
          </w:rPr>
          <w:t xml:space="preserve">3.3 </w:t>
        </w:r>
        <w:r>
          <w:rPr>
            <w:rStyle w:val="Hyperlink"/>
            <w:b w:val="0"/>
            <w:bCs w:val="0"/>
          </w:rPr>
          <w:tab/>
          <w:t xml:space="preserve">  </w:t>
        </w:r>
        <w:r>
          <w:rPr>
            <w:rStyle w:val="Hyperlink"/>
          </w:rPr>
          <w:t xml:space="preserve">  Sound financial management</w:t>
        </w:r>
        <w:r>
          <w:rPr>
            <w:rStyle w:val="Hyperlink"/>
            <w:webHidden/>
          </w:rPr>
          <w:tab/>
        </w:r>
        <w:r>
          <w:rPr>
            <w:rStyle w:val="Hyperlink"/>
            <w:webHidden/>
          </w:rPr>
          <w:fldChar w:fldCharType="begin"/>
        </w:r>
        <w:r>
          <w:rPr>
            <w:rStyle w:val="Hyperlink"/>
            <w:webHidden/>
          </w:rPr>
          <w:instrText xml:space="preserve"> PAGEREF _Toc379881058 \h </w:instrText>
        </w:r>
        <w:r>
          <w:rPr>
            <w:rStyle w:val="Hyperlink"/>
            <w:webHidden/>
          </w:rPr>
        </w:r>
        <w:r>
          <w:rPr>
            <w:rStyle w:val="Hyperlink"/>
            <w:webHidden/>
          </w:rPr>
          <w:fldChar w:fldCharType="separate"/>
        </w:r>
        <w:r w:rsidR="006B48C2">
          <w:rPr>
            <w:rStyle w:val="Hyperlink"/>
            <w:webHidden/>
          </w:rPr>
          <w:t>9</w:t>
        </w:r>
        <w:r>
          <w:rPr>
            <w:rStyle w:val="Hyperlink"/>
            <w:webHidden/>
          </w:rPr>
          <w:fldChar w:fldCharType="end"/>
        </w:r>
      </w:hyperlink>
    </w:p>
    <w:p w:rsidR="00EA4209" w:rsidRDefault="005B7305">
      <w:pPr>
        <w:pStyle w:val="TOC1"/>
        <w:jc w:val="both"/>
        <w:rPr>
          <w:b w:val="0"/>
          <w:bCs w:val="0"/>
        </w:rPr>
      </w:pPr>
      <w:hyperlink w:anchor="_Toc379881059" w:history="1">
        <w:r>
          <w:rPr>
            <w:rStyle w:val="Hyperlink"/>
          </w:rPr>
          <w:t>4.</w:t>
        </w:r>
        <w:r>
          <w:rPr>
            <w:b w:val="0"/>
            <w:bCs w:val="0"/>
          </w:rPr>
          <w:tab/>
        </w:r>
        <w:r>
          <w:rPr>
            <w:rStyle w:val="Hyperlink"/>
          </w:rPr>
          <w:t>Conclusion</w:t>
        </w:r>
        <w:r>
          <w:rPr>
            <w:webHidden/>
          </w:rPr>
          <w:tab/>
        </w:r>
        <w:r>
          <w:rPr>
            <w:webHidden/>
          </w:rPr>
          <w:fldChar w:fldCharType="begin"/>
        </w:r>
        <w:r>
          <w:rPr>
            <w:webHidden/>
          </w:rPr>
          <w:instrText xml:space="preserve"> PAGEREF _Toc379881059 \h </w:instrText>
        </w:r>
        <w:r>
          <w:rPr>
            <w:webHidden/>
          </w:rPr>
        </w:r>
        <w:r>
          <w:rPr>
            <w:webHidden/>
          </w:rPr>
          <w:fldChar w:fldCharType="separate"/>
        </w:r>
        <w:r w:rsidR="006B48C2">
          <w:rPr>
            <w:webHidden/>
          </w:rPr>
          <w:t>11</w:t>
        </w:r>
        <w:r>
          <w:rPr>
            <w:webHidden/>
          </w:rPr>
          <w:fldChar w:fldCharType="end"/>
        </w:r>
      </w:hyperlink>
    </w:p>
    <w:p w:rsidR="00EA4209" w:rsidRDefault="005B7305">
      <w:pPr>
        <w:pStyle w:val="Prliminairetitre"/>
        <w:jc w:val="both"/>
        <w:rPr>
          <w:noProof/>
        </w:rPr>
      </w:pPr>
      <w:r>
        <w:rPr>
          <w:b w:val="0"/>
          <w:bCs/>
          <w:noProof/>
        </w:rPr>
        <w:fldChar w:fldCharType="end"/>
      </w:r>
      <w:bookmarkStart w:id="1" w:name="_GoBack"/>
      <w:bookmarkEnd w:id="1"/>
      <w:r>
        <w:rPr>
          <w:noProof/>
        </w:rPr>
        <w:br w:type="page"/>
      </w:r>
      <w:r>
        <w:rPr>
          <w:noProof/>
        </w:rPr>
        <w:lastRenderedPageBreak/>
        <w:t>REPORT FROM THE COMMISSION</w:t>
      </w:r>
    </w:p>
    <w:p w:rsidR="00EA4209" w:rsidRDefault="005B7305">
      <w:pPr>
        <w:pStyle w:val="ManualHeading1"/>
        <w:ind w:left="851" w:hanging="851"/>
        <w:jc w:val="center"/>
        <w:rPr>
          <w:noProof/>
        </w:rPr>
      </w:pPr>
      <w:bookmarkStart w:id="2" w:name="_Toc315791805"/>
      <w:bookmarkStart w:id="3" w:name="_Toc315796276"/>
      <w:bookmarkStart w:id="4" w:name="_Toc379881050"/>
      <w:r>
        <w:rPr>
          <w:noProof/>
        </w:rPr>
        <w:t>Member States' Replies to the Court of Auditors' 2014 Annual Report</w:t>
      </w:r>
      <w:bookmarkEnd w:id="2"/>
      <w:bookmarkEnd w:id="3"/>
      <w:bookmarkEnd w:id="4"/>
    </w:p>
    <w:p w:rsidR="00EA4209" w:rsidRDefault="00EA4209">
      <w:pPr>
        <w:pStyle w:val="Text1"/>
        <w:rPr>
          <w:b/>
          <w:noProof/>
        </w:rPr>
      </w:pPr>
      <w:bookmarkStart w:id="5" w:name="_Toc284504229"/>
      <w:bookmarkStart w:id="6" w:name="_Toc315343284"/>
      <w:bookmarkStart w:id="7" w:name="_Toc315791806"/>
      <w:bookmarkStart w:id="8" w:name="_Toc284504231"/>
    </w:p>
    <w:p w:rsidR="00EA4209" w:rsidRDefault="005B7305">
      <w:pPr>
        <w:pStyle w:val="ManualHeading2"/>
        <w:rPr>
          <w:noProof/>
        </w:rPr>
      </w:pPr>
      <w:bookmarkStart w:id="9" w:name="_Toc379881053"/>
      <w:r>
        <w:rPr>
          <w:noProof/>
        </w:rPr>
        <w:t>1.</w:t>
      </w:r>
      <w:r>
        <w:rPr>
          <w:noProof/>
        </w:rPr>
        <w:tab/>
        <w:t>Scope of the Report</w:t>
      </w:r>
      <w:bookmarkEnd w:id="5"/>
      <w:bookmarkEnd w:id="6"/>
      <w:bookmarkEnd w:id="7"/>
      <w:bookmarkEnd w:id="9"/>
    </w:p>
    <w:p w:rsidR="00EA4209" w:rsidRDefault="005B7305">
      <w:pPr>
        <w:pStyle w:val="Text1"/>
        <w:rPr>
          <w:noProof/>
        </w:rPr>
      </w:pPr>
      <w:r>
        <w:rPr>
          <w:noProof/>
        </w:rPr>
        <w:t xml:space="preserve">In accordance </w:t>
      </w:r>
      <w:r>
        <w:rPr>
          <w:noProof/>
        </w:rPr>
        <w:t>with article 162(5) of the Financial Regulation</w:t>
      </w:r>
      <w:r>
        <w:rPr>
          <w:rStyle w:val="FootnoteReference"/>
          <w:noProof/>
        </w:rPr>
        <w:footnoteReference w:id="1"/>
      </w:r>
      <w:r>
        <w:rPr>
          <w:noProof/>
        </w:rPr>
        <w:t xml:space="preserve"> following the publication of the Court's annual report for the budgetary year 2014, the Commission duly informed Member States of details of the report. </w:t>
      </w:r>
    </w:p>
    <w:p w:rsidR="00EA4209" w:rsidRDefault="005B7305">
      <w:pPr>
        <w:pStyle w:val="Text1"/>
        <w:rPr>
          <w:noProof/>
        </w:rPr>
      </w:pPr>
      <w:r>
        <w:rPr>
          <w:noProof/>
        </w:rPr>
        <w:t>This information was presented in the form of a lette</w:t>
      </w:r>
      <w:r>
        <w:rPr>
          <w:noProof/>
        </w:rPr>
        <w:t>r and three annexes to be completed by each Member State, as well as the accompanying guidelines on the preparation and presentation of replies to the questionnaires. Annex I</w:t>
      </w:r>
      <w:r>
        <w:rPr>
          <w:b/>
          <w:noProof/>
        </w:rPr>
        <w:t xml:space="preserve"> </w:t>
      </w:r>
      <w:r>
        <w:rPr>
          <w:noProof/>
        </w:rPr>
        <w:t>was a</w:t>
      </w:r>
      <w:r>
        <w:rPr>
          <w:b/>
          <w:noProof/>
        </w:rPr>
        <w:t xml:space="preserve"> </w:t>
      </w:r>
      <w:r>
        <w:rPr>
          <w:noProof/>
        </w:rPr>
        <w:t xml:space="preserve">questionnaire on the paragraphs referring to the individual Member States; </w:t>
      </w:r>
      <w:r>
        <w:rPr>
          <w:noProof/>
        </w:rPr>
        <w:t>annex II was a questionnaire on audit findings which refer to each Member State and annex III</w:t>
      </w:r>
      <w:r>
        <w:rPr>
          <w:b/>
          <w:noProof/>
        </w:rPr>
        <w:t xml:space="preserve"> </w:t>
      </w:r>
      <w:r>
        <w:rPr>
          <w:noProof/>
        </w:rPr>
        <w:t xml:space="preserve">was a questionnaire on topical findings related to shared management for DAS 2014. </w:t>
      </w:r>
    </w:p>
    <w:p w:rsidR="00EA4209" w:rsidRDefault="005B7305">
      <w:pPr>
        <w:pStyle w:val="Text1"/>
        <w:rPr>
          <w:noProof/>
        </w:rPr>
      </w:pPr>
      <w:r>
        <w:rPr>
          <w:noProof/>
        </w:rPr>
        <w:t>For this year's report, three main themes have been identified. They are as fo</w:t>
      </w:r>
      <w:r>
        <w:rPr>
          <w:noProof/>
        </w:rPr>
        <w:t>llows: (1) Measuring performance results (2) Types of quantifiable errors – infringements of state aid and public procurement rules (3) Sound financial management. The report is also accompanied by a Staff Working Document (SWD) which comprises Member Stat</w:t>
      </w:r>
      <w:r>
        <w:rPr>
          <w:noProof/>
        </w:rPr>
        <w:t xml:space="preserve">es' replies to annexes I and III. </w:t>
      </w:r>
    </w:p>
    <w:p w:rsidR="00EA4209" w:rsidRDefault="005B7305">
      <w:pPr>
        <w:pStyle w:val="ManualHeading2"/>
        <w:rPr>
          <w:noProof/>
        </w:rPr>
      </w:pPr>
      <w:bookmarkStart w:id="10" w:name="_Toc315343286"/>
      <w:bookmarkStart w:id="11" w:name="_Toc315791808"/>
      <w:bookmarkStart w:id="12" w:name="_Toc379881054"/>
      <w:bookmarkEnd w:id="8"/>
      <w:r>
        <w:rPr>
          <w:smallCaps/>
          <w:noProof/>
        </w:rPr>
        <w:t>2</w:t>
      </w:r>
      <w:r>
        <w:rPr>
          <w:smallCaps/>
          <w:noProof/>
        </w:rPr>
        <w:tab/>
      </w:r>
      <w:r>
        <w:rPr>
          <w:noProof/>
        </w:rPr>
        <w:t xml:space="preserve">Key features of the ECA </w:t>
      </w:r>
      <w:bookmarkEnd w:id="10"/>
      <w:bookmarkEnd w:id="11"/>
      <w:r>
        <w:rPr>
          <w:noProof/>
        </w:rPr>
        <w:t>2014 report</w:t>
      </w:r>
      <w:bookmarkEnd w:id="12"/>
    </w:p>
    <w:p w:rsidR="00EA4209" w:rsidRDefault="005B7305">
      <w:pPr>
        <w:pStyle w:val="Text2"/>
        <w:rPr>
          <w:noProof/>
        </w:rPr>
      </w:pPr>
      <w:r>
        <w:rPr>
          <w:noProof/>
        </w:rPr>
        <w:t>For the 2014 annual report, the Court has updated its audit approach and the structure of the report. The main change to its approach is the quantification of serious infringements of</w:t>
      </w:r>
      <w:r>
        <w:rPr>
          <w:noProof/>
        </w:rPr>
        <w:t xml:space="preserve"> public procurement rules and the corresponding adjustment of 2013 and 2012 figures in order to ensure comparability of results.</w:t>
      </w:r>
      <w:r>
        <w:rPr>
          <w:rStyle w:val="FootnoteReference"/>
          <w:noProof/>
        </w:rPr>
        <w:footnoteReference w:id="2"/>
      </w:r>
      <w:r>
        <w:rPr>
          <w:noProof/>
        </w:rPr>
        <w:t xml:space="preserve"> The new structure of the report - chapters 5-9 - reflects the 2014-2020 Multiannual Financial Framework (MFF) headings. </w:t>
      </w:r>
    </w:p>
    <w:p w:rsidR="00EA4209" w:rsidRDefault="005B7305">
      <w:pPr>
        <w:pStyle w:val="Text2"/>
        <w:rPr>
          <w:noProof/>
        </w:rPr>
      </w:pPr>
      <w:r>
        <w:rPr>
          <w:noProof/>
        </w:rPr>
        <w:t>The r</w:t>
      </w:r>
      <w:r>
        <w:rPr>
          <w:noProof/>
        </w:rPr>
        <w:t>esults of the Court's audit for 2014 stated that the accounts were not affected by material misstatements and therefore it issued a clean opinion on the reliability of the accounts</w:t>
      </w:r>
      <w:r>
        <w:rPr>
          <w:rStyle w:val="FootnoteReference"/>
          <w:noProof/>
        </w:rPr>
        <w:footnoteReference w:id="3"/>
      </w:r>
      <w:r>
        <w:rPr>
          <w:noProof/>
        </w:rPr>
        <w:t xml:space="preserve">, as it has done since 2007. For expenditure, the Court found an estimated </w:t>
      </w:r>
      <w:r>
        <w:rPr>
          <w:noProof/>
        </w:rPr>
        <w:t>level of error for 2014 payments of 4,4 % close to the 2013 level of 4,5%.</w:t>
      </w:r>
      <w:r>
        <w:rPr>
          <w:rStyle w:val="FootnoteReference"/>
          <w:noProof/>
        </w:rPr>
        <w:footnoteReference w:id="4"/>
      </w:r>
      <w:r>
        <w:rPr>
          <w:noProof/>
        </w:rPr>
        <w:t xml:space="preserve"> Apart from MFF heading 5 (Administration), expenditure for all remaining headings was affected by material error. For Competiveness, Cohesion and Global Europe the estimated levels</w:t>
      </w:r>
      <w:r>
        <w:rPr>
          <w:noProof/>
        </w:rPr>
        <w:t xml:space="preserve"> of error were 5,6%, 5,7% and 2,7% respectively, all representing an increase on equivalent results in 2013.</w:t>
      </w:r>
      <w:r>
        <w:rPr>
          <w:rStyle w:val="FootnoteReference"/>
          <w:noProof/>
        </w:rPr>
        <w:footnoteReference w:id="5"/>
      </w:r>
      <w:r>
        <w:rPr>
          <w:noProof/>
        </w:rPr>
        <w:t xml:space="preserve"> However, for Natural Resources the estimated level of error was 3,6% a decrease on the equivalent results for 2013. Cohesion was the biggest contr</w:t>
      </w:r>
      <w:r>
        <w:rPr>
          <w:noProof/>
        </w:rPr>
        <w:t xml:space="preserve">ibutor to the overall error rate followed by Natural </w:t>
      </w:r>
      <w:r>
        <w:rPr>
          <w:noProof/>
        </w:rPr>
        <w:lastRenderedPageBreak/>
        <w:t>Resources, Competiveness and Global Europe. The graph below shows the contribution to the 2014 overall estimated level of error by MFF heading.</w:t>
      </w:r>
      <w:r>
        <w:rPr>
          <w:noProof/>
          <w:vertAlign w:val="superscript"/>
        </w:rPr>
        <w:footnoteReference w:id="6"/>
      </w:r>
      <w:r>
        <w:rPr>
          <w:noProof/>
        </w:rPr>
        <w:t xml:space="preserve">  </w:t>
      </w:r>
    </w:p>
    <w:p w:rsidR="00EA4209" w:rsidRDefault="005B7305">
      <w:pPr>
        <w:pStyle w:val="Text2"/>
        <w:ind w:left="0"/>
        <w:rPr>
          <w:noProof/>
        </w:rPr>
      </w:pPr>
      <w:r>
        <w:rPr>
          <w:noProof/>
        </w:rPr>
        <w:t xml:space="preserve"> </w:t>
      </w:r>
      <w:r>
        <w:rPr>
          <w:noProof/>
          <w:lang w:eastAsia="en-GB"/>
        </w:rPr>
        <w:drawing>
          <wp:inline distT="0" distB="0" distL="0" distR="0">
            <wp:extent cx="5742305" cy="3785870"/>
            <wp:effectExtent l="0" t="0" r="10795" b="24130"/>
            <wp:docPr id="3" name="Char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EA4209" w:rsidRDefault="00EA4209">
      <w:pPr>
        <w:pStyle w:val="Text2"/>
        <w:ind w:left="0"/>
        <w:rPr>
          <w:noProof/>
        </w:rPr>
      </w:pPr>
    </w:p>
    <w:p w:rsidR="00EA4209" w:rsidRDefault="005B7305">
      <w:pPr>
        <w:pStyle w:val="Text2"/>
        <w:ind w:left="0"/>
        <w:rPr>
          <w:noProof/>
        </w:rPr>
      </w:pPr>
      <w:r>
        <w:rPr>
          <w:noProof/>
        </w:rPr>
        <w:t>The Court's report also identified two types of expe</w:t>
      </w:r>
      <w:r>
        <w:rPr>
          <w:noProof/>
        </w:rPr>
        <w:t>nditure programmes - entitlement programmes and cost reimbursement schemes - which involve distinct patterns of risk.</w:t>
      </w:r>
      <w:r>
        <w:rPr>
          <w:rStyle w:val="FootnoteReference"/>
          <w:noProof/>
        </w:rPr>
        <w:footnoteReference w:id="7"/>
      </w:r>
      <w:r>
        <w:rPr>
          <w:noProof/>
        </w:rPr>
        <w:t xml:space="preserve"> According to the report, eligibility errors in cost reimbursement schemes dominate the errors detected for 2014. Errors in the cost reimb</w:t>
      </w:r>
      <w:r>
        <w:rPr>
          <w:noProof/>
        </w:rPr>
        <w:t xml:space="preserve">ursement category include mostly serious infringements of public procurement rules during tendering and contract implementation. For entitlement programmes typical errors include over declarations by farmers and administrative errors affecting payments to </w:t>
      </w:r>
      <w:r>
        <w:rPr>
          <w:noProof/>
        </w:rPr>
        <w:t>farmers.</w:t>
      </w:r>
      <w:r>
        <w:rPr>
          <w:rStyle w:val="FootnoteReference"/>
          <w:noProof/>
        </w:rPr>
        <w:footnoteReference w:id="8"/>
      </w:r>
      <w:r>
        <w:rPr>
          <w:noProof/>
        </w:rPr>
        <w:t xml:space="preserve"> The graph below shows the contribution to overall estimated error by type.</w:t>
      </w:r>
    </w:p>
    <w:p w:rsidR="00EA4209" w:rsidRDefault="00EA4209">
      <w:pPr>
        <w:pStyle w:val="Text2"/>
        <w:ind w:left="0"/>
        <w:rPr>
          <w:noProof/>
          <w:lang w:eastAsia="en-GB"/>
        </w:rPr>
      </w:pPr>
    </w:p>
    <w:p w:rsidR="00EA4209" w:rsidRDefault="005B7305">
      <w:pPr>
        <w:pStyle w:val="Text2"/>
        <w:ind w:left="0"/>
        <w:rPr>
          <w:noProof/>
          <w:lang w:eastAsia="en-GB"/>
        </w:rPr>
      </w:pPr>
      <w:r>
        <w:rPr>
          <w:noProof/>
          <w:lang w:eastAsia="en-GB"/>
        </w:rPr>
        <w:drawing>
          <wp:inline distT="0" distB="0" distL="0" distR="0">
            <wp:extent cx="5755640" cy="3162935"/>
            <wp:effectExtent l="0" t="0" r="0" b="0"/>
            <wp:docPr id="2" name="Picture 2" descr="C:\Users\zilicda.NET1\Desktop\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zilicda.NET1\Desktop\Capture.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55640" cy="3162935"/>
                    </a:xfrm>
                    <a:prstGeom prst="rect">
                      <a:avLst/>
                    </a:prstGeom>
                    <a:noFill/>
                    <a:ln>
                      <a:noFill/>
                    </a:ln>
                  </pic:spPr>
                </pic:pic>
              </a:graphicData>
            </a:graphic>
          </wp:inline>
        </w:drawing>
      </w:r>
    </w:p>
    <w:p w:rsidR="00EA4209" w:rsidRDefault="00EA4209">
      <w:pPr>
        <w:pStyle w:val="Text1"/>
        <w:rPr>
          <w:noProof/>
        </w:rPr>
      </w:pPr>
      <w:bookmarkStart w:id="13" w:name="_Toc223239361"/>
      <w:bookmarkStart w:id="14" w:name="_Toc284504234"/>
      <w:bookmarkStart w:id="15" w:name="_Toc315343288"/>
      <w:bookmarkStart w:id="16" w:name="_Toc315791810"/>
    </w:p>
    <w:p w:rsidR="00EA4209" w:rsidRDefault="005B7305">
      <w:pPr>
        <w:pStyle w:val="ManualHeading2"/>
        <w:rPr>
          <w:noProof/>
        </w:rPr>
      </w:pPr>
      <w:bookmarkStart w:id="17" w:name="_Toc379881055"/>
      <w:bookmarkEnd w:id="13"/>
      <w:bookmarkEnd w:id="14"/>
      <w:r>
        <w:rPr>
          <w:smallCaps/>
          <w:noProof/>
        </w:rPr>
        <w:t>3</w:t>
      </w:r>
      <w:r>
        <w:rPr>
          <w:smallCaps/>
          <w:noProof/>
        </w:rPr>
        <w:tab/>
      </w:r>
      <w:r>
        <w:rPr>
          <w:noProof/>
        </w:rPr>
        <w:t>Summary of the Member States' replies</w:t>
      </w:r>
      <w:bookmarkEnd w:id="17"/>
    </w:p>
    <w:p w:rsidR="00EA4209" w:rsidRDefault="005B7305">
      <w:pPr>
        <w:pStyle w:val="ManualHeading1"/>
        <w:ind w:left="851" w:hanging="851"/>
        <w:rPr>
          <w:noProof/>
        </w:rPr>
      </w:pPr>
      <w:bookmarkStart w:id="18" w:name="_Toc379881056"/>
      <w:r>
        <w:rPr>
          <w:noProof/>
        </w:rPr>
        <w:t>3.1</w:t>
      </w:r>
      <w:bookmarkEnd w:id="15"/>
      <w:bookmarkEnd w:id="16"/>
      <w:bookmarkEnd w:id="18"/>
      <w:r>
        <w:rPr>
          <w:noProof/>
        </w:rPr>
        <w:tab/>
        <w:t>Measuring performance results</w:t>
      </w:r>
    </w:p>
    <w:p w:rsidR="00EA4209" w:rsidRDefault="005B7305">
      <w:pPr>
        <w:pStyle w:val="Text1"/>
        <w:rPr>
          <w:noProof/>
        </w:rPr>
      </w:pPr>
      <w:r>
        <w:rPr>
          <w:noProof/>
        </w:rPr>
        <w:t>In Chapter 3 of its annual report "Getting results from the EU budget",</w:t>
      </w:r>
      <w:r>
        <w:rPr>
          <w:rStyle w:val="FootnoteReference"/>
          <w:noProof/>
        </w:rPr>
        <w:footnoteReference w:id="9"/>
      </w:r>
      <w:r>
        <w:rPr>
          <w:noProof/>
        </w:rPr>
        <w:t xml:space="preserve"> the Court analyses p</w:t>
      </w:r>
      <w:r>
        <w:rPr>
          <w:noProof/>
        </w:rPr>
        <w:t>erformance from the perspective of the Europe 2020 strategy and examines the performance features introduced with the new MFF 2014-2020.  Member States were asked whether they were already using or planning to use the common indicators introduced for the f</w:t>
      </w:r>
      <w:r>
        <w:rPr>
          <w:noProof/>
        </w:rPr>
        <w:t>ive EU funds. For four of the funds (European Agricultural Fund for Development - EAFRD, European Maritime and Fisheries Fund - EMFF, European Social Fund - ESF, and the European Regional Development Fund - ERDF)  the replies indicated that nearly all Memb</w:t>
      </w:r>
      <w:r>
        <w:rPr>
          <w:noProof/>
        </w:rPr>
        <w:t>er States were already using or planning to use common indicators. For the Cohesion Fund 57% of the Member States indicated that common indicators were being used and 14% stated that use of common indicators was not applicable. The table below gives detail</w:t>
      </w:r>
      <w:r>
        <w:rPr>
          <w:noProof/>
        </w:rPr>
        <w:t>s of the Member States' replies.</w:t>
      </w:r>
    </w:p>
    <w:p w:rsidR="00EA4209" w:rsidRDefault="005B7305">
      <w:pPr>
        <w:pStyle w:val="Text1"/>
        <w:ind w:left="0"/>
        <w:rPr>
          <w:noProof/>
        </w:rPr>
      </w:pPr>
      <w:r>
        <w:rPr>
          <w:noProof/>
          <w:lang w:eastAsia="en-GB"/>
        </w:rPr>
        <w:drawing>
          <wp:inline distT="0" distB="0" distL="0" distR="0">
            <wp:extent cx="5991860" cy="3022600"/>
            <wp:effectExtent l="0" t="0" r="27940" b="25400"/>
            <wp:docPr id="1"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EA4209" w:rsidRDefault="005B7305">
      <w:pPr>
        <w:pStyle w:val="Text1"/>
        <w:rPr>
          <w:noProof/>
        </w:rPr>
      </w:pPr>
      <w:r>
        <w:rPr>
          <w:noProof/>
        </w:rPr>
        <w:t xml:space="preserve">With regard to the use of additional or complementary indicators, several Member States – France, Greece, Lithuania, Luxembourg, Spain and the UK </w:t>
      </w:r>
      <w:r>
        <w:rPr>
          <w:rStyle w:val="FootnoteReference"/>
          <w:noProof/>
        </w:rPr>
        <w:footnoteReference w:id="10"/>
      </w:r>
      <w:r>
        <w:rPr>
          <w:noProof/>
        </w:rPr>
        <w:t>- responded that they used programme specific or additional indicators oft</w:t>
      </w:r>
      <w:r>
        <w:rPr>
          <w:noProof/>
        </w:rPr>
        <w:t>en defined by the Managing Authorities and included in the performance framework of the operational programme. In some cases, common indicators are complemented by indicators at national level. For example, for the ERDF/CF/ESF Poland</w:t>
      </w:r>
      <w:r>
        <w:rPr>
          <w:rStyle w:val="FootnoteReference"/>
          <w:noProof/>
        </w:rPr>
        <w:footnoteReference w:id="11"/>
      </w:r>
      <w:r>
        <w:rPr>
          <w:noProof/>
        </w:rPr>
        <w:t xml:space="preserve"> uses:</w:t>
      </w:r>
    </w:p>
    <w:p w:rsidR="00EA4209" w:rsidRDefault="005B7305">
      <w:pPr>
        <w:pStyle w:val="Text1"/>
        <w:rPr>
          <w:noProof/>
          <w:lang w:bidi="en-GB"/>
        </w:rPr>
      </w:pPr>
      <w:r>
        <w:rPr>
          <w:noProof/>
        </w:rPr>
        <w:t xml:space="preserve"> "a </w:t>
      </w:r>
      <w:r>
        <w:rPr>
          <w:noProof/>
          <w:lang w:bidi="en-GB"/>
        </w:rPr>
        <w:t>raft of ind</w:t>
      </w:r>
      <w:r>
        <w:rPr>
          <w:noProof/>
          <w:lang w:bidi="en-GB"/>
        </w:rPr>
        <w:t>icators applied at project level derived from the Common List of Key Indicators prepared by the Minister for Regional Development. The list comprises the common indicators at European level set in the fund regulations and the key indicators set at national</w:t>
      </w:r>
      <w:r>
        <w:rPr>
          <w:noProof/>
          <w:lang w:bidi="en-GB"/>
        </w:rPr>
        <w:t xml:space="preserve"> level." </w:t>
      </w:r>
    </w:p>
    <w:p w:rsidR="00EA4209" w:rsidRDefault="005B7305">
      <w:pPr>
        <w:pStyle w:val="Text1"/>
        <w:rPr>
          <w:noProof/>
          <w:lang w:bidi="en-GB"/>
        </w:rPr>
      </w:pPr>
      <w:r>
        <w:rPr>
          <w:noProof/>
          <w:lang w:bidi="en-GB"/>
        </w:rPr>
        <w:t>Portugal</w:t>
      </w:r>
      <w:r>
        <w:rPr>
          <w:rStyle w:val="FootnoteReference"/>
          <w:noProof/>
          <w:lang w:bidi="en-GB"/>
        </w:rPr>
        <w:footnoteReference w:id="12"/>
      </w:r>
      <w:r>
        <w:rPr>
          <w:noProof/>
          <w:lang w:bidi="en-GB"/>
        </w:rPr>
        <w:t xml:space="preserve"> underlined the fact that for the 2014-2020 period for operational programmes with similar goals, indicators to be used have been harmonised, and "in addition to the list of common Community indicators there is a list of harmonised natio</w:t>
      </w:r>
      <w:r>
        <w:rPr>
          <w:noProof/>
          <w:lang w:bidi="en-GB"/>
        </w:rPr>
        <w:t>nal indicators".</w:t>
      </w:r>
    </w:p>
    <w:p w:rsidR="00EA4209" w:rsidRDefault="005B7305">
      <w:pPr>
        <w:pStyle w:val="Text1"/>
        <w:rPr>
          <w:noProof/>
          <w:lang w:bidi="en-GB"/>
        </w:rPr>
      </w:pPr>
      <w:r>
        <w:rPr>
          <w:noProof/>
          <w:lang w:bidi="en-GB"/>
        </w:rPr>
        <w:t>Member States also provided lists or more detailed information on various programme specific indicators used for the different funds. Sweden</w:t>
      </w:r>
      <w:r>
        <w:rPr>
          <w:rStyle w:val="FootnoteReference"/>
          <w:noProof/>
          <w:lang w:bidi="en-GB"/>
        </w:rPr>
        <w:footnoteReference w:id="13"/>
      </w:r>
      <w:r>
        <w:rPr>
          <w:noProof/>
          <w:lang w:bidi="en-GB"/>
        </w:rPr>
        <w:t xml:space="preserve"> stated that for the 9 programmes of the ERDF there are some thirty five output indicators and "so</w:t>
      </w:r>
      <w:r>
        <w:rPr>
          <w:noProof/>
          <w:lang w:bidi="en-GB"/>
        </w:rPr>
        <w:t>me thirty performance indicators that are linked to investment priorities and specific objectives within the programmes". Denmark</w:t>
      </w:r>
      <w:r>
        <w:rPr>
          <w:rStyle w:val="FootnoteReference"/>
          <w:noProof/>
          <w:lang w:bidi="en-GB"/>
        </w:rPr>
        <w:footnoteReference w:id="14"/>
      </w:r>
      <w:r>
        <w:rPr>
          <w:noProof/>
          <w:lang w:bidi="en-GB"/>
        </w:rPr>
        <w:t xml:space="preserve"> provided  its list of impact, output andresult  indicators for the EAFRD, ESF, and EMFF. Slovakia</w:t>
      </w:r>
      <w:r>
        <w:rPr>
          <w:rStyle w:val="FootnoteReference"/>
          <w:noProof/>
          <w:lang w:bidi="en-GB"/>
        </w:rPr>
        <w:footnoteReference w:id="15"/>
      </w:r>
      <w:r>
        <w:rPr>
          <w:noProof/>
          <w:lang w:bidi="en-GB"/>
        </w:rPr>
        <w:t xml:space="preserve"> itemised indicators drawn up by the Central Coordination Body and covering various programmes and also provided a list of indicators for European Structural and Investment Funds - ESI - funds.</w:t>
      </w:r>
    </w:p>
    <w:p w:rsidR="00EA4209" w:rsidRDefault="005B7305">
      <w:pPr>
        <w:pStyle w:val="Text1"/>
        <w:rPr>
          <w:noProof/>
          <w:lang w:bidi="en-GB"/>
        </w:rPr>
      </w:pPr>
      <w:r>
        <w:rPr>
          <w:noProof/>
          <w:lang w:bidi="en-GB"/>
        </w:rPr>
        <w:t>Finally, Member States were asked whether they would be able t</w:t>
      </w:r>
      <w:r>
        <w:rPr>
          <w:noProof/>
          <w:lang w:bidi="en-GB"/>
        </w:rPr>
        <w:t>o provide meaningful data on indicators available for use in the MFF mid-term review scheduled for 2017. Some Members States including Denmark, France and Greece</w:t>
      </w:r>
      <w:r>
        <w:rPr>
          <w:rStyle w:val="FootnoteReference"/>
          <w:noProof/>
          <w:lang w:bidi="en-GB"/>
        </w:rPr>
        <w:footnoteReference w:id="16"/>
      </w:r>
      <w:r>
        <w:rPr>
          <w:noProof/>
          <w:lang w:bidi="en-GB"/>
        </w:rPr>
        <w:t xml:space="preserve"> reported that it would not be possible to provide meaningful data by 2017, largely because th</w:t>
      </w:r>
      <w:r>
        <w:rPr>
          <w:noProof/>
          <w:lang w:bidi="en-GB"/>
        </w:rPr>
        <w:t>e implementation level for certain operational programmes would be too low and data would be insignificant. Greece</w:t>
      </w:r>
      <w:r>
        <w:rPr>
          <w:rStyle w:val="FootnoteReference"/>
          <w:noProof/>
          <w:lang w:bidi="en-GB"/>
        </w:rPr>
        <w:footnoteReference w:id="17"/>
      </w:r>
      <w:r>
        <w:rPr>
          <w:noProof/>
          <w:lang w:bidi="en-GB"/>
        </w:rPr>
        <w:t xml:space="preserve"> stated that:</w:t>
      </w:r>
    </w:p>
    <w:p w:rsidR="00EA4209" w:rsidRDefault="005B7305">
      <w:pPr>
        <w:pStyle w:val="Text1"/>
        <w:rPr>
          <w:noProof/>
          <w:lang w:bidi="en-GB"/>
        </w:rPr>
      </w:pPr>
      <w:r>
        <w:rPr>
          <w:noProof/>
          <w:lang w:bidi="en-GB"/>
        </w:rPr>
        <w:t>"Information on the achievement of the national targets of the ‘Europe 2020’ strategy will be available in the ESS</w:t>
      </w:r>
      <w:r>
        <w:rPr>
          <w:rStyle w:val="FootnoteReference"/>
          <w:noProof/>
          <w:lang w:bidi="en-GB"/>
        </w:rPr>
        <w:footnoteReference w:id="18"/>
      </w:r>
      <w:r>
        <w:rPr>
          <w:noProof/>
          <w:lang w:bidi="en-GB"/>
        </w:rPr>
        <w:t xml:space="preserve"> Progress Report in 2017 (and in 2019). However, since the implementation of OPs will not have delivered before the report is submitted in 2017, no material data are expected to be available for the mid-term review of the MFF". </w:t>
      </w:r>
    </w:p>
    <w:p w:rsidR="00EA4209" w:rsidRDefault="005B7305">
      <w:pPr>
        <w:pStyle w:val="Text1"/>
        <w:rPr>
          <w:noProof/>
          <w:lang w:bidi="en-GB"/>
        </w:rPr>
      </w:pPr>
      <w:r>
        <w:rPr>
          <w:noProof/>
          <w:lang w:bidi="en-GB"/>
        </w:rPr>
        <w:t>Portugal</w:t>
      </w:r>
      <w:r>
        <w:rPr>
          <w:rStyle w:val="FootnoteReference"/>
          <w:noProof/>
          <w:lang w:bidi="en-GB"/>
        </w:rPr>
        <w:footnoteReference w:id="19"/>
      </w:r>
      <w:r>
        <w:rPr>
          <w:noProof/>
          <w:lang w:bidi="en-GB"/>
        </w:rPr>
        <w:t xml:space="preserve"> and Poland</w:t>
      </w:r>
      <w:r>
        <w:rPr>
          <w:rStyle w:val="FootnoteReference"/>
          <w:noProof/>
          <w:lang w:bidi="en-GB"/>
        </w:rPr>
        <w:footnoteReference w:id="20"/>
      </w:r>
      <w:r>
        <w:rPr>
          <w:noProof/>
          <w:lang w:bidi="en-GB"/>
        </w:rPr>
        <w:t xml:space="preserve"> both </w:t>
      </w:r>
      <w:r>
        <w:rPr>
          <w:noProof/>
          <w:lang w:bidi="en-GB"/>
        </w:rPr>
        <w:t>highlighted the fact that a comprehensive reporting system was in place ensuring quality reporting on a regular basis. Nonetheless, as pointed out by Poland</w:t>
      </w:r>
      <w:r>
        <w:rPr>
          <w:rStyle w:val="FootnoteReference"/>
          <w:noProof/>
          <w:lang w:bidi="en-GB"/>
        </w:rPr>
        <w:footnoteReference w:id="21"/>
      </w:r>
      <w:r>
        <w:rPr>
          <w:noProof/>
          <w:lang w:bidi="en-GB"/>
        </w:rPr>
        <w:t xml:space="preserve">: </w:t>
      </w:r>
    </w:p>
    <w:p w:rsidR="00EA4209" w:rsidRDefault="005B7305">
      <w:pPr>
        <w:pStyle w:val="Text1"/>
        <w:rPr>
          <w:noProof/>
          <w:lang w:bidi="en-GB"/>
        </w:rPr>
      </w:pPr>
      <w:r>
        <w:rPr>
          <w:noProof/>
          <w:lang w:bidi="en-GB"/>
        </w:rPr>
        <w:t>"it will not be possible to summarise the impact of EU funds in the 2014-20 financial perspectiv</w:t>
      </w:r>
      <w:r>
        <w:rPr>
          <w:noProof/>
          <w:lang w:bidi="en-GB"/>
        </w:rPr>
        <w:t>e until sufficient progress has been made - 2017 will be too early a stage to produce summary conclusions."</w:t>
      </w:r>
    </w:p>
    <w:p w:rsidR="00EA4209" w:rsidRDefault="005B7305">
      <w:pPr>
        <w:pStyle w:val="Text1"/>
        <w:rPr>
          <w:noProof/>
          <w:lang w:bidi="en-GB"/>
        </w:rPr>
      </w:pPr>
      <w:r>
        <w:rPr>
          <w:noProof/>
          <w:lang w:bidi="en-GB"/>
        </w:rPr>
        <w:t>Several other Member States, for example, Austria, Croatia, the Czech Republic, Ireland and Slovenia</w:t>
      </w:r>
      <w:r>
        <w:rPr>
          <w:rStyle w:val="FootnoteReference"/>
          <w:noProof/>
          <w:lang w:bidi="en-GB"/>
        </w:rPr>
        <w:footnoteReference w:id="22"/>
      </w:r>
      <w:r>
        <w:rPr>
          <w:noProof/>
          <w:lang w:bidi="en-GB"/>
        </w:rPr>
        <w:t xml:space="preserve"> were certain that meaningful data could be pro</w:t>
      </w:r>
      <w:r>
        <w:rPr>
          <w:noProof/>
          <w:lang w:bidi="en-GB"/>
        </w:rPr>
        <w:t>vided by 2017 for programmes under some funds. The Czech Republic</w:t>
      </w:r>
      <w:r>
        <w:rPr>
          <w:rStyle w:val="FootnoteReference"/>
          <w:noProof/>
          <w:lang w:bidi="en-GB"/>
        </w:rPr>
        <w:footnoteReference w:id="23"/>
      </w:r>
      <w:r>
        <w:rPr>
          <w:noProof/>
          <w:lang w:bidi="en-GB"/>
        </w:rPr>
        <w:t xml:space="preserve"> reported that: </w:t>
      </w:r>
    </w:p>
    <w:p w:rsidR="00EA4209" w:rsidRDefault="005B7305">
      <w:pPr>
        <w:pStyle w:val="Text1"/>
        <w:rPr>
          <w:noProof/>
          <w:lang w:bidi="en-GB"/>
        </w:rPr>
      </w:pPr>
      <w:r>
        <w:rPr>
          <w:noProof/>
          <w:lang w:bidi="en-GB"/>
        </w:rPr>
        <w:t>"it will be in a position to provide reliable data on the basis of the system established in the Czech Republic for reporting on stocktaking, progress and developments".</w:t>
      </w:r>
    </w:p>
    <w:p w:rsidR="00EA4209" w:rsidRDefault="005B7305">
      <w:pPr>
        <w:pStyle w:val="Text1"/>
        <w:rPr>
          <w:noProof/>
          <w:lang w:bidi="en-GB"/>
        </w:rPr>
      </w:pPr>
      <w:r>
        <w:rPr>
          <w:noProof/>
          <w:lang w:bidi="en-GB"/>
        </w:rPr>
        <w:t>Cro</w:t>
      </w:r>
      <w:r>
        <w:rPr>
          <w:noProof/>
          <w:lang w:bidi="en-GB"/>
        </w:rPr>
        <w:t>atia also stated that it would provide comprehensive data and that in addition:</w:t>
      </w:r>
    </w:p>
    <w:p w:rsidR="00EA4209" w:rsidRDefault="005B7305">
      <w:pPr>
        <w:pStyle w:val="Text1"/>
        <w:rPr>
          <w:noProof/>
          <w:lang w:bidi="en-GB"/>
        </w:rPr>
      </w:pPr>
      <w:r>
        <w:rPr>
          <w:noProof/>
          <w:lang w:bidi="en-GB"/>
        </w:rPr>
        <w:t>"the results of evaluations can be used, which should contribute to improved and possible simplification of management and control systems".</w:t>
      </w:r>
    </w:p>
    <w:p w:rsidR="00EA4209" w:rsidRDefault="005B7305">
      <w:pPr>
        <w:pStyle w:val="ManualHeading1"/>
        <w:rPr>
          <w:noProof/>
        </w:rPr>
      </w:pPr>
      <w:bookmarkStart w:id="19" w:name="_Toc315791811"/>
      <w:bookmarkStart w:id="20" w:name="_Toc379881057"/>
      <w:r>
        <w:rPr>
          <w:noProof/>
        </w:rPr>
        <w:t xml:space="preserve">3.2 </w:t>
      </w:r>
      <w:r>
        <w:rPr>
          <w:noProof/>
        </w:rPr>
        <w:tab/>
      </w:r>
      <w:bookmarkEnd w:id="19"/>
      <w:bookmarkEnd w:id="20"/>
      <w:r>
        <w:rPr>
          <w:noProof/>
        </w:rPr>
        <w:t>Types of quantifiable errors -</w:t>
      </w:r>
      <w:r>
        <w:rPr>
          <w:noProof/>
        </w:rPr>
        <w:t xml:space="preserve"> infringements of state aid and public procurement rules</w:t>
      </w:r>
    </w:p>
    <w:p w:rsidR="00EA4209" w:rsidRDefault="005B7305">
      <w:pPr>
        <w:pStyle w:val="Text1"/>
        <w:rPr>
          <w:noProof/>
        </w:rPr>
      </w:pPr>
      <w:r>
        <w:rPr>
          <w:noProof/>
        </w:rPr>
        <w:t>In the 2014 annual report, the Court stated that 14 ERDF/CF projects in eight Member States infringed the EU State Aid rules. According to the Court, the quantified errors for State Aid infringements</w:t>
      </w:r>
      <w:r>
        <w:rPr>
          <w:noProof/>
        </w:rPr>
        <w:t xml:space="preserve"> make up approximately 1.5 percentage points of the estimated error for regional and urban policy.</w:t>
      </w:r>
      <w:r>
        <w:rPr>
          <w:rStyle w:val="FootnoteReference"/>
          <w:noProof/>
        </w:rPr>
        <w:footnoteReference w:id="24"/>
      </w:r>
      <w:r>
        <w:rPr>
          <w:noProof/>
        </w:rPr>
        <w:t xml:space="preserve"> Member States were requested to provide information on the infringements of State Aid rules and on any preventive measures undertaken.</w:t>
      </w:r>
    </w:p>
    <w:p w:rsidR="00EA4209" w:rsidRDefault="005B7305">
      <w:pPr>
        <w:pStyle w:val="Text1"/>
        <w:rPr>
          <w:noProof/>
        </w:rPr>
      </w:pPr>
      <w:r>
        <w:rPr>
          <w:noProof/>
        </w:rPr>
        <w:t>The replies of the Me</w:t>
      </w:r>
      <w:r>
        <w:rPr>
          <w:noProof/>
        </w:rPr>
        <w:t xml:space="preserve">mber States indicated that in some cases, for example France, Latvia and Slovenia </w:t>
      </w:r>
      <w:r>
        <w:rPr>
          <w:rStyle w:val="FootnoteReference"/>
          <w:noProof/>
        </w:rPr>
        <w:footnoteReference w:id="25"/>
      </w:r>
      <w:r>
        <w:rPr>
          <w:noProof/>
        </w:rPr>
        <w:t>, there were no systemic issues or deficiencies related to State Aid rules in the remit of the ESI funds, although there may have been isolated cases of infringements. Bulga</w:t>
      </w:r>
      <w:r>
        <w:rPr>
          <w:noProof/>
        </w:rPr>
        <w:t>ria</w:t>
      </w:r>
      <w:r>
        <w:rPr>
          <w:rStyle w:val="FootnoteReference"/>
          <w:noProof/>
        </w:rPr>
        <w:footnoteReference w:id="26"/>
      </w:r>
      <w:r>
        <w:rPr>
          <w:noProof/>
        </w:rPr>
        <w:t xml:space="preserve"> highlighted two such cases of non-compliance, both identified during the course of audits. The first was in the Operational Programme ‘Development of the Competitiveness of the Bulgarian Economy 2007–2013’ and the second was in the management systems </w:t>
      </w:r>
      <w:r>
        <w:rPr>
          <w:noProof/>
        </w:rPr>
        <w:t>set up under the initiative ‘Joint European Resources for Micro to Medium Enterprises’ (JEREMIE). In both cases the Audit Authority advised the managing authority and the financial intermediaries respectively on the appropriate course of corrective action.</w:t>
      </w:r>
    </w:p>
    <w:p w:rsidR="00EA4209" w:rsidRDefault="005B7305">
      <w:pPr>
        <w:pStyle w:val="Text1"/>
        <w:rPr>
          <w:noProof/>
        </w:rPr>
      </w:pPr>
      <w:r>
        <w:rPr>
          <w:noProof/>
        </w:rPr>
        <w:t xml:space="preserve">Although systemic issues or deficiencies were seemingly not widespread, some Member States did report on preventive measures taken. </w:t>
      </w:r>
    </w:p>
    <w:p w:rsidR="00EA4209" w:rsidRDefault="005B7305">
      <w:pPr>
        <w:pStyle w:val="Text1"/>
        <w:rPr>
          <w:noProof/>
        </w:rPr>
      </w:pPr>
      <w:r>
        <w:rPr>
          <w:noProof/>
        </w:rPr>
        <w:t>Hungary</w:t>
      </w:r>
      <w:r>
        <w:rPr>
          <w:rStyle w:val="FootnoteReference"/>
          <w:noProof/>
        </w:rPr>
        <w:footnoteReference w:id="27"/>
      </w:r>
      <w:r>
        <w:rPr>
          <w:noProof/>
        </w:rPr>
        <w:t xml:space="preserve"> stated that:</w:t>
      </w:r>
    </w:p>
    <w:p w:rsidR="00EA4209" w:rsidRDefault="005B7305">
      <w:pPr>
        <w:pStyle w:val="Text1"/>
        <w:rPr>
          <w:noProof/>
        </w:rPr>
      </w:pPr>
      <w:r>
        <w:rPr>
          <w:noProof/>
        </w:rPr>
        <w:t>"in the case of calls for proposals and priority projects, the State Aid Monitoring Office operating</w:t>
      </w:r>
      <w:r>
        <w:rPr>
          <w:noProof/>
        </w:rPr>
        <w:t xml:space="preserve"> within the Prime Minister’s Office performs preliminary examination of compliance with State aid rules or, in the framework of first-level checks, it is checked by the intermediate bodies / managing authorities on the basis of the statements by tenderers.</w:t>
      </w:r>
      <w:r>
        <w:rPr>
          <w:noProof/>
        </w:rPr>
        <w:t xml:space="preserve">" </w:t>
      </w:r>
    </w:p>
    <w:p w:rsidR="00EA4209" w:rsidRDefault="005B7305">
      <w:pPr>
        <w:pStyle w:val="Text1"/>
        <w:rPr>
          <w:noProof/>
        </w:rPr>
      </w:pPr>
      <w:r>
        <w:rPr>
          <w:noProof/>
        </w:rPr>
        <w:t>France</w:t>
      </w:r>
      <w:r>
        <w:rPr>
          <w:rStyle w:val="FootnoteReference"/>
          <w:noProof/>
        </w:rPr>
        <w:footnoteReference w:id="28"/>
      </w:r>
      <w:r>
        <w:rPr>
          <w:noProof/>
        </w:rPr>
        <w:t xml:space="preserve"> highlighted the fact that the CGET</w:t>
      </w:r>
      <w:r>
        <w:rPr>
          <w:rStyle w:val="FootnoteReference"/>
          <w:noProof/>
        </w:rPr>
        <w:footnoteReference w:id="29"/>
      </w:r>
      <w:r>
        <w:rPr>
          <w:noProof/>
        </w:rPr>
        <w:t xml:space="preserve"> had undertaken a variety of actions in the context of 2014-2020 programming period including a national training programme and the creation of a network of regional experts specialising in State Aid rules.</w:t>
      </w:r>
    </w:p>
    <w:p w:rsidR="00EA4209" w:rsidRDefault="005B7305">
      <w:pPr>
        <w:pStyle w:val="Text1"/>
        <w:rPr>
          <w:noProof/>
        </w:rPr>
      </w:pPr>
      <w:r>
        <w:rPr>
          <w:noProof/>
        </w:rPr>
        <w:t>Lux</w:t>
      </w:r>
      <w:r>
        <w:rPr>
          <w:noProof/>
        </w:rPr>
        <w:t>embourg and Slovenia</w:t>
      </w:r>
      <w:r>
        <w:rPr>
          <w:rStyle w:val="FootnoteReference"/>
          <w:noProof/>
        </w:rPr>
        <w:footnoteReference w:id="30"/>
      </w:r>
      <w:r>
        <w:rPr>
          <w:noProof/>
        </w:rPr>
        <w:t xml:space="preserve"> referred to checklists as a key part of their preventive measures, while Spain</w:t>
      </w:r>
      <w:r>
        <w:rPr>
          <w:rStyle w:val="FootnoteReference"/>
          <w:noProof/>
        </w:rPr>
        <w:footnoteReference w:id="31"/>
      </w:r>
      <w:r>
        <w:rPr>
          <w:noProof/>
        </w:rPr>
        <w:t xml:space="preserve"> stated that in addition to checklists, a "risk assessment matrix" was also used.</w:t>
      </w:r>
    </w:p>
    <w:p w:rsidR="00EA4209" w:rsidRDefault="005B7305">
      <w:pPr>
        <w:pStyle w:val="Text1"/>
        <w:rPr>
          <w:noProof/>
          <w:lang w:bidi="en-GB"/>
        </w:rPr>
      </w:pPr>
      <w:r>
        <w:rPr>
          <w:noProof/>
        </w:rPr>
        <w:t>The Court has updated the way it quantifies serious infringements of publ</w:t>
      </w:r>
      <w:r>
        <w:rPr>
          <w:noProof/>
        </w:rPr>
        <w:t>ic procurement rules and procurement errors are a main source of error for Economic Social and Territorial Cohesion</w:t>
      </w:r>
      <w:r>
        <w:rPr>
          <w:rStyle w:val="FootnoteReference"/>
          <w:noProof/>
        </w:rPr>
        <w:footnoteReference w:id="32"/>
      </w:r>
      <w:r>
        <w:rPr>
          <w:noProof/>
        </w:rPr>
        <w:t>. Member States were requested to provide information on nationally prescribed measures for assessing and quantifying non-compliance with pr</w:t>
      </w:r>
      <w:r>
        <w:rPr>
          <w:noProof/>
        </w:rPr>
        <w:t xml:space="preserve">ocurement rules. Some Member States - Ireland, Latvia, Lithuania, The Netherlands, Poland and Slovenia </w:t>
      </w:r>
      <w:r>
        <w:rPr>
          <w:rStyle w:val="FootnoteReference"/>
          <w:noProof/>
        </w:rPr>
        <w:footnoteReference w:id="33"/>
      </w:r>
      <w:r>
        <w:rPr>
          <w:noProof/>
        </w:rPr>
        <w:t xml:space="preserve"> indicated that national legislation did exist and very often EU legislation was transposed or underpinned national legislation. In Lithuania</w:t>
      </w:r>
      <w:r>
        <w:rPr>
          <w:rStyle w:val="FootnoteReference"/>
          <w:noProof/>
        </w:rPr>
        <w:footnoteReference w:id="34"/>
      </w:r>
      <w:r>
        <w:rPr>
          <w:noProof/>
        </w:rPr>
        <w:t>,</w:t>
      </w:r>
      <w:r>
        <w:rPr>
          <w:rFonts w:eastAsia="Calibri"/>
          <w:noProof/>
          <w:lang w:bidi="en-GB"/>
        </w:rPr>
        <w:t xml:space="preserve"> </w:t>
      </w:r>
      <w:r>
        <w:rPr>
          <w:noProof/>
          <w:lang w:bidi="en-GB"/>
        </w:rPr>
        <w:t>the Publ</w:t>
      </w:r>
      <w:r>
        <w:rPr>
          <w:noProof/>
          <w:lang w:bidi="en-GB"/>
        </w:rPr>
        <w:t>ic Procurement Office takes overall responsibility for helping to ensure the proper implementation of the Operational Programme in accordance with the requirements of the EU regulations and prevents irregularities. Latvia</w:t>
      </w:r>
      <w:r>
        <w:rPr>
          <w:rStyle w:val="FootnoteReference"/>
          <w:noProof/>
          <w:lang w:bidi="en-GB"/>
        </w:rPr>
        <w:footnoteReference w:id="35"/>
      </w:r>
      <w:r>
        <w:rPr>
          <w:noProof/>
          <w:lang w:bidi="en-GB"/>
        </w:rPr>
        <w:t xml:space="preserve"> stated that:</w:t>
      </w:r>
    </w:p>
    <w:p w:rsidR="00EA4209" w:rsidRDefault="005B7305">
      <w:pPr>
        <w:pStyle w:val="Text1"/>
        <w:rPr>
          <w:noProof/>
          <w:lang w:bidi="en-GB"/>
        </w:rPr>
      </w:pPr>
      <w:r>
        <w:rPr>
          <w:noProof/>
          <w:lang w:bidi="en-GB"/>
        </w:rPr>
        <w:t>"Procurements are co</w:t>
      </w:r>
      <w:r>
        <w:rPr>
          <w:noProof/>
          <w:lang w:bidi="en-GB"/>
        </w:rPr>
        <w:t xml:space="preserve">nducted in accordance with national legislation which has been drawn up on the basis of/transposing the provisions of EU legislation." </w:t>
      </w:r>
    </w:p>
    <w:p w:rsidR="00EA4209" w:rsidRDefault="005B7305">
      <w:pPr>
        <w:pStyle w:val="Text1"/>
        <w:rPr>
          <w:noProof/>
          <w:lang w:bidi="en-GB"/>
        </w:rPr>
      </w:pPr>
      <w:r>
        <w:rPr>
          <w:noProof/>
          <w:lang w:bidi="en-GB"/>
        </w:rPr>
        <w:t>Finally Ireland</w:t>
      </w:r>
      <w:r>
        <w:rPr>
          <w:rStyle w:val="FootnoteReference"/>
          <w:noProof/>
          <w:lang w:bidi="en-GB"/>
        </w:rPr>
        <w:footnoteReference w:id="36"/>
      </w:r>
      <w:r>
        <w:rPr>
          <w:noProof/>
          <w:lang w:bidi="en-GB"/>
        </w:rPr>
        <w:t xml:space="preserve"> stated that:</w:t>
      </w:r>
    </w:p>
    <w:p w:rsidR="00EA4209" w:rsidRDefault="005B7305">
      <w:pPr>
        <w:pStyle w:val="Text1"/>
        <w:rPr>
          <w:noProof/>
          <w:lang w:val="en-IE" w:bidi="en-GB"/>
        </w:rPr>
      </w:pPr>
      <w:r>
        <w:rPr>
          <w:noProof/>
          <w:lang w:val="en-IE" w:bidi="en-GB"/>
        </w:rPr>
        <w:t xml:space="preserve">"Further, in relation to the question of oversights in the awarding of Government </w:t>
      </w:r>
      <w:r>
        <w:rPr>
          <w:noProof/>
          <w:lang w:val="en-IE" w:bidi="en-GB"/>
        </w:rPr>
        <w:t>contracts, public procurement practices are subject to audit and scrutiny under the Comptroller and Auditor General (Amendment) Act 1993, and the Local Government Reform Act 2014, and Accounting Officers are accountable for expenditure incurred".</w:t>
      </w:r>
    </w:p>
    <w:p w:rsidR="00EA4209" w:rsidRDefault="005B7305">
      <w:pPr>
        <w:pStyle w:val="Text1"/>
        <w:rPr>
          <w:noProof/>
          <w:lang w:val="en-IE" w:bidi="en-GB"/>
        </w:rPr>
      </w:pPr>
      <w:r>
        <w:rPr>
          <w:noProof/>
          <w:lang w:val="en-IE" w:bidi="en-GB"/>
        </w:rPr>
        <w:t>In its re</w:t>
      </w:r>
      <w:r>
        <w:rPr>
          <w:noProof/>
          <w:lang w:val="en-IE" w:bidi="en-GB"/>
        </w:rPr>
        <w:t>port, the Court highlighted cases in certain Member States of non-respect of procurement rules.</w:t>
      </w:r>
      <w:r>
        <w:rPr>
          <w:rStyle w:val="FootnoteReference"/>
          <w:noProof/>
          <w:lang w:val="en-IE" w:bidi="en-GB"/>
        </w:rPr>
        <w:footnoteReference w:id="37"/>
      </w:r>
      <w:r>
        <w:rPr>
          <w:noProof/>
          <w:lang w:val="en-IE" w:bidi="en-GB"/>
        </w:rPr>
        <w:t xml:space="preserve"> The Member States concerned were requested to provide information on the possible flaws and deficiencies in their respective internal control systems which cou</w:t>
      </w:r>
      <w:r>
        <w:rPr>
          <w:noProof/>
          <w:lang w:val="en-IE" w:bidi="en-GB"/>
        </w:rPr>
        <w:t>ld have led to these irregularities and to provide information on remedial measures taken. Bulgaria and France</w:t>
      </w:r>
      <w:r>
        <w:rPr>
          <w:rStyle w:val="FootnoteReference"/>
          <w:noProof/>
          <w:lang w:val="en-IE" w:bidi="en-GB"/>
        </w:rPr>
        <w:footnoteReference w:id="38"/>
      </w:r>
      <w:r>
        <w:rPr>
          <w:noProof/>
          <w:lang w:val="en-IE" w:bidi="en-GB"/>
        </w:rPr>
        <w:t xml:space="preserve"> pointed out that irregularities were due to the complex public procurement procedures and a lack of trained staff dealing with these procurement</w:t>
      </w:r>
      <w:r>
        <w:rPr>
          <w:noProof/>
          <w:lang w:val="en-IE" w:bidi="en-GB"/>
        </w:rPr>
        <w:t xml:space="preserve"> issues. Romania</w:t>
      </w:r>
      <w:r>
        <w:rPr>
          <w:rStyle w:val="FootnoteReference"/>
          <w:noProof/>
          <w:lang w:val="en-IE" w:bidi="en-GB"/>
        </w:rPr>
        <w:footnoteReference w:id="39"/>
      </w:r>
      <w:r>
        <w:rPr>
          <w:noProof/>
          <w:lang w:val="en-IE" w:bidi="en-GB"/>
        </w:rPr>
        <w:t xml:space="preserve"> reported that: </w:t>
      </w:r>
    </w:p>
    <w:p w:rsidR="00EA4209" w:rsidRDefault="005B7305">
      <w:pPr>
        <w:pStyle w:val="Text1"/>
        <w:rPr>
          <w:noProof/>
          <w:lang w:val="en-IE" w:bidi="en-GB"/>
        </w:rPr>
      </w:pPr>
      <w:r>
        <w:rPr>
          <w:noProof/>
          <w:lang w:val="en-IE" w:bidi="en-GB"/>
        </w:rPr>
        <w:t>"the internal control systems in place in the area of public procurement at beneficiary level are fragmented, partly redundant and focus more on formal aspects related to process regularity, without assessing quality aspec</w:t>
      </w:r>
      <w:r>
        <w:rPr>
          <w:noProof/>
          <w:lang w:val="en-IE" w:bidi="en-GB"/>
        </w:rPr>
        <w:t>ts objectively."</w:t>
      </w:r>
    </w:p>
    <w:p w:rsidR="00EA4209" w:rsidRDefault="005B7305">
      <w:pPr>
        <w:pStyle w:val="Text1"/>
        <w:rPr>
          <w:noProof/>
          <w:lang w:bidi="en-GB"/>
        </w:rPr>
      </w:pPr>
      <w:r>
        <w:rPr>
          <w:noProof/>
          <w:lang w:val="en-IE" w:bidi="en-GB"/>
        </w:rPr>
        <w:t>In order to remedy the situation it has put in place "t</w:t>
      </w:r>
      <w:r>
        <w:rPr>
          <w:noProof/>
          <w:lang w:bidi="en-GB"/>
        </w:rPr>
        <w:t>he national strategy for public procurement for the period 2014-2020" which "provides for actions to ensure the regularity and quality of the public procurement process".</w:t>
      </w:r>
    </w:p>
    <w:p w:rsidR="00EA4209" w:rsidRDefault="005B7305">
      <w:pPr>
        <w:pStyle w:val="Text1"/>
        <w:rPr>
          <w:noProof/>
          <w:lang w:bidi="en-GB"/>
        </w:rPr>
      </w:pPr>
      <w:r>
        <w:rPr>
          <w:noProof/>
          <w:lang w:bidi="en-GB"/>
        </w:rPr>
        <w:t>France, Polan</w:t>
      </w:r>
      <w:r>
        <w:rPr>
          <w:noProof/>
          <w:lang w:bidi="en-GB"/>
        </w:rPr>
        <w:t>d and Spain</w:t>
      </w:r>
      <w:r>
        <w:rPr>
          <w:rStyle w:val="FootnoteReference"/>
          <w:noProof/>
          <w:lang w:bidi="en-GB"/>
        </w:rPr>
        <w:footnoteReference w:id="40"/>
      </w:r>
      <w:r>
        <w:rPr>
          <w:noProof/>
          <w:lang w:bidi="en-GB"/>
        </w:rPr>
        <w:t xml:space="preserve"> all mentioned that specific training programmes designed for staff dealing with procurement matters were a key measure for ensuring better management of procurement issues.</w:t>
      </w:r>
    </w:p>
    <w:p w:rsidR="00EA4209" w:rsidRDefault="005B7305">
      <w:pPr>
        <w:pStyle w:val="ManualHeading1"/>
        <w:rPr>
          <w:noProof/>
        </w:rPr>
      </w:pPr>
      <w:bookmarkStart w:id="21" w:name="_Toc379881058"/>
      <w:r>
        <w:rPr>
          <w:noProof/>
        </w:rPr>
        <w:t xml:space="preserve">3.3 </w:t>
      </w:r>
      <w:r>
        <w:rPr>
          <w:noProof/>
        </w:rPr>
        <w:tab/>
      </w:r>
      <w:bookmarkEnd w:id="21"/>
      <w:r>
        <w:rPr>
          <w:noProof/>
        </w:rPr>
        <w:t>Sound Financial Management</w:t>
      </w:r>
    </w:p>
    <w:p w:rsidR="00EA4209" w:rsidRDefault="005B7305">
      <w:pPr>
        <w:pStyle w:val="Text1"/>
        <w:rPr>
          <w:noProof/>
        </w:rPr>
      </w:pPr>
      <w:r>
        <w:rPr>
          <w:noProof/>
        </w:rPr>
        <w:t>Member States continue their efforts t</w:t>
      </w:r>
      <w:r>
        <w:rPr>
          <w:noProof/>
        </w:rPr>
        <w:t>o promote sound financial management through the extensive use of Simplified Cost Options (SCOs), improved management verifications and better reporting on financial instruments.</w:t>
      </w:r>
    </w:p>
    <w:p w:rsidR="00EA4209" w:rsidRDefault="005B7305">
      <w:pPr>
        <w:pStyle w:val="Text1"/>
        <w:rPr>
          <w:noProof/>
        </w:rPr>
      </w:pPr>
      <w:r>
        <w:rPr>
          <w:noProof/>
        </w:rPr>
        <w:t>In Chapter 6</w:t>
      </w:r>
      <w:r>
        <w:rPr>
          <w:rStyle w:val="FootnoteReference"/>
          <w:noProof/>
        </w:rPr>
        <w:footnoteReference w:id="41"/>
      </w:r>
      <w:r>
        <w:rPr>
          <w:noProof/>
        </w:rPr>
        <w:t xml:space="preserve"> the Court recommends that the Member States should make better </w:t>
      </w:r>
      <w:r>
        <w:rPr>
          <w:noProof/>
        </w:rPr>
        <w:t>use of the possibilities set out in the Common Provisions Regulation and ESF regulation for the 2014-2020 period concerning SCOs.</w:t>
      </w:r>
    </w:p>
    <w:p w:rsidR="00EA4209" w:rsidRDefault="005B7305">
      <w:pPr>
        <w:pStyle w:val="Text1"/>
        <w:rPr>
          <w:noProof/>
          <w:lang w:bidi="en-GB"/>
        </w:rPr>
      </w:pPr>
      <w:r>
        <w:rPr>
          <w:noProof/>
        </w:rPr>
        <w:t>The majority of Member States, among them, Cyprus, Finland, France, Germany, Hungary, Latvia, Lithuania, Luxembourg, and the U</w:t>
      </w:r>
      <w:r>
        <w:rPr>
          <w:noProof/>
        </w:rPr>
        <w:t>K</w:t>
      </w:r>
      <w:r>
        <w:rPr>
          <w:rStyle w:val="FootnoteReference"/>
          <w:noProof/>
        </w:rPr>
        <w:footnoteReference w:id="42"/>
      </w:r>
      <w:r>
        <w:rPr>
          <w:noProof/>
        </w:rPr>
        <w:t>, reported that SCOs were being used in the 2014-2020 programming period across the funds, to the extent possible. Lithuania</w:t>
      </w:r>
      <w:r>
        <w:rPr>
          <w:rStyle w:val="FootnoteReference"/>
          <w:noProof/>
        </w:rPr>
        <w:footnoteReference w:id="43"/>
      </w:r>
      <w:r>
        <w:rPr>
          <w:noProof/>
        </w:rPr>
        <w:t xml:space="preserve"> stated that in 2015 the</w:t>
      </w:r>
      <w:r>
        <w:rPr>
          <w:noProof/>
          <w:lang w:bidi="en-GB"/>
        </w:rPr>
        <w:t xml:space="preserve"> managing authority organised a conference -“Possibilities for applying a simplified procedure for paying</w:t>
      </w:r>
      <w:r>
        <w:rPr>
          <w:noProof/>
          <w:lang w:bidi="en-GB"/>
        </w:rPr>
        <w:t xml:space="preserve"> expenditures in 2014-2020” to inform participants about: </w:t>
      </w:r>
    </w:p>
    <w:p w:rsidR="00EA4209" w:rsidRDefault="005B7305">
      <w:pPr>
        <w:pStyle w:val="Text1"/>
        <w:rPr>
          <w:noProof/>
          <w:lang w:bidi="en-GB"/>
        </w:rPr>
      </w:pPr>
      <w:r>
        <w:rPr>
          <w:noProof/>
          <w:lang w:bidi="en-GB"/>
        </w:rPr>
        <w:t>"possibilities of applying a simplified procedure for paying expenditures and its benefits in the process of administering the EU structural funds."</w:t>
      </w:r>
    </w:p>
    <w:p w:rsidR="00EA4209" w:rsidRDefault="005B7305">
      <w:pPr>
        <w:pStyle w:val="Text1"/>
        <w:rPr>
          <w:noProof/>
          <w:lang w:bidi="en-GB"/>
        </w:rPr>
      </w:pPr>
      <w:r>
        <w:rPr>
          <w:noProof/>
          <w:lang w:bidi="en-GB"/>
        </w:rPr>
        <w:t>Greece</w:t>
      </w:r>
      <w:r>
        <w:rPr>
          <w:rStyle w:val="FootnoteReference"/>
          <w:noProof/>
          <w:lang w:bidi="en-GB"/>
        </w:rPr>
        <w:footnoteReference w:id="44"/>
      </w:r>
      <w:r>
        <w:rPr>
          <w:noProof/>
          <w:lang w:bidi="en-GB"/>
        </w:rPr>
        <w:t xml:space="preserve"> pointed out that it was updating and tra</w:t>
      </w:r>
      <w:r>
        <w:rPr>
          <w:noProof/>
          <w:lang w:bidi="en-GB"/>
        </w:rPr>
        <w:t>ining all operators in the use of SCOs while Poland</w:t>
      </w:r>
      <w:r>
        <w:rPr>
          <w:rStyle w:val="FootnoteReference"/>
          <w:noProof/>
          <w:lang w:bidi="en-GB"/>
        </w:rPr>
        <w:footnoteReference w:id="45"/>
      </w:r>
      <w:r>
        <w:rPr>
          <w:noProof/>
          <w:lang w:bidi="en-GB"/>
        </w:rPr>
        <w:t xml:space="preserve"> asserted that although provision was made for the use of SCOs "their use is optional and the final decision on this matter is taken by each Managing Authority."</w:t>
      </w:r>
    </w:p>
    <w:p w:rsidR="00EA4209" w:rsidRDefault="005B7305">
      <w:pPr>
        <w:pStyle w:val="Text1"/>
        <w:rPr>
          <w:noProof/>
          <w:lang w:bidi="en-GB"/>
        </w:rPr>
      </w:pPr>
      <w:r>
        <w:rPr>
          <w:noProof/>
          <w:lang w:bidi="en-GB"/>
        </w:rPr>
        <w:t>Sweden</w:t>
      </w:r>
      <w:r>
        <w:rPr>
          <w:rStyle w:val="FootnoteReference"/>
          <w:noProof/>
          <w:lang w:bidi="en-GB"/>
        </w:rPr>
        <w:footnoteReference w:id="46"/>
      </w:r>
      <w:r>
        <w:rPr>
          <w:noProof/>
          <w:lang w:bidi="en-GB"/>
        </w:rPr>
        <w:t xml:space="preserve"> highlighted the fact that it had a simplification model for the ESF in place and that "the government is actively promoting simplification."</w:t>
      </w:r>
    </w:p>
    <w:p w:rsidR="00EA4209" w:rsidRDefault="005B7305">
      <w:pPr>
        <w:pStyle w:val="Text1"/>
        <w:rPr>
          <w:noProof/>
          <w:lang w:bidi="en-GB"/>
        </w:rPr>
      </w:pPr>
      <w:r>
        <w:rPr>
          <w:noProof/>
          <w:lang w:bidi="en-GB"/>
        </w:rPr>
        <w:t>Finally Portugal</w:t>
      </w:r>
      <w:r>
        <w:rPr>
          <w:rStyle w:val="FootnoteReference"/>
          <w:noProof/>
          <w:lang w:bidi="en-GB"/>
        </w:rPr>
        <w:footnoteReference w:id="47"/>
      </w:r>
      <w:r>
        <w:rPr>
          <w:noProof/>
          <w:lang w:bidi="en-GB"/>
        </w:rPr>
        <w:t xml:space="preserve"> has set up a Simplification Centre at the Agency for Development and Cohesion (AD&amp;C). Its aim is</w:t>
      </w:r>
      <w:r>
        <w:rPr>
          <w:noProof/>
          <w:lang w:bidi="en-GB"/>
        </w:rPr>
        <w:t xml:space="preserve"> "to inform the MAs on relevant aspects in this area in order to promote the extensive use of simplified cost options in the different Cohesion Funds (ERDF, ESF and Cohesion Fund)".</w:t>
      </w:r>
    </w:p>
    <w:p w:rsidR="00EA4209" w:rsidRDefault="005B7305">
      <w:pPr>
        <w:pStyle w:val="Text1"/>
        <w:rPr>
          <w:noProof/>
        </w:rPr>
      </w:pPr>
      <w:r>
        <w:rPr>
          <w:noProof/>
        </w:rPr>
        <w:t>As in previous years, for regional policy, employment and social affairs</w:t>
      </w:r>
      <w:r>
        <w:rPr>
          <w:rStyle w:val="FootnoteReference"/>
          <w:noProof/>
        </w:rPr>
        <w:footnoteReference w:id="48"/>
      </w:r>
      <w:r>
        <w:rPr>
          <w:noProof/>
        </w:rPr>
        <w:t>,</w:t>
      </w:r>
      <w:r>
        <w:rPr>
          <w:noProof/>
        </w:rPr>
        <w:t xml:space="preserve"> the ECA reported that for a large part of the transactions affected by quantifiable errors, </w:t>
      </w:r>
      <w:r>
        <w:rPr>
          <w:i/>
          <w:noProof/>
        </w:rPr>
        <w:t>sufficient information</w:t>
      </w:r>
      <w:r>
        <w:rPr>
          <w:noProof/>
        </w:rPr>
        <w:t xml:space="preserve"> was available for the Member State authorities to have prevented, detected and corrected the errors, before certifying the expenditure to th</w:t>
      </w:r>
      <w:r>
        <w:rPr>
          <w:noProof/>
        </w:rPr>
        <w:t>e Commission. Member States were asked to provide information on whether they had established measures to improve management verifications and to enhance effectiveness of the checks carried out before certifying expenditure to the Commission.</w:t>
      </w:r>
    </w:p>
    <w:p w:rsidR="00EA4209" w:rsidRDefault="005B7305">
      <w:pPr>
        <w:pStyle w:val="Text1"/>
        <w:rPr>
          <w:noProof/>
        </w:rPr>
      </w:pPr>
      <w:r>
        <w:rPr>
          <w:noProof/>
        </w:rPr>
        <w:t>Concerning so</w:t>
      </w:r>
      <w:r>
        <w:rPr>
          <w:noProof/>
        </w:rPr>
        <w:t>me of the improvements in management verifications undertaken, Luxembourg</w:t>
      </w:r>
      <w:r>
        <w:rPr>
          <w:rStyle w:val="FootnoteReference"/>
          <w:noProof/>
        </w:rPr>
        <w:footnoteReference w:id="49"/>
      </w:r>
      <w:r>
        <w:rPr>
          <w:noProof/>
        </w:rPr>
        <w:t xml:space="preserve"> provided a list of measures under the ERDF and ESF which includes a new ex-post checklist, a guidance note, training and meetings aimed at building awareness of simplified cost opti</w:t>
      </w:r>
      <w:r>
        <w:rPr>
          <w:noProof/>
        </w:rPr>
        <w:t xml:space="preserve">ons. </w:t>
      </w:r>
    </w:p>
    <w:p w:rsidR="00EA4209" w:rsidRDefault="005B7305">
      <w:pPr>
        <w:pStyle w:val="Text1"/>
        <w:rPr>
          <w:noProof/>
        </w:rPr>
      </w:pPr>
      <w:r>
        <w:rPr>
          <w:noProof/>
        </w:rPr>
        <w:t>Portugal</w:t>
      </w:r>
      <w:r>
        <w:rPr>
          <w:rStyle w:val="FootnoteReference"/>
          <w:noProof/>
        </w:rPr>
        <w:footnoteReference w:id="50"/>
      </w:r>
      <w:r>
        <w:rPr>
          <w:noProof/>
        </w:rPr>
        <w:t xml:space="preserve"> made reference to the implementation of action plan in certain cases and reported further that the Certifying Authority, prior to the submission of payment requests to the European Commission carries out a series of checks. If there are dou</w:t>
      </w:r>
      <w:r>
        <w:rPr>
          <w:noProof/>
        </w:rPr>
        <w:t xml:space="preserve">bts concerning: </w:t>
      </w:r>
    </w:p>
    <w:p w:rsidR="00EA4209" w:rsidRDefault="005B7305">
      <w:pPr>
        <w:pStyle w:val="Text1"/>
        <w:rPr>
          <w:noProof/>
        </w:rPr>
      </w:pPr>
      <w:r>
        <w:rPr>
          <w:noProof/>
        </w:rPr>
        <w:t>"the legality and regularity of expenditure to be certified, the sums in question are deducted as a precautionary measure until the issues are resolved."</w:t>
      </w:r>
    </w:p>
    <w:p w:rsidR="00EA4209" w:rsidRDefault="005B7305">
      <w:pPr>
        <w:pStyle w:val="Text1"/>
        <w:rPr>
          <w:noProof/>
        </w:rPr>
      </w:pPr>
      <w:r>
        <w:rPr>
          <w:noProof/>
        </w:rPr>
        <w:t>Spain</w:t>
      </w:r>
      <w:r>
        <w:rPr>
          <w:rStyle w:val="FootnoteReference"/>
          <w:noProof/>
        </w:rPr>
        <w:footnoteReference w:id="51"/>
      </w:r>
      <w:r>
        <w:rPr>
          <w:noProof/>
        </w:rPr>
        <w:t xml:space="preserve"> too reported that action plans have been implemented and: </w:t>
      </w:r>
    </w:p>
    <w:p w:rsidR="00EA4209" w:rsidRDefault="005B7305">
      <w:pPr>
        <w:pStyle w:val="Text1"/>
        <w:rPr>
          <w:noProof/>
        </w:rPr>
      </w:pPr>
      <w:r>
        <w:rPr>
          <w:noProof/>
        </w:rPr>
        <w:t xml:space="preserve">"improvements have been incorporated in procedures for selecting and validating reimbursement statements, improving checklists, reviewing procurement documents for various local entities and so on."  </w:t>
      </w:r>
    </w:p>
    <w:p w:rsidR="00EA4209" w:rsidRDefault="005B7305">
      <w:pPr>
        <w:pStyle w:val="Text1"/>
        <w:rPr>
          <w:noProof/>
        </w:rPr>
      </w:pPr>
      <w:r>
        <w:rPr>
          <w:noProof/>
        </w:rPr>
        <w:t>Cyprus</w:t>
      </w:r>
      <w:r>
        <w:rPr>
          <w:rStyle w:val="FootnoteReference"/>
          <w:noProof/>
        </w:rPr>
        <w:footnoteReference w:id="52"/>
      </w:r>
      <w:r>
        <w:rPr>
          <w:noProof/>
        </w:rPr>
        <w:t xml:space="preserve"> reported that most errors existed </w:t>
      </w:r>
    </w:p>
    <w:p w:rsidR="00EA4209" w:rsidRDefault="005B7305">
      <w:pPr>
        <w:pStyle w:val="Text1"/>
        <w:rPr>
          <w:noProof/>
        </w:rPr>
      </w:pPr>
      <w:r>
        <w:rPr>
          <w:noProof/>
        </w:rPr>
        <w:t>"mainly in c</w:t>
      </w:r>
      <w:r>
        <w:rPr>
          <w:noProof/>
        </w:rPr>
        <w:t>onstruction contracts executed by local authorities and software development contracts executed by public universities and that the contracting authorities are referred to the Central Committee for Variations and Claims for examination of the amendment req</w:t>
      </w:r>
      <w:r>
        <w:rPr>
          <w:noProof/>
        </w:rPr>
        <w:t>uests for such contracts, provision of guidance and opinion, as well as for mediation with the contractors involved for the resolution of disputes."</w:t>
      </w:r>
    </w:p>
    <w:p w:rsidR="00EA4209" w:rsidRDefault="005B7305">
      <w:pPr>
        <w:pStyle w:val="Text1"/>
        <w:rPr>
          <w:noProof/>
        </w:rPr>
      </w:pPr>
      <w:r>
        <w:rPr>
          <w:noProof/>
        </w:rPr>
        <w:t>Concerning the quality of reporting on financial instruments, some Member States (for example Cyprus, Slove</w:t>
      </w:r>
      <w:r>
        <w:rPr>
          <w:noProof/>
        </w:rPr>
        <w:t>nia, and Sweden</w:t>
      </w:r>
      <w:r>
        <w:rPr>
          <w:rStyle w:val="FootnoteReference"/>
          <w:noProof/>
        </w:rPr>
        <w:footnoteReference w:id="53"/>
      </w:r>
      <w:r>
        <w:rPr>
          <w:noProof/>
        </w:rPr>
        <w:t xml:space="preserve">) responded  that they had followed Commission guidelines, used the new templates and that in certain cases no improvements were required since the reporting quality was considered good. </w:t>
      </w:r>
    </w:p>
    <w:p w:rsidR="00EA4209" w:rsidRDefault="005B7305">
      <w:pPr>
        <w:pStyle w:val="Text1"/>
        <w:rPr>
          <w:noProof/>
        </w:rPr>
      </w:pPr>
      <w:r>
        <w:rPr>
          <w:noProof/>
        </w:rPr>
        <w:t>Other Member States cited improvements made. In Nove</w:t>
      </w:r>
      <w:r>
        <w:rPr>
          <w:noProof/>
        </w:rPr>
        <w:t>mber 2015 France</w:t>
      </w:r>
      <w:r>
        <w:rPr>
          <w:rStyle w:val="FootnoteReference"/>
          <w:noProof/>
        </w:rPr>
        <w:footnoteReference w:id="54"/>
      </w:r>
      <w:r>
        <w:rPr>
          <w:noProof/>
        </w:rPr>
        <w:t xml:space="preserve"> set up a working group on financial instruments with the aim of following the progress of the instruments and ensuring the consolidation of information. Bulgaria</w:t>
      </w:r>
      <w:r>
        <w:rPr>
          <w:rStyle w:val="FootnoteReference"/>
          <w:noProof/>
        </w:rPr>
        <w:footnoteReference w:id="55"/>
      </w:r>
      <w:r>
        <w:rPr>
          <w:noProof/>
        </w:rPr>
        <w:t xml:space="preserve"> has put in place an extensive half yearly and annual reporting system for t</w:t>
      </w:r>
      <w:r>
        <w:rPr>
          <w:noProof/>
        </w:rPr>
        <w:t xml:space="preserve">he financial instrument, JESSICA. </w:t>
      </w:r>
    </w:p>
    <w:p w:rsidR="00EA4209" w:rsidRDefault="005B7305">
      <w:pPr>
        <w:pStyle w:val="ManualHeading1"/>
        <w:rPr>
          <w:noProof/>
        </w:rPr>
      </w:pPr>
      <w:bookmarkStart w:id="22" w:name="_Toc223239362"/>
      <w:bookmarkStart w:id="23" w:name="_Toc284504239"/>
      <w:bookmarkStart w:id="24" w:name="_Toc315343289"/>
      <w:bookmarkStart w:id="25" w:name="_Toc315791815"/>
      <w:bookmarkStart w:id="26" w:name="_Toc379881059"/>
      <w:r>
        <w:rPr>
          <w:noProof/>
        </w:rPr>
        <w:t>4.</w:t>
      </w:r>
      <w:r>
        <w:rPr>
          <w:noProof/>
        </w:rPr>
        <w:tab/>
      </w:r>
      <w:bookmarkEnd w:id="22"/>
      <w:r>
        <w:rPr>
          <w:noProof/>
        </w:rPr>
        <w:t>Conclusion</w:t>
      </w:r>
      <w:bookmarkEnd w:id="23"/>
      <w:bookmarkEnd w:id="24"/>
      <w:bookmarkEnd w:id="25"/>
      <w:bookmarkEnd w:id="26"/>
    </w:p>
    <w:p w:rsidR="00EA4209" w:rsidRDefault="005B7305">
      <w:pPr>
        <w:pStyle w:val="Text1"/>
        <w:rPr>
          <w:noProof/>
        </w:rPr>
      </w:pPr>
      <w:r>
        <w:rPr>
          <w:noProof/>
        </w:rPr>
        <w:t>The Commission has already pledged to implement an EU budget focused on results and this is in line with the "wholly new approach" to EU investment and spending which the Court has called for in its 2014 ann</w:t>
      </w:r>
      <w:r>
        <w:rPr>
          <w:noProof/>
        </w:rPr>
        <w:t>ual report.</w:t>
      </w:r>
      <w:r>
        <w:rPr>
          <w:rStyle w:val="FootnoteReference"/>
          <w:noProof/>
        </w:rPr>
        <w:footnoteReference w:id="56"/>
      </w:r>
      <w:r>
        <w:rPr>
          <w:noProof/>
        </w:rPr>
        <w:t xml:space="preserve"> One of the key features of this new approach is performance which is assessed on the basis of the sound financial management principles.</w:t>
      </w:r>
      <w:r>
        <w:rPr>
          <w:rStyle w:val="FootnoteReference"/>
          <w:noProof/>
        </w:rPr>
        <w:footnoteReference w:id="57"/>
      </w:r>
    </w:p>
    <w:p w:rsidR="00EA4209" w:rsidRDefault="005B7305">
      <w:pPr>
        <w:pStyle w:val="Text1"/>
        <w:rPr>
          <w:noProof/>
        </w:rPr>
      </w:pPr>
      <w:r>
        <w:rPr>
          <w:noProof/>
        </w:rPr>
        <w:t>Member States' replies to the annexes demonstrated a continued commitment to sound financial management b</w:t>
      </w:r>
      <w:r>
        <w:rPr>
          <w:noProof/>
        </w:rPr>
        <w:t>y actively promoting the use of SCOs, improving management verifications and reporting on financial instruments. According to many Member States, procurement issues are also being tackled by aligning national and EU legislation. In cases where weaknesses a</w:t>
      </w:r>
      <w:r>
        <w:rPr>
          <w:noProof/>
        </w:rPr>
        <w:t>re found training programmes, increases in on-the-spot checks and recoveries of amounts, are among the measures undertaken to remedy deficiencies in public procurement as attested by the Czech Republic, Croatia, Belgium, Finland and Germany.</w:t>
      </w:r>
      <w:r>
        <w:rPr>
          <w:rStyle w:val="FootnoteReference"/>
          <w:noProof/>
        </w:rPr>
        <w:footnoteReference w:id="58"/>
      </w:r>
    </w:p>
    <w:p w:rsidR="00EA4209" w:rsidRDefault="005B7305">
      <w:pPr>
        <w:pStyle w:val="Text1"/>
        <w:rPr>
          <w:noProof/>
        </w:rPr>
      </w:pPr>
      <w:r>
        <w:rPr>
          <w:noProof/>
        </w:rPr>
        <w:t>The replies f</w:t>
      </w:r>
      <w:r>
        <w:rPr>
          <w:noProof/>
        </w:rPr>
        <w:t>rom Member States this year also indicate that there is a growing awareness of the need to create an effective performance culture and to focus on results. Nearly all Member States reported using indicators - common and specific- across the funds, at natio</w:t>
      </w:r>
      <w:r>
        <w:rPr>
          <w:noProof/>
        </w:rPr>
        <w:t xml:space="preserve">nal and regional level to measure performance. Nevertheless low implementation levels of programmes could mean that meaningful data on performance may not be provided in term for the 2017 MFF mid-term review. More meaningful data is likely to be available </w:t>
      </w:r>
      <w:r>
        <w:rPr>
          <w:noProof/>
        </w:rPr>
        <w:t>in line with performance frameworks of many programmes scheduled for 2018 or 2019. Latvia</w:t>
      </w:r>
      <w:r>
        <w:rPr>
          <w:rStyle w:val="FootnoteReference"/>
          <w:noProof/>
        </w:rPr>
        <w:footnoteReference w:id="59"/>
      </w:r>
      <w:r>
        <w:rPr>
          <w:noProof/>
        </w:rPr>
        <w:t xml:space="preserve"> sums up the situation in the following statement:</w:t>
      </w:r>
    </w:p>
    <w:p w:rsidR="00EA4209" w:rsidRDefault="005B7305">
      <w:pPr>
        <w:pStyle w:val="Text1"/>
        <w:rPr>
          <w:noProof/>
          <w:lang w:bidi="en-GB"/>
        </w:rPr>
      </w:pPr>
      <w:r>
        <w:rPr>
          <w:noProof/>
        </w:rPr>
        <w:t>"t</w:t>
      </w:r>
      <w:r>
        <w:rPr>
          <w:noProof/>
          <w:lang w:bidi="en-GB"/>
        </w:rPr>
        <w:t>he quantity of data on the results achieved may vary among different priority axes, depending on the fund in ques</w:t>
      </w:r>
      <w:r>
        <w:rPr>
          <w:noProof/>
          <w:lang w:bidi="en-GB"/>
        </w:rPr>
        <w:t xml:space="preserve">tion, the fulfilment of </w:t>
      </w:r>
      <w:r>
        <w:rPr>
          <w:i/>
          <w:noProof/>
          <w:lang w:bidi="en-GB"/>
        </w:rPr>
        <w:t>ex ante</w:t>
      </w:r>
      <w:r>
        <w:rPr>
          <w:noProof/>
          <w:lang w:bidi="en-GB"/>
        </w:rPr>
        <w:t xml:space="preserve"> conditions and the development of statutory legislation at national level."</w:t>
      </w:r>
    </w:p>
    <w:p w:rsidR="00EA4209" w:rsidRDefault="005B7305">
      <w:pPr>
        <w:pStyle w:val="Text1"/>
        <w:rPr>
          <w:noProof/>
        </w:rPr>
      </w:pPr>
      <w:r>
        <w:rPr>
          <w:noProof/>
        </w:rPr>
        <w:t xml:space="preserve">In its concluding statement, Demark recapitulates the Member States' apparent overall commitment to performance and an EU budget focused on results </w:t>
      </w:r>
      <w:r>
        <w:rPr>
          <w:noProof/>
        </w:rPr>
        <w:t>in its closing statement</w:t>
      </w:r>
      <w:r>
        <w:rPr>
          <w:rStyle w:val="FootnoteReference"/>
          <w:noProof/>
        </w:rPr>
        <w:footnoteReference w:id="60"/>
      </w:r>
      <w:r>
        <w:rPr>
          <w:noProof/>
        </w:rPr>
        <w:t xml:space="preserve">:  </w:t>
      </w:r>
    </w:p>
    <w:p w:rsidR="00EA4209" w:rsidRDefault="005B7305">
      <w:pPr>
        <w:pStyle w:val="Text1"/>
        <w:rPr>
          <w:noProof/>
          <w:lang w:bidi="en-GB"/>
        </w:rPr>
      </w:pPr>
      <w:r>
        <w:rPr>
          <w:noProof/>
        </w:rPr>
        <w:t xml:space="preserve"> "</w:t>
      </w:r>
      <w:r>
        <w:rPr>
          <w:noProof/>
          <w:lang w:bidi="en-GB"/>
        </w:rPr>
        <w:t>A vital aspect of satisfactory implementation of the EU budget is generating results and ensuring that these results support the overarching political objectives. It is therefore important to Denmark that focus remains on est</w:t>
      </w:r>
      <w:r>
        <w:rPr>
          <w:noProof/>
          <w:lang w:bidi="en-GB"/>
        </w:rPr>
        <w:t xml:space="preserve">ablishing the framework for a results-oriented system with greater focus on the results and impact of EU projects. We therefore take a positive view of the annual report’s increased focus on this." </w:t>
      </w:r>
    </w:p>
    <w:sectPr w:rsidR="00EA4209">
      <w:headerReference w:type="even" r:id="rId18"/>
      <w:headerReference w:type="default" r:id="rId19"/>
      <w:footerReference w:type="even" r:id="rId20"/>
      <w:footerReference w:type="default" r:id="rId21"/>
      <w:headerReference w:type="first" r:id="rId22"/>
      <w:footerReference w:type="first" r:id="rId23"/>
      <w:pgSz w:w="11906" w:h="16838"/>
      <w:pgMar w:top="1134" w:right="1418" w:bottom="1134" w:left="1418" w:header="709"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4209" w:rsidRDefault="005B7305">
      <w:r>
        <w:separator/>
      </w:r>
    </w:p>
  </w:endnote>
  <w:endnote w:type="continuationSeparator" w:id="0">
    <w:p w:rsidR="00EA4209" w:rsidRDefault="005B7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7305" w:rsidRDefault="005B730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209" w:rsidRDefault="005B7305">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rsidR="006B48C2">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7305" w:rsidRDefault="005B730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209" w:rsidRDefault="005B730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A4209" w:rsidRDefault="00EA4209">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209" w:rsidRDefault="005B730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B48C2">
      <w:rPr>
        <w:rStyle w:val="PageNumber"/>
        <w:noProof/>
      </w:rPr>
      <w:t>11</w:t>
    </w:r>
    <w:r>
      <w:rPr>
        <w:rStyle w:val="PageNumber"/>
      </w:rPr>
      <w:fldChar w:fldCharType="end"/>
    </w:r>
  </w:p>
  <w:p w:rsidR="00EA4209" w:rsidRDefault="00EA4209">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209" w:rsidRDefault="00EA42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4209" w:rsidRDefault="005B7305">
      <w:r>
        <w:separator/>
      </w:r>
    </w:p>
  </w:footnote>
  <w:footnote w:type="continuationSeparator" w:id="0">
    <w:p w:rsidR="00EA4209" w:rsidRDefault="005B7305">
      <w:r>
        <w:continuationSeparator/>
      </w:r>
    </w:p>
  </w:footnote>
  <w:footnote w:id="1">
    <w:p w:rsidR="00EA4209" w:rsidRDefault="005B7305">
      <w:pPr>
        <w:pStyle w:val="FootnoteText"/>
      </w:pPr>
      <w:r>
        <w:rPr>
          <w:rStyle w:val="FootnoteReference"/>
        </w:rPr>
        <w:footnoteRef/>
      </w:r>
      <w:r>
        <w:t xml:space="preserve"> Article 162(5):</w:t>
      </w:r>
      <w:r>
        <w:rPr>
          <w:noProof/>
        </w:rPr>
        <w:t xml:space="preserve"> A</w:t>
      </w:r>
      <w:r>
        <w:t xml:space="preserve">s soon </w:t>
      </w:r>
      <w:r>
        <w:t>as the Court has transmitted its annual report, the Commission shall inform the</w:t>
      </w:r>
    </w:p>
    <w:p w:rsidR="00EA4209" w:rsidRDefault="005B7305">
      <w:pPr>
        <w:pStyle w:val="FootnoteText"/>
      </w:pPr>
      <w:r>
        <w:t>Member States concerned immediately of the details of that report which relate to management of the funds for</w:t>
      </w:r>
    </w:p>
    <w:p w:rsidR="00EA4209" w:rsidRDefault="005B7305">
      <w:pPr>
        <w:pStyle w:val="FootnoteText"/>
      </w:pPr>
      <w:r>
        <w:t>which they are responsible. Member States should reply within sixt</w:t>
      </w:r>
      <w:r>
        <w:t>y days and the Commission then transmits a</w:t>
      </w:r>
    </w:p>
    <w:p w:rsidR="00EA4209" w:rsidRDefault="005B7305">
      <w:pPr>
        <w:pStyle w:val="FootnoteText"/>
      </w:pPr>
      <w:r>
        <w:t>summary of the replies to the Court of Auditors, the European Parliament and the Council before 28 February of</w:t>
      </w:r>
    </w:p>
    <w:p w:rsidR="00EA4209" w:rsidRDefault="005B7305">
      <w:pPr>
        <w:pStyle w:val="FootnoteText"/>
      </w:pPr>
      <w:r>
        <w:t>the following year.</w:t>
      </w:r>
    </w:p>
    <w:p w:rsidR="00EA4209" w:rsidRDefault="00EA4209">
      <w:pPr>
        <w:pStyle w:val="FootnoteText"/>
      </w:pPr>
    </w:p>
  </w:footnote>
  <w:footnote w:id="2">
    <w:p w:rsidR="00EA4209" w:rsidRDefault="005B7305">
      <w:pPr>
        <w:pStyle w:val="FootnoteText"/>
      </w:pPr>
      <w:r>
        <w:rPr>
          <w:rStyle w:val="FootnoteReference"/>
        </w:rPr>
        <w:footnoteRef/>
      </w:r>
      <w:r>
        <w:t xml:space="preserve"> ECA AR 2014 pp 20-21</w:t>
      </w:r>
    </w:p>
  </w:footnote>
  <w:footnote w:id="3">
    <w:p w:rsidR="00EA4209" w:rsidRDefault="005B7305">
      <w:pPr>
        <w:pStyle w:val="FootnoteText"/>
        <w:rPr>
          <w:lang w:val="pt-PT"/>
        </w:rPr>
      </w:pPr>
      <w:r>
        <w:rPr>
          <w:rStyle w:val="FootnoteReference"/>
        </w:rPr>
        <w:footnoteRef/>
      </w:r>
      <w:r>
        <w:rPr>
          <w:lang w:val="pt-PT"/>
        </w:rPr>
        <w:t xml:space="preserve"> ECA AR 2014 p15</w:t>
      </w:r>
    </w:p>
  </w:footnote>
  <w:footnote w:id="4">
    <w:p w:rsidR="00EA4209" w:rsidRDefault="005B7305">
      <w:pPr>
        <w:pStyle w:val="FootnoteText"/>
        <w:rPr>
          <w:lang w:val="pt-PT"/>
        </w:rPr>
      </w:pPr>
      <w:r>
        <w:rPr>
          <w:rStyle w:val="FootnoteReference"/>
        </w:rPr>
        <w:footnoteRef/>
      </w:r>
      <w:r>
        <w:rPr>
          <w:lang w:val="pt-PT"/>
        </w:rPr>
        <w:t xml:space="preserve"> ECA AR 2014 p 17</w:t>
      </w:r>
    </w:p>
  </w:footnote>
  <w:footnote w:id="5">
    <w:p w:rsidR="00EA4209" w:rsidRDefault="005B7305">
      <w:pPr>
        <w:pStyle w:val="FootnoteText"/>
        <w:rPr>
          <w:lang w:val="pt-PT"/>
        </w:rPr>
      </w:pPr>
      <w:r>
        <w:rPr>
          <w:rStyle w:val="FootnoteReference"/>
        </w:rPr>
        <w:footnoteRef/>
      </w:r>
      <w:r>
        <w:rPr>
          <w:lang w:val="pt-PT"/>
        </w:rPr>
        <w:t xml:space="preserve"> ECA AR 2014 pp 26-27</w:t>
      </w:r>
    </w:p>
  </w:footnote>
  <w:footnote w:id="6">
    <w:p w:rsidR="00EA4209" w:rsidRDefault="005B7305">
      <w:pPr>
        <w:pStyle w:val="FootnoteText"/>
        <w:rPr>
          <w:lang w:val="pt-PT"/>
        </w:rPr>
      </w:pPr>
      <w:r>
        <w:rPr>
          <w:rStyle w:val="FootnoteReference"/>
        </w:rPr>
        <w:footnoteRef/>
      </w:r>
      <w:r>
        <w:rPr>
          <w:lang w:val="pt-PT"/>
        </w:rPr>
        <w:t xml:space="preserve"> ECA AR 2014 p 22</w:t>
      </w:r>
    </w:p>
  </w:footnote>
  <w:footnote w:id="7">
    <w:p w:rsidR="00EA4209" w:rsidRDefault="005B7305">
      <w:pPr>
        <w:pStyle w:val="FootnoteText"/>
        <w:rPr>
          <w:lang w:val="pt-PT"/>
        </w:rPr>
      </w:pPr>
      <w:r>
        <w:rPr>
          <w:rStyle w:val="FootnoteReference"/>
        </w:rPr>
        <w:footnoteRef/>
      </w:r>
      <w:r>
        <w:rPr>
          <w:lang w:val="pt-PT"/>
        </w:rPr>
        <w:t xml:space="preserve"> ECA AR 2014 p 19</w:t>
      </w:r>
    </w:p>
  </w:footnote>
  <w:footnote w:id="8">
    <w:p w:rsidR="00EA4209" w:rsidRDefault="005B7305">
      <w:pPr>
        <w:pStyle w:val="FootnoteText"/>
        <w:rPr>
          <w:lang w:val="pt-PT"/>
        </w:rPr>
      </w:pPr>
      <w:r>
        <w:rPr>
          <w:rStyle w:val="FootnoteReference"/>
        </w:rPr>
        <w:footnoteRef/>
      </w:r>
      <w:r>
        <w:rPr>
          <w:lang w:val="pt-PT"/>
        </w:rPr>
        <w:t xml:space="preserve"> ECA AR pp 22-23</w:t>
      </w:r>
    </w:p>
  </w:footnote>
  <w:footnote w:id="9">
    <w:p w:rsidR="00EA4209" w:rsidRDefault="005B7305">
      <w:pPr>
        <w:pStyle w:val="FootnoteText"/>
        <w:rPr>
          <w:lang w:val="pt-PT"/>
        </w:rPr>
      </w:pPr>
      <w:r>
        <w:rPr>
          <w:rStyle w:val="FootnoteReference"/>
        </w:rPr>
        <w:footnoteRef/>
      </w:r>
      <w:r>
        <w:rPr>
          <w:lang w:val="pt-PT"/>
        </w:rPr>
        <w:t xml:space="preserve"> ECA AR p 83</w:t>
      </w:r>
    </w:p>
  </w:footnote>
  <w:footnote w:id="10">
    <w:p w:rsidR="00EA4209" w:rsidRDefault="005B7305">
      <w:pPr>
        <w:pStyle w:val="FootnoteText"/>
        <w:rPr>
          <w:lang w:val="pt-PT"/>
        </w:rPr>
      </w:pPr>
      <w:r>
        <w:rPr>
          <w:rStyle w:val="FootnoteReference"/>
        </w:rPr>
        <w:footnoteRef/>
      </w:r>
      <w:r>
        <w:rPr>
          <w:lang w:val="pt-PT"/>
        </w:rPr>
        <w:t xml:space="preserve"> SWD p 149, 159, 171, 175, 204, 207</w:t>
      </w:r>
    </w:p>
  </w:footnote>
  <w:footnote w:id="11">
    <w:p w:rsidR="00EA4209" w:rsidRDefault="005B7305">
      <w:pPr>
        <w:pStyle w:val="FootnoteText"/>
      </w:pPr>
      <w:r>
        <w:rPr>
          <w:rStyle w:val="FootnoteReference"/>
        </w:rPr>
        <w:footnoteRef/>
      </w:r>
      <w:r>
        <w:t xml:space="preserve"> SWD p 180</w:t>
      </w:r>
    </w:p>
  </w:footnote>
  <w:footnote w:id="12">
    <w:p w:rsidR="00EA4209" w:rsidRDefault="005B7305">
      <w:pPr>
        <w:pStyle w:val="FootnoteText"/>
      </w:pPr>
      <w:r>
        <w:rPr>
          <w:rStyle w:val="FootnoteReference"/>
        </w:rPr>
        <w:footnoteRef/>
      </w:r>
      <w:r>
        <w:t xml:space="preserve"> SWD p 186</w:t>
      </w:r>
    </w:p>
  </w:footnote>
  <w:footnote w:id="13">
    <w:p w:rsidR="00EA4209" w:rsidRDefault="005B7305">
      <w:pPr>
        <w:pStyle w:val="FootnoteText"/>
      </w:pPr>
      <w:r>
        <w:rPr>
          <w:rStyle w:val="FootnoteReference"/>
        </w:rPr>
        <w:footnoteRef/>
      </w:r>
      <w:r>
        <w:t xml:space="preserve"> SWD p 206</w:t>
      </w:r>
    </w:p>
  </w:footnote>
  <w:footnote w:id="14">
    <w:p w:rsidR="00EA4209" w:rsidRDefault="005B7305">
      <w:pPr>
        <w:pStyle w:val="FootnoteText"/>
      </w:pPr>
      <w:r>
        <w:rPr>
          <w:rStyle w:val="FootnoteReference"/>
        </w:rPr>
        <w:footnoteRef/>
      </w:r>
      <w:r>
        <w:t xml:space="preserve"> SWD p 144</w:t>
      </w:r>
    </w:p>
  </w:footnote>
  <w:footnote w:id="15">
    <w:p w:rsidR="00EA4209" w:rsidRDefault="005B7305">
      <w:pPr>
        <w:pStyle w:val="FootnoteText"/>
      </w:pPr>
      <w:r>
        <w:rPr>
          <w:rStyle w:val="FootnoteReference"/>
        </w:rPr>
        <w:footnoteRef/>
      </w:r>
      <w:r>
        <w:t xml:space="preserve"> SWD p 196</w:t>
      </w:r>
    </w:p>
  </w:footnote>
  <w:footnote w:id="16">
    <w:p w:rsidR="00EA4209" w:rsidRDefault="005B7305">
      <w:pPr>
        <w:pStyle w:val="FootnoteText"/>
      </w:pPr>
      <w:r>
        <w:rPr>
          <w:rStyle w:val="FootnoteReference"/>
        </w:rPr>
        <w:footnoteRef/>
      </w:r>
      <w:r>
        <w:t xml:space="preserve"> SWD p 144, 149, 159</w:t>
      </w:r>
    </w:p>
  </w:footnote>
  <w:footnote w:id="17">
    <w:p w:rsidR="00EA4209" w:rsidRDefault="005B7305">
      <w:pPr>
        <w:pStyle w:val="FootnoteText"/>
      </w:pPr>
      <w:r>
        <w:rPr>
          <w:rStyle w:val="FootnoteReference"/>
        </w:rPr>
        <w:footnoteRef/>
      </w:r>
      <w:r>
        <w:t xml:space="preserve"> SWD p 159</w:t>
      </w:r>
    </w:p>
  </w:footnote>
  <w:footnote w:id="18">
    <w:p w:rsidR="00EA4209" w:rsidRDefault="005B7305">
      <w:pPr>
        <w:pStyle w:val="FootnoteText"/>
      </w:pPr>
      <w:r>
        <w:rPr>
          <w:rStyle w:val="FootnoteReference"/>
        </w:rPr>
        <w:footnoteRef/>
      </w:r>
      <w:r>
        <w:t xml:space="preserve"> ESS – European Statistical Syst</w:t>
      </w:r>
      <w:r>
        <w:t>em</w:t>
      </w:r>
    </w:p>
  </w:footnote>
  <w:footnote w:id="19">
    <w:p w:rsidR="00EA4209" w:rsidRDefault="005B7305">
      <w:pPr>
        <w:pStyle w:val="FootnoteText"/>
      </w:pPr>
      <w:r>
        <w:rPr>
          <w:rStyle w:val="FootnoteReference"/>
        </w:rPr>
        <w:footnoteRef/>
      </w:r>
      <w:r>
        <w:t xml:space="preserve"> SWD p 186</w:t>
      </w:r>
    </w:p>
  </w:footnote>
  <w:footnote w:id="20">
    <w:p w:rsidR="00EA4209" w:rsidRDefault="005B7305">
      <w:pPr>
        <w:pStyle w:val="FootnoteText"/>
      </w:pPr>
      <w:r>
        <w:rPr>
          <w:rStyle w:val="FootnoteReference"/>
        </w:rPr>
        <w:footnoteRef/>
      </w:r>
      <w:r>
        <w:t xml:space="preserve"> SWD pp 180-181</w:t>
      </w:r>
    </w:p>
  </w:footnote>
  <w:footnote w:id="21">
    <w:p w:rsidR="00EA4209" w:rsidRDefault="005B7305">
      <w:pPr>
        <w:pStyle w:val="FootnoteText"/>
      </w:pPr>
      <w:r>
        <w:rPr>
          <w:rStyle w:val="FootnoteReference"/>
        </w:rPr>
        <w:footnoteRef/>
      </w:r>
      <w:r>
        <w:t xml:space="preserve"> SWD p 181</w:t>
      </w:r>
    </w:p>
  </w:footnote>
  <w:footnote w:id="22">
    <w:p w:rsidR="00EA4209" w:rsidRDefault="005B7305">
      <w:pPr>
        <w:pStyle w:val="FootnoteText"/>
        <w:rPr>
          <w:lang w:val="pt-PT"/>
        </w:rPr>
      </w:pPr>
      <w:r>
        <w:rPr>
          <w:rStyle w:val="FootnoteReference"/>
        </w:rPr>
        <w:footnoteRef/>
      </w:r>
      <w:r>
        <w:rPr>
          <w:lang w:val="pt-PT"/>
        </w:rPr>
        <w:t xml:space="preserve"> SWD p 107,122,130,164,201</w:t>
      </w:r>
    </w:p>
  </w:footnote>
  <w:footnote w:id="23">
    <w:p w:rsidR="00EA4209" w:rsidRDefault="005B7305">
      <w:pPr>
        <w:pStyle w:val="FootnoteText"/>
        <w:rPr>
          <w:lang w:val="pt-PT"/>
        </w:rPr>
      </w:pPr>
      <w:r>
        <w:rPr>
          <w:rStyle w:val="FootnoteReference"/>
        </w:rPr>
        <w:footnoteRef/>
      </w:r>
      <w:r>
        <w:rPr>
          <w:lang w:val="pt-PT"/>
        </w:rPr>
        <w:t xml:space="preserve"> SWD p 130</w:t>
      </w:r>
    </w:p>
  </w:footnote>
  <w:footnote w:id="24">
    <w:p w:rsidR="00EA4209" w:rsidRDefault="005B7305">
      <w:pPr>
        <w:pStyle w:val="FootnoteText"/>
        <w:rPr>
          <w:lang w:val="pt-PT"/>
        </w:rPr>
      </w:pPr>
      <w:r>
        <w:rPr>
          <w:rStyle w:val="FootnoteReference"/>
        </w:rPr>
        <w:footnoteRef/>
      </w:r>
      <w:r>
        <w:rPr>
          <w:lang w:val="pt-PT"/>
        </w:rPr>
        <w:t xml:space="preserve"> ECA AR 2014 p-182</w:t>
      </w:r>
    </w:p>
  </w:footnote>
  <w:footnote w:id="25">
    <w:p w:rsidR="00EA4209" w:rsidRDefault="005B7305">
      <w:pPr>
        <w:pStyle w:val="FootnoteText"/>
        <w:rPr>
          <w:lang w:val="pt-PT"/>
        </w:rPr>
      </w:pPr>
      <w:r>
        <w:rPr>
          <w:rStyle w:val="FootnoteReference"/>
        </w:rPr>
        <w:footnoteRef/>
      </w:r>
      <w:r>
        <w:rPr>
          <w:lang w:val="pt-PT"/>
        </w:rPr>
        <w:t xml:space="preserve"> SWD p 152, 170, 203</w:t>
      </w:r>
    </w:p>
  </w:footnote>
  <w:footnote w:id="26">
    <w:p w:rsidR="00EA4209" w:rsidRDefault="005B7305">
      <w:pPr>
        <w:pStyle w:val="FootnoteText"/>
        <w:rPr>
          <w:lang w:val="pt-PT"/>
        </w:rPr>
      </w:pPr>
      <w:r>
        <w:rPr>
          <w:rStyle w:val="FootnoteReference"/>
        </w:rPr>
        <w:footnoteRef/>
      </w:r>
      <w:r>
        <w:rPr>
          <w:lang w:val="pt-PT"/>
        </w:rPr>
        <w:t xml:space="preserve"> SWD pp120-121</w:t>
      </w:r>
    </w:p>
  </w:footnote>
  <w:footnote w:id="27">
    <w:p w:rsidR="00EA4209" w:rsidRDefault="005B7305">
      <w:pPr>
        <w:pStyle w:val="FootnoteText"/>
        <w:rPr>
          <w:lang w:val="pt-PT"/>
        </w:rPr>
      </w:pPr>
      <w:r>
        <w:rPr>
          <w:rStyle w:val="FootnoteReference"/>
        </w:rPr>
        <w:footnoteRef/>
      </w:r>
      <w:r>
        <w:rPr>
          <w:lang w:val="pt-PT"/>
        </w:rPr>
        <w:t xml:space="preserve"> SWD p 169</w:t>
      </w:r>
    </w:p>
  </w:footnote>
  <w:footnote w:id="28">
    <w:p w:rsidR="00EA4209" w:rsidRDefault="005B7305">
      <w:pPr>
        <w:pStyle w:val="FootnoteText"/>
        <w:rPr>
          <w:lang w:val="fr-BE"/>
        </w:rPr>
      </w:pPr>
      <w:r>
        <w:rPr>
          <w:rStyle w:val="FootnoteReference"/>
        </w:rPr>
        <w:footnoteRef/>
      </w:r>
      <w:r>
        <w:rPr>
          <w:lang w:val="fr-BE"/>
        </w:rPr>
        <w:t xml:space="preserve"> SWD p 153</w:t>
      </w:r>
    </w:p>
  </w:footnote>
  <w:footnote w:id="29">
    <w:p w:rsidR="00EA4209" w:rsidRDefault="005B7305">
      <w:pPr>
        <w:pStyle w:val="FootnoteText"/>
        <w:rPr>
          <w:lang w:val="fr-BE"/>
        </w:rPr>
      </w:pPr>
      <w:r>
        <w:rPr>
          <w:rStyle w:val="FootnoteReference"/>
        </w:rPr>
        <w:footnoteRef/>
      </w:r>
      <w:r>
        <w:rPr>
          <w:lang w:val="fr-BE"/>
        </w:rPr>
        <w:t xml:space="preserve"> CGET -Commissariat général à l'égalité des territoires</w:t>
      </w:r>
    </w:p>
  </w:footnote>
  <w:footnote w:id="30">
    <w:p w:rsidR="00EA4209" w:rsidRDefault="005B7305">
      <w:pPr>
        <w:pStyle w:val="FootnoteText"/>
      </w:pPr>
      <w:r>
        <w:rPr>
          <w:rStyle w:val="FootnoteReference"/>
        </w:rPr>
        <w:footnoteRef/>
      </w:r>
      <w:r>
        <w:t xml:space="preserve"> SWD p 170 and p 203</w:t>
      </w:r>
    </w:p>
  </w:footnote>
  <w:footnote w:id="31">
    <w:p w:rsidR="00EA4209" w:rsidRDefault="005B7305">
      <w:pPr>
        <w:pStyle w:val="FootnoteText"/>
      </w:pPr>
      <w:r>
        <w:rPr>
          <w:rStyle w:val="FootnoteReference"/>
        </w:rPr>
        <w:footnoteRef/>
      </w:r>
      <w:r>
        <w:t xml:space="preserve"> SWD p 205</w:t>
      </w:r>
    </w:p>
  </w:footnote>
  <w:footnote w:id="32">
    <w:p w:rsidR="00EA4209" w:rsidRDefault="005B7305">
      <w:pPr>
        <w:pStyle w:val="FootnoteText"/>
        <w:rPr>
          <w:lang w:val="pt-PT"/>
        </w:rPr>
      </w:pPr>
      <w:r>
        <w:rPr>
          <w:rStyle w:val="FootnoteReference"/>
        </w:rPr>
        <w:footnoteRef/>
      </w:r>
      <w:r>
        <w:rPr>
          <w:lang w:val="pt-PT"/>
        </w:rPr>
        <w:t xml:space="preserve"> ECA AR p 176</w:t>
      </w:r>
    </w:p>
  </w:footnote>
  <w:footnote w:id="33">
    <w:p w:rsidR="00EA4209" w:rsidRDefault="005B7305">
      <w:pPr>
        <w:pStyle w:val="FootnoteText"/>
        <w:rPr>
          <w:lang w:val="pt-PT"/>
        </w:rPr>
      </w:pPr>
      <w:r>
        <w:rPr>
          <w:rStyle w:val="FootnoteReference"/>
        </w:rPr>
        <w:footnoteRef/>
      </w:r>
      <w:r>
        <w:rPr>
          <w:lang w:val="pt-PT"/>
        </w:rPr>
        <w:t xml:space="preserve"> SWD p 165, 169, 172, 179, 183, 202-3</w:t>
      </w:r>
    </w:p>
  </w:footnote>
  <w:footnote w:id="34">
    <w:p w:rsidR="00EA4209" w:rsidRDefault="005B7305">
      <w:pPr>
        <w:pStyle w:val="FootnoteText"/>
        <w:rPr>
          <w:lang w:val="pt-PT"/>
        </w:rPr>
      </w:pPr>
      <w:r>
        <w:rPr>
          <w:rStyle w:val="FootnoteReference"/>
        </w:rPr>
        <w:footnoteRef/>
      </w:r>
      <w:r>
        <w:rPr>
          <w:lang w:val="pt-PT"/>
        </w:rPr>
        <w:t xml:space="preserve"> SWD p 172</w:t>
      </w:r>
    </w:p>
  </w:footnote>
  <w:footnote w:id="35">
    <w:p w:rsidR="00EA4209" w:rsidRDefault="005B7305">
      <w:pPr>
        <w:pStyle w:val="FootnoteText"/>
        <w:rPr>
          <w:lang w:val="pt-PT"/>
        </w:rPr>
      </w:pPr>
      <w:r>
        <w:rPr>
          <w:rStyle w:val="FootnoteReference"/>
        </w:rPr>
        <w:footnoteRef/>
      </w:r>
      <w:r>
        <w:rPr>
          <w:lang w:val="pt-PT"/>
        </w:rPr>
        <w:t xml:space="preserve"> SWD p 169</w:t>
      </w:r>
    </w:p>
  </w:footnote>
  <w:footnote w:id="36">
    <w:p w:rsidR="00EA4209" w:rsidRDefault="005B7305">
      <w:pPr>
        <w:pStyle w:val="FootnoteText"/>
        <w:rPr>
          <w:lang w:val="pt-PT"/>
        </w:rPr>
      </w:pPr>
      <w:r>
        <w:rPr>
          <w:rStyle w:val="FootnoteReference"/>
        </w:rPr>
        <w:footnoteRef/>
      </w:r>
      <w:r>
        <w:rPr>
          <w:lang w:val="pt-PT"/>
        </w:rPr>
        <w:t xml:space="preserve"> SWD pp 165-166</w:t>
      </w:r>
    </w:p>
  </w:footnote>
  <w:footnote w:id="37">
    <w:p w:rsidR="00EA4209" w:rsidRDefault="005B7305">
      <w:pPr>
        <w:pStyle w:val="FootnoteText"/>
        <w:rPr>
          <w:lang w:val="pt-PT"/>
        </w:rPr>
      </w:pPr>
      <w:r>
        <w:rPr>
          <w:rStyle w:val="FootnoteReference"/>
        </w:rPr>
        <w:footnoteRef/>
      </w:r>
      <w:r>
        <w:rPr>
          <w:lang w:val="pt-PT"/>
        </w:rPr>
        <w:t xml:space="preserve"> ECA AR p 240</w:t>
      </w:r>
    </w:p>
  </w:footnote>
  <w:footnote w:id="38">
    <w:p w:rsidR="00EA4209" w:rsidRDefault="005B7305">
      <w:pPr>
        <w:pStyle w:val="FootnoteText"/>
        <w:rPr>
          <w:lang w:val="pt-PT"/>
        </w:rPr>
      </w:pPr>
      <w:r>
        <w:rPr>
          <w:rStyle w:val="FootnoteReference"/>
        </w:rPr>
        <w:footnoteRef/>
      </w:r>
      <w:r>
        <w:rPr>
          <w:lang w:val="pt-PT"/>
        </w:rPr>
        <w:t xml:space="preserve"> SWD p 116, 150, </w:t>
      </w:r>
    </w:p>
  </w:footnote>
  <w:footnote w:id="39">
    <w:p w:rsidR="00EA4209" w:rsidRDefault="005B7305">
      <w:pPr>
        <w:pStyle w:val="FootnoteText"/>
        <w:rPr>
          <w:lang w:val="pt-PT"/>
        </w:rPr>
      </w:pPr>
      <w:r>
        <w:rPr>
          <w:rStyle w:val="FootnoteReference"/>
        </w:rPr>
        <w:footnoteRef/>
      </w:r>
      <w:r>
        <w:rPr>
          <w:lang w:val="pt-PT"/>
        </w:rPr>
        <w:t xml:space="preserve"> SWD p 191</w:t>
      </w:r>
    </w:p>
  </w:footnote>
  <w:footnote w:id="40">
    <w:p w:rsidR="00EA4209" w:rsidRDefault="005B7305">
      <w:pPr>
        <w:pStyle w:val="FootnoteText"/>
        <w:rPr>
          <w:lang w:val="pt-PT"/>
        </w:rPr>
      </w:pPr>
      <w:r>
        <w:rPr>
          <w:rStyle w:val="FootnoteReference"/>
        </w:rPr>
        <w:footnoteRef/>
      </w:r>
      <w:r>
        <w:rPr>
          <w:lang w:val="pt-PT"/>
        </w:rPr>
        <w:t xml:space="preserve"> SWD pp 150-151, 181-182, , 205</w:t>
      </w:r>
    </w:p>
  </w:footnote>
  <w:footnote w:id="41">
    <w:p w:rsidR="00EA4209" w:rsidRDefault="005B7305">
      <w:pPr>
        <w:pStyle w:val="FootnoteText"/>
        <w:rPr>
          <w:lang w:val="pt-PT"/>
        </w:rPr>
      </w:pPr>
      <w:r>
        <w:rPr>
          <w:rStyle w:val="FootnoteReference"/>
        </w:rPr>
        <w:footnoteRef/>
      </w:r>
      <w:r>
        <w:rPr>
          <w:lang w:val="pt-PT"/>
        </w:rPr>
        <w:t xml:space="preserve"> ECA AR p 203</w:t>
      </w:r>
    </w:p>
  </w:footnote>
  <w:footnote w:id="42">
    <w:p w:rsidR="00EA4209" w:rsidRDefault="005B7305">
      <w:pPr>
        <w:pStyle w:val="FootnoteText"/>
        <w:rPr>
          <w:lang w:val="pt-PT"/>
        </w:rPr>
      </w:pPr>
      <w:r>
        <w:rPr>
          <w:rStyle w:val="FootnoteReference"/>
        </w:rPr>
        <w:footnoteRef/>
      </w:r>
      <w:r>
        <w:rPr>
          <w:lang w:val="pt-PT"/>
        </w:rPr>
        <w:t xml:space="preserve"> SWD p 129, 148, 153, 158, 163, 170, 174, 176, 209</w:t>
      </w:r>
    </w:p>
  </w:footnote>
  <w:footnote w:id="43">
    <w:p w:rsidR="00EA4209" w:rsidRDefault="005B7305">
      <w:pPr>
        <w:pStyle w:val="FootnoteText"/>
        <w:rPr>
          <w:lang w:val="pt-PT"/>
        </w:rPr>
      </w:pPr>
      <w:r>
        <w:rPr>
          <w:rStyle w:val="FootnoteReference"/>
        </w:rPr>
        <w:footnoteRef/>
      </w:r>
      <w:r>
        <w:rPr>
          <w:lang w:val="pt-PT"/>
        </w:rPr>
        <w:t xml:space="preserve"> SWD pp 174-175</w:t>
      </w:r>
    </w:p>
  </w:footnote>
  <w:footnote w:id="44">
    <w:p w:rsidR="00EA4209" w:rsidRDefault="005B7305">
      <w:pPr>
        <w:pStyle w:val="FootnoteText"/>
        <w:rPr>
          <w:lang w:val="pt-PT"/>
        </w:rPr>
      </w:pPr>
      <w:r>
        <w:rPr>
          <w:rStyle w:val="FootnoteReference"/>
        </w:rPr>
        <w:footnoteRef/>
      </w:r>
      <w:r>
        <w:rPr>
          <w:lang w:val="pt-PT"/>
        </w:rPr>
        <w:t xml:space="preserve"> SWD p 161</w:t>
      </w:r>
    </w:p>
  </w:footnote>
  <w:footnote w:id="45">
    <w:p w:rsidR="00EA4209" w:rsidRDefault="005B7305">
      <w:pPr>
        <w:pStyle w:val="FootnoteText"/>
      </w:pPr>
      <w:r>
        <w:rPr>
          <w:rStyle w:val="FootnoteReference"/>
        </w:rPr>
        <w:footnoteRef/>
      </w:r>
      <w:r>
        <w:t xml:space="preserve"> SWD p 184</w:t>
      </w:r>
    </w:p>
  </w:footnote>
  <w:footnote w:id="46">
    <w:p w:rsidR="00EA4209" w:rsidRDefault="005B7305">
      <w:pPr>
        <w:pStyle w:val="FootnoteText"/>
      </w:pPr>
      <w:r>
        <w:rPr>
          <w:rStyle w:val="FootnoteReference"/>
        </w:rPr>
        <w:footnoteRef/>
      </w:r>
      <w:r>
        <w:t xml:space="preserve"> SWD p 207</w:t>
      </w:r>
    </w:p>
  </w:footnote>
  <w:footnote w:id="47">
    <w:p w:rsidR="00EA4209" w:rsidRDefault="005B7305">
      <w:pPr>
        <w:pStyle w:val="FootnoteText"/>
      </w:pPr>
      <w:r>
        <w:rPr>
          <w:rStyle w:val="FootnoteReference"/>
        </w:rPr>
        <w:footnoteRef/>
      </w:r>
      <w:r>
        <w:t xml:space="preserve"> SWD p 188</w:t>
      </w:r>
    </w:p>
  </w:footnote>
  <w:footnote w:id="48">
    <w:p w:rsidR="00EA4209" w:rsidRDefault="005B7305">
      <w:pPr>
        <w:pStyle w:val="FootnoteText"/>
        <w:rPr>
          <w:lang w:val="pt-PT"/>
        </w:rPr>
      </w:pPr>
      <w:r>
        <w:rPr>
          <w:rStyle w:val="FootnoteReference"/>
        </w:rPr>
        <w:footnoteRef/>
      </w:r>
      <w:r>
        <w:rPr>
          <w:lang w:val="pt-PT"/>
        </w:rPr>
        <w:t xml:space="preserve"> ECA AR p 185 &amp; 202</w:t>
      </w:r>
    </w:p>
  </w:footnote>
  <w:footnote w:id="49">
    <w:p w:rsidR="00EA4209" w:rsidRDefault="005B7305">
      <w:pPr>
        <w:pStyle w:val="FootnoteText"/>
        <w:rPr>
          <w:lang w:val="pt-PT"/>
        </w:rPr>
      </w:pPr>
      <w:r>
        <w:rPr>
          <w:rStyle w:val="FootnoteReference"/>
        </w:rPr>
        <w:footnoteRef/>
      </w:r>
      <w:r>
        <w:rPr>
          <w:lang w:val="pt-PT"/>
        </w:rPr>
        <w:t xml:space="preserve"> SWD p 176</w:t>
      </w:r>
    </w:p>
  </w:footnote>
  <w:footnote w:id="50">
    <w:p w:rsidR="00EA4209" w:rsidRDefault="005B7305">
      <w:pPr>
        <w:pStyle w:val="FootnoteText"/>
      </w:pPr>
      <w:r>
        <w:rPr>
          <w:rStyle w:val="FootnoteReference"/>
        </w:rPr>
        <w:footnoteRef/>
      </w:r>
      <w:r>
        <w:t xml:space="preserve"> SWD p 188</w:t>
      </w:r>
    </w:p>
  </w:footnote>
  <w:footnote w:id="51">
    <w:p w:rsidR="00EA4209" w:rsidRDefault="005B7305">
      <w:pPr>
        <w:pStyle w:val="FootnoteText"/>
      </w:pPr>
      <w:r>
        <w:rPr>
          <w:rStyle w:val="FootnoteReference"/>
        </w:rPr>
        <w:footnoteRef/>
      </w:r>
      <w:r>
        <w:t xml:space="preserve"> SWD p 203</w:t>
      </w:r>
    </w:p>
  </w:footnote>
  <w:footnote w:id="52">
    <w:p w:rsidR="00EA4209" w:rsidRDefault="005B7305">
      <w:pPr>
        <w:pStyle w:val="FootnoteText"/>
      </w:pPr>
      <w:r>
        <w:rPr>
          <w:rStyle w:val="FootnoteReference"/>
        </w:rPr>
        <w:footnoteRef/>
      </w:r>
      <w:r>
        <w:t xml:space="preserve"> SWD p 128</w:t>
      </w:r>
    </w:p>
  </w:footnote>
  <w:footnote w:id="53">
    <w:p w:rsidR="00EA4209" w:rsidRDefault="005B7305">
      <w:pPr>
        <w:pStyle w:val="FootnoteText"/>
      </w:pPr>
      <w:r>
        <w:rPr>
          <w:rStyle w:val="FootnoteReference"/>
        </w:rPr>
        <w:footnoteRef/>
      </w:r>
      <w:r>
        <w:t xml:space="preserve"> SWD p 128, 202, 206, </w:t>
      </w:r>
    </w:p>
  </w:footnote>
  <w:footnote w:id="54">
    <w:p w:rsidR="00EA4209" w:rsidRDefault="005B7305">
      <w:pPr>
        <w:pStyle w:val="FootnoteText"/>
      </w:pPr>
      <w:r>
        <w:rPr>
          <w:rStyle w:val="FootnoteReference"/>
        </w:rPr>
        <w:footnoteRef/>
      </w:r>
      <w:r>
        <w:t xml:space="preserve"> SWD p 150</w:t>
      </w:r>
    </w:p>
  </w:footnote>
  <w:footnote w:id="55">
    <w:p w:rsidR="00EA4209" w:rsidRDefault="005B7305">
      <w:pPr>
        <w:pStyle w:val="FootnoteText"/>
      </w:pPr>
      <w:r>
        <w:rPr>
          <w:rStyle w:val="FootnoteReference"/>
        </w:rPr>
        <w:footnoteRef/>
      </w:r>
      <w:r>
        <w:t xml:space="preserve"> SWD p 115</w:t>
      </w:r>
    </w:p>
  </w:footnote>
  <w:footnote w:id="56">
    <w:p w:rsidR="00EA4209" w:rsidRDefault="005B7305">
      <w:pPr>
        <w:pStyle w:val="FootnoteText"/>
      </w:pPr>
      <w:r>
        <w:rPr>
          <w:rStyle w:val="FootnoteReference"/>
        </w:rPr>
        <w:footnoteRef/>
      </w:r>
      <w:r>
        <w:t xml:space="preserve"> ECA speech by President Caldeira to the CONT, Brussels 10/11/2015</w:t>
      </w:r>
    </w:p>
  </w:footnote>
  <w:footnote w:id="57">
    <w:p w:rsidR="00EA4209" w:rsidRDefault="005B7305">
      <w:pPr>
        <w:pStyle w:val="FootnoteText"/>
        <w:rPr>
          <w:lang w:val="pt-PT"/>
        </w:rPr>
      </w:pPr>
      <w:r>
        <w:rPr>
          <w:rStyle w:val="FootnoteReference"/>
        </w:rPr>
        <w:footnoteRef/>
      </w:r>
      <w:r>
        <w:rPr>
          <w:lang w:val="pt-PT"/>
        </w:rPr>
        <w:t xml:space="preserve"> ECA AR p 84</w:t>
      </w:r>
    </w:p>
  </w:footnote>
  <w:footnote w:id="58">
    <w:p w:rsidR="00EA4209" w:rsidRDefault="005B7305">
      <w:pPr>
        <w:pStyle w:val="FootnoteText"/>
        <w:rPr>
          <w:lang w:val="pt-PT"/>
        </w:rPr>
      </w:pPr>
      <w:r>
        <w:rPr>
          <w:rStyle w:val="FootnoteReference"/>
        </w:rPr>
        <w:footnoteRef/>
      </w:r>
      <w:r>
        <w:rPr>
          <w:lang w:val="pt-PT"/>
        </w:rPr>
        <w:t xml:space="preserve"> SWD p 55, p122-126, p 64</w:t>
      </w:r>
    </w:p>
  </w:footnote>
  <w:footnote w:id="59">
    <w:p w:rsidR="00EA4209" w:rsidRDefault="005B7305">
      <w:pPr>
        <w:pStyle w:val="FootnoteText"/>
        <w:rPr>
          <w:lang w:val="fr-BE"/>
        </w:rPr>
      </w:pPr>
      <w:r>
        <w:rPr>
          <w:rStyle w:val="FootnoteReference"/>
        </w:rPr>
        <w:footnoteRef/>
      </w:r>
      <w:r>
        <w:t xml:space="preserve"> </w:t>
      </w:r>
      <w:r>
        <w:rPr>
          <w:lang w:val="fr-BE"/>
        </w:rPr>
        <w:t>SWD p 168</w:t>
      </w:r>
    </w:p>
  </w:footnote>
  <w:footnote w:id="60">
    <w:p w:rsidR="00EA4209" w:rsidRDefault="005B7305">
      <w:pPr>
        <w:pStyle w:val="FootnoteText"/>
      </w:pPr>
      <w:r>
        <w:rPr>
          <w:rStyle w:val="FootnoteReference"/>
        </w:rPr>
        <w:footnoteRef/>
      </w:r>
      <w:r>
        <w:t xml:space="preserve"> SWD pp 211-212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7305" w:rsidRDefault="005B730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7305" w:rsidRDefault="005B730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7305" w:rsidRDefault="005B730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209" w:rsidRDefault="00EA4209">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209" w:rsidRDefault="00EA4209">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209" w:rsidRDefault="00EA420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06E2F82FFE0345A89F1869E342EE8D53"/>
    <w:docVar w:name="LW_CROSSREFERENCE" w:val="{SWD(2016) 48 final}"/>
    <w:docVar w:name="LW_DocType" w:val="NORMAL"/>
    <w:docVar w:name="LW_EMISSION" w:val="26.2.2016"/>
    <w:docVar w:name="LW_EMISSION_ISODATE" w:val="2016-02-26"/>
    <w:docVar w:name="LW_EMISSION_LOCATION" w:val="BRX"/>
    <w:docVar w:name="LW_EMISSION_PREFIX" w:val="Brussels, "/>
    <w:docVar w:name="LW_EMISSION_SUFFIX" w:val=" "/>
    <w:docVar w:name="LW_ID_DOCTYPE_NONLW" w:val="CP-035"/>
    <w:docVar w:name="LW_LANGUE" w:val="EN"/>
    <w:docVar w:name="LW_MARKING" w:val="&lt;UNUSED&gt;"/>
    <w:docVar w:name="LW_NOM.INST" w:val="EUROPEAN COMMISSION"/>
    <w:docVar w:name="LW_NOM.INST_JOINTDOC" w:val="&lt;EMPTY&gt;"/>
    <w:docVar w:name="LW_PART_NBR" w:val="1"/>
    <w:docVar w:name="LW_PART_NBR_TOTAL" w:val="1"/>
    <w:docVar w:name="LW_REF.II.NEW.CP" w:val="&lt;UNUSED&gt;"/>
    <w:docVar w:name="LW_REF.II.NEW.CP_NUMBER" w:val="&lt;UNUSED&gt;"/>
    <w:docVar w:name="LW_REF.II.NEW.CP_YEAR" w:val="2016"/>
    <w:docVar w:name="LW_REF.INST.NEW" w:val="COM"/>
    <w:docVar w:name="LW_REF.INST.NEW_ADOPTED" w:val="final"/>
    <w:docVar w:name="LW_REF.INST.NEW_TEXT" w:val="(2016) 112"/>
    <w:docVar w:name="LW_REF.INTERNE" w:val="&lt;UNUSED&gt;"/>
    <w:docVar w:name="LW_SOUS.TITRE.OBJ.CP" w:val="&lt;UNUSED&gt;"/>
    <w:docVar w:name="LW_SUPERTITRE" w:val="&lt;UNUSED&gt;"/>
    <w:docVar w:name="LW_TITRE.OBJ.CP" w:val="Member States' Replies to the European Court of Auditors' 2014 Annual Report"/>
    <w:docVar w:name="LW_TYPE.DOC.CP" w:val="REPORT FROM THE COMMISSION TO THE EUROPEAN COURT OF AUDITORS, THE COUNCIL AND THE EUROPEAN PARLIAMENT"/>
  </w:docVars>
  <w:rsids>
    <w:rsidRoot w:val="00EA4209"/>
    <w:rsid w:val="005B7305"/>
    <w:rsid w:val="006B48C2"/>
    <w:rsid w:val="00EA42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pPr>
      <w:ind w:left="720" w:hanging="720"/>
      <w:jc w:val="both"/>
    </w:pPr>
    <w:rPr>
      <w:sz w:val="20"/>
      <w:szCs w:val="20"/>
      <w:lang w:eastAsia="de-DE"/>
    </w:rPr>
  </w:style>
  <w:style w:type="character" w:customStyle="1" w:styleId="FootnoteTextChar">
    <w:name w:val="Footnote Text Char"/>
    <w:basedOn w:val="DefaultParagraphFont"/>
    <w:link w:val="FootnoteText"/>
    <w:semiHidden/>
    <w:rPr>
      <w:rFonts w:ascii="Times New Roman" w:eastAsia="Times New Roman" w:hAnsi="Times New Roman" w:cs="Times New Roman"/>
      <w:sz w:val="20"/>
      <w:szCs w:val="20"/>
      <w:lang w:eastAsia="de-DE"/>
    </w:rPr>
  </w:style>
  <w:style w:type="character" w:styleId="FootnoteReference">
    <w:name w:val="footnote reference"/>
    <w:uiPriority w:val="99"/>
    <w:semiHidden/>
    <w:rPr>
      <w:vertAlign w:val="superscript"/>
    </w:rPr>
  </w:style>
  <w:style w:type="paragraph" w:customStyle="1" w:styleId="Text1">
    <w:name w:val="Text 1"/>
    <w:basedOn w:val="Normal"/>
    <w:pPr>
      <w:spacing w:before="120" w:after="120"/>
      <w:ind w:left="850"/>
      <w:jc w:val="both"/>
    </w:pPr>
    <w:rPr>
      <w:lang w:eastAsia="de-DE"/>
    </w:rPr>
  </w:style>
  <w:style w:type="paragraph" w:customStyle="1" w:styleId="Text2">
    <w:name w:val="Text 2"/>
    <w:basedOn w:val="Normal"/>
    <w:pPr>
      <w:spacing w:before="120" w:after="120"/>
      <w:ind w:left="850"/>
      <w:jc w:val="both"/>
    </w:pPr>
    <w:rPr>
      <w:lang w:eastAsia="de-DE"/>
    </w:rPr>
  </w:style>
  <w:style w:type="paragraph" w:customStyle="1" w:styleId="ManualHeading1">
    <w:name w:val="Manual Heading 1"/>
    <w:basedOn w:val="Normal"/>
    <w:next w:val="Text1"/>
    <w:pPr>
      <w:keepNext/>
      <w:tabs>
        <w:tab w:val="left" w:pos="850"/>
      </w:tabs>
      <w:spacing w:before="360" w:after="120"/>
      <w:ind w:left="850" w:hanging="850"/>
      <w:jc w:val="both"/>
      <w:outlineLvl w:val="0"/>
    </w:pPr>
    <w:rPr>
      <w:b/>
      <w:smallCaps/>
      <w:lang w:eastAsia="de-DE"/>
    </w:rPr>
  </w:style>
  <w:style w:type="paragraph" w:customStyle="1" w:styleId="ManualHeading2">
    <w:name w:val="Manual Heading 2"/>
    <w:basedOn w:val="Normal"/>
    <w:next w:val="Text2"/>
    <w:pPr>
      <w:keepNext/>
      <w:tabs>
        <w:tab w:val="left" w:pos="850"/>
      </w:tabs>
      <w:spacing w:before="120" w:after="120"/>
      <w:ind w:left="850" w:hanging="850"/>
      <w:jc w:val="both"/>
      <w:outlineLvl w:val="1"/>
    </w:pPr>
    <w:rPr>
      <w:b/>
      <w:lang w:eastAsia="de-DE"/>
    </w:rPr>
  </w:style>
  <w:style w:type="paragraph" w:customStyle="1" w:styleId="Prliminairetitre">
    <w:name w:val="Préliminaire titre"/>
    <w:basedOn w:val="Normal"/>
    <w:next w:val="Normal"/>
    <w:pPr>
      <w:spacing w:before="360" w:after="360"/>
      <w:jc w:val="center"/>
    </w:pPr>
    <w:rPr>
      <w:b/>
      <w:lang w:eastAsia="de-DE"/>
    </w:rPr>
  </w:style>
  <w:style w:type="paragraph" w:styleId="TOC1">
    <w:name w:val="toc 1"/>
    <w:basedOn w:val="Normal"/>
    <w:next w:val="Normal"/>
    <w:link w:val="TOC1Char"/>
    <w:autoRedefine/>
    <w:uiPriority w:val="39"/>
    <w:pPr>
      <w:tabs>
        <w:tab w:val="left" w:pos="480"/>
        <w:tab w:val="right" w:leader="dot" w:pos="9062"/>
      </w:tabs>
      <w:spacing w:before="240" w:after="120"/>
    </w:pPr>
    <w:rPr>
      <w:b/>
      <w:bCs/>
      <w:noProof/>
    </w:rPr>
  </w:style>
  <w:style w:type="character" w:styleId="Hyperlink">
    <w:name w:val="Hyperlink"/>
    <w:uiPriority w:val="99"/>
    <w:rPr>
      <w:color w:val="0000FF"/>
      <w:u w:val="single"/>
    </w:rPr>
  </w:style>
  <w:style w:type="paragraph" w:styleId="Footer">
    <w:name w:val="footer"/>
    <w:basedOn w:val="Normal"/>
    <w:link w:val="FooterChar"/>
    <w:pPr>
      <w:tabs>
        <w:tab w:val="center" w:pos="4536"/>
        <w:tab w:val="right" w:pos="9072"/>
      </w:tabs>
    </w:pPr>
  </w:style>
  <w:style w:type="character" w:customStyle="1" w:styleId="FooterChar">
    <w:name w:val="Footer Char"/>
    <w:basedOn w:val="DefaultParagraphFont"/>
    <w:link w:val="Footer"/>
    <w:rPr>
      <w:rFonts w:ascii="Times New Roman" w:eastAsia="Times New Roman" w:hAnsi="Times New Roman" w:cs="Times New Roman"/>
      <w:sz w:val="24"/>
      <w:szCs w:val="24"/>
      <w:lang w:eastAsia="en-GB"/>
    </w:rPr>
  </w:style>
  <w:style w:type="character" w:styleId="PageNumber">
    <w:name w:val="page number"/>
    <w:basedOn w:val="DefaultParagraphFont"/>
  </w:style>
  <w:style w:type="paragraph" w:styleId="Header">
    <w:name w:val="header"/>
    <w:basedOn w:val="Normal"/>
    <w:link w:val="HeaderChar"/>
    <w:pPr>
      <w:tabs>
        <w:tab w:val="center" w:pos="4536"/>
        <w:tab w:val="right" w:pos="9072"/>
      </w:tabs>
    </w:pPr>
  </w:style>
  <w:style w:type="character" w:customStyle="1" w:styleId="HeaderChar">
    <w:name w:val="Header Char"/>
    <w:basedOn w:val="DefaultParagraphFont"/>
    <w:link w:val="Header"/>
    <w:rPr>
      <w:rFonts w:ascii="Times New Roman" w:eastAsia="Times New Roman" w:hAnsi="Times New Roman" w:cs="Times New Roman"/>
      <w:sz w:val="24"/>
      <w:szCs w:val="24"/>
      <w:lang w:eastAsia="en-G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rPr>
      <w:noProof/>
    </w:rPr>
  </w:style>
  <w:style w:type="character" w:customStyle="1" w:styleId="TOC1Char">
    <w:name w:val="TOC 1 Char"/>
    <w:basedOn w:val="DefaultParagraphFont"/>
    <w:link w:val="TOC1"/>
    <w:uiPriority w:val="39"/>
    <w:rPr>
      <w:rFonts w:ascii="Times New Roman" w:eastAsia="Times New Roman" w:hAnsi="Times New Roman" w:cs="Times New Roman"/>
      <w:b/>
      <w:bCs/>
      <w:noProof/>
      <w:sz w:val="24"/>
      <w:szCs w:val="24"/>
      <w:lang w:eastAsia="en-GB"/>
    </w:rPr>
  </w:style>
  <w:style w:type="character" w:customStyle="1" w:styleId="FooterCoverPageChar">
    <w:name w:val="Footer Cover Page Char"/>
    <w:basedOn w:val="TOC1Char"/>
    <w:link w:val="FooterCoverPage"/>
    <w:rPr>
      <w:rFonts w:ascii="Times New Roman" w:eastAsia="Times New Roman" w:hAnsi="Times New Roman" w:cs="Times New Roman"/>
      <w:b w:val="0"/>
      <w:bCs w:val="0"/>
      <w:noProof/>
      <w:sz w:val="24"/>
      <w:szCs w:val="24"/>
      <w:lang w:eastAsia="en-GB"/>
    </w:rPr>
  </w:style>
  <w:style w:type="paragraph" w:customStyle="1" w:styleId="HeaderCoverPage">
    <w:name w:val="Header Cover Page"/>
    <w:basedOn w:val="Normal"/>
    <w:link w:val="HeaderCoverPageChar"/>
    <w:pPr>
      <w:tabs>
        <w:tab w:val="center" w:pos="4535"/>
        <w:tab w:val="right" w:pos="9071"/>
      </w:tabs>
      <w:spacing w:after="120"/>
      <w:jc w:val="both"/>
    </w:pPr>
    <w:rPr>
      <w:noProof/>
    </w:rPr>
  </w:style>
  <w:style w:type="character" w:customStyle="1" w:styleId="HeaderCoverPageChar">
    <w:name w:val="Header Cover Page Char"/>
    <w:basedOn w:val="TOC1Char"/>
    <w:link w:val="HeaderCoverPage"/>
    <w:rPr>
      <w:rFonts w:ascii="Times New Roman" w:eastAsia="Times New Roman" w:hAnsi="Times New Roman" w:cs="Times New Roman"/>
      <w:b w:val="0"/>
      <w:bCs w:val="0"/>
      <w:noProof/>
      <w:sz w:val="24"/>
      <w:szCs w:val="24"/>
      <w:lang w:eastAsia="en-GB"/>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pPr>
      <w:ind w:left="720" w:hanging="720"/>
      <w:jc w:val="both"/>
    </w:pPr>
    <w:rPr>
      <w:sz w:val="20"/>
      <w:szCs w:val="20"/>
      <w:lang w:eastAsia="de-DE"/>
    </w:rPr>
  </w:style>
  <w:style w:type="character" w:customStyle="1" w:styleId="FootnoteTextChar">
    <w:name w:val="Footnote Text Char"/>
    <w:basedOn w:val="DefaultParagraphFont"/>
    <w:link w:val="FootnoteText"/>
    <w:semiHidden/>
    <w:rPr>
      <w:rFonts w:ascii="Times New Roman" w:eastAsia="Times New Roman" w:hAnsi="Times New Roman" w:cs="Times New Roman"/>
      <w:sz w:val="20"/>
      <w:szCs w:val="20"/>
      <w:lang w:eastAsia="de-DE"/>
    </w:rPr>
  </w:style>
  <w:style w:type="character" w:styleId="FootnoteReference">
    <w:name w:val="footnote reference"/>
    <w:uiPriority w:val="99"/>
    <w:semiHidden/>
    <w:rPr>
      <w:vertAlign w:val="superscript"/>
    </w:rPr>
  </w:style>
  <w:style w:type="paragraph" w:customStyle="1" w:styleId="Text1">
    <w:name w:val="Text 1"/>
    <w:basedOn w:val="Normal"/>
    <w:pPr>
      <w:spacing w:before="120" w:after="120"/>
      <w:ind w:left="850"/>
      <w:jc w:val="both"/>
    </w:pPr>
    <w:rPr>
      <w:lang w:eastAsia="de-DE"/>
    </w:rPr>
  </w:style>
  <w:style w:type="paragraph" w:customStyle="1" w:styleId="Text2">
    <w:name w:val="Text 2"/>
    <w:basedOn w:val="Normal"/>
    <w:pPr>
      <w:spacing w:before="120" w:after="120"/>
      <w:ind w:left="850"/>
      <w:jc w:val="both"/>
    </w:pPr>
    <w:rPr>
      <w:lang w:eastAsia="de-DE"/>
    </w:rPr>
  </w:style>
  <w:style w:type="paragraph" w:customStyle="1" w:styleId="ManualHeading1">
    <w:name w:val="Manual Heading 1"/>
    <w:basedOn w:val="Normal"/>
    <w:next w:val="Text1"/>
    <w:pPr>
      <w:keepNext/>
      <w:tabs>
        <w:tab w:val="left" w:pos="850"/>
      </w:tabs>
      <w:spacing w:before="360" w:after="120"/>
      <w:ind w:left="850" w:hanging="850"/>
      <w:jc w:val="both"/>
      <w:outlineLvl w:val="0"/>
    </w:pPr>
    <w:rPr>
      <w:b/>
      <w:smallCaps/>
      <w:lang w:eastAsia="de-DE"/>
    </w:rPr>
  </w:style>
  <w:style w:type="paragraph" w:customStyle="1" w:styleId="ManualHeading2">
    <w:name w:val="Manual Heading 2"/>
    <w:basedOn w:val="Normal"/>
    <w:next w:val="Text2"/>
    <w:pPr>
      <w:keepNext/>
      <w:tabs>
        <w:tab w:val="left" w:pos="850"/>
      </w:tabs>
      <w:spacing w:before="120" w:after="120"/>
      <w:ind w:left="850" w:hanging="850"/>
      <w:jc w:val="both"/>
      <w:outlineLvl w:val="1"/>
    </w:pPr>
    <w:rPr>
      <w:b/>
      <w:lang w:eastAsia="de-DE"/>
    </w:rPr>
  </w:style>
  <w:style w:type="paragraph" w:customStyle="1" w:styleId="Prliminairetitre">
    <w:name w:val="Préliminaire titre"/>
    <w:basedOn w:val="Normal"/>
    <w:next w:val="Normal"/>
    <w:pPr>
      <w:spacing w:before="360" w:after="360"/>
      <w:jc w:val="center"/>
    </w:pPr>
    <w:rPr>
      <w:b/>
      <w:lang w:eastAsia="de-DE"/>
    </w:rPr>
  </w:style>
  <w:style w:type="paragraph" w:styleId="TOC1">
    <w:name w:val="toc 1"/>
    <w:basedOn w:val="Normal"/>
    <w:next w:val="Normal"/>
    <w:link w:val="TOC1Char"/>
    <w:autoRedefine/>
    <w:uiPriority w:val="39"/>
    <w:pPr>
      <w:tabs>
        <w:tab w:val="left" w:pos="480"/>
        <w:tab w:val="right" w:leader="dot" w:pos="9062"/>
      </w:tabs>
      <w:spacing w:before="240" w:after="120"/>
    </w:pPr>
    <w:rPr>
      <w:b/>
      <w:bCs/>
      <w:noProof/>
    </w:rPr>
  </w:style>
  <w:style w:type="character" w:styleId="Hyperlink">
    <w:name w:val="Hyperlink"/>
    <w:uiPriority w:val="99"/>
    <w:rPr>
      <w:color w:val="0000FF"/>
      <w:u w:val="single"/>
    </w:rPr>
  </w:style>
  <w:style w:type="paragraph" w:styleId="Footer">
    <w:name w:val="footer"/>
    <w:basedOn w:val="Normal"/>
    <w:link w:val="FooterChar"/>
    <w:pPr>
      <w:tabs>
        <w:tab w:val="center" w:pos="4536"/>
        <w:tab w:val="right" w:pos="9072"/>
      </w:tabs>
    </w:pPr>
  </w:style>
  <w:style w:type="character" w:customStyle="1" w:styleId="FooterChar">
    <w:name w:val="Footer Char"/>
    <w:basedOn w:val="DefaultParagraphFont"/>
    <w:link w:val="Footer"/>
    <w:rPr>
      <w:rFonts w:ascii="Times New Roman" w:eastAsia="Times New Roman" w:hAnsi="Times New Roman" w:cs="Times New Roman"/>
      <w:sz w:val="24"/>
      <w:szCs w:val="24"/>
      <w:lang w:eastAsia="en-GB"/>
    </w:rPr>
  </w:style>
  <w:style w:type="character" w:styleId="PageNumber">
    <w:name w:val="page number"/>
    <w:basedOn w:val="DefaultParagraphFont"/>
  </w:style>
  <w:style w:type="paragraph" w:styleId="Header">
    <w:name w:val="header"/>
    <w:basedOn w:val="Normal"/>
    <w:link w:val="HeaderChar"/>
    <w:pPr>
      <w:tabs>
        <w:tab w:val="center" w:pos="4536"/>
        <w:tab w:val="right" w:pos="9072"/>
      </w:tabs>
    </w:pPr>
  </w:style>
  <w:style w:type="character" w:customStyle="1" w:styleId="HeaderChar">
    <w:name w:val="Header Char"/>
    <w:basedOn w:val="DefaultParagraphFont"/>
    <w:link w:val="Header"/>
    <w:rPr>
      <w:rFonts w:ascii="Times New Roman" w:eastAsia="Times New Roman" w:hAnsi="Times New Roman" w:cs="Times New Roman"/>
      <w:sz w:val="24"/>
      <w:szCs w:val="24"/>
      <w:lang w:eastAsia="en-G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rPr>
      <w:noProof/>
    </w:rPr>
  </w:style>
  <w:style w:type="character" w:customStyle="1" w:styleId="TOC1Char">
    <w:name w:val="TOC 1 Char"/>
    <w:basedOn w:val="DefaultParagraphFont"/>
    <w:link w:val="TOC1"/>
    <w:uiPriority w:val="39"/>
    <w:rPr>
      <w:rFonts w:ascii="Times New Roman" w:eastAsia="Times New Roman" w:hAnsi="Times New Roman" w:cs="Times New Roman"/>
      <w:b/>
      <w:bCs/>
      <w:noProof/>
      <w:sz w:val="24"/>
      <w:szCs w:val="24"/>
      <w:lang w:eastAsia="en-GB"/>
    </w:rPr>
  </w:style>
  <w:style w:type="character" w:customStyle="1" w:styleId="FooterCoverPageChar">
    <w:name w:val="Footer Cover Page Char"/>
    <w:basedOn w:val="TOC1Char"/>
    <w:link w:val="FooterCoverPage"/>
    <w:rPr>
      <w:rFonts w:ascii="Times New Roman" w:eastAsia="Times New Roman" w:hAnsi="Times New Roman" w:cs="Times New Roman"/>
      <w:b w:val="0"/>
      <w:bCs w:val="0"/>
      <w:noProof/>
      <w:sz w:val="24"/>
      <w:szCs w:val="24"/>
      <w:lang w:eastAsia="en-GB"/>
    </w:rPr>
  </w:style>
  <w:style w:type="paragraph" w:customStyle="1" w:styleId="HeaderCoverPage">
    <w:name w:val="Header Cover Page"/>
    <w:basedOn w:val="Normal"/>
    <w:link w:val="HeaderCoverPageChar"/>
    <w:pPr>
      <w:tabs>
        <w:tab w:val="center" w:pos="4535"/>
        <w:tab w:val="right" w:pos="9071"/>
      </w:tabs>
      <w:spacing w:after="120"/>
      <w:jc w:val="both"/>
    </w:pPr>
    <w:rPr>
      <w:noProof/>
    </w:rPr>
  </w:style>
  <w:style w:type="character" w:customStyle="1" w:styleId="HeaderCoverPageChar">
    <w:name w:val="Header Cover Page Char"/>
    <w:basedOn w:val="TOC1Char"/>
    <w:link w:val="HeaderCoverPage"/>
    <w:rPr>
      <w:rFonts w:ascii="Times New Roman" w:eastAsia="Times New Roman" w:hAnsi="Times New Roman" w:cs="Times New Roman"/>
      <w:b w:val="0"/>
      <w:bCs w:val="0"/>
      <w:noProof/>
      <w:sz w:val="24"/>
      <w:szCs w:val="24"/>
      <w:lang w:eastAsia="en-GB"/>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header" Target="header4.xml"/><Relationship Id="rId3" Type="http://schemas.microsoft.com/office/2007/relationships/stylesWithEffects" Target="stylesWithEffect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hart" Target="charts/chart2.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footer" Target="footer6.xml"/><Relationship Id="rId10" Type="http://schemas.openxmlformats.org/officeDocument/2006/relationships/header" Target="header2.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6.xml"/></Relationships>
</file>

<file path=word/charts/_rels/chart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bar"/>
        <c:grouping val="clustered"/>
        <c:varyColors val="0"/>
        <c:ser>
          <c:idx val="0"/>
          <c:order val="0"/>
          <c:invertIfNegative val="0"/>
          <c:dPt>
            <c:idx val="0"/>
            <c:invertIfNegative val="0"/>
            <c:bubble3D val="0"/>
            <c:spPr>
              <a:solidFill>
                <a:schemeClr val="bg1">
                  <a:lumMod val="75000"/>
                </a:schemeClr>
              </a:solidFill>
            </c:spPr>
          </c:dPt>
          <c:dPt>
            <c:idx val="1"/>
            <c:invertIfNegative val="0"/>
            <c:bubble3D val="0"/>
            <c:spPr>
              <a:solidFill>
                <a:schemeClr val="bg1">
                  <a:lumMod val="75000"/>
                </a:schemeClr>
              </a:solidFill>
            </c:spPr>
          </c:dPt>
          <c:dPt>
            <c:idx val="2"/>
            <c:invertIfNegative val="0"/>
            <c:bubble3D val="0"/>
            <c:spPr>
              <a:solidFill>
                <a:schemeClr val="bg1">
                  <a:lumMod val="75000"/>
                </a:schemeClr>
              </a:solidFill>
            </c:spPr>
          </c:dPt>
          <c:dPt>
            <c:idx val="3"/>
            <c:invertIfNegative val="0"/>
            <c:bubble3D val="0"/>
            <c:spPr>
              <a:solidFill>
                <a:schemeClr val="tx2">
                  <a:lumMod val="40000"/>
                  <a:lumOff val="60000"/>
                </a:schemeClr>
              </a:solidFill>
            </c:spPr>
          </c:dPt>
          <c:dPt>
            <c:idx val="4"/>
            <c:invertIfNegative val="0"/>
            <c:bubble3D val="0"/>
            <c:spPr>
              <a:solidFill>
                <a:schemeClr val="accent3">
                  <a:lumMod val="60000"/>
                  <a:lumOff val="40000"/>
                </a:schemeClr>
              </a:solidFill>
            </c:spPr>
          </c:dPt>
          <c:dPt>
            <c:idx val="5"/>
            <c:invertIfNegative val="0"/>
            <c:bubble3D val="0"/>
            <c:spPr>
              <a:solidFill>
                <a:schemeClr val="accent2">
                  <a:lumMod val="60000"/>
                  <a:lumOff val="40000"/>
                </a:schemeClr>
              </a:solidFill>
            </c:spPr>
          </c:dPt>
          <c:cat>
            <c:strRef>
              <c:f>'D:\Profiles\BLIONI\AppData\Local\Microsoft\Windows\Temporary Internet Files\Content.Outlook\0332QXQ3\[CHB057623EN12-15PP-DEC060-15APC_FIN_BIS-RA-Chapter_1-OR.xlsx]Graph 1.4'!$O$5:$O$10</c:f>
              <c:strCache>
                <c:ptCount val="6"/>
                <c:pt idx="0">
                  <c:v>Administration</c:v>
                </c:pt>
                <c:pt idx="1">
                  <c:v>Other </c:v>
                </c:pt>
                <c:pt idx="2">
                  <c:v>Global Europe</c:v>
                </c:pt>
                <c:pt idx="3">
                  <c:v>Competitiveness</c:v>
                </c:pt>
                <c:pt idx="4">
                  <c:v>Natural Resources</c:v>
                </c:pt>
                <c:pt idx="5">
                  <c:v>Cohesion</c:v>
                </c:pt>
              </c:strCache>
            </c:strRef>
          </c:cat>
          <c:val>
            <c:numRef>
              <c:f>'D:\Profiles\BLIONI\AppData\Local\Microsoft\Windows\Temporary Internet Files\Content.Outlook\0332QXQ3\[CHB057623EN12-15PP-DEC060-15APC_FIN_BIS-RA-Chapter_1-OR.xlsx]Graph 1.4'!$P$5:$P$10</c:f>
              <c:numCache>
                <c:formatCode>General</c:formatCode>
                <c:ptCount val="6"/>
                <c:pt idx="0">
                  <c:v>6.9833510562318469E-3</c:v>
                </c:pt>
                <c:pt idx="1">
                  <c:v>1.3331852016442616E-2</c:v>
                </c:pt>
                <c:pt idx="2">
                  <c:v>3.1710762296252804E-2</c:v>
                </c:pt>
                <c:pt idx="3">
                  <c:v>0.115542717475836</c:v>
                </c:pt>
                <c:pt idx="4">
                  <c:v>0.32853492469090739</c:v>
                </c:pt>
                <c:pt idx="5">
                  <c:v>0.50389639246432938</c:v>
                </c:pt>
              </c:numCache>
            </c:numRef>
          </c:val>
        </c:ser>
        <c:dLbls>
          <c:showLegendKey val="0"/>
          <c:showVal val="0"/>
          <c:showCatName val="0"/>
          <c:showSerName val="0"/>
          <c:showPercent val="0"/>
          <c:showBubbleSize val="0"/>
        </c:dLbls>
        <c:gapWidth val="150"/>
        <c:axId val="35229696"/>
        <c:axId val="35231232"/>
      </c:barChart>
      <c:catAx>
        <c:axId val="35229696"/>
        <c:scaling>
          <c:orientation val="minMax"/>
        </c:scaling>
        <c:delete val="0"/>
        <c:axPos val="l"/>
        <c:majorTickMark val="out"/>
        <c:minorTickMark val="none"/>
        <c:tickLblPos val="nextTo"/>
        <c:crossAx val="35231232"/>
        <c:crosses val="autoZero"/>
        <c:auto val="1"/>
        <c:lblAlgn val="ctr"/>
        <c:lblOffset val="100"/>
        <c:noMultiLvlLbl val="0"/>
      </c:catAx>
      <c:valAx>
        <c:axId val="35231232"/>
        <c:scaling>
          <c:orientation val="minMax"/>
        </c:scaling>
        <c:delete val="0"/>
        <c:axPos val="b"/>
        <c:majorGridlines/>
        <c:numFmt formatCode="0%" sourceLinked="0"/>
        <c:majorTickMark val="out"/>
        <c:minorTickMark val="none"/>
        <c:tickLblPos val="nextTo"/>
        <c:crossAx val="35229696"/>
        <c:crosses val="autoZero"/>
        <c:crossBetween val="between"/>
      </c:valAx>
    </c:plotArea>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GB"/>
              <a:t>Usage</a:t>
            </a:r>
            <a:r>
              <a:rPr lang="en-GB" baseline="0"/>
              <a:t> (in %- 100%=28 MS) of the 'Common indicators' in respective EU funds</a:t>
            </a:r>
            <a:endParaRPr lang="en-GB"/>
          </a:p>
        </c:rich>
      </c:tx>
      <c:layout/>
      <c:overlay val="0"/>
    </c:title>
    <c:autoTitleDeleted val="0"/>
    <c:view3D>
      <c:rotX val="15"/>
      <c:hPercent val="286"/>
      <c:rotY val="20"/>
      <c:depthPercent val="100"/>
      <c:rAngAx val="0"/>
      <c:perspective val="30"/>
    </c:view3D>
    <c:floor>
      <c:thickness val="0"/>
    </c:floor>
    <c:sideWall>
      <c:thickness val="0"/>
    </c:sideWall>
    <c:backWall>
      <c:thickness val="0"/>
    </c:backWall>
    <c:plotArea>
      <c:layout/>
      <c:bar3DChart>
        <c:barDir val="bar"/>
        <c:grouping val="stacked"/>
        <c:varyColors val="0"/>
        <c:ser>
          <c:idx val="0"/>
          <c:order val="0"/>
          <c:tx>
            <c:strRef>
              <c:f>'CHART Q1.1'!$C$14</c:f>
              <c:strCache>
                <c:ptCount val="1"/>
                <c:pt idx="0">
                  <c:v>Yes</c:v>
                </c:pt>
              </c:strCache>
            </c:strRef>
          </c:tx>
          <c:invertIfNegative val="0"/>
          <c:dLbls>
            <c:showLegendKey val="0"/>
            <c:showVal val="1"/>
            <c:showCatName val="0"/>
            <c:showSerName val="0"/>
            <c:showPercent val="0"/>
            <c:showBubbleSize val="0"/>
            <c:showLeaderLines val="0"/>
          </c:dLbls>
          <c:cat>
            <c:strRef>
              <c:f>'CHART Q1.1'!$D$13:$H$13</c:f>
              <c:strCache>
                <c:ptCount val="5"/>
                <c:pt idx="0">
                  <c:v>EAFRD</c:v>
                </c:pt>
                <c:pt idx="1">
                  <c:v>EMFF</c:v>
                </c:pt>
                <c:pt idx="2">
                  <c:v>ESF</c:v>
                </c:pt>
                <c:pt idx="3">
                  <c:v>ERDF</c:v>
                </c:pt>
                <c:pt idx="4">
                  <c:v>CF</c:v>
                </c:pt>
              </c:strCache>
            </c:strRef>
          </c:cat>
          <c:val>
            <c:numRef>
              <c:f>'CHART Q1.1'!$D$14:$H$14</c:f>
              <c:numCache>
                <c:formatCode>0%</c:formatCode>
                <c:ptCount val="5"/>
                <c:pt idx="0">
                  <c:v>0.8571428571428571</c:v>
                </c:pt>
                <c:pt idx="1">
                  <c:v>0.9285714285714286</c:v>
                </c:pt>
                <c:pt idx="2">
                  <c:v>0.8214285714285714</c:v>
                </c:pt>
                <c:pt idx="3">
                  <c:v>0.9642857142857143</c:v>
                </c:pt>
                <c:pt idx="4">
                  <c:v>0.56999999999999995</c:v>
                </c:pt>
              </c:numCache>
            </c:numRef>
          </c:val>
        </c:ser>
        <c:ser>
          <c:idx val="1"/>
          <c:order val="1"/>
          <c:tx>
            <c:strRef>
              <c:f>'CHART Q1.1'!$C$15</c:f>
              <c:strCache>
                <c:ptCount val="1"/>
                <c:pt idx="0">
                  <c:v>No</c:v>
                </c:pt>
              </c:strCache>
            </c:strRef>
          </c:tx>
          <c:invertIfNegative val="0"/>
          <c:dLbls>
            <c:showLegendKey val="0"/>
            <c:showVal val="1"/>
            <c:showCatName val="0"/>
            <c:showSerName val="0"/>
            <c:showPercent val="0"/>
            <c:showBubbleSize val="0"/>
            <c:showLeaderLines val="0"/>
          </c:dLbls>
          <c:cat>
            <c:strRef>
              <c:f>'CHART Q1.1'!$D$13:$H$13</c:f>
              <c:strCache>
                <c:ptCount val="5"/>
                <c:pt idx="0">
                  <c:v>EAFRD</c:v>
                </c:pt>
                <c:pt idx="1">
                  <c:v>EMFF</c:v>
                </c:pt>
                <c:pt idx="2">
                  <c:v>ESF</c:v>
                </c:pt>
                <c:pt idx="3">
                  <c:v>ERDF</c:v>
                </c:pt>
                <c:pt idx="4">
                  <c:v>CF</c:v>
                </c:pt>
              </c:strCache>
            </c:strRef>
          </c:cat>
          <c:val>
            <c:numRef>
              <c:f>'CHART Q1.1'!$D$15:$H$15</c:f>
              <c:numCache>
                <c:formatCode>General</c:formatCode>
                <c:ptCount val="5"/>
                <c:pt idx="4" formatCode="0%">
                  <c:v>7.0000000000000007E-2</c:v>
                </c:pt>
              </c:numCache>
            </c:numRef>
          </c:val>
        </c:ser>
        <c:ser>
          <c:idx val="2"/>
          <c:order val="2"/>
          <c:tx>
            <c:strRef>
              <c:f>'CHART Q1.1'!$C$16</c:f>
              <c:strCache>
                <c:ptCount val="1"/>
                <c:pt idx="0">
                  <c:v>No response</c:v>
                </c:pt>
              </c:strCache>
            </c:strRef>
          </c:tx>
          <c:invertIfNegative val="0"/>
          <c:dLbls>
            <c:showLegendKey val="0"/>
            <c:showVal val="1"/>
            <c:showCatName val="0"/>
            <c:showSerName val="0"/>
            <c:showPercent val="0"/>
            <c:showBubbleSize val="0"/>
            <c:showLeaderLines val="0"/>
          </c:dLbls>
          <c:cat>
            <c:strRef>
              <c:f>'CHART Q1.1'!$D$13:$H$13</c:f>
              <c:strCache>
                <c:ptCount val="5"/>
                <c:pt idx="0">
                  <c:v>EAFRD</c:v>
                </c:pt>
                <c:pt idx="1">
                  <c:v>EMFF</c:v>
                </c:pt>
                <c:pt idx="2">
                  <c:v>ESF</c:v>
                </c:pt>
                <c:pt idx="3">
                  <c:v>ERDF</c:v>
                </c:pt>
                <c:pt idx="4">
                  <c:v>CF</c:v>
                </c:pt>
              </c:strCache>
            </c:strRef>
          </c:cat>
          <c:val>
            <c:numRef>
              <c:f>'CHART Q1.1'!$D$16:$H$16</c:f>
              <c:numCache>
                <c:formatCode>0%</c:formatCode>
                <c:ptCount val="5"/>
                <c:pt idx="0">
                  <c:v>0.14285714285714285</c:v>
                </c:pt>
                <c:pt idx="1">
                  <c:v>7.1428571428571425E-2</c:v>
                </c:pt>
                <c:pt idx="2">
                  <c:v>0.14285714285714285</c:v>
                </c:pt>
                <c:pt idx="3">
                  <c:v>3.5714285714285712E-2</c:v>
                </c:pt>
                <c:pt idx="4">
                  <c:v>0.22</c:v>
                </c:pt>
              </c:numCache>
            </c:numRef>
          </c:val>
        </c:ser>
        <c:ser>
          <c:idx val="3"/>
          <c:order val="3"/>
          <c:tx>
            <c:strRef>
              <c:f>'CHART Q1.1'!$C$17</c:f>
              <c:strCache>
                <c:ptCount val="1"/>
                <c:pt idx="0">
                  <c:v>n/a</c:v>
                </c:pt>
              </c:strCache>
            </c:strRef>
          </c:tx>
          <c:invertIfNegative val="0"/>
          <c:dLbls>
            <c:showLegendKey val="0"/>
            <c:showVal val="1"/>
            <c:showCatName val="0"/>
            <c:showSerName val="0"/>
            <c:showPercent val="0"/>
            <c:showBubbleSize val="0"/>
            <c:showLeaderLines val="0"/>
          </c:dLbls>
          <c:cat>
            <c:strRef>
              <c:f>'CHART Q1.1'!$D$13:$H$13</c:f>
              <c:strCache>
                <c:ptCount val="5"/>
                <c:pt idx="0">
                  <c:v>EAFRD</c:v>
                </c:pt>
                <c:pt idx="1">
                  <c:v>EMFF</c:v>
                </c:pt>
                <c:pt idx="2">
                  <c:v>ESF</c:v>
                </c:pt>
                <c:pt idx="3">
                  <c:v>ERDF</c:v>
                </c:pt>
                <c:pt idx="4">
                  <c:v>CF</c:v>
                </c:pt>
              </c:strCache>
            </c:strRef>
          </c:cat>
          <c:val>
            <c:numRef>
              <c:f>'CHART Q1.1'!$D$17:$H$17</c:f>
              <c:numCache>
                <c:formatCode>General</c:formatCode>
                <c:ptCount val="5"/>
                <c:pt idx="2" formatCode="0%">
                  <c:v>3.5714285714285712E-2</c:v>
                </c:pt>
                <c:pt idx="4" formatCode="0%">
                  <c:v>0.14000000000000001</c:v>
                </c:pt>
              </c:numCache>
            </c:numRef>
          </c:val>
        </c:ser>
        <c:dLbls>
          <c:showLegendKey val="0"/>
          <c:showVal val="0"/>
          <c:showCatName val="0"/>
          <c:showSerName val="0"/>
          <c:showPercent val="0"/>
          <c:showBubbleSize val="0"/>
        </c:dLbls>
        <c:gapWidth val="95"/>
        <c:gapDepth val="95"/>
        <c:shape val="cylinder"/>
        <c:axId val="270562048"/>
        <c:axId val="270563584"/>
        <c:axId val="0"/>
      </c:bar3DChart>
      <c:catAx>
        <c:axId val="270562048"/>
        <c:scaling>
          <c:orientation val="minMax"/>
        </c:scaling>
        <c:delete val="0"/>
        <c:axPos val="l"/>
        <c:numFmt formatCode="General" sourceLinked="1"/>
        <c:majorTickMark val="none"/>
        <c:minorTickMark val="none"/>
        <c:tickLblPos val="nextTo"/>
        <c:crossAx val="270563584"/>
        <c:crosses val="autoZero"/>
        <c:auto val="1"/>
        <c:lblAlgn val="ctr"/>
        <c:lblOffset val="100"/>
        <c:noMultiLvlLbl val="0"/>
      </c:catAx>
      <c:valAx>
        <c:axId val="270563584"/>
        <c:scaling>
          <c:orientation val="minMax"/>
        </c:scaling>
        <c:delete val="1"/>
        <c:axPos val="b"/>
        <c:numFmt formatCode="0%" sourceLinked="1"/>
        <c:majorTickMark val="out"/>
        <c:minorTickMark val="none"/>
        <c:tickLblPos val="nextTo"/>
        <c:crossAx val="270562048"/>
        <c:crosses val="autoZero"/>
        <c:crossBetween val="between"/>
      </c:valAx>
      <c:spPr>
        <a:noFill/>
        <a:ln w="25422">
          <a:noFill/>
        </a:ln>
      </c:spPr>
    </c:plotArea>
    <c:legend>
      <c:legendPos val="r"/>
      <c:layout>
        <c:manualLayout>
          <c:xMode val="edge"/>
          <c:yMode val="edge"/>
          <c:x val="0.32414915862957505"/>
          <c:y val="0.23722457486931781"/>
          <c:w val="0.34846029173419774"/>
          <c:h val="7.8688524590163941E-2"/>
        </c:manualLayout>
      </c:layout>
      <c:overlay val="0"/>
    </c:legend>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C034D4-EB6A-454A-B320-3CB9F4932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3010</Words>
  <Characters>17161</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WOJCIECHOWSKA Eliza (SG)</cp:lastModifiedBy>
  <cp:revision>17</cp:revision>
  <cp:lastPrinted>2016-02-26T09:48:00Z</cp:lastPrinted>
  <dcterms:created xsi:type="dcterms:W3CDTF">2016-02-25T16:28:00Z</dcterms:created>
  <dcterms:modified xsi:type="dcterms:W3CDTF">2016-02-26T09:59:00Z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