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1326B0506069477B803BF2055EDB046B" style="width:450.7pt;height:377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RECTIFICATIF</w:t>
      </w:r>
    </w:p>
    <w:p>
      <w:pPr>
        <w:pStyle w:val="Titreobjet"/>
        <w:rPr>
          <w:noProof/>
        </w:rPr>
      </w:pPr>
      <w:r>
        <w:rPr>
          <w:noProof/>
        </w:rPr>
        <w:t>au règlement délégué (UE) C(2015) 4394 final de la Commission du 1</w:t>
      </w:r>
      <w:r>
        <w:rPr>
          <w:noProof/>
          <w:vertAlign w:val="superscript"/>
        </w:rPr>
        <w:t>er</w:t>
      </w:r>
      <w:r>
        <w:rPr>
          <w:noProof/>
        </w:rPr>
        <w:t> juillet 2015 relatif à la classification des caractéristiques de réaction au feu des produits de construction en vertu du règlement (UE) nº 305/2011 du Parlement européen et du Conseil</w:t>
      </w:r>
    </w:p>
    <w:p>
      <w:pPr>
        <w:pStyle w:val="IntrtEEE"/>
        <w:rPr>
          <w:noProof/>
        </w:rPr>
      </w:pPr>
      <w:r>
        <w:rPr>
          <w:noProof/>
        </w:rPr>
        <w:t>(Texte présentant de l’intérêt pour l’EEE)</w:t>
      </w:r>
    </w:p>
    <w:p>
      <w:pPr>
        <w:rPr>
          <w:noProof/>
        </w:rPr>
      </w:pPr>
      <w:r>
        <w:rPr>
          <w:noProof/>
        </w:rPr>
        <w:t>Au point 1.3 de l’annexe du règlement, le point 3) doit être supprimé et la numérotation corrigée en conséquence.</w:t>
      </w:r>
    </w:p>
    <w:p>
      <w:pPr>
        <w:rPr>
          <w:noProof/>
        </w:rPr>
      </w:pPr>
      <w:r>
        <w:rPr>
          <w:noProof/>
        </w:rPr>
        <w:t>À l’annexe du règlement, dans le tableau 3, à la troisième colonne («Critères de classification»), les cases concernant les classes A1</w:t>
      </w:r>
      <w:r>
        <w:rPr>
          <w:b/>
          <w:noProof/>
          <w:sz w:val="14"/>
        </w:rPr>
        <w:t>L</w:t>
      </w:r>
      <w:r>
        <w:rPr>
          <w:noProof/>
        </w:rPr>
        <w:t xml:space="preserve"> et A2</w:t>
      </w:r>
      <w:r>
        <w:rPr>
          <w:b/>
          <w:noProof/>
          <w:sz w:val="14"/>
        </w:rPr>
        <w:t>L</w:t>
      </w:r>
      <w:r>
        <w:rPr>
          <w:noProof/>
        </w:rPr>
        <w:t xml:space="preserve"> doivent être corrigées comme suit:</w:t>
      </w:r>
    </w:p>
    <w:p>
      <w:pPr>
        <w:autoSpaceDE w:val="0"/>
        <w:autoSpaceDN w:val="0"/>
        <w:adjustRightInd w:val="0"/>
        <w:rPr>
          <w:rFonts w:ascii="EUAlbertina" w:hAnsi="EUAlbertina"/>
          <w:noProof/>
        </w:rPr>
      </w:pPr>
      <w:r>
        <w:rPr>
          <w:i/>
          <w:noProof/>
        </w:rPr>
        <w:t>au lieu de:</w:t>
      </w:r>
      <w:r>
        <w:rPr>
          <w:noProof/>
        </w:rPr>
        <w:t xml:space="preserve"> «T» et «m»,</w:t>
      </w:r>
    </w:p>
    <w:p>
      <w:pPr>
        <w:autoSpaceDE w:val="0"/>
        <w:autoSpaceDN w:val="0"/>
        <w:adjustRightInd w:val="0"/>
        <w:rPr>
          <w:noProof/>
        </w:rPr>
      </w:pPr>
      <w:bookmarkStart w:id="1" w:name="_CopyToNewDocument_"/>
      <w:r>
        <w:rPr>
          <w:i/>
          <w:noProof/>
        </w:rPr>
        <w:t>lire:</w:t>
      </w:r>
      <w:r>
        <w:rPr>
          <w:noProof/>
        </w:rPr>
        <w:t xml:space="preserve"> «ΔT» et «Δm».</w:t>
      </w:r>
    </w:p>
    <w:bookmarkEnd w:id="1"/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3FA96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23474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A34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C8EAC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34202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FA4DC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8EC4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0E23C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25 09:26:2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VERPAGE_GUID" w:val="1326B0506069477B803BF2055EDB046B"/>
    <w:docVar w:name="LW_CROSSREFERENCE" w:val="&lt;UNUSED&gt;"/>
    <w:docVar w:name="LW_DocType" w:val="COM"/>
    <w:docVar w:name="LW_EMISSION" w:val="26.2.2016"/>
    <w:docVar w:name="LW_EMISSION_ISODATE" w:val="2016-02-26"/>
    <w:docVar w:name="LW_EMISSION_LOCATION" w:val="BRX"/>
    <w:docVar w:name="LW_EMISSION_PREFIX" w:val="Bruxelles, le "/>
    <w:docVar w:name="LW_EMISSION_SUFFIX" w:val=" "/>
    <w:docVar w:name="LW_ID_DOCMODEL" w:val="SG-039"/>
    <w:docVar w:name="LW_ID_DOCSTRUCTURE" w:val="COM/PRELIM/CORR"/>
    <w:docVar w:name="LW_ID_DOCTYPE" w:val="SG-039"/>
    <w:docVar w:name="LW_INTERETEEE.CP" w:val="(Texte présentant de l\u8217?intérêt pour l\u8217?EEE)"/>
    <w:docVar w:name="LW_LANGUE" w:val="FR"/>
    <w:docVar w:name="LW_LANGUESFAISANTFOI.CP" w:val="&lt;UNUSED&gt;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6) 1151"/>
    <w:docVar w:name="LW_REF.INTERNE" w:val="&lt;UNUSED&gt;"/>
    <w:docVar w:name="LW_SOUS.TITRE.OBJ.CP" w:val="&lt;UNUSED&gt;"/>
    <w:docVar w:name="LW_SUPERTITRE" w:val="&lt;UNUSED&gt;"/>
    <w:docVar w:name="LW_TITRE.OBJ.CP" w:val="au règlement délégué (UE) C(2015) 4394 final de la Commission du 1er juillet 2015 relatif à la classification des caractéristiques de réaction au feu des produits de construction en vertu du règlement (UE) nº 305/2011 du Parlement européen et du Conseil"/>
    <w:docVar w:name="LW_TITRE.OBJ_CONTENT_FMTD" w:val="au règlement délégué (UE) C(2015) 4394 final de la Commission du 1&lt;FMT:super&gt;er&lt;/FMT&gt; juillet 2015 relatif à la classification des caractéristiques de réaction au feu des produits de construction en vertu du règlement (UE) nº 305/2011 du Parlement européen et du Conseil"/>
    <w:docVar w:name="LW_TITRE.OBJ_USEMAINTEXTFORCP" w:val="1"/>
    <w:docVar w:name="LW_TYPE.DOC.CP" w:val="RECTIFICATIF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2</Pages>
  <Words>105</Words>
  <Characters>544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2016-01-18T16:12:00Z</cp:lastPrinted>
  <dcterms:created xsi:type="dcterms:W3CDTF">2016-02-10T07:50:00Z</dcterms:created>
  <dcterms:modified xsi:type="dcterms:W3CDTF">2016-02-25T08:26:00Z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COM/PRELIM/CORR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SG-039</vt:lpwstr>
  </property>
  <property fmtid="{D5CDD505-2E9C-101B-9397-08002B2CF9AE}" pid="10" name="DQCStatus">
    <vt:lpwstr>Green (DQC version 03)</vt:lpwstr>
  </property>
</Properties>
</file>